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3.jpeg" ContentType="image/jpeg"/>
  <Override PartName="/word/media/image112.jpeg" ContentType="image/jpeg"/>
  <Override PartName="/word/media/image111.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sg-def14a_20230512.htm"/>
      <w:bookmarkStart w:id="1" w:name="ksrsgdef14a_20230512"/>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Arial" w:hAnsi="Arial"/>
          <w:b/>
          <w:i w:val="false"/>
          <w:caps w:val="false"/>
          <w:smallCaps w:val="false"/>
          <w:color w:val="000000"/>
          <w:sz w:val="28"/>
        </w:rPr>
      </w:pPr>
      <w:r>
        <w:rPr>
          <w:rFonts w:ascii="Arial" w:hAnsi="Arial"/>
          <w:b/>
          <w:i w:val="false"/>
          <w:caps w:val="false"/>
          <w:smallCaps w:val="false"/>
          <w:color w:val="000000"/>
          <w:sz w:val="28"/>
        </w:rPr>
        <w:t>UNITED STATES</w:t>
      </w:r>
    </w:p>
    <w:p>
      <w:pPr>
        <w:pStyle w:val="TextBody"/>
        <w:spacing w:before="0" w:after="0"/>
        <w:jc w:val="center"/>
        <w:rPr>
          <w:rFonts w:ascii="Arial" w:hAnsi="Arial"/>
          <w:b/>
          <w:i w:val="false"/>
          <w:caps w:val="false"/>
          <w:smallCaps w:val="false"/>
          <w:color w:val="000000"/>
          <w:sz w:val="28"/>
        </w:rPr>
      </w:pPr>
      <w:r>
        <w:rPr>
          <w:rFonts w:ascii="Arial" w:hAnsi="Arial"/>
          <w:b/>
          <w:i w:val="false"/>
          <w:caps w:val="false"/>
          <w:smallCaps w:val="false"/>
          <w:color w:val="000000"/>
          <w:sz w:val="28"/>
        </w:rPr>
        <w:t>SECURITIES AND EXCHANGE COMMISSION</w:t>
      </w:r>
    </w:p>
    <w:p>
      <w:pPr>
        <w:pStyle w:val="TextBody"/>
        <w:spacing w:before="0" w:after="0"/>
        <w:jc w:val="center"/>
        <w:rPr>
          <w:rFonts w:ascii="Arial" w:hAnsi="Arial"/>
          <w:b/>
          <w:i w:val="false"/>
          <w:caps w:val="false"/>
          <w:smallCaps w:val="false"/>
          <w:color w:val="000000"/>
          <w:sz w:val="24"/>
        </w:rPr>
      </w:pPr>
      <w:r>
        <w:rPr>
          <w:rFonts w:ascii="Arial" w:hAnsi="Arial"/>
          <w:b/>
          <w:i w:val="false"/>
          <w:caps w:val="false"/>
          <w:smallCaps w:val="false"/>
          <w:color w:val="000000"/>
          <w:sz w:val="24"/>
        </w:rPr>
        <w:t>Washington, D.C. 20549</w:t>
      </w:r>
    </w:p>
    <w:p>
      <w:pPr>
        <w:pStyle w:val="TextBody"/>
        <w:pBdr>
          <w:bottom w:val="single" w:sz="6" w:space="1" w:color="000000"/>
        </w:pBdr>
        <w:spacing w:before="0" w:after="0"/>
        <w:jc w:val="center"/>
        <w:rPr/>
      </w:pPr>
      <w:r>
        <w:rPr/>
        <w:t> </w:t>
      </w:r>
    </w:p>
    <w:p>
      <w:pPr>
        <w:pStyle w:val="TextBody"/>
        <w:spacing w:before="240" w:after="0"/>
        <w:jc w:val="center"/>
        <w:rPr>
          <w:rFonts w:ascii="Arial" w:hAnsi="Arial"/>
          <w:b/>
          <w:i w:val="false"/>
          <w:caps w:val="false"/>
          <w:smallCaps w:val="false"/>
          <w:color w:val="000000"/>
          <w:sz w:val="36"/>
        </w:rPr>
      </w:pPr>
      <w:r>
        <w:rPr>
          <w:rFonts w:ascii="Arial" w:hAnsi="Arial"/>
          <w:b/>
          <w:i w:val="false"/>
          <w:caps w:val="false"/>
          <w:smallCaps w:val="false"/>
          <w:color w:val="000000"/>
          <w:sz w:val="36"/>
        </w:rPr>
        <w:t>SCHEDULE 14A</w:t>
      </w:r>
    </w:p>
    <w:p>
      <w:pPr>
        <w:pStyle w:val="TextBody"/>
        <w:spacing w:before="120" w:after="0"/>
        <w:jc w:val="center"/>
        <w:rPr>
          <w:rFonts w:ascii="Arial" w:hAnsi="Arial"/>
          <w:b w:val="false"/>
          <w:i w:val="false"/>
          <w:caps w:val="false"/>
          <w:smallCaps w:val="false"/>
          <w:color w:val="000000"/>
          <w:sz w:val="24"/>
        </w:rPr>
      </w:pPr>
      <w:r>
        <w:rPr>
          <w:rFonts w:ascii="Arial" w:hAnsi="Arial"/>
          <w:b w:val="false"/>
          <w:i w:val="false"/>
          <w:caps w:val="false"/>
          <w:smallCaps w:val="false"/>
          <w:color w:val="000000"/>
          <w:sz w:val="24"/>
        </w:rPr>
        <w:t xml:space="preserve">Proxy Statement Pursuant to Section 14(a) of the Securities </w:t>
      </w:r>
    </w:p>
    <w:p>
      <w:pPr>
        <w:pStyle w:val="TextBody"/>
        <w:spacing w:before="0" w:after="0"/>
        <w:jc w:val="center"/>
        <w:rPr>
          <w:rFonts w:ascii="Arial" w:hAnsi="Arial"/>
          <w:b w:val="false"/>
          <w:i w:val="false"/>
          <w:caps w:val="false"/>
          <w:smallCaps w:val="false"/>
          <w:color w:val="000000"/>
          <w:sz w:val="24"/>
        </w:rPr>
      </w:pPr>
      <w:r>
        <w:rPr>
          <w:rFonts w:ascii="Arial" w:hAnsi="Arial"/>
          <w:b w:val="false"/>
          <w:i w:val="false"/>
          <w:caps w:val="false"/>
          <w:smallCaps w:val="false"/>
          <w:color w:val="000000"/>
          <w:sz w:val="24"/>
        </w:rPr>
        <w:t>Exchange Act of 1934 (Amendment No.    )</w:t>
      </w:r>
    </w:p>
    <w:p>
      <w:pPr>
        <w:pStyle w:val="TextBody"/>
        <w:pBdr>
          <w:bottom w:val="single" w:sz="6" w:space="1" w:color="000000"/>
        </w:pBdr>
        <w:spacing w:before="0" w:after="0"/>
        <w:jc w:val="center"/>
        <w:rPr/>
      </w:pPr>
      <w:r>
        <w:rPr/>
        <w:t> </w:t>
      </w:r>
    </w:p>
    <w:p>
      <w:pPr>
        <w:pStyle w:val="TextBody"/>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Filed by the Registrant   ☒  </w:t>
      </w:r>
    </w:p>
    <w:p>
      <w:pPr>
        <w:pStyle w:val="TextBody"/>
        <w:spacing w:before="12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Filed by a Party other than the Registrant  ☐</w:t>
      </w:r>
    </w:p>
    <w:p>
      <w:pPr>
        <w:pStyle w:val="TextBody"/>
        <w:spacing w:before="24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Check the appropriate box:</w:t>
      </w:r>
    </w:p>
    <w:tbl>
      <w:tblPr>
        <w:tblW w:w="2755" w:type="dxa"/>
        <w:jc w:val="left"/>
        <w:tblInd w:w="0" w:type="dxa"/>
        <w:tblCellMar>
          <w:top w:w="0" w:type="dxa"/>
          <w:left w:w="0" w:type="dxa"/>
          <w:bottom w:w="0" w:type="dxa"/>
          <w:right w:w="0" w:type="dxa"/>
        </w:tblCellMar>
      </w:tblPr>
      <w:tblGrid>
        <w:gridCol w:w="230"/>
        <w:gridCol w:w="2525"/>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252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Preliminary Proxy Statement</w:t>
            </w:r>
          </w:p>
        </w:tc>
      </w:tr>
    </w:tbl>
    <w:tbl>
      <w:tblPr>
        <w:tblW w:w="7150" w:type="dxa"/>
        <w:jc w:val="left"/>
        <w:tblInd w:w="0" w:type="dxa"/>
        <w:tblCellMar>
          <w:top w:w="0" w:type="dxa"/>
          <w:left w:w="0" w:type="dxa"/>
          <w:bottom w:w="0" w:type="dxa"/>
          <w:right w:w="0" w:type="dxa"/>
        </w:tblCellMar>
      </w:tblPr>
      <w:tblGrid>
        <w:gridCol w:w="230"/>
        <w:gridCol w:w="692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692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Confidential, for Use of the Commission Only (as permitted by Rule 14a-6(e)(2))</w:t>
            </w:r>
          </w:p>
        </w:tc>
      </w:tr>
    </w:tbl>
    <w:tbl>
      <w:tblPr>
        <w:tblW w:w="2590" w:type="dxa"/>
        <w:jc w:val="left"/>
        <w:tblInd w:w="0" w:type="dxa"/>
        <w:tblCellMar>
          <w:top w:w="0" w:type="dxa"/>
          <w:left w:w="0" w:type="dxa"/>
          <w:bottom w:w="0" w:type="dxa"/>
          <w:right w:w="0" w:type="dxa"/>
        </w:tblCellMar>
      </w:tblPr>
      <w:tblGrid>
        <w:gridCol w:w="230"/>
        <w:gridCol w:w="236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236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Definitive Proxy Statement</w:t>
            </w:r>
          </w:p>
        </w:tc>
      </w:tr>
    </w:tbl>
    <w:tbl>
      <w:tblPr>
        <w:tblW w:w="2830" w:type="dxa"/>
        <w:jc w:val="left"/>
        <w:tblInd w:w="0" w:type="dxa"/>
        <w:tblCellMar>
          <w:top w:w="0" w:type="dxa"/>
          <w:left w:w="0" w:type="dxa"/>
          <w:bottom w:w="0" w:type="dxa"/>
          <w:right w:w="0" w:type="dxa"/>
        </w:tblCellMar>
      </w:tblPr>
      <w:tblGrid>
        <w:gridCol w:w="230"/>
        <w:gridCol w:w="260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260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Definitive Additional Materials</w:t>
            </w:r>
          </w:p>
        </w:tc>
      </w:tr>
    </w:tbl>
    <w:tbl>
      <w:tblPr>
        <w:tblW w:w="3985" w:type="dxa"/>
        <w:jc w:val="left"/>
        <w:tblInd w:w="0" w:type="dxa"/>
        <w:tblCellMar>
          <w:top w:w="0" w:type="dxa"/>
          <w:left w:w="0" w:type="dxa"/>
          <w:bottom w:w="0" w:type="dxa"/>
          <w:right w:w="0" w:type="dxa"/>
        </w:tblCellMar>
      </w:tblPr>
      <w:tblGrid>
        <w:gridCol w:w="230"/>
        <w:gridCol w:w="3755"/>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375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Soliciting Material Pursuant to §240.14a-12</w:t>
            </w:r>
          </w:p>
        </w:tc>
      </w:tr>
    </w:tbl>
    <w:p>
      <w:pPr>
        <w:pStyle w:val="TextBody"/>
        <w:spacing w:before="360" w:after="0"/>
        <w:jc w:val="center"/>
        <w:rPr>
          <w:rFonts w:ascii="Arial" w:hAnsi="Arial"/>
          <w:b/>
          <w:i w:val="false"/>
          <w:caps w:val="false"/>
          <w:smallCaps w:val="false"/>
          <w:color w:val="000000"/>
          <w:sz w:val="40"/>
        </w:rPr>
      </w:pPr>
      <w:r>
        <w:rPr>
          <w:rFonts w:ascii="Arial" w:hAnsi="Arial"/>
          <w:b/>
          <w:i w:val="false"/>
          <w:caps w:val="false"/>
          <w:smallCaps w:val="false"/>
          <w:color w:val="000000"/>
          <w:sz w:val="40"/>
        </w:rPr>
        <w:t>REPUBLIC SERVICES, INC.</w:t>
      </w:r>
    </w:p>
    <w:p>
      <w:pPr>
        <w:pStyle w:val="TextBody"/>
        <w:spacing w:before="0" w:after="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(Name of Registrant as Specified In Its Charter)</w:t>
      </w:r>
    </w:p>
    <w:p>
      <w:pPr>
        <w:pStyle w:val="TextBody"/>
        <w:spacing w:before="360" w:after="0"/>
        <w:jc w:val="center"/>
        <w:rPr/>
      </w:pPr>
      <w:r>
        <w:rPr/>
        <w:t> </w:t>
      </w:r>
    </w:p>
    <w:p>
      <w:pPr>
        <w:pStyle w:val="TextBody"/>
        <w:spacing w:before="0" w:after="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(Name of Person(s) Filing Proxy Statement, if other than the Registrant)</w:t>
      </w:r>
    </w:p>
    <w:p>
      <w:pPr>
        <w:pStyle w:val="TextBody"/>
        <w:spacing w:before="480" w:after="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Payment of Filing Fee (Check the appropriate box):</w:t>
      </w:r>
    </w:p>
    <w:tbl>
      <w:tblPr>
        <w:tblW w:w="1630" w:type="dxa"/>
        <w:jc w:val="left"/>
        <w:tblInd w:w="0" w:type="dxa"/>
        <w:tblCellMar>
          <w:top w:w="0" w:type="dxa"/>
          <w:left w:w="0" w:type="dxa"/>
          <w:bottom w:w="0" w:type="dxa"/>
          <w:right w:w="0" w:type="dxa"/>
        </w:tblCellMar>
      </w:tblPr>
      <w:tblGrid>
        <w:gridCol w:w="230"/>
        <w:gridCol w:w="140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140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No fee required.</w:t>
            </w:r>
          </w:p>
        </w:tc>
      </w:tr>
    </w:tbl>
    <w:tbl>
      <w:tblPr>
        <w:tblW w:w="4270" w:type="dxa"/>
        <w:jc w:val="left"/>
        <w:tblInd w:w="0" w:type="dxa"/>
        <w:tblCellMar>
          <w:top w:w="0" w:type="dxa"/>
          <w:left w:w="0" w:type="dxa"/>
          <w:bottom w:w="0" w:type="dxa"/>
          <w:right w:w="0" w:type="dxa"/>
        </w:tblCellMar>
      </w:tblPr>
      <w:tblGrid>
        <w:gridCol w:w="230"/>
        <w:gridCol w:w="404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404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Fee paid previously with preliminary materials:</w:t>
            </w:r>
          </w:p>
        </w:tc>
      </w:tr>
    </w:tbl>
    <w:tbl>
      <w:tblPr>
        <w:tblW w:w="8965" w:type="dxa"/>
        <w:jc w:val="left"/>
        <w:tblInd w:w="0" w:type="dxa"/>
        <w:tblCellMar>
          <w:top w:w="0" w:type="dxa"/>
          <w:left w:w="0" w:type="dxa"/>
          <w:bottom w:w="0" w:type="dxa"/>
          <w:right w:w="0" w:type="dxa"/>
        </w:tblCellMar>
      </w:tblPr>
      <w:tblGrid>
        <w:gridCol w:w="230"/>
        <w:gridCol w:w="8735"/>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873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Fee computed on table in exhibit required by Item 25(b) per Exchange Act Rules 14a-6(i)(1) and 0-11</w:t>
            </w:r>
          </w:p>
        </w:tc>
      </w:tr>
    </w:tbl>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0" w:after="0"/>
        <w:jc w:val="center"/>
        <w:rPr>
          <w:caps w:val="false"/>
          <w:smallCaps w:val="false"/>
        </w:rPr>
      </w:pPr>
      <w:r>
        <w:rPr>
          <w:caps w:val="false"/>
          <w:smallCaps w:val="false"/>
        </w:rPr>
        <w:drawing>
          <wp:inline distT="0" distB="0" distL="0" distR="0">
            <wp:extent cx="7762875" cy="9401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62875" cy="9401175"/>
                    </a:xfrm>
                    <a:prstGeom prst="rect">
                      <a:avLst/>
                    </a:prstGeom>
                  </pic:spPr>
                </pic:pic>
              </a:graphicData>
            </a:graphic>
          </wp:inline>
        </w:drawing>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53350" cy="9525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53350" cy="9525000"/>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Open Sans" w:hAnsi="Open Sans"/>
          <w:b/>
          <w:i w:val="false"/>
          <w:caps w:val="false"/>
          <w:smallCaps w:val="false"/>
          <w:color w:val="002060"/>
          <w:sz w:val="28"/>
        </w:rPr>
      </w:pPr>
      <w:r>
        <w:rPr>
          <w:rFonts w:ascii="Open Sans" w:hAnsi="Open Sans"/>
          <w:b/>
          <w:i w:val="false"/>
          <w:caps w:val="false"/>
          <w:smallCaps w:val="false"/>
          <w:color w:val="002060"/>
          <w:sz w:val="28"/>
        </w:rPr>
        <w:t>SUSTAINABILITY IN ACTION</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br/>
      </w:r>
      <w:r>
        <w:rPr>
          <w:rFonts w:ascii="Open Sans" w:hAnsi="Open Sans"/>
          <w:b/>
          <w:i w:val="false"/>
          <w:caps w:val="false"/>
          <w:smallCaps w:val="false"/>
          <w:color w:val="002060"/>
          <w:sz w:val="24"/>
        </w:rPr>
        <w:t>Dear Shareholder</w:t>
      </w:r>
      <w:r>
        <w:rPr>
          <w:rFonts w:ascii="Open Sans" w:hAnsi="Open Sans"/>
          <w:b w:val="false"/>
          <w:i w:val="false"/>
          <w:caps w:val="false"/>
          <w:smallCaps w:val="false"/>
          <w:sz w:val="16"/>
        </w:rPr>
        <w:t>,</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We believe our best days are ahead. We continue to provide the most complete set of products and services in the industry for our customers. Despite increased volatility in the economy, our ability to execute our strategy allowed us to achieve record results in 2022:</w:t>
      </w:r>
    </w:p>
    <w:p>
      <w:pPr>
        <w:pStyle w:val="TextBody"/>
        <w:spacing w:before="0" w:after="0"/>
        <w:rPr/>
      </w:pPr>
      <w:r>
        <w:rPr/>
        <w:t> </w:t>
      </w:r>
    </w:p>
    <w:tbl>
      <w:tblPr>
        <w:tblW w:w="5590" w:type="dxa"/>
        <w:jc w:val="left"/>
        <w:tblInd w:w="0" w:type="dxa"/>
        <w:tblCellMar>
          <w:top w:w="0" w:type="dxa"/>
          <w:left w:w="0" w:type="dxa"/>
          <w:bottom w:w="0" w:type="dxa"/>
          <w:right w:w="0" w:type="dxa"/>
        </w:tblCellMar>
      </w:tblPr>
      <w:tblGrid>
        <w:gridCol w:w="95"/>
        <w:gridCol w:w="5495"/>
      </w:tblGrid>
      <w:tr>
        <w:trPr/>
        <w:tc>
          <w:tcPr>
            <w:tcW w:w="9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5495"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Revenue growth of 20% vs. 2021, including 10% from acquisitions</w:t>
            </w:r>
          </w:p>
        </w:tc>
      </w:tr>
    </w:tbl>
    <w:tbl>
      <w:tblPr>
        <w:tblW w:w="10539" w:type="dxa"/>
        <w:jc w:val="left"/>
        <w:tblInd w:w="0" w:type="dxa"/>
        <w:tblCellMar>
          <w:top w:w="0" w:type="dxa"/>
          <w:left w:w="0" w:type="dxa"/>
          <w:bottom w:w="0" w:type="dxa"/>
          <w:right w:w="0" w:type="dxa"/>
        </w:tblCellMar>
      </w:tblPr>
      <w:tblGrid>
        <w:gridCol w:w="95"/>
        <w:gridCol w:w="10444"/>
      </w:tblGrid>
      <w:tr>
        <w:trPr/>
        <w:tc>
          <w:tcPr>
            <w:tcW w:w="9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10444"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Earnings per share of $4.69, a 16% year-over-year increase, and adjusted earnings per share of $4.93, an 18% year-over-year increase </w:t>
            </w:r>
          </w:p>
        </w:tc>
      </w:tr>
    </w:tbl>
    <w:tbl>
      <w:tblPr>
        <w:tblW w:w="10539" w:type="dxa"/>
        <w:jc w:val="left"/>
        <w:tblInd w:w="0" w:type="dxa"/>
        <w:tblCellMar>
          <w:top w:w="0" w:type="dxa"/>
          <w:left w:w="0" w:type="dxa"/>
          <w:bottom w:w="0" w:type="dxa"/>
          <w:right w:w="0" w:type="dxa"/>
        </w:tblCellMar>
      </w:tblPr>
      <w:tblGrid>
        <w:gridCol w:w="95"/>
        <w:gridCol w:w="10444"/>
      </w:tblGrid>
      <w:tr>
        <w:trPr/>
        <w:tc>
          <w:tcPr>
            <w:tcW w:w="95" w:type="dxa"/>
            <w:tcBorders/>
            <w:shd w:fill="auto" w:val="clear"/>
          </w:tcPr>
          <w:p>
            <w:pPr>
              <w:pStyle w:val="TableContents"/>
              <w:spacing w:before="0" w:after="16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10444" w:type="dxa"/>
            <w:tcBorders/>
            <w:shd w:fill="auto" w:val="clear"/>
          </w:tcPr>
          <w:p>
            <w:pPr>
              <w:pStyle w:val="TableContents"/>
              <w:spacing w:before="0" w:after="16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Cash flow from operations of $3.19 billion, a 14% year-over-year increase, and adjusted free cash flow of $1.74 billion, a 15% year-over-year increase</w:t>
            </w:r>
          </w:p>
        </w:tc>
      </w:tr>
    </w:tbl>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We are proud of our progress building world-class capabilities in Customer Zeal, Digital and Sustainability. We believe these investments drive customer retention. Our recent advancements across circularity and decarbonization demonstrate our ability to leverage sustainability as a platform for growth:</w:t>
      </w:r>
    </w:p>
    <w:p>
      <w:pPr>
        <w:pStyle w:val="TextBody"/>
        <w:spacing w:before="0" w:after="0"/>
        <w:rPr/>
      </w:pPr>
      <w:r>
        <w:rPr/>
        <w:t> </w:t>
      </w:r>
    </w:p>
    <w:tbl>
      <w:tblPr>
        <w:tblW w:w="8020" w:type="dxa"/>
        <w:jc w:val="left"/>
        <w:tblInd w:w="0" w:type="dxa"/>
        <w:tblCellMar>
          <w:top w:w="0" w:type="dxa"/>
          <w:left w:w="0" w:type="dxa"/>
          <w:bottom w:w="0" w:type="dxa"/>
          <w:right w:w="0" w:type="dxa"/>
        </w:tblCellMar>
      </w:tblPr>
      <w:tblGrid>
        <w:gridCol w:w="95"/>
        <w:gridCol w:w="7925"/>
      </w:tblGrid>
      <w:tr>
        <w:trPr/>
        <w:tc>
          <w:tcPr>
            <w:tcW w:w="9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7925" w:type="dxa"/>
            <w:tcBorders/>
            <w:shd w:fill="auto" w:val="clear"/>
          </w:tcPr>
          <w:p>
            <w:pPr>
              <w:pStyle w:val="TableContents"/>
              <w:spacing w:before="0" w:after="0"/>
              <w:jc w:val="left"/>
              <w:rPr>
                <w:b w:val="false"/>
                <w:i w:val="false"/>
                <w:caps w:val="false"/>
                <w:smallCaps w:val="false"/>
              </w:rPr>
            </w:pPr>
            <w:r>
              <w:rPr>
                <w:rFonts w:ascii="Open Sans" w:hAnsi="Open Sans"/>
                <w:b w:val="false"/>
                <w:i w:val="false"/>
                <w:caps w:val="false"/>
                <w:smallCaps w:val="false"/>
                <w:color w:val="000000"/>
                <w:sz w:val="16"/>
              </w:rPr>
              <w:t>Republic Services Polymer Center, the</w:t>
            </w:r>
            <w:r>
              <w:rPr>
                <w:b w:val="false"/>
                <w:i w:val="false"/>
                <w:caps w:val="false"/>
                <w:smallCaps w:val="false"/>
                <w:color w:val="000000"/>
              </w:rPr>
              <w:t xml:space="preserve"> </w:t>
            </w:r>
            <w:r>
              <w:rPr>
                <w:rFonts w:ascii="Open Sans" w:hAnsi="Open Sans"/>
                <w:b/>
                <w:i w:val="false"/>
                <w:caps w:val="false"/>
                <w:smallCaps w:val="false"/>
                <w:color w:val="000000"/>
                <w:sz w:val="16"/>
              </w:rPr>
              <w:t>nation’s first integrated plastics recycling facility</w:t>
            </w:r>
          </w:p>
        </w:tc>
      </w:tr>
    </w:tbl>
    <w:tbl>
      <w:tblPr>
        <w:tblW w:w="9400" w:type="dxa"/>
        <w:jc w:val="left"/>
        <w:tblInd w:w="0" w:type="dxa"/>
        <w:tblCellMar>
          <w:top w:w="0" w:type="dxa"/>
          <w:left w:w="0" w:type="dxa"/>
          <w:bottom w:w="0" w:type="dxa"/>
          <w:right w:w="0" w:type="dxa"/>
        </w:tblCellMar>
      </w:tblPr>
      <w:tblGrid>
        <w:gridCol w:w="95"/>
        <w:gridCol w:w="9305"/>
      </w:tblGrid>
      <w:tr>
        <w:trPr/>
        <w:tc>
          <w:tcPr>
            <w:tcW w:w="9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9305" w:type="dxa"/>
            <w:tcBorders/>
            <w:shd w:fill="auto" w:val="clear"/>
          </w:tcPr>
          <w:p>
            <w:pPr>
              <w:pStyle w:val="TableContents"/>
              <w:spacing w:before="0" w:after="0"/>
              <w:jc w:val="left"/>
              <w:rPr>
                <w:b w:val="false"/>
                <w:i w:val="false"/>
                <w:caps w:val="false"/>
                <w:smallCaps w:val="false"/>
              </w:rPr>
            </w:pPr>
            <w:r>
              <w:rPr>
                <w:rFonts w:ascii="Open Sans" w:hAnsi="Open Sans"/>
                <w:b w:val="false"/>
                <w:i w:val="false"/>
                <w:caps w:val="false"/>
                <w:smallCaps w:val="false"/>
                <w:color w:val="000000"/>
                <w:sz w:val="16"/>
              </w:rPr>
              <w:t xml:space="preserve">Republic Services and bp joint venture, the </w:t>
            </w:r>
            <w:r>
              <w:rPr>
                <w:rFonts w:ascii="Open Sans" w:hAnsi="Open Sans"/>
                <w:b/>
                <w:i w:val="false"/>
                <w:caps w:val="false"/>
                <w:smallCaps w:val="false"/>
                <w:color w:val="000000"/>
                <w:sz w:val="16"/>
              </w:rPr>
              <w:t>largest U.S. renewable natural gas (RNG) portfolio build-out</w:t>
            </w:r>
            <w:r>
              <w:rPr>
                <w:b w:val="false"/>
                <w:i w:val="false"/>
                <w:caps w:val="false"/>
                <w:smallCaps w:val="false"/>
                <w:color w:val="000000"/>
              </w:rPr>
              <w:t xml:space="preserve"> </w:t>
            </w:r>
          </w:p>
        </w:tc>
      </w:tr>
    </w:tbl>
    <w:tbl>
      <w:tblPr>
        <w:tblW w:w="10539" w:type="dxa"/>
        <w:jc w:val="left"/>
        <w:tblInd w:w="0" w:type="dxa"/>
        <w:tblCellMar>
          <w:top w:w="0" w:type="dxa"/>
          <w:left w:w="0" w:type="dxa"/>
          <w:bottom w:w="0" w:type="dxa"/>
          <w:right w:w="0" w:type="dxa"/>
        </w:tblCellMar>
      </w:tblPr>
      <w:tblGrid>
        <w:gridCol w:w="95"/>
        <w:gridCol w:w="10444"/>
      </w:tblGrid>
      <w:tr>
        <w:trPr/>
        <w:tc>
          <w:tcPr>
            <w:tcW w:w="95"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w:t>
            </w:r>
          </w:p>
        </w:tc>
        <w:tc>
          <w:tcPr>
            <w:tcW w:w="10444" w:type="dxa"/>
            <w:tcBorders/>
            <w:shd w:fill="auto" w:val="clear"/>
          </w:tcPr>
          <w:p>
            <w:pPr>
              <w:pStyle w:val="TableContents"/>
              <w:spacing w:before="0" w:after="0"/>
              <w:jc w:val="left"/>
              <w:rPr>
                <w:b w:val="false"/>
                <w:i w:val="false"/>
                <w:caps w:val="false"/>
                <w:smallCaps w:val="false"/>
              </w:rPr>
            </w:pPr>
            <w:r>
              <w:rPr>
                <w:rFonts w:ascii="Open Sans" w:hAnsi="Open Sans"/>
                <w:b w:val="false"/>
                <w:i w:val="false"/>
                <w:caps w:val="false"/>
                <w:smallCaps w:val="false"/>
                <w:color w:val="000000"/>
                <w:sz w:val="16"/>
              </w:rPr>
              <w:t xml:space="preserve">Republic Services fleet investment, the </w:t>
            </w:r>
            <w:r>
              <w:rPr>
                <w:rFonts w:ascii="Open Sans" w:hAnsi="Open Sans"/>
                <w:b/>
                <w:i w:val="false"/>
                <w:caps w:val="false"/>
                <w:smallCaps w:val="false"/>
                <w:color w:val="000000"/>
                <w:sz w:val="16"/>
              </w:rPr>
              <w:t>industry’s largest commitment to fleet electrification</w:t>
            </w:r>
            <w:r>
              <w:rPr>
                <w:rFonts w:ascii="Open Sans" w:hAnsi="Open Sans"/>
                <w:b w:val="false"/>
                <w:i w:val="false"/>
                <w:caps w:val="false"/>
                <w:smallCaps w:val="false"/>
                <w:color w:val="000000"/>
                <w:sz w:val="16"/>
              </w:rPr>
              <w:t>, including the first fully integrated electric recycling and waste collection truck, expected to begin operating this fall</w:t>
            </w:r>
          </w:p>
        </w:tc>
      </w:tr>
    </w:tbl>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Our values guide how we work: Safe, Committed to Serve, Environmentally Responsible, Driven and Human-Centered. We have a highly engaged, inclusive and diverse culture where every voice counts. Our most recent employee engagement score is 85. None of this would be possible without our frontline employees. To recognize their dedication to our customers, we extended our Committed to Serve appreciation program in 2022.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The importance of our work has never been greater, and our future is bright. Our 2022 accomplishments have put us on track to deliver our ambitious 2030 sustainability goals. We are grateful to our team members for the hard work they do every day and to you, our shareholders, for the trust you put in us and our company. </w:t>
      </w:r>
    </w:p>
    <w:p>
      <w:pPr>
        <w:pStyle w:val="TextBody"/>
        <w:spacing w:before="0" w:after="0"/>
        <w:rPr/>
      </w:pPr>
      <w:r>
        <w:rPr/>
        <w:t> </w:t>
      </w:r>
    </w:p>
    <w:p>
      <w:pPr>
        <w:pStyle w:val="TextBody"/>
        <w:spacing w:before="0" w:after="0"/>
        <w:rPr>
          <w:rFonts w:ascii="Open Sans" w:hAnsi="Open Sans"/>
          <w:b/>
          <w:i w:val="false"/>
          <w:caps w:val="false"/>
          <w:smallCaps w:val="false"/>
          <w:sz w:val="16"/>
        </w:rPr>
      </w:pPr>
      <w:r>
        <w:rPr>
          <w:rFonts w:ascii="Open Sans" w:hAnsi="Open Sans"/>
          <w:b/>
          <w:i w:val="false"/>
          <w:caps w:val="false"/>
          <w:smallCaps w:val="false"/>
          <w:sz w:val="16"/>
        </w:rPr>
        <w:t>We invite you to join our virtual Annual Meeting of Shareholders at 10:30 a.m. Pacific Time on Friday, May 12, 2023, via webcast at www.virtualshareholdermeeting.com/RSG2023.</w:t>
      </w:r>
    </w:p>
    <w:p>
      <w:pPr>
        <w:pStyle w:val="TextBody"/>
        <w:spacing w:before="0" w:after="0"/>
        <w:rPr/>
      </w:pPr>
      <w:r>
        <w:rPr/>
        <w:t> </w:t>
      </w:r>
    </w:p>
    <w:tbl>
      <w:tblPr>
        <w:tblW w:w="8990" w:type="dxa"/>
        <w:jc w:val="left"/>
        <w:tblInd w:w="0" w:type="dxa"/>
        <w:tblCellMar>
          <w:top w:w="0" w:type="dxa"/>
          <w:left w:w="0" w:type="dxa"/>
          <w:bottom w:w="0" w:type="dxa"/>
          <w:right w:w="0" w:type="dxa"/>
        </w:tblCellMar>
      </w:tblPr>
      <w:tblGrid>
        <w:gridCol w:w="1755"/>
        <w:gridCol w:w="2280"/>
        <w:gridCol w:w="60"/>
        <w:gridCol w:w="1755"/>
        <w:gridCol w:w="3140"/>
      </w:tblGrid>
      <w:tr>
        <w:trPr/>
        <w:tc>
          <w:tcPr>
            <w:tcW w:w="1755" w:type="dxa"/>
            <w:tcBorders/>
            <w:shd w:fill="auto" w:val="clear"/>
          </w:tcPr>
          <w:p>
            <w:pPr>
              <w:pStyle w:val="TableContents"/>
              <w:spacing w:before="0" w:after="0"/>
              <w:ind w:left="0" w:right="0" w:hanging="0"/>
              <w:rPr>
                <w:caps w:val="false"/>
                <w:smallCaps w:val="false"/>
              </w:rPr>
            </w:pPr>
            <w:r>
              <w:rPr>
                <w:caps w:val="false"/>
                <w:smallCaps w:val="false"/>
              </w:rPr>
              <w:drawing>
                <wp:inline distT="0" distB="0" distL="0" distR="0">
                  <wp:extent cx="1114425" cy="1114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4425" cy="1114425"/>
                          </a:xfrm>
                          <a:prstGeom prst="rect">
                            <a:avLst/>
                          </a:prstGeom>
                        </pic:spPr>
                      </pic:pic>
                    </a:graphicData>
                  </a:graphic>
                </wp:inline>
              </w:drawing>
            </w:r>
          </w:p>
        </w:tc>
        <w:tc>
          <w:tcPr>
            <w:tcW w:w="2280" w:type="dxa"/>
            <w:tcBorders/>
            <w:shd w:fill="auto" w:val="clear"/>
            <w:vAlign w:val="center"/>
          </w:tcPr>
          <w:p>
            <w:pPr>
              <w:pStyle w:val="TableContents"/>
              <w:spacing w:before="0" w:after="0"/>
              <w:ind w:left="200" w:right="0" w:hanging="0"/>
              <w:rPr>
                <w:caps w:val="false"/>
                <w:smallCaps w:val="false"/>
              </w:rPr>
            </w:pPr>
            <w:r>
              <w:rPr>
                <w:caps w:val="false"/>
                <w:smallCaps w:val="false"/>
              </w:rPr>
              <w:drawing>
                <wp:inline distT="0" distB="0" distL="0" distR="0">
                  <wp:extent cx="14478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47800" cy="361950"/>
                          </a:xfrm>
                          <a:prstGeom prst="rect">
                            <a:avLst/>
                          </a:prstGeom>
                        </pic:spPr>
                      </pic:pic>
                    </a:graphicData>
                  </a:graphic>
                </wp:inline>
              </w:drawing>
            </w:r>
          </w:p>
          <w:p>
            <w:pPr>
              <w:pStyle w:val="TableContents"/>
              <w:spacing w:before="120" w:after="0"/>
              <w:ind w:left="20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 xml:space="preserve">MANUEL KADRE </w:t>
            </w:r>
          </w:p>
          <w:p>
            <w:pPr>
              <w:pStyle w:val="TableContents"/>
              <w:spacing w:before="0" w:after="0"/>
              <w:ind w:left="20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Chairman of the Board</w:t>
            </w:r>
          </w:p>
        </w:tc>
        <w:tc>
          <w:tcPr>
            <w:tcW w:w="60" w:type="dxa"/>
            <w:tcBorders/>
            <w:shd w:fill="auto" w:val="clear"/>
          </w:tcPr>
          <w:p>
            <w:pPr>
              <w:pStyle w:val="TableContents"/>
              <w:spacing w:before="0" w:after="0"/>
              <w:ind w:left="200" w:right="0" w:hanging="0"/>
              <w:rPr/>
            </w:pPr>
            <w:r>
              <w:rPr/>
              <w:t> </w:t>
            </w:r>
          </w:p>
        </w:tc>
        <w:tc>
          <w:tcPr>
            <w:tcW w:w="1755" w:type="dxa"/>
            <w:tcBorders/>
            <w:shd w:fill="auto" w:val="clear"/>
          </w:tcPr>
          <w:p>
            <w:pPr>
              <w:pStyle w:val="TableContents"/>
              <w:spacing w:before="0" w:after="0"/>
              <w:ind w:left="0" w:right="0" w:hanging="0"/>
              <w:rPr>
                <w:caps w:val="false"/>
                <w:smallCaps w:val="false"/>
              </w:rPr>
            </w:pPr>
            <w:r>
              <w:rPr>
                <w:caps w:val="false"/>
                <w:smallCaps w:val="false"/>
              </w:rPr>
              <w:drawing>
                <wp:inline distT="0" distB="0" distL="0" distR="0">
                  <wp:extent cx="1114425" cy="1114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4425" cy="1114425"/>
                          </a:xfrm>
                          <a:prstGeom prst="rect">
                            <a:avLst/>
                          </a:prstGeom>
                        </pic:spPr>
                      </pic:pic>
                    </a:graphicData>
                  </a:graphic>
                </wp:inline>
              </w:drawing>
            </w:r>
          </w:p>
        </w:tc>
        <w:tc>
          <w:tcPr>
            <w:tcW w:w="3140" w:type="dxa"/>
            <w:tcBorders/>
            <w:shd w:fill="auto" w:val="clear"/>
          </w:tcPr>
          <w:p>
            <w:pPr>
              <w:pStyle w:val="TableContents"/>
              <w:spacing w:before="0" w:after="0"/>
              <w:ind w:left="200" w:right="0" w:hanging="0"/>
              <w:rPr>
                <w:caps w:val="false"/>
                <w:smallCaps w:val="false"/>
                <w:color w:val="004A7C"/>
              </w:rPr>
            </w:pPr>
            <w:r>
              <w:rPr>
                <w:caps w:val="false"/>
                <w:smallCaps w:val="false"/>
                <w:color w:val="004A7C"/>
              </w:rPr>
              <w:drawing>
                <wp:inline distT="0" distB="0" distL="0" distR="0">
                  <wp:extent cx="1333500"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33500" cy="676275"/>
                          </a:xfrm>
                          <a:prstGeom prst="rect">
                            <a:avLst/>
                          </a:prstGeom>
                        </pic:spPr>
                      </pic:pic>
                    </a:graphicData>
                  </a:graphic>
                </wp:inline>
              </w:drawing>
            </w:r>
          </w:p>
          <w:p>
            <w:pPr>
              <w:pStyle w:val="TableContents"/>
              <w:spacing w:before="0" w:after="0"/>
              <w:ind w:left="20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JON VANDER ARK</w:t>
            </w:r>
          </w:p>
          <w:p>
            <w:pPr>
              <w:pStyle w:val="TableContents"/>
              <w:spacing w:before="0" w:after="0"/>
              <w:ind w:left="20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President and Chief Executive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tbl>
      <w:tblPr>
        <w:tblW w:w="3510" w:type="dxa"/>
        <w:jc w:val="left"/>
        <w:tblInd w:w="0" w:type="dxa"/>
        <w:tblCellMar>
          <w:top w:w="0" w:type="dxa"/>
          <w:left w:w="0" w:type="dxa"/>
          <w:bottom w:w="0" w:type="dxa"/>
          <w:right w:w="0" w:type="dxa"/>
        </w:tblCellMar>
      </w:tblPr>
      <w:tblGrid>
        <w:gridCol w:w="60"/>
        <w:gridCol w:w="3260"/>
        <w:gridCol w:w="80"/>
        <w:gridCol w:w="11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11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w:t>
            </w:r>
          </w:p>
        </w:tc>
      </w:tr>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pPr>
            <w:r>
              <w:rPr/>
              <w:t> </w:t>
            </w:r>
          </w:p>
        </w:tc>
        <w:tc>
          <w:tcPr>
            <w:tcW w:w="80" w:type="dxa"/>
            <w:tcBorders/>
            <w:shd w:fill="auto" w:val="clear"/>
            <w:vAlign w:val="center"/>
          </w:tcPr>
          <w:p>
            <w:pPr>
              <w:pStyle w:val="TableContents"/>
              <w:spacing w:before="0" w:after="0"/>
              <w:ind w:left="0" w:right="0" w:hanging="0"/>
              <w:jc w:val="right"/>
              <w:rPr/>
            </w:pPr>
            <w:r>
              <w:rPr/>
              <w:t> </w:t>
            </w:r>
          </w:p>
        </w:tc>
        <w:tc>
          <w:tcPr>
            <w:tcW w:w="11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72400" cy="9686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72400" cy="9686925"/>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pacing w:val="-20"/>
          <w:sz w:val="36"/>
        </w:rPr>
      </w:pPr>
      <w:r>
        <w:rPr>
          <w:rFonts w:ascii="Open Sans" w:hAnsi="Open Sans"/>
          <w:b/>
          <w:i w:val="false"/>
          <w:caps w:val="false"/>
          <w:smallCaps w:val="false"/>
          <w:color w:val="004A7C"/>
          <w:spacing w:val="-20"/>
          <w:sz w:val="36"/>
        </w:rPr>
        <w:t>Notice of the 2023 Annual Meeting of Shareholders</w:t>
      </w:r>
    </w:p>
    <w:p>
      <w:pPr>
        <w:pStyle w:val="TextBody"/>
        <w:spacing w:before="120" w:after="0"/>
        <w:rPr>
          <w:rFonts w:ascii="Open Sans SemiBold" w:hAnsi="Open Sans SemiBold"/>
          <w:b w:val="false"/>
          <w:i w:val="false"/>
          <w:caps w:val="false"/>
          <w:smallCaps w:val="false"/>
          <w:color w:val="004A7C"/>
          <w:sz w:val="18"/>
        </w:rPr>
      </w:pPr>
      <w:r>
        <w:rPr>
          <w:rFonts w:ascii="Open Sans SemiBold" w:hAnsi="Open Sans SemiBold"/>
          <w:b w:val="false"/>
          <w:i w:val="false"/>
          <w:caps w:val="false"/>
          <w:smallCaps w:val="false"/>
          <w:color w:val="004A7C"/>
          <w:sz w:val="18"/>
        </w:rPr>
        <w:t>Important notice regarding the availability of proxy materials for the 2023 Annual Meeting of Shareholders (the “Annual Meeting”) of Republic Services, Inc., a Delaware corporation (the “company”). This Proxy Statement relating to the Annual Meeting and the Annual Report on Form 10-K for the year ended December 31, 2022 are available at www.proxyvote.com.</w:t>
      </w:r>
    </w:p>
    <w:tbl>
      <w:tblPr>
        <w:tblW w:w="2530" w:type="dxa"/>
        <w:jc w:val="left"/>
        <w:tblInd w:w="0" w:type="dxa"/>
        <w:tblCellMar>
          <w:top w:w="0" w:type="dxa"/>
          <w:left w:w="0" w:type="dxa"/>
          <w:bottom w:w="0" w:type="dxa"/>
          <w:right w:w="0" w:type="dxa"/>
        </w:tblCellMar>
      </w:tblPr>
      <w:tblGrid>
        <w:gridCol w:w="575"/>
        <w:gridCol w:w="1955"/>
      </w:tblGrid>
      <w:tr>
        <w:trPr/>
        <w:tc>
          <w:tcPr>
            <w:tcW w:w="575" w:type="dxa"/>
            <w:tcBorders/>
            <w:shd w:fill="auto" w:val="clear"/>
          </w:tcPr>
          <w:p>
            <w:pPr>
              <w:pStyle w:val="TableContents"/>
              <w:spacing w:before="120" w:after="0"/>
              <w:rPr>
                <w:rFonts w:ascii="Open Sans" w:hAnsi="Open Sans"/>
                <w:b/>
                <w:i w:val="false"/>
                <w:caps w:val="false"/>
                <w:smallCaps w:val="false"/>
                <w:color w:val="004A7C"/>
                <w:sz w:val="18"/>
              </w:rPr>
            </w:pPr>
            <w:r>
              <w:rPr>
                <w:rFonts w:ascii="Open Sans" w:hAnsi="Open Sans"/>
                <w:b/>
                <w:i w:val="false"/>
                <w:caps w:val="false"/>
                <w:smallCaps w:val="false"/>
                <w:color w:val="004A7C"/>
                <w:sz w:val="18"/>
              </w:rPr>
              <w:t>Date:</w:t>
            </w:r>
          </w:p>
        </w:tc>
        <w:tc>
          <w:tcPr>
            <w:tcW w:w="1955" w:type="dxa"/>
            <w:tcBorders/>
            <w:shd w:fill="auto" w:val="clear"/>
          </w:tcPr>
          <w:p>
            <w:pPr>
              <w:pStyle w:val="TableContents"/>
              <w:spacing w:before="120" w:after="0"/>
              <w:rPr>
                <w:rFonts w:ascii="Open Sans" w:hAnsi="Open Sans"/>
                <w:b w:val="false"/>
                <w:i w:val="false"/>
                <w:caps w:val="false"/>
                <w:smallCaps w:val="false"/>
                <w:color w:val="004A7C"/>
                <w:sz w:val="18"/>
              </w:rPr>
            </w:pPr>
            <w:r>
              <w:rPr>
                <w:rFonts w:ascii="Open Sans" w:hAnsi="Open Sans"/>
                <w:b w:val="false"/>
                <w:i w:val="false"/>
                <w:caps w:val="false"/>
                <w:smallCaps w:val="false"/>
                <w:color w:val="004A7C"/>
                <w:sz w:val="18"/>
              </w:rPr>
              <w:t>Friday, May 12, 2023</w:t>
            </w:r>
          </w:p>
        </w:tc>
      </w:tr>
    </w:tbl>
    <w:tbl>
      <w:tblPr>
        <w:tblW w:w="2815" w:type="dxa"/>
        <w:jc w:val="left"/>
        <w:tblInd w:w="0" w:type="dxa"/>
        <w:tblCellMar>
          <w:top w:w="0" w:type="dxa"/>
          <w:left w:w="0" w:type="dxa"/>
          <w:bottom w:w="0" w:type="dxa"/>
          <w:right w:w="0" w:type="dxa"/>
        </w:tblCellMar>
      </w:tblPr>
      <w:tblGrid>
        <w:gridCol w:w="590"/>
        <w:gridCol w:w="2225"/>
      </w:tblGrid>
      <w:tr>
        <w:trPr/>
        <w:tc>
          <w:tcPr>
            <w:tcW w:w="590" w:type="dxa"/>
            <w:tcBorders/>
            <w:shd w:fill="auto" w:val="clear"/>
          </w:tcPr>
          <w:p>
            <w:pPr>
              <w:pStyle w:val="TableContents"/>
              <w:spacing w:before="0" w:after="0"/>
              <w:rPr>
                <w:rFonts w:ascii="Open Sans" w:hAnsi="Open Sans"/>
                <w:b/>
                <w:i w:val="false"/>
                <w:caps w:val="false"/>
                <w:smallCaps w:val="false"/>
                <w:color w:val="004A7C"/>
                <w:sz w:val="18"/>
              </w:rPr>
            </w:pPr>
            <w:r>
              <w:rPr>
                <w:rFonts w:ascii="Open Sans" w:hAnsi="Open Sans"/>
                <w:b/>
                <w:i w:val="false"/>
                <w:caps w:val="false"/>
                <w:smallCaps w:val="false"/>
                <w:color w:val="004A7C"/>
                <w:sz w:val="18"/>
              </w:rPr>
              <w:t>Time:</w:t>
            </w:r>
          </w:p>
        </w:tc>
        <w:tc>
          <w:tcPr>
            <w:tcW w:w="2225" w:type="dxa"/>
            <w:tcBorders/>
            <w:shd w:fill="auto" w:val="clear"/>
          </w:tcPr>
          <w:p>
            <w:pPr>
              <w:pStyle w:val="TableContents"/>
              <w:spacing w:before="0" w:after="0"/>
              <w:rPr>
                <w:rFonts w:ascii="Open Sans" w:hAnsi="Open Sans"/>
                <w:b w:val="false"/>
                <w:i w:val="false"/>
                <w:caps w:val="false"/>
                <w:smallCaps w:val="false"/>
                <w:color w:val="004A7C"/>
                <w:sz w:val="18"/>
              </w:rPr>
            </w:pPr>
            <w:r>
              <w:rPr>
                <w:rFonts w:ascii="Open Sans" w:hAnsi="Open Sans"/>
                <w:b w:val="false"/>
                <w:i w:val="false"/>
                <w:caps w:val="false"/>
                <w:smallCaps w:val="false"/>
                <w:color w:val="004A7C"/>
                <w:sz w:val="18"/>
              </w:rPr>
              <w:t>10:30 a.m., Pacific Time</w:t>
            </w:r>
          </w:p>
        </w:tc>
      </w:tr>
    </w:tbl>
    <w:tbl>
      <w:tblPr>
        <w:tblW w:w="6820" w:type="dxa"/>
        <w:jc w:val="left"/>
        <w:tblInd w:w="0" w:type="dxa"/>
        <w:tblCellMar>
          <w:top w:w="0" w:type="dxa"/>
          <w:left w:w="0" w:type="dxa"/>
          <w:bottom w:w="0" w:type="dxa"/>
          <w:right w:w="0" w:type="dxa"/>
        </w:tblCellMar>
      </w:tblPr>
      <w:tblGrid>
        <w:gridCol w:w="635"/>
        <w:gridCol w:w="6185"/>
      </w:tblGrid>
      <w:tr>
        <w:trPr/>
        <w:tc>
          <w:tcPr>
            <w:tcW w:w="635" w:type="dxa"/>
            <w:tcBorders/>
            <w:shd w:fill="auto" w:val="clear"/>
          </w:tcPr>
          <w:p>
            <w:pPr>
              <w:pStyle w:val="TableContents"/>
              <w:spacing w:before="0" w:after="0"/>
              <w:rPr>
                <w:rFonts w:ascii="Open Sans" w:hAnsi="Open Sans"/>
                <w:b/>
                <w:i w:val="false"/>
                <w:caps w:val="false"/>
                <w:smallCaps w:val="false"/>
                <w:color w:val="004A7C"/>
                <w:sz w:val="18"/>
              </w:rPr>
            </w:pPr>
            <w:r>
              <w:rPr>
                <w:rFonts w:ascii="Open Sans" w:hAnsi="Open Sans"/>
                <w:b/>
                <w:i w:val="false"/>
                <w:caps w:val="false"/>
                <w:smallCaps w:val="false"/>
                <w:color w:val="004A7C"/>
                <w:sz w:val="18"/>
              </w:rPr>
              <w:t>Place:</w:t>
            </w:r>
          </w:p>
        </w:tc>
        <w:tc>
          <w:tcPr>
            <w:tcW w:w="6185" w:type="dxa"/>
            <w:tcBorders/>
            <w:shd w:fill="auto" w:val="clear"/>
          </w:tcPr>
          <w:p>
            <w:pPr>
              <w:pStyle w:val="TableContents"/>
              <w:spacing w:before="0" w:after="0"/>
              <w:rPr>
                <w:rFonts w:ascii="Open Sans" w:hAnsi="Open Sans"/>
                <w:b/>
                <w:i w:val="false"/>
                <w:caps w:val="false"/>
                <w:smallCaps w:val="false"/>
                <w:color w:val="004A7C"/>
                <w:sz w:val="18"/>
              </w:rPr>
            </w:pPr>
            <w:r>
              <w:rPr>
                <w:rFonts w:ascii="Open Sans" w:hAnsi="Open Sans"/>
                <w:b w:val="false"/>
                <w:i w:val="false"/>
                <w:caps w:val="false"/>
                <w:smallCaps w:val="false"/>
                <w:color w:val="004A7C"/>
                <w:sz w:val="18"/>
              </w:rPr>
              <w:t xml:space="preserve">Via webcast at </w:t>
            </w:r>
            <w:r>
              <w:rPr>
                <w:rFonts w:ascii="Open Sans" w:hAnsi="Open Sans"/>
                <w:b/>
                <w:i w:val="false"/>
                <w:caps w:val="false"/>
                <w:smallCaps w:val="false"/>
                <w:color w:val="004A7C"/>
                <w:sz w:val="18"/>
              </w:rPr>
              <w:t>www.virtualshareholdermeeting.com/RSG2023</w:t>
            </w:r>
          </w:p>
        </w:tc>
      </w:tr>
    </w:tbl>
    <w:p>
      <w:pPr>
        <w:pStyle w:val="TextBody"/>
        <w:spacing w:before="120" w:after="0"/>
        <w:rPr>
          <w:rFonts w:ascii="Open Sans" w:hAnsi="Open Sans"/>
          <w:b/>
          <w:i w:val="false"/>
          <w:caps w:val="false"/>
          <w:smallCaps w:val="false"/>
          <w:color w:val="004A7C"/>
          <w:sz w:val="17"/>
        </w:rPr>
      </w:pPr>
      <w:r>
        <w:rPr>
          <w:rFonts w:ascii="Open Sans" w:hAnsi="Open Sans"/>
          <w:b/>
          <w:i w:val="false"/>
          <w:caps w:val="false"/>
          <w:smallCaps w:val="false"/>
          <w:color w:val="004A7C"/>
          <w:sz w:val="17"/>
        </w:rPr>
        <w:t>Items of Business</w:t>
      </w:r>
    </w:p>
    <w:tbl>
      <w:tblPr>
        <w:tblW w:w="10539" w:type="dxa"/>
        <w:jc w:val="left"/>
        <w:tblInd w:w="0" w:type="dxa"/>
        <w:tblCellMar>
          <w:top w:w="0" w:type="dxa"/>
          <w:left w:w="0" w:type="dxa"/>
          <w:bottom w:w="0" w:type="dxa"/>
          <w:right w:w="0" w:type="dxa"/>
        </w:tblCellMar>
      </w:tblPr>
      <w:tblGrid>
        <w:gridCol w:w="60"/>
        <w:gridCol w:w="158"/>
        <w:gridCol w:w="10321"/>
      </w:tblGrid>
      <w:tr>
        <w:trPr/>
        <w:tc>
          <w:tcPr>
            <w:tcW w:w="60" w:type="dxa"/>
            <w:tcBorders/>
            <w:shd w:fill="auto" w:val="clear"/>
          </w:tcPr>
          <w:p>
            <w:pPr>
              <w:pStyle w:val="TableContents"/>
              <w:spacing w:before="60" w:after="0"/>
              <w:jc w:val="left"/>
              <w:rPr>
                <w:caps w:val="false"/>
                <w:smallCaps w:val="false"/>
                <w:color w:val="323031"/>
                <w:spacing w:val="0"/>
              </w:rPr>
            </w:pPr>
            <w:r>
              <w:rPr>
                <w:caps w:val="false"/>
                <w:smallCaps w:val="false"/>
                <w:color w:val="323031"/>
                <w:spacing w:val="0"/>
              </w:rPr>
              <w:t> </w:t>
            </w:r>
          </w:p>
        </w:tc>
        <w:tc>
          <w:tcPr>
            <w:tcW w:w="158" w:type="dxa"/>
            <w:tcBorders/>
            <w:shd w:fill="auto" w:val="clear"/>
          </w:tcPr>
          <w:p>
            <w:pPr>
              <w:pStyle w:val="TableContents"/>
              <w:spacing w:before="60" w:after="0"/>
              <w:jc w:val="left"/>
              <w:rPr>
                <w:rFonts w:ascii="Open Sans" w:hAnsi="Open Sans"/>
                <w:b w:val="false"/>
                <w:i w:val="false"/>
                <w:caps w:val="false"/>
                <w:smallCaps w:val="false"/>
                <w:strike w:val="false"/>
                <w:dstrike w:val="false"/>
                <w:color w:val="323031"/>
                <w:spacing w:val="0"/>
                <w:sz w:val="16"/>
                <w:u w:val="none"/>
                <w:effect w:val="none"/>
              </w:rPr>
            </w:pPr>
            <w:r>
              <w:rPr>
                <w:rFonts w:ascii="Open Sans" w:hAnsi="Open Sans"/>
                <w:b w:val="false"/>
                <w:i w:val="false"/>
                <w:caps w:val="false"/>
                <w:smallCaps w:val="false"/>
                <w:strike w:val="false"/>
                <w:dstrike w:val="false"/>
                <w:color w:val="323031"/>
                <w:spacing w:val="0"/>
                <w:sz w:val="16"/>
                <w:u w:val="none"/>
                <w:effect w:val="none"/>
              </w:rPr>
              <w:t>1.</w:t>
            </w:r>
          </w:p>
        </w:tc>
        <w:tc>
          <w:tcPr>
            <w:tcW w:w="10321" w:type="dxa"/>
            <w:tcBorders/>
            <w:shd w:fill="auto" w:val="clear"/>
          </w:tcPr>
          <w:p>
            <w:pPr>
              <w:pStyle w:val="TableContents"/>
              <w:spacing w:before="60" w:after="0"/>
              <w:jc w:val="left"/>
              <w:rPr>
                <w:rFonts w:ascii="Open Sans" w:hAnsi="Open Sans"/>
                <w:b w:val="false"/>
                <w:i w:val="false"/>
                <w:caps w:val="false"/>
                <w:smallCaps w:val="false"/>
                <w:color w:val="000000"/>
                <w:spacing w:val="0"/>
                <w:sz w:val="15"/>
              </w:rPr>
            </w:pPr>
            <w:r>
              <w:rPr>
                <w:rFonts w:ascii="Open Sans" w:hAnsi="Open Sans"/>
                <w:b w:val="false"/>
                <w:i w:val="false"/>
                <w:caps w:val="false"/>
                <w:smallCaps w:val="false"/>
                <w:color w:val="000000"/>
                <w:spacing w:val="0"/>
                <w:sz w:val="15"/>
              </w:rPr>
              <w:t xml:space="preserve">To elect the 11 director nominees listed in this proxy statement to serve until the 2024 annual meeting of shareholders or until their respective successors are duly elected and qualified; </w:t>
            </w:r>
          </w:p>
        </w:tc>
      </w:tr>
    </w:tbl>
    <w:tbl>
      <w:tblPr>
        <w:tblW w:w="6145" w:type="dxa"/>
        <w:jc w:val="left"/>
        <w:tblInd w:w="0" w:type="dxa"/>
        <w:tblCellMar>
          <w:top w:w="0" w:type="dxa"/>
          <w:left w:w="0" w:type="dxa"/>
          <w:bottom w:w="0" w:type="dxa"/>
          <w:right w:w="0" w:type="dxa"/>
        </w:tblCellMar>
      </w:tblPr>
      <w:tblGrid>
        <w:gridCol w:w="60"/>
        <w:gridCol w:w="170"/>
        <w:gridCol w:w="5915"/>
      </w:tblGrid>
      <w:tr>
        <w:trPr/>
        <w:tc>
          <w:tcPr>
            <w:tcW w:w="60" w:type="dxa"/>
            <w:tcBorders/>
            <w:shd w:fill="auto" w:val="clear"/>
          </w:tcPr>
          <w:p>
            <w:pPr>
              <w:pStyle w:val="TableContents"/>
              <w:spacing w:before="0" w:after="0"/>
              <w:jc w:val="left"/>
              <w:rPr>
                <w:caps w:val="false"/>
                <w:smallCaps w:val="false"/>
                <w:color w:val="323031"/>
                <w:spacing w:val="0"/>
              </w:rPr>
            </w:pPr>
            <w:r>
              <w:rPr>
                <w:caps w:val="false"/>
                <w:smallCaps w:val="false"/>
                <w:color w:val="323031"/>
                <w:spacing w:val="0"/>
              </w:rPr>
              <w:t> </w:t>
            </w:r>
          </w:p>
        </w:tc>
        <w:tc>
          <w:tcPr>
            <w:tcW w:w="170" w:type="dxa"/>
            <w:tcBorders/>
            <w:shd w:fill="auto" w:val="clear"/>
          </w:tcPr>
          <w:p>
            <w:pPr>
              <w:pStyle w:val="TableContents"/>
              <w:spacing w:before="0" w:after="0"/>
              <w:jc w:val="left"/>
              <w:rPr>
                <w:rFonts w:ascii="Open Sans" w:hAnsi="Open Sans"/>
                <w:b w:val="false"/>
                <w:i w:val="false"/>
                <w:caps w:val="false"/>
                <w:smallCaps w:val="false"/>
                <w:strike w:val="false"/>
                <w:dstrike w:val="false"/>
                <w:color w:val="323031"/>
                <w:spacing w:val="0"/>
                <w:sz w:val="16"/>
                <w:u w:val="none"/>
                <w:effect w:val="none"/>
              </w:rPr>
            </w:pPr>
            <w:r>
              <w:rPr>
                <w:rFonts w:ascii="Open Sans" w:hAnsi="Open Sans"/>
                <w:b w:val="false"/>
                <w:i w:val="false"/>
                <w:caps w:val="false"/>
                <w:smallCaps w:val="false"/>
                <w:strike w:val="false"/>
                <w:dstrike w:val="false"/>
                <w:color w:val="323031"/>
                <w:spacing w:val="0"/>
                <w:sz w:val="16"/>
                <w:u w:val="none"/>
                <w:effect w:val="none"/>
              </w:rPr>
              <w:t>2.</w:t>
            </w:r>
          </w:p>
        </w:tc>
        <w:tc>
          <w:tcPr>
            <w:tcW w:w="5915" w:type="dxa"/>
            <w:tcBorders/>
            <w:shd w:fill="auto" w:val="clear"/>
          </w:tcPr>
          <w:p>
            <w:pPr>
              <w:pStyle w:val="TableContents"/>
              <w:spacing w:before="0" w:after="0"/>
              <w:jc w:val="left"/>
              <w:rPr>
                <w:rFonts w:ascii="Open Sans" w:hAnsi="Open Sans"/>
                <w:b w:val="false"/>
                <w:i w:val="false"/>
                <w:caps w:val="false"/>
                <w:smallCaps w:val="false"/>
                <w:color w:val="000000"/>
                <w:spacing w:val="0"/>
                <w:sz w:val="15"/>
              </w:rPr>
            </w:pPr>
            <w:r>
              <w:rPr>
                <w:rFonts w:ascii="Open Sans" w:hAnsi="Open Sans"/>
                <w:b w:val="false"/>
                <w:i w:val="false"/>
                <w:caps w:val="false"/>
                <w:smallCaps w:val="false"/>
                <w:color w:val="000000"/>
                <w:spacing w:val="0"/>
                <w:sz w:val="15"/>
              </w:rPr>
              <w:t>To hold an advisory vote to approve our named executive officer compensation;</w:t>
            </w:r>
          </w:p>
        </w:tc>
      </w:tr>
    </w:tbl>
    <w:tbl>
      <w:tblPr>
        <w:tblW w:w="8905" w:type="dxa"/>
        <w:jc w:val="left"/>
        <w:tblInd w:w="0" w:type="dxa"/>
        <w:tblCellMar>
          <w:top w:w="0" w:type="dxa"/>
          <w:left w:w="0" w:type="dxa"/>
          <w:bottom w:w="0" w:type="dxa"/>
          <w:right w:w="0" w:type="dxa"/>
        </w:tblCellMar>
      </w:tblPr>
      <w:tblGrid>
        <w:gridCol w:w="60"/>
        <w:gridCol w:w="170"/>
        <w:gridCol w:w="8675"/>
      </w:tblGrid>
      <w:tr>
        <w:trPr/>
        <w:tc>
          <w:tcPr>
            <w:tcW w:w="60" w:type="dxa"/>
            <w:tcBorders/>
            <w:shd w:fill="auto" w:val="clear"/>
          </w:tcPr>
          <w:p>
            <w:pPr>
              <w:pStyle w:val="TableContents"/>
              <w:spacing w:before="0" w:after="0"/>
              <w:jc w:val="left"/>
              <w:rPr>
                <w:caps w:val="false"/>
                <w:smallCaps w:val="false"/>
                <w:color w:val="323031"/>
                <w:spacing w:val="0"/>
              </w:rPr>
            </w:pPr>
            <w:r>
              <w:rPr>
                <w:caps w:val="false"/>
                <w:smallCaps w:val="false"/>
                <w:color w:val="323031"/>
                <w:spacing w:val="0"/>
              </w:rPr>
              <w:t> </w:t>
            </w:r>
          </w:p>
        </w:tc>
        <w:tc>
          <w:tcPr>
            <w:tcW w:w="170" w:type="dxa"/>
            <w:tcBorders/>
            <w:shd w:fill="auto" w:val="clear"/>
          </w:tcPr>
          <w:p>
            <w:pPr>
              <w:pStyle w:val="TableContents"/>
              <w:spacing w:before="0" w:after="0"/>
              <w:jc w:val="left"/>
              <w:rPr>
                <w:rFonts w:ascii="Open Sans" w:hAnsi="Open Sans"/>
                <w:b w:val="false"/>
                <w:i w:val="false"/>
                <w:caps w:val="false"/>
                <w:smallCaps w:val="false"/>
                <w:strike w:val="false"/>
                <w:dstrike w:val="false"/>
                <w:color w:val="323031"/>
                <w:spacing w:val="0"/>
                <w:sz w:val="16"/>
                <w:u w:val="none"/>
                <w:effect w:val="none"/>
              </w:rPr>
            </w:pPr>
            <w:r>
              <w:rPr>
                <w:rFonts w:ascii="Open Sans" w:hAnsi="Open Sans"/>
                <w:b w:val="false"/>
                <w:i w:val="false"/>
                <w:caps w:val="false"/>
                <w:smallCaps w:val="false"/>
                <w:strike w:val="false"/>
                <w:dstrike w:val="false"/>
                <w:color w:val="323031"/>
                <w:spacing w:val="0"/>
                <w:sz w:val="16"/>
                <w:u w:val="none"/>
                <w:effect w:val="none"/>
              </w:rPr>
              <w:t>3.</w:t>
            </w:r>
          </w:p>
        </w:tc>
        <w:tc>
          <w:tcPr>
            <w:tcW w:w="8675" w:type="dxa"/>
            <w:tcBorders/>
            <w:shd w:fill="auto" w:val="clear"/>
          </w:tcPr>
          <w:p>
            <w:pPr>
              <w:pStyle w:val="TableContents"/>
              <w:spacing w:before="0" w:after="0"/>
              <w:jc w:val="left"/>
              <w:rPr>
                <w:rFonts w:ascii="Open Sans" w:hAnsi="Open Sans"/>
                <w:b w:val="false"/>
                <w:i w:val="false"/>
                <w:caps w:val="false"/>
                <w:smallCaps w:val="false"/>
                <w:color w:val="000000"/>
                <w:spacing w:val="0"/>
                <w:sz w:val="15"/>
              </w:rPr>
            </w:pPr>
            <w:r>
              <w:rPr>
                <w:rFonts w:ascii="Open Sans" w:hAnsi="Open Sans"/>
                <w:b w:val="false"/>
                <w:i w:val="false"/>
                <w:caps w:val="false"/>
                <w:smallCaps w:val="false"/>
                <w:color w:val="000000"/>
                <w:spacing w:val="0"/>
                <w:sz w:val="15"/>
              </w:rPr>
              <w:t>To hold an advisory vote on the frequency of an advisory vote to approve our named executive officer compensation;</w:t>
            </w:r>
          </w:p>
        </w:tc>
      </w:tr>
    </w:tbl>
    <w:tbl>
      <w:tblPr>
        <w:tblW w:w="7075" w:type="dxa"/>
        <w:jc w:val="left"/>
        <w:tblInd w:w="0" w:type="dxa"/>
        <w:tblCellMar>
          <w:top w:w="0" w:type="dxa"/>
          <w:left w:w="0" w:type="dxa"/>
          <w:bottom w:w="0" w:type="dxa"/>
          <w:right w:w="0" w:type="dxa"/>
        </w:tblCellMar>
      </w:tblPr>
      <w:tblGrid>
        <w:gridCol w:w="60"/>
        <w:gridCol w:w="170"/>
        <w:gridCol w:w="6845"/>
      </w:tblGrid>
      <w:tr>
        <w:trPr/>
        <w:tc>
          <w:tcPr>
            <w:tcW w:w="60" w:type="dxa"/>
            <w:tcBorders/>
            <w:shd w:fill="auto" w:val="clear"/>
          </w:tcPr>
          <w:p>
            <w:pPr>
              <w:pStyle w:val="TableContents"/>
              <w:spacing w:before="0" w:after="0"/>
              <w:jc w:val="left"/>
              <w:rPr>
                <w:caps w:val="false"/>
                <w:smallCaps w:val="false"/>
                <w:color w:val="323031"/>
                <w:spacing w:val="0"/>
              </w:rPr>
            </w:pPr>
            <w:r>
              <w:rPr>
                <w:caps w:val="false"/>
                <w:smallCaps w:val="false"/>
                <w:color w:val="323031"/>
                <w:spacing w:val="0"/>
              </w:rPr>
              <w:t> </w:t>
            </w:r>
          </w:p>
        </w:tc>
        <w:tc>
          <w:tcPr>
            <w:tcW w:w="170" w:type="dxa"/>
            <w:tcBorders/>
            <w:shd w:fill="auto" w:val="clear"/>
          </w:tcPr>
          <w:p>
            <w:pPr>
              <w:pStyle w:val="TableContents"/>
              <w:spacing w:before="0" w:after="0"/>
              <w:jc w:val="left"/>
              <w:rPr>
                <w:rFonts w:ascii="Open Sans" w:hAnsi="Open Sans"/>
                <w:b w:val="false"/>
                <w:i w:val="false"/>
                <w:caps w:val="false"/>
                <w:smallCaps w:val="false"/>
                <w:strike w:val="false"/>
                <w:dstrike w:val="false"/>
                <w:color w:val="323031"/>
                <w:spacing w:val="0"/>
                <w:sz w:val="16"/>
                <w:u w:val="none"/>
                <w:effect w:val="none"/>
              </w:rPr>
            </w:pPr>
            <w:r>
              <w:rPr>
                <w:rFonts w:ascii="Open Sans" w:hAnsi="Open Sans"/>
                <w:b w:val="false"/>
                <w:i w:val="false"/>
                <w:caps w:val="false"/>
                <w:smallCaps w:val="false"/>
                <w:strike w:val="false"/>
                <w:dstrike w:val="false"/>
                <w:color w:val="323031"/>
                <w:spacing w:val="0"/>
                <w:sz w:val="16"/>
                <w:u w:val="none"/>
                <w:effect w:val="none"/>
              </w:rPr>
              <w:t>4.</w:t>
            </w:r>
          </w:p>
        </w:tc>
        <w:tc>
          <w:tcPr>
            <w:tcW w:w="6845" w:type="dxa"/>
            <w:tcBorders/>
            <w:shd w:fill="auto" w:val="clear"/>
          </w:tcPr>
          <w:p>
            <w:pPr>
              <w:pStyle w:val="TableContents"/>
              <w:spacing w:before="0" w:after="0"/>
              <w:jc w:val="left"/>
              <w:rPr>
                <w:rFonts w:ascii="Open Sans" w:hAnsi="Open Sans"/>
                <w:b w:val="false"/>
                <w:i w:val="false"/>
                <w:caps w:val="false"/>
                <w:smallCaps w:val="false"/>
                <w:color w:val="000000"/>
                <w:spacing w:val="0"/>
                <w:sz w:val="15"/>
              </w:rPr>
            </w:pPr>
            <w:r>
              <w:rPr>
                <w:rFonts w:ascii="Open Sans" w:hAnsi="Open Sans"/>
                <w:b w:val="false"/>
                <w:i w:val="false"/>
                <w:caps w:val="false"/>
                <w:smallCaps w:val="false"/>
                <w:color w:val="000000"/>
                <w:spacing w:val="0"/>
                <w:sz w:val="15"/>
              </w:rPr>
              <w:t>To ratify the appointment of our independent registered public accounting firm for 2023; and</w:t>
            </w:r>
          </w:p>
        </w:tc>
      </w:tr>
    </w:tbl>
    <w:tbl>
      <w:tblPr>
        <w:tblW w:w="8395" w:type="dxa"/>
        <w:jc w:val="left"/>
        <w:tblInd w:w="0" w:type="dxa"/>
        <w:tblCellMar>
          <w:top w:w="0" w:type="dxa"/>
          <w:left w:w="0" w:type="dxa"/>
          <w:bottom w:w="0" w:type="dxa"/>
          <w:right w:w="0" w:type="dxa"/>
        </w:tblCellMar>
      </w:tblPr>
      <w:tblGrid>
        <w:gridCol w:w="60"/>
        <w:gridCol w:w="170"/>
        <w:gridCol w:w="8165"/>
      </w:tblGrid>
      <w:tr>
        <w:trPr/>
        <w:tc>
          <w:tcPr>
            <w:tcW w:w="60" w:type="dxa"/>
            <w:tcBorders/>
            <w:shd w:fill="auto" w:val="clear"/>
          </w:tcPr>
          <w:p>
            <w:pPr>
              <w:pStyle w:val="TableContents"/>
              <w:spacing w:before="0" w:after="0"/>
              <w:jc w:val="left"/>
              <w:rPr>
                <w:caps w:val="false"/>
                <w:smallCaps w:val="false"/>
                <w:color w:val="323031"/>
                <w:spacing w:val="0"/>
              </w:rPr>
            </w:pPr>
            <w:r>
              <w:rPr>
                <w:caps w:val="false"/>
                <w:smallCaps w:val="false"/>
                <w:color w:val="323031"/>
                <w:spacing w:val="0"/>
              </w:rPr>
              <w:t> </w:t>
            </w:r>
          </w:p>
        </w:tc>
        <w:tc>
          <w:tcPr>
            <w:tcW w:w="170" w:type="dxa"/>
            <w:tcBorders/>
            <w:shd w:fill="auto" w:val="clear"/>
          </w:tcPr>
          <w:p>
            <w:pPr>
              <w:pStyle w:val="TableContents"/>
              <w:spacing w:before="0" w:after="0"/>
              <w:jc w:val="left"/>
              <w:rPr>
                <w:rFonts w:ascii="Open Sans" w:hAnsi="Open Sans"/>
                <w:b w:val="false"/>
                <w:i w:val="false"/>
                <w:caps w:val="false"/>
                <w:smallCaps w:val="false"/>
                <w:strike w:val="false"/>
                <w:dstrike w:val="false"/>
                <w:color w:val="323031"/>
                <w:spacing w:val="0"/>
                <w:sz w:val="16"/>
                <w:u w:val="none"/>
                <w:effect w:val="none"/>
              </w:rPr>
            </w:pPr>
            <w:r>
              <w:rPr>
                <w:rFonts w:ascii="Open Sans" w:hAnsi="Open Sans"/>
                <w:b w:val="false"/>
                <w:i w:val="false"/>
                <w:caps w:val="false"/>
                <w:smallCaps w:val="false"/>
                <w:strike w:val="false"/>
                <w:dstrike w:val="false"/>
                <w:color w:val="323031"/>
                <w:spacing w:val="0"/>
                <w:sz w:val="16"/>
                <w:u w:val="none"/>
                <w:effect w:val="none"/>
              </w:rPr>
              <w:t>5.</w:t>
            </w:r>
          </w:p>
        </w:tc>
        <w:tc>
          <w:tcPr>
            <w:tcW w:w="8165" w:type="dxa"/>
            <w:tcBorders/>
            <w:shd w:fill="auto" w:val="clear"/>
          </w:tcPr>
          <w:p>
            <w:pPr>
              <w:pStyle w:val="TableContents"/>
              <w:spacing w:before="0" w:after="0"/>
              <w:jc w:val="left"/>
              <w:rPr>
                <w:rFonts w:ascii="Open Sans" w:hAnsi="Open Sans"/>
                <w:b w:val="false"/>
                <w:i w:val="false"/>
                <w:caps w:val="false"/>
                <w:smallCaps w:val="false"/>
                <w:color w:val="000000"/>
                <w:spacing w:val="0"/>
                <w:sz w:val="15"/>
              </w:rPr>
            </w:pPr>
            <w:r>
              <w:rPr>
                <w:rFonts w:ascii="Open Sans" w:hAnsi="Open Sans"/>
                <w:b w:val="false"/>
                <w:i w:val="false"/>
                <w:caps w:val="false"/>
                <w:smallCaps w:val="false"/>
                <w:color w:val="000000"/>
                <w:spacing w:val="0"/>
                <w:sz w:val="15"/>
              </w:rPr>
              <w:t>To transact such other business as may properly come before the Annual Meeting or any adjournment thereof.</w:t>
            </w:r>
          </w:p>
        </w:tc>
      </w:tr>
    </w:tbl>
    <w:p>
      <w:pPr>
        <w:pStyle w:val="TextBody"/>
        <w:spacing w:before="120" w:after="0"/>
        <w:rPr>
          <w:rFonts w:ascii="Open Sans" w:hAnsi="Open Sans"/>
          <w:b/>
          <w:i w:val="false"/>
          <w:caps w:val="false"/>
          <w:smallCaps w:val="false"/>
          <w:color w:val="004A7C"/>
          <w:sz w:val="17"/>
        </w:rPr>
      </w:pPr>
      <w:r>
        <w:rPr>
          <w:rFonts w:ascii="Open Sans" w:hAnsi="Open Sans"/>
          <w:b/>
          <w:i w:val="false"/>
          <w:caps w:val="false"/>
          <w:smallCaps w:val="false"/>
          <w:color w:val="004A7C"/>
          <w:sz w:val="17"/>
        </w:rPr>
        <w:t>Record Date</w:t>
      </w:r>
    </w:p>
    <w:p>
      <w:pPr>
        <w:pStyle w:val="TextBody"/>
        <w:spacing w:before="60" w:after="0"/>
        <w:rPr>
          <w:rFonts w:ascii="Open Sans" w:hAnsi="Open Sans"/>
          <w:b w:val="false"/>
          <w:i w:val="false"/>
          <w:caps w:val="false"/>
          <w:smallCaps w:val="false"/>
          <w:sz w:val="15"/>
        </w:rPr>
      </w:pPr>
      <w:r>
        <w:rPr>
          <w:rFonts w:ascii="Open Sans" w:hAnsi="Open Sans"/>
          <w:b w:val="false"/>
          <w:i w:val="false"/>
          <w:caps w:val="false"/>
          <w:smallCaps w:val="false"/>
          <w:sz w:val="15"/>
        </w:rPr>
        <w:t>Only shareholders of record at the close of business on March 15, 2023 are entitled to notice of and to vote at the Annual Meeting or any adjournment of it. A list of such shareholders will be available commencing March 29, 2023 and may be examined prior to the Annual Meeting at our corporate headquarters during normal business hours.</w:t>
      </w:r>
    </w:p>
    <w:p>
      <w:pPr>
        <w:pStyle w:val="TextBody"/>
        <w:spacing w:before="120" w:after="0"/>
        <w:rPr>
          <w:rFonts w:ascii="Open Sans" w:hAnsi="Open Sans"/>
          <w:b/>
          <w:i w:val="false"/>
          <w:caps w:val="false"/>
          <w:smallCaps w:val="false"/>
          <w:color w:val="004A7C"/>
          <w:sz w:val="17"/>
        </w:rPr>
      </w:pPr>
      <w:r>
        <w:rPr>
          <w:rFonts w:ascii="Open Sans" w:hAnsi="Open Sans"/>
          <w:b/>
          <w:i w:val="false"/>
          <w:caps w:val="false"/>
          <w:smallCaps w:val="false"/>
          <w:color w:val="004A7C"/>
          <w:sz w:val="17"/>
        </w:rPr>
        <w:t>Availability of Proxy Materials</w:t>
      </w:r>
    </w:p>
    <w:p>
      <w:pPr>
        <w:pStyle w:val="TextBody"/>
        <w:spacing w:before="60" w:after="0"/>
        <w:rPr>
          <w:rFonts w:ascii="Open Sans" w:hAnsi="Open Sans"/>
          <w:b w:val="false"/>
          <w:i w:val="false"/>
          <w:caps w:val="false"/>
          <w:smallCaps w:val="false"/>
          <w:sz w:val="15"/>
        </w:rPr>
      </w:pPr>
      <w:r>
        <w:rPr>
          <w:rFonts w:ascii="Open Sans" w:hAnsi="Open Sans"/>
          <w:b w:val="false"/>
          <w:i w:val="false"/>
          <w:caps w:val="false"/>
          <w:smallCaps w:val="false"/>
          <w:sz w:val="15"/>
        </w:rPr>
        <w:t>We are pleased to utilize Securities and Exchange Commission rules that allow us to furnish these proxy materials and our Annual Report on Form 10-K in digital form online. Shareholders of record will be mailed a Notice of Internet Availability of Proxy Materials, which provides instructions on how to access the proxy materials and our Annual Report on Form 10-K online and, if they prefer, how to request paper copies of these materials. We believe providing these materials online enables us to reduce the environmental impact of our Annual Meeting and lower our printing and delivery costs while providing shareholders with the information they need more quickly and efficiently.</w:t>
      </w:r>
    </w:p>
    <w:p>
      <w:pPr>
        <w:pStyle w:val="TextBody"/>
        <w:spacing w:before="120" w:after="0"/>
        <w:rPr>
          <w:rFonts w:ascii="Open Sans" w:hAnsi="Open Sans"/>
          <w:b/>
          <w:i w:val="false"/>
          <w:caps w:val="false"/>
          <w:smallCaps w:val="false"/>
          <w:color w:val="004A7C"/>
          <w:sz w:val="17"/>
        </w:rPr>
      </w:pPr>
      <w:r>
        <w:rPr>
          <w:rFonts w:ascii="Open Sans" w:hAnsi="Open Sans"/>
          <w:b/>
          <w:i w:val="false"/>
          <w:caps w:val="false"/>
          <w:smallCaps w:val="false"/>
          <w:color w:val="004A7C"/>
          <w:sz w:val="17"/>
        </w:rPr>
        <w:t>Proxy Voting</w:t>
      </w:r>
    </w:p>
    <w:p>
      <w:pPr>
        <w:pStyle w:val="TextBody"/>
        <w:spacing w:before="60" w:after="0"/>
        <w:rPr>
          <w:rFonts w:ascii="Open Sans" w:hAnsi="Open Sans"/>
          <w:b w:val="false"/>
          <w:i w:val="false"/>
          <w:caps w:val="false"/>
          <w:smallCaps w:val="false"/>
          <w:sz w:val="15"/>
        </w:rPr>
      </w:pPr>
      <w:r>
        <w:rPr>
          <w:rFonts w:ascii="Open Sans" w:hAnsi="Open Sans"/>
          <w:b w:val="false"/>
          <w:i w:val="false"/>
          <w:caps w:val="false"/>
          <w:smallCaps w:val="false"/>
          <w:sz w:val="15"/>
        </w:rPr>
        <w:t>Your participation at our Annual Meeting is important. To ensure your representation, if you do not expect to participate in the virtual meeting, please vote your shares as instructed in your Notice of Internet Availability of Proxy Materials, proxy card or voting instruction card at your earliest convenience. Your prompt return of proxies will ensure a quorum and save us the expense of further solicitation.</w:t>
      </w:r>
    </w:p>
    <w:p>
      <w:pPr>
        <w:pStyle w:val="TextBody"/>
        <w:spacing w:before="120" w:after="0"/>
        <w:rPr>
          <w:rFonts w:ascii="Open Sans" w:hAnsi="Open Sans"/>
          <w:b/>
          <w:i w:val="false"/>
          <w:caps w:val="false"/>
          <w:smallCaps w:val="false"/>
          <w:color w:val="004A7C"/>
          <w:sz w:val="17"/>
        </w:rPr>
      </w:pPr>
      <w:r>
        <w:rPr>
          <w:rFonts w:ascii="Open Sans" w:hAnsi="Open Sans"/>
          <w:b/>
          <w:i w:val="false"/>
          <w:caps w:val="false"/>
          <w:smallCaps w:val="false"/>
          <w:color w:val="004A7C"/>
          <w:sz w:val="17"/>
        </w:rPr>
        <w:t>Virtual Meeting</w:t>
      </w:r>
    </w:p>
    <w:p>
      <w:pPr>
        <w:pStyle w:val="TextBody"/>
        <w:spacing w:before="60" w:after="0"/>
        <w:rPr>
          <w:rFonts w:ascii="Open Sans" w:hAnsi="Open Sans"/>
          <w:b w:val="false"/>
          <w:i w:val="false"/>
          <w:caps w:val="false"/>
          <w:smallCaps w:val="false"/>
          <w:sz w:val="15"/>
        </w:rPr>
      </w:pPr>
      <w:r>
        <w:rPr>
          <w:rFonts w:ascii="Open Sans" w:hAnsi="Open Sans"/>
          <w:b w:val="false"/>
          <w:i w:val="false"/>
          <w:caps w:val="false"/>
          <w:smallCaps w:val="false"/>
          <w:sz w:val="15"/>
        </w:rPr>
        <w:t xml:space="preserve">We will hold this year’s Annual Meeting in a virtual meeting format only. Shareholders of record at the close of business on March 15, 2023 may attend the Annual Meeting as well as vote and submit questions during the live webcast of the meeting by visiting www.virtualshareholdermeeting.com/RSG2023 and entering the 16-digit control number included in our Notice of Internet Availability of Proxy Materials, on your proxy card or in the instructions that accompanied your proxy materials. The format of the Annual Meeting will ensure that shareholders are afforded the same rights and opportunities to participate as they would at an in-person meeting. </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By Order of the Board of Directors, </w:t>
      </w:r>
    </w:p>
    <w:p>
      <w:pPr>
        <w:pStyle w:val="TextBody"/>
        <w:spacing w:before="120" w:after="0"/>
        <w:rPr/>
      </w:pPr>
      <w:r>
        <w:rPr/>
        <w:t> </w:t>
      </w:r>
    </w:p>
    <w:p>
      <w:pPr>
        <w:pStyle w:val="TextBody"/>
        <w:spacing w:before="120" w:after="0"/>
        <w:rPr>
          <w:rFonts w:ascii="Open Sans" w:hAnsi="Open Sans"/>
          <w:b/>
          <w:i w:val="false"/>
          <w:caps w:val="false"/>
          <w:smallCaps w:val="false"/>
          <w:color w:val="004A7C"/>
          <w:sz w:val="16"/>
        </w:rPr>
      </w:pPr>
      <w:r>
        <w:rPr>
          <w:rFonts w:ascii="Open Sans" w:hAnsi="Open Sans"/>
          <w:b/>
          <w:i w:val="false"/>
          <w:caps w:val="false"/>
          <w:smallCaps w:val="false"/>
          <w:color w:val="004A7C"/>
          <w:sz w:val="16"/>
        </w:rPr>
        <w:t>CATHARINE D. ELLINGSEN</w:t>
      </w:r>
    </w:p>
    <w:p>
      <w:pPr>
        <w:pStyle w:val="TextBody"/>
        <w:spacing w:before="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Executive Vice President, Chief Legal Officer, </w:t>
      </w:r>
    </w:p>
    <w:p>
      <w:pPr>
        <w:pStyle w:val="TextBody"/>
        <w:spacing w:before="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Chief Ethics &amp; Compliance Officer, and Corporate Secretary</w:t>
      </w:r>
    </w:p>
    <w:p>
      <w:pPr>
        <w:pStyle w:val="TextBody"/>
        <w:spacing w:before="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Phoenix, AZ </w:t>
      </w:r>
    </w:p>
    <w:p>
      <w:pPr>
        <w:pStyle w:val="TextBody"/>
        <w:spacing w:before="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March 29, 2023</w:t>
      </w:r>
    </w:p>
    <w:p>
      <w:pPr>
        <w:pStyle w:val="TextBody"/>
        <w:spacing w:before="0" w:after="0"/>
        <w:rPr/>
      </w:pPr>
      <w:r>
        <w:rPr/>
        <w:t> </w:t>
      </w:r>
    </w:p>
    <w:p>
      <w:pPr>
        <w:pStyle w:val="TextBody"/>
        <w:spacing w:before="0" w:after="0"/>
        <w:rPr/>
      </w:pPr>
      <w:r>
        <w:rPr/>
        <w:t> </w:t>
      </w:r>
    </w:p>
    <w:p>
      <w:pPr>
        <w:pStyle w:val="TextBody"/>
        <w:spacing w:before="240" w:after="0"/>
        <w:rPr/>
      </w:pPr>
      <w:r>
        <w:rPr/>
        <w:t> </w:t>
      </w:r>
    </w:p>
    <w:tbl>
      <w:tblPr>
        <w:tblW w:w="3510" w:type="dxa"/>
        <w:jc w:val="left"/>
        <w:tblInd w:w="0" w:type="dxa"/>
        <w:tblCellMar>
          <w:top w:w="0" w:type="dxa"/>
          <w:left w:w="0" w:type="dxa"/>
          <w:bottom w:w="0" w:type="dxa"/>
          <w:right w:w="0" w:type="dxa"/>
        </w:tblCellMar>
      </w:tblPr>
      <w:tblGrid>
        <w:gridCol w:w="60"/>
        <w:gridCol w:w="3260"/>
        <w:gridCol w:w="80"/>
        <w:gridCol w:w="11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11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w:t>
            </w:r>
          </w:p>
        </w:tc>
      </w:tr>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pPr>
            <w:r>
              <w:rPr/>
              <w:t> </w:t>
            </w:r>
          </w:p>
        </w:tc>
        <w:tc>
          <w:tcPr>
            <w:tcW w:w="80" w:type="dxa"/>
            <w:tcBorders/>
            <w:shd w:fill="auto" w:val="clear"/>
            <w:vAlign w:val="center"/>
          </w:tcPr>
          <w:p>
            <w:pPr>
              <w:pStyle w:val="TableContents"/>
              <w:spacing w:before="0" w:after="0"/>
              <w:ind w:left="0" w:right="0" w:hanging="0"/>
              <w:jc w:val="right"/>
              <w:rPr/>
            </w:pPr>
            <w:r>
              <w:rPr/>
              <w:t> </w:t>
            </w:r>
          </w:p>
        </w:tc>
        <w:tc>
          <w:tcPr>
            <w:tcW w:w="11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color w:val="004A7C"/>
        </w:rPr>
      </w:pPr>
      <w:r>
        <w:rPr>
          <w:caps w:val="false"/>
          <w:smallCaps w:val="false"/>
          <w:color w:val="004A7C"/>
        </w:rPr>
        <w:drawing>
          <wp:inline distT="0" distB="0" distL="0" distR="0">
            <wp:extent cx="8201025" cy="9496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201025" cy="9496425"/>
                    </a:xfrm>
                    <a:prstGeom prst="rect">
                      <a:avLst/>
                    </a:prstGeom>
                  </pic:spPr>
                </pic:pic>
              </a:graphicData>
            </a:graphic>
          </wp:inline>
        </w:drawing>
      </w:r>
    </w:p>
    <w:p>
      <w:pPr>
        <w:pStyle w:val="TextBody"/>
        <w:spacing w:before="0" w:after="0"/>
        <w:rPr/>
      </w:pPr>
      <w:r>
        <w:rPr/>
        <w:t> </w:t>
      </w:r>
    </w:p>
    <w:p>
      <w:pPr>
        <w:pStyle w:val="TextBody"/>
        <w:spacing w:before="0" w:after="0"/>
        <w:rPr>
          <w:rFonts w:ascii="Open Sans" w:hAnsi="Open Sans"/>
          <w:b/>
          <w:i w:val="false"/>
          <w:caps w:val="false"/>
          <w:smallCaps w:val="false"/>
          <w:color w:val="FFFFFF"/>
          <w:sz w:val="2"/>
        </w:rPr>
      </w:pPr>
      <w:r>
        <w:rPr>
          <w:rFonts w:ascii="Open Sans" w:hAnsi="Open Sans"/>
          <w:b/>
          <w:i w:val="false"/>
          <w:caps w:val="false"/>
          <w:smallCaps w:val="false"/>
          <w:color w:val="FFFFFF"/>
          <w:sz w:val="2"/>
        </w:rPr>
        <w:t>SAFE We protect the livelihoods of our colleagues and communities.</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36"/>
        </w:rPr>
      </w:pPr>
      <w:r>
        <w:rPr>
          <w:rFonts w:ascii="Open Sans" w:hAnsi="Open Sans"/>
          <w:b/>
          <w:i w:val="false"/>
          <w:caps w:val="false"/>
          <w:smallCaps w:val="false"/>
          <w:color w:val="004A7C"/>
          <w:sz w:val="36"/>
        </w:rPr>
        <w:t>Proxy</w:t>
      </w:r>
      <w:r>
        <w:rPr>
          <w:rFonts w:ascii="Open Sans" w:hAnsi="Open Sans"/>
          <w:b/>
          <w:i w:val="false"/>
          <w:caps w:val="false"/>
          <w:smallCaps w:val="false"/>
          <w:color w:val="004A7C"/>
          <w:spacing w:val="-14"/>
          <w:sz w:val="36"/>
        </w:rPr>
        <w:t xml:space="preserve"> </w:t>
      </w:r>
      <w:r>
        <w:rPr>
          <w:rFonts w:ascii="Open Sans" w:hAnsi="Open Sans"/>
          <w:b/>
          <w:i w:val="false"/>
          <w:caps w:val="false"/>
          <w:smallCaps w:val="false"/>
          <w:color w:val="004A7C"/>
          <w:sz w:val="36"/>
        </w:rPr>
        <w:t>Statement</w:t>
      </w:r>
      <w:r>
        <w:rPr>
          <w:rFonts w:ascii="Open Sans" w:hAnsi="Open Sans"/>
          <w:b/>
          <w:i w:val="false"/>
          <w:caps w:val="false"/>
          <w:smallCaps w:val="false"/>
          <w:color w:val="004A7C"/>
          <w:spacing w:val="-13"/>
          <w:sz w:val="36"/>
        </w:rPr>
        <w:t xml:space="preserve"> </w:t>
      </w:r>
      <w:r>
        <w:rPr>
          <w:rFonts w:ascii="Open Sans" w:hAnsi="Open Sans"/>
          <w:b/>
          <w:i w:val="false"/>
          <w:caps w:val="false"/>
          <w:smallCaps w:val="false"/>
          <w:color w:val="004A7C"/>
          <w:sz w:val="36"/>
        </w:rPr>
        <w:t>Table</w:t>
      </w:r>
      <w:r>
        <w:rPr>
          <w:rFonts w:ascii="Open Sans" w:hAnsi="Open Sans"/>
          <w:b/>
          <w:i w:val="false"/>
          <w:caps w:val="false"/>
          <w:smallCaps w:val="false"/>
          <w:color w:val="004A7C"/>
          <w:spacing w:val="-14"/>
          <w:sz w:val="36"/>
        </w:rPr>
        <w:t xml:space="preserve"> </w:t>
      </w:r>
      <w:r>
        <w:rPr>
          <w:rFonts w:ascii="Open Sans" w:hAnsi="Open Sans"/>
          <w:b/>
          <w:i w:val="false"/>
          <w:caps w:val="false"/>
          <w:smallCaps w:val="false"/>
          <w:color w:val="004A7C"/>
          <w:sz w:val="36"/>
        </w:rPr>
        <w:t>of</w:t>
      </w:r>
      <w:r>
        <w:rPr>
          <w:rFonts w:ascii="Open Sans" w:hAnsi="Open Sans"/>
          <w:b/>
          <w:i w:val="false"/>
          <w:caps w:val="false"/>
          <w:smallCaps w:val="false"/>
          <w:color w:val="004A7C"/>
          <w:spacing w:val="-13"/>
          <w:sz w:val="36"/>
        </w:rPr>
        <w:t xml:space="preserve"> </w:t>
      </w:r>
      <w:r>
        <w:rPr>
          <w:rFonts w:ascii="Open Sans" w:hAnsi="Open Sans"/>
          <w:b/>
          <w:i w:val="false"/>
          <w:caps w:val="false"/>
          <w:smallCaps w:val="false"/>
          <w:color w:val="004A7C"/>
          <w:sz w:val="36"/>
        </w:rPr>
        <w:t>Contents</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60"/>
        <w:gridCol w:w="23"/>
        <w:gridCol w:w="2398"/>
        <w:gridCol w:w="60"/>
        <w:gridCol w:w="308"/>
        <w:gridCol w:w="60"/>
        <w:gridCol w:w="6911"/>
        <w:gridCol w:w="90"/>
        <w:gridCol w:w="629"/>
      </w:tblGrid>
      <w:tr>
        <w:trPr/>
        <w:tc>
          <w:tcPr>
            <w:tcW w:w="2481" w:type="dxa"/>
            <w:gridSpan w:val="3"/>
            <w:tcBorders/>
            <w:shd w:fill="auto" w:val="clear"/>
            <w:vAlign w:val="bottom"/>
          </w:tcPr>
          <w:p>
            <w:pPr>
              <w:pStyle w:val="TableContents"/>
              <w:spacing w:before="40" w:after="40"/>
              <w:ind w:left="0" w:right="0" w:hanging="0"/>
              <w:rPr/>
            </w:pPr>
            <w:hyperlink w:anchor="PROXY_SUMMARY">
              <w:r>
                <w:rPr>
                  <w:rStyle w:val="InternetLink"/>
                  <w:rFonts w:ascii="Open Sans" w:hAnsi="Open Sans"/>
                  <w:b/>
                  <w:i w:val="false"/>
                  <w:caps w:val="false"/>
                  <w:smallCaps w:val="false"/>
                  <w:strike w:val="false"/>
                  <w:dstrike w:val="false"/>
                  <w:color w:val="004A7C"/>
                  <w:sz w:val="14"/>
                  <w:u w:val="none"/>
                  <w:effect w:val="none"/>
                </w:rPr>
                <w:t>Proxy Summary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A7C"/>
                <w:sz w:val="14"/>
              </w:rPr>
            </w:pPr>
            <w:r>
              <w:rPr>
                <w:rFonts w:ascii="Open Sans" w:hAnsi="Open Sans"/>
                <w:b/>
                <w:i w:val="false"/>
                <w:caps w:val="false"/>
                <w:smallCaps w:val="false"/>
                <w:color w:val="004A7C"/>
                <w:sz w:val="14"/>
              </w:rPr>
              <w:t>10-15</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AUDIT_RELATED_FEES">
              <w:r>
                <w:rPr>
                  <w:rStyle w:val="InternetLink"/>
                  <w:rFonts w:ascii="Open Sans" w:hAnsi="Open Sans"/>
                  <w:b w:val="false"/>
                  <w:i w:val="false"/>
                  <w:caps w:val="false"/>
                  <w:smallCaps w:val="false"/>
                  <w:strike w:val="false"/>
                  <w:dstrike w:val="false"/>
                  <w:color w:val="004A7C"/>
                  <w:sz w:val="14"/>
                  <w:u w:val="none"/>
                  <w:effect w:val="none"/>
                </w:rPr>
                <w:t xml:space="preserve">Audit and Related Fees </w:t>
              </w:r>
            </w:hyperlink>
          </w:p>
        </w:tc>
        <w:tc>
          <w:tcPr>
            <w:tcW w:w="90" w:type="dxa"/>
            <w:tcBorders/>
            <w:shd w:fill="auto" w:val="clear"/>
            <w:vAlign w:val="bottom"/>
          </w:tcPr>
          <w:p>
            <w:pPr>
              <w:pStyle w:val="TableContents"/>
              <w:spacing w:before="0" w:after="0"/>
              <w:ind w:left="0" w:right="0" w:hanging="0"/>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43</w:t>
            </w:r>
          </w:p>
        </w:tc>
      </w:tr>
      <w:tr>
        <w:trPr/>
        <w:tc>
          <w:tcPr>
            <w:tcW w:w="2481" w:type="dxa"/>
            <w:gridSpan w:val="3"/>
            <w:tcBorders/>
            <w:shd w:fill="auto" w:val="clear"/>
            <w:vAlign w:val="bottom"/>
          </w:tcPr>
          <w:p>
            <w:pPr>
              <w:pStyle w:val="TableContents"/>
              <w:spacing w:before="40" w:after="40"/>
              <w:ind w:left="0" w:right="0" w:hanging="0"/>
              <w:rPr/>
            </w:pPr>
            <w:hyperlink w:anchor="BOARD_DIRECTORS_CORPORATE_GOVERNANCE">
              <w:r>
                <w:rPr>
                  <w:rStyle w:val="InternetLink"/>
                  <w:rFonts w:ascii="Open Sans" w:hAnsi="Open Sans"/>
                  <w:b/>
                  <w:i w:val="false"/>
                  <w:caps w:val="false"/>
                  <w:smallCaps w:val="false"/>
                  <w:strike w:val="false"/>
                  <w:dstrike w:val="false"/>
                  <w:color w:val="004A7C"/>
                  <w:sz w:val="14"/>
                  <w:u w:val="none"/>
                  <w:effect w:val="none"/>
                </w:rPr>
                <w:t>Board of Directors and Corporate Governance</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A7C"/>
                <w:sz w:val="14"/>
              </w:rPr>
            </w:pPr>
            <w:r>
              <w:rPr>
                <w:rFonts w:ascii="Open Sans" w:hAnsi="Open Sans"/>
                <w:b/>
                <w:i w:val="false"/>
                <w:caps w:val="false"/>
                <w:smallCaps w:val="false"/>
                <w:color w:val="004A7C"/>
                <w:sz w:val="14"/>
              </w:rPr>
              <w:t>18-47</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250" w:right="0" w:hanging="0"/>
              <w:rPr/>
            </w:pPr>
            <w:hyperlink w:anchor="INDEPENDENT_REGISTERED_PUBLIC_ACCOUNTING">
              <w:r>
                <w:rPr>
                  <w:rStyle w:val="InternetLink"/>
                  <w:rFonts w:ascii="Open Sans" w:hAnsi="Open Sans"/>
                  <w:b w:val="false"/>
                  <w:i w:val="false"/>
                  <w:caps w:val="false"/>
                  <w:smallCaps w:val="false"/>
                  <w:strike w:val="false"/>
                  <w:dstrike w:val="false"/>
                  <w:color w:val="004A7C"/>
                  <w:sz w:val="14"/>
                  <w:u w:val="none"/>
                  <w:effect w:val="none"/>
                </w:rPr>
                <w:t>Independent Registered Public Accounting Firm Fee Information</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43</w:t>
            </w:r>
          </w:p>
        </w:tc>
      </w:tr>
      <w:tr>
        <w:trPr/>
        <w:tc>
          <w:tcPr>
            <w:tcW w:w="2481" w:type="dxa"/>
            <w:gridSpan w:val="3"/>
            <w:tcBorders/>
            <w:shd w:fill="auto" w:val="clear"/>
            <w:vAlign w:val="bottom"/>
          </w:tcPr>
          <w:p>
            <w:pPr>
              <w:pStyle w:val="TableContents"/>
              <w:spacing w:before="0" w:after="0"/>
              <w:ind w:left="0" w:right="0" w:hanging="0"/>
              <w:rPr/>
            </w:pPr>
            <w:hyperlink w:anchor="REPUBLICS_BOARD_DIRECTORS">
              <w:r>
                <w:rPr>
                  <w:rStyle w:val="InternetLink"/>
                  <w:rFonts w:ascii="Open Sans" w:hAnsi="Open Sans"/>
                  <w:b w:val="false"/>
                  <w:i w:val="false"/>
                  <w:caps w:val="false"/>
                  <w:smallCaps w:val="false"/>
                  <w:strike w:val="false"/>
                  <w:dstrike w:val="false"/>
                  <w:color w:val="004A7C"/>
                  <w:sz w:val="14"/>
                  <w:u w:val="none"/>
                  <w:effect w:val="none"/>
                </w:rPr>
                <w:t>Republic’s Board of Directors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18</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firstLine="250"/>
              <w:rPr/>
            </w:pPr>
            <w:hyperlink w:anchor="PREAPPROVAL_POLICIES_PROCEDURES">
              <w:r>
                <w:rPr>
                  <w:rStyle w:val="InternetLink"/>
                  <w:rFonts w:ascii="Open Sans" w:hAnsi="Open Sans"/>
                  <w:b w:val="false"/>
                  <w:i w:val="false"/>
                  <w:caps w:val="false"/>
                  <w:smallCaps w:val="false"/>
                  <w:strike w:val="false"/>
                  <w:dstrike w:val="false"/>
                  <w:color w:val="004A7C"/>
                  <w:sz w:val="14"/>
                  <w:u w:val="none"/>
                  <w:effect w:val="none"/>
                </w:rPr>
                <w:t>Pre-Approval Policies and Procedures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43</w:t>
            </w:r>
          </w:p>
        </w:tc>
      </w:tr>
      <w:tr>
        <w:trPr/>
        <w:tc>
          <w:tcPr>
            <w:tcW w:w="2481" w:type="dxa"/>
            <w:gridSpan w:val="3"/>
            <w:tcBorders/>
            <w:shd w:fill="auto" w:val="clear"/>
            <w:vAlign w:val="bottom"/>
          </w:tcPr>
          <w:p>
            <w:pPr>
              <w:pStyle w:val="TableContents"/>
              <w:spacing w:before="0" w:after="0"/>
              <w:ind w:left="0" w:right="0" w:hanging="0"/>
              <w:rPr/>
            </w:pPr>
            <w:hyperlink w:anchor="DIRECTOR_SKILLS_EXPERIENCE_BACKGROUND">
              <w:r>
                <w:rPr>
                  <w:rStyle w:val="InternetLink"/>
                  <w:rFonts w:ascii="Open Sans" w:hAnsi="Open Sans"/>
                  <w:b w:val="false"/>
                  <w:i w:val="false"/>
                  <w:caps w:val="false"/>
                  <w:smallCaps w:val="false"/>
                  <w:strike w:val="false"/>
                  <w:dstrike w:val="false"/>
                  <w:color w:val="004A7C"/>
                  <w:sz w:val="14"/>
                  <w:u w:val="none"/>
                  <w:effect w:val="none"/>
                </w:rPr>
                <w:t>Director Skills, Experience, and Background</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19</w:t>
            </w:r>
          </w:p>
        </w:tc>
        <w:tc>
          <w:tcPr>
            <w:tcW w:w="60" w:type="dxa"/>
            <w:tcBorders/>
            <w:shd w:fill="auto" w:val="clear"/>
            <w:vAlign w:val="bottom"/>
          </w:tcPr>
          <w:p>
            <w:pPr>
              <w:pStyle w:val="TableContents"/>
              <w:spacing w:before="0" w:after="0"/>
              <w:ind w:left="0" w:right="0" w:hanging="0"/>
              <w:rPr/>
            </w:pPr>
            <w:r>
              <w:rPr/>
              <w:t> </w:t>
            </w:r>
          </w:p>
        </w:tc>
        <w:tc>
          <w:tcPr>
            <w:tcW w:w="6911"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629" w:type="dxa"/>
            <w:tcBorders/>
            <w:shd w:fill="auto" w:val="clear"/>
            <w:vAlign w:val="bottom"/>
          </w:tcPr>
          <w:p>
            <w:pPr>
              <w:pStyle w:val="TableContents"/>
              <w:spacing w:before="0" w:after="0"/>
              <w:ind w:left="0" w:right="0" w:hanging="0"/>
              <w:jc w:val="right"/>
              <w:rPr/>
            </w:pPr>
            <w:r>
              <w:rPr/>
              <w:t> </w:t>
            </w:r>
          </w:p>
        </w:tc>
      </w:tr>
      <w:tr>
        <w:trPr/>
        <w:tc>
          <w:tcPr>
            <w:tcW w:w="2481" w:type="dxa"/>
            <w:gridSpan w:val="3"/>
            <w:tcBorders/>
            <w:shd w:fill="auto" w:val="clear"/>
            <w:vAlign w:val="bottom"/>
          </w:tcPr>
          <w:p>
            <w:pPr>
              <w:pStyle w:val="TableContents"/>
              <w:spacing w:before="0" w:after="0"/>
              <w:ind w:left="0" w:right="0" w:hanging="0"/>
              <w:rPr/>
            </w:pPr>
            <w:hyperlink w:anchor="BIOGRAPHICAL_INFORMATION_REGARDING_DIREC">
              <w:r>
                <w:rPr>
                  <w:rStyle w:val="InternetLink"/>
                  <w:rFonts w:ascii="Open Sans" w:hAnsi="Open Sans"/>
                  <w:b w:val="false"/>
                  <w:i w:val="false"/>
                  <w:caps w:val="false"/>
                  <w:smallCaps w:val="false"/>
                  <w:strike w:val="false"/>
                  <w:dstrike w:val="false"/>
                  <w:color w:val="004A7C"/>
                  <w:sz w:val="14"/>
                  <w:u w:val="none"/>
                  <w:effect w:val="none"/>
                </w:rPr>
                <w:t>Biographical Information Regarding Director Nominees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DIRECTOR_COMPENSATION">
              <w:r>
                <w:rPr>
                  <w:rStyle w:val="InternetLink"/>
                  <w:rFonts w:ascii="Open Sans" w:hAnsi="Open Sans"/>
                  <w:b w:val="false"/>
                  <w:i w:val="false"/>
                  <w:caps w:val="false"/>
                  <w:smallCaps w:val="false"/>
                  <w:strike w:val="false"/>
                  <w:dstrike w:val="false"/>
                  <w:color w:val="004A7C"/>
                  <w:sz w:val="14"/>
                  <w:u w:val="none"/>
                  <w:effect w:val="none"/>
                </w:rPr>
                <w:t>Director Compensation</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44</w:t>
            </w:r>
          </w:p>
        </w:tc>
      </w:tr>
      <w:tr>
        <w:trPr/>
        <w:tc>
          <w:tcPr>
            <w:tcW w:w="2481" w:type="dxa"/>
            <w:gridSpan w:val="3"/>
            <w:tcBorders/>
            <w:shd w:fill="auto" w:val="clear"/>
            <w:vAlign w:val="bottom"/>
          </w:tcPr>
          <w:p>
            <w:pPr>
              <w:pStyle w:val="TableContents"/>
              <w:spacing w:before="0" w:after="0"/>
              <w:ind w:left="9" w:right="0" w:hanging="0"/>
              <w:rPr/>
            </w:pPr>
            <w:hyperlink w:anchor="BOARD_DIRECTORS_CORPORATE_GOVERNANCE_MAT">
              <w:r>
                <w:rPr>
                  <w:rStyle w:val="InternetLink"/>
                  <w:rFonts w:ascii="Open Sans" w:hAnsi="Open Sans"/>
                  <w:b w:val="false"/>
                  <w:i w:val="false"/>
                  <w:caps w:val="false"/>
                  <w:smallCaps w:val="false"/>
                  <w:strike w:val="false"/>
                  <w:dstrike w:val="false"/>
                  <w:color w:val="004A7C"/>
                  <w:sz w:val="14"/>
                  <w:u w:val="none"/>
                  <w:effect w:val="none"/>
                </w:rPr>
                <w:t>Board of Directors and Corporate Governance Matters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28</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CERTAIN_RELATIONSHIPS_RELATED_PARTY_TRAN">
              <w:r>
                <w:rPr>
                  <w:rStyle w:val="InternetLink"/>
                  <w:rFonts w:ascii="Open Sans" w:hAnsi="Open Sans"/>
                  <w:b w:val="false"/>
                  <w:i w:val="false"/>
                  <w:caps w:val="false"/>
                  <w:smallCaps w:val="false"/>
                  <w:strike w:val="false"/>
                  <w:dstrike w:val="false"/>
                  <w:color w:val="004A7C"/>
                  <w:sz w:val="14"/>
                  <w:u w:val="none"/>
                  <w:effect w:val="none"/>
                </w:rPr>
                <w:t>Certain Relationships and Related Party Transactions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45</w:t>
            </w:r>
          </w:p>
        </w:tc>
      </w:tr>
      <w:tr>
        <w:trPr/>
        <w:tc>
          <w:tcPr>
            <w:tcW w:w="60" w:type="dxa"/>
            <w:tcBorders/>
            <w:shd w:fill="auto" w:val="clear"/>
            <w:vAlign w:val="bottom"/>
          </w:tcPr>
          <w:p>
            <w:pPr>
              <w:pStyle w:val="TableContents"/>
              <w:spacing w:before="0" w:after="0"/>
              <w:ind w:left="872" w:right="0" w:hanging="0"/>
              <w:rPr/>
            </w:pPr>
            <w:r>
              <w:rPr/>
              <w:t> </w:t>
            </w:r>
          </w:p>
        </w:tc>
        <w:tc>
          <w:tcPr>
            <w:tcW w:w="2421" w:type="dxa"/>
            <w:gridSpan w:val="2"/>
            <w:tcBorders/>
            <w:shd w:fill="auto" w:val="clear"/>
            <w:vAlign w:val="bottom"/>
          </w:tcPr>
          <w:p>
            <w:pPr>
              <w:pStyle w:val="TableContents"/>
              <w:spacing w:before="0" w:after="0"/>
              <w:ind w:left="0" w:right="0" w:hanging="0"/>
              <w:rPr/>
            </w:pPr>
            <w:hyperlink w:anchor="BOARD_LEADERSHIP_STRUCTURE">
              <w:r>
                <w:rPr>
                  <w:rStyle w:val="InternetLink"/>
                  <w:rFonts w:ascii="Open Sans" w:hAnsi="Open Sans"/>
                  <w:b w:val="false"/>
                  <w:i w:val="false"/>
                  <w:caps w:val="false"/>
                  <w:smallCaps w:val="false"/>
                  <w:strike w:val="false"/>
                  <w:dstrike w:val="false"/>
                  <w:color w:val="004A7C"/>
                  <w:sz w:val="14"/>
                  <w:u w:val="none"/>
                  <w:effect w:val="none"/>
                </w:rPr>
                <w:t>Board Leadership Structure</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28</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SECURITY_OWNERSHIP__BOARD_DIRECTORS_MANA">
              <w:r>
                <w:rPr>
                  <w:rStyle w:val="InternetLink"/>
                  <w:rFonts w:ascii="Open Sans" w:hAnsi="Open Sans"/>
                  <w:b w:val="false"/>
                  <w:i w:val="false"/>
                  <w:caps w:val="false"/>
                  <w:smallCaps w:val="false"/>
                  <w:strike w:val="false"/>
                  <w:dstrike w:val="false"/>
                  <w:color w:val="004A7C"/>
                  <w:sz w:val="14"/>
                  <w:u w:val="none"/>
                  <w:effect w:val="none"/>
                </w:rPr>
                <w:t>Security Ownership of the Board of Directors and Management</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46</w:t>
            </w:r>
          </w:p>
        </w:tc>
      </w:tr>
      <w:tr>
        <w:trPr/>
        <w:tc>
          <w:tcPr>
            <w:tcW w:w="2481" w:type="dxa"/>
            <w:gridSpan w:val="3"/>
            <w:tcBorders/>
            <w:shd w:fill="auto" w:val="clear"/>
            <w:vAlign w:val="bottom"/>
          </w:tcPr>
          <w:p>
            <w:pPr>
              <w:pStyle w:val="TableContents"/>
              <w:spacing w:before="0" w:after="0"/>
              <w:ind w:left="9" w:right="0" w:hanging="0"/>
              <w:rPr/>
            </w:pPr>
            <w:hyperlink w:anchor="BOARD_MEETINGS_COMMITTEES">
              <w:r>
                <w:rPr>
                  <w:rStyle w:val="InternetLink"/>
                  <w:rFonts w:ascii="Open Sans" w:hAnsi="Open Sans"/>
                  <w:b w:val="false"/>
                  <w:i w:val="false"/>
                  <w:caps w:val="false"/>
                  <w:smallCaps w:val="false"/>
                  <w:strike w:val="false"/>
                  <w:dstrike w:val="false"/>
                  <w:color w:val="004A7C"/>
                  <w:sz w:val="14"/>
                  <w:u w:val="none"/>
                  <w:effect w:val="none"/>
                </w:rPr>
                <w:t xml:space="preserve">Board Meetings and Committees </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DELINQUENT_SECTION_16A_REPORTS">
              <w:r>
                <w:rPr>
                  <w:rStyle w:val="InternetLink"/>
                  <w:rFonts w:ascii="Open Sans" w:hAnsi="Open Sans"/>
                  <w:b w:val="false"/>
                  <w:i w:val="false"/>
                  <w:caps w:val="false"/>
                  <w:smallCaps w:val="false"/>
                  <w:strike w:val="false"/>
                  <w:dstrike w:val="false"/>
                  <w:color w:val="004A7C"/>
                  <w:sz w:val="14"/>
                  <w:u w:val="none"/>
                  <w:effect w:val="none"/>
                </w:rPr>
                <w:t>Delinquent Section 16(a) Reports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47</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MEETING_PARTICIPATION">
              <w:r>
                <w:rPr>
                  <w:rStyle w:val="InternetLink"/>
                  <w:rFonts w:ascii="Open Sans" w:hAnsi="Open Sans"/>
                  <w:b w:val="false"/>
                  <w:i w:val="false"/>
                  <w:caps w:val="false"/>
                  <w:smallCaps w:val="false"/>
                  <w:strike w:val="false"/>
                  <w:dstrike w:val="false"/>
                  <w:color w:val="004A7C"/>
                  <w:sz w:val="14"/>
                  <w:u w:val="none"/>
                  <w:effect w:val="none"/>
                </w:rPr>
                <w:t>Meeting Participation</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SECURITY_OWNERSHIP_FIVE_PERCENT_SHAREHOL">
              <w:r>
                <w:rPr>
                  <w:rStyle w:val="InternetLink"/>
                  <w:rFonts w:ascii="Open Sans" w:hAnsi="Open Sans"/>
                  <w:b w:val="false"/>
                  <w:i w:val="false"/>
                  <w:caps w:val="false"/>
                  <w:smallCaps w:val="false"/>
                  <w:strike w:val="false"/>
                  <w:dstrike w:val="false"/>
                  <w:color w:val="004A7C"/>
                  <w:sz w:val="14"/>
                  <w:u w:val="none"/>
                  <w:effect w:val="none"/>
                </w:rPr>
                <w:t>Security Ownership of Five Percent Shareholders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47</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COMMITTEE_COMPOSITION1">
              <w:r>
                <w:rPr>
                  <w:rStyle w:val="InternetLink"/>
                  <w:rFonts w:ascii="Open Sans" w:hAnsi="Open Sans"/>
                  <w:b w:val="false"/>
                  <w:i w:val="false"/>
                  <w:caps w:val="false"/>
                  <w:smallCaps w:val="false"/>
                  <w:strike w:val="false"/>
                  <w:dstrike w:val="false"/>
                  <w:color w:val="004A7C"/>
                  <w:sz w:val="14"/>
                  <w:u w:val="none"/>
                  <w:effect w:val="none"/>
                </w:rPr>
                <w:t>Committee Composition</w:t>
              </w:r>
            </w:hyperlink>
            <w:r>
              <w:rPr>
                <w:rFonts w:ascii="Open Sans" w:hAnsi="Open Sans"/>
                <w:b w:val="false"/>
                <w:i w:val="false"/>
                <w:caps w:val="false"/>
                <w:smallCaps w:val="false"/>
                <w:color w:val="004A7C"/>
                <w:sz w:val="14"/>
              </w:rPr>
              <w:t xml:space="preserve"> </w:t>
            </w:r>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pPr>
            <w:r>
              <w:rPr/>
              <w:t> </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BOARD_REFRESHMENT">
              <w:r>
                <w:rPr>
                  <w:rStyle w:val="InternetLink"/>
                  <w:rFonts w:ascii="Open Sans" w:hAnsi="Open Sans"/>
                  <w:b w:val="false"/>
                  <w:i w:val="false"/>
                  <w:caps w:val="false"/>
                  <w:smallCaps w:val="false"/>
                  <w:strike w:val="false"/>
                  <w:dstrike w:val="false"/>
                  <w:color w:val="004A7C"/>
                  <w:sz w:val="14"/>
                  <w:u w:val="none"/>
                  <w:effect w:val="none"/>
                </w:rPr>
                <w:t>Board Refreshment</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CDA_TABLE_CONTENTS">
              <w:r>
                <w:rPr>
                  <w:rStyle w:val="InternetLink"/>
                  <w:rFonts w:ascii="Open Sans" w:hAnsi="Open Sans"/>
                  <w:b/>
                  <w:i w:val="false"/>
                  <w:caps w:val="false"/>
                  <w:smallCaps w:val="false"/>
                  <w:strike w:val="false"/>
                  <w:dstrike w:val="false"/>
                  <w:color w:val="004A7C"/>
                  <w:sz w:val="14"/>
                  <w:u w:val="none"/>
                  <w:effect w:val="none"/>
                </w:rPr>
                <w:t>Executive Compensation</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A7C"/>
                <w:sz w:val="14"/>
              </w:rPr>
            </w:pPr>
            <w:r>
              <w:rPr>
                <w:rFonts w:ascii="Open Sans" w:hAnsi="Open Sans"/>
                <w:b/>
                <w:i w:val="false"/>
                <w:caps w:val="false"/>
                <w:smallCaps w:val="false"/>
                <w:color w:val="004A7C"/>
                <w:sz w:val="14"/>
              </w:rPr>
              <w:t>50-83</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DIRECTOR_ONBOARDING_PROCESS">
              <w:r>
                <w:rPr>
                  <w:rStyle w:val="InternetLink"/>
                  <w:rFonts w:ascii="Open Sans" w:hAnsi="Open Sans"/>
                  <w:b w:val="false"/>
                  <w:i w:val="false"/>
                  <w:caps w:val="false"/>
                  <w:smallCaps w:val="false"/>
                  <w:strike w:val="false"/>
                  <w:dstrike w:val="false"/>
                  <w:color w:val="004A7C"/>
                  <w:sz w:val="14"/>
                  <w:u w:val="none"/>
                  <w:effect w:val="none"/>
                </w:rPr>
                <w:t>Director</w:t>
              </w:r>
            </w:hyperlink>
            <w:hyperlink w:anchor="DIRECTOR_ONBOARDING_PROCESS">
              <w:r>
                <w:rPr>
                  <w:rStyle w:val="InternetLink"/>
                  <w:rFonts w:ascii="Open Sans" w:hAnsi="Open Sans"/>
                  <w:b w:val="false"/>
                  <w:i w:val="false"/>
                  <w:caps w:val="false"/>
                  <w:smallCaps w:val="false"/>
                  <w:color w:val="000000"/>
                  <w:sz w:val="14"/>
                </w:rPr>
                <w:t xml:space="preserve"> </w:t>
              </w:r>
            </w:hyperlink>
            <w:hyperlink w:anchor="DIRECTOR_ONBOARDING_PROCESS">
              <w:r>
                <w:rPr>
                  <w:rStyle w:val="InternetLink"/>
                  <w:rFonts w:ascii="Open Sans" w:hAnsi="Open Sans"/>
                  <w:b w:val="false"/>
                  <w:i w:val="false"/>
                  <w:caps w:val="false"/>
                  <w:smallCaps w:val="false"/>
                  <w:strike w:val="false"/>
                  <w:dstrike w:val="false"/>
                  <w:color w:val="004A7C"/>
                  <w:sz w:val="14"/>
                  <w:u w:val="none"/>
                  <w:effect w:val="none"/>
                </w:rPr>
                <w:t>Onboarding Process</w:t>
              </w:r>
            </w:hyperlink>
            <w:r>
              <w:rPr>
                <w:rFonts w:ascii="Open Sans" w:hAnsi="Open Sans"/>
                <w:b w:val="false"/>
                <w:i w:val="false"/>
                <w:caps w:val="false"/>
                <w:smallCaps w:val="false"/>
                <w:color w:val="004A7C"/>
                <w:sz w:val="14"/>
              </w:rPr>
              <w:t xml:space="preserve"> </w:t>
            </w:r>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Compensation Discussion and Analysis</w:t>
            </w:r>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pPr>
            <w:r>
              <w:rPr/>
              <w:t> </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CONTINUING_EDUCATION">
              <w:r>
                <w:rPr>
                  <w:rStyle w:val="InternetLink"/>
                  <w:rFonts w:ascii="Open Sans" w:hAnsi="Open Sans"/>
                  <w:b w:val="false"/>
                  <w:i w:val="false"/>
                  <w:caps w:val="false"/>
                  <w:smallCaps w:val="false"/>
                  <w:strike w:val="false"/>
                  <w:dstrike w:val="false"/>
                  <w:color w:val="004A7C"/>
                  <w:sz w:val="14"/>
                  <w:u w:val="none"/>
                  <w:effect w:val="none"/>
                </w:rPr>
                <w:t>Continuing Education</w:t>
              </w:r>
            </w:hyperlink>
            <w:r>
              <w:rPr>
                <w:rFonts w:ascii="Open Sans" w:hAnsi="Open Sans"/>
                <w:b w:val="false"/>
                <w:i w:val="false"/>
                <w:caps w:val="false"/>
                <w:smallCaps w:val="false"/>
                <w:color w:val="004A7C"/>
                <w:sz w:val="14"/>
              </w:rPr>
              <w:t xml:space="preserve"> </w:t>
            </w:r>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CDA_TABLE_CONTENTS">
              <w:r>
                <w:rPr>
                  <w:rStyle w:val="InternetLink"/>
                  <w:rFonts w:ascii="Open Sans" w:hAnsi="Open Sans"/>
                  <w:b w:val="false"/>
                  <w:i w:val="false"/>
                  <w:caps w:val="false"/>
                  <w:smallCaps w:val="false"/>
                  <w:strike w:val="false"/>
                  <w:dstrike w:val="false"/>
                  <w:color w:val="004A7C"/>
                  <w:sz w:val="14"/>
                  <w:u w:val="none"/>
                  <w:effect w:val="none"/>
                </w:rPr>
                <w:t>CD&amp;A Table of Contents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50</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THOUGHTFUL_BOARD_EVALUATION_PROCESS">
              <w:r>
                <w:rPr>
                  <w:rStyle w:val="InternetLink"/>
                  <w:rFonts w:ascii="Open Sans" w:hAnsi="Open Sans"/>
                  <w:b w:val="false"/>
                  <w:i w:val="false"/>
                  <w:caps w:val="false"/>
                  <w:smallCaps w:val="false"/>
                  <w:strike w:val="false"/>
                  <w:dstrike w:val="false"/>
                  <w:color w:val="004A7C"/>
                  <w:sz w:val="14"/>
                  <w:u w:val="none"/>
                  <w:effect w:val="none"/>
                </w:rPr>
                <w:t>Thoughtful Board Evaluation Process</w:t>
              </w:r>
            </w:hyperlink>
            <w:r>
              <w:rPr>
                <w:rFonts w:ascii="Open Sans" w:hAnsi="Open Sans"/>
                <w:b w:val="false"/>
                <w:i w:val="false"/>
                <w:caps w:val="false"/>
                <w:smallCaps w:val="false"/>
                <w:color w:val="004A7C"/>
                <w:sz w:val="14"/>
              </w:rPr>
              <w:t xml:space="preserve"> </w:t>
            </w:r>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N2021_SUMMARY_COMPENSATION_TABLE">
              <w:r>
                <w:rPr>
                  <w:rStyle w:val="InternetLink"/>
                  <w:rFonts w:ascii="Open Sans" w:hAnsi="Open Sans"/>
                  <w:b w:val="false"/>
                  <w:i w:val="false"/>
                  <w:caps w:val="false"/>
                  <w:smallCaps w:val="false"/>
                  <w:strike w:val="false"/>
                  <w:dstrike w:val="false"/>
                  <w:color w:val="004A7C"/>
                  <w:sz w:val="14"/>
                  <w:u w:val="none"/>
                  <w:effect w:val="none"/>
                </w:rPr>
                <w:t>2022 Summary Compensation Table</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71</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DIRECTOR_SUCCESSION_PLANNING">
              <w:r>
                <w:rPr>
                  <w:rStyle w:val="InternetLink"/>
                  <w:rFonts w:ascii="Open Sans" w:hAnsi="Open Sans"/>
                  <w:b w:val="false"/>
                  <w:i w:val="false"/>
                  <w:caps w:val="false"/>
                  <w:smallCaps w:val="false"/>
                  <w:strike w:val="false"/>
                  <w:dstrike w:val="false"/>
                  <w:color w:val="004A7C"/>
                  <w:sz w:val="14"/>
                  <w:u w:val="none"/>
                  <w:effect w:val="none"/>
                </w:rPr>
                <w:t>Director Succession Planning</w:t>
              </w:r>
            </w:hyperlink>
          </w:p>
        </w:tc>
        <w:tc>
          <w:tcPr>
            <w:tcW w:w="60" w:type="dxa"/>
            <w:tcBorders/>
            <w:shd w:fill="auto" w:val="clear"/>
            <w:vAlign w:val="bottom"/>
          </w:tcPr>
          <w:p>
            <w:pPr>
              <w:pStyle w:val="TableContents"/>
              <w:spacing w:before="0" w:after="0"/>
              <w:ind w:left="0" w:right="0" w:hanging="0"/>
              <w:jc w:val="right"/>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c>
          <w:tcPr>
            <w:tcW w:w="60" w:type="dxa"/>
            <w:tcBorders/>
            <w:shd w:fill="auto" w:val="clear"/>
            <w:vAlign w:val="bottom"/>
          </w:tcPr>
          <w:p>
            <w:pPr>
              <w:pStyle w:val="TableContents"/>
              <w:spacing w:before="0" w:after="0"/>
              <w:ind w:left="0" w:right="0" w:hanging="0"/>
              <w:rPr/>
            </w:pPr>
            <w:r>
              <w:rPr/>
              <w:t> </w:t>
            </w:r>
          </w:p>
        </w:tc>
        <w:tc>
          <w:tcPr>
            <w:tcW w:w="6911" w:type="dxa"/>
            <w:tcBorders/>
            <w:shd w:fill="auto" w:val="clear"/>
            <w:vAlign w:val="bottom"/>
          </w:tcPr>
          <w:p>
            <w:pPr>
              <w:pStyle w:val="TableContents"/>
              <w:spacing w:before="0" w:after="0"/>
              <w:ind w:left="0" w:right="0" w:hanging="0"/>
              <w:rPr/>
            </w:pPr>
            <w:hyperlink w:anchor="ALL_OR_COMPENSATION_FOR_2018">
              <w:r>
                <w:rPr>
                  <w:rStyle w:val="InternetLink"/>
                  <w:rFonts w:ascii="Open Sans" w:hAnsi="Open Sans"/>
                  <w:b w:val="false"/>
                  <w:i w:val="false"/>
                  <w:caps w:val="false"/>
                  <w:smallCaps w:val="false"/>
                  <w:strike w:val="false"/>
                  <w:dstrike w:val="false"/>
                  <w:color w:val="004A7C"/>
                  <w:sz w:val="14"/>
                  <w:u w:val="none"/>
                  <w:effect w:val="none"/>
                </w:rPr>
                <w:t>All Other Compensation for 2022</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72</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EXECUTIVE_SUCCESSION_PLANNING">
              <w:r>
                <w:rPr>
                  <w:rStyle w:val="InternetLink"/>
                  <w:rFonts w:ascii="Open Sans" w:hAnsi="Open Sans"/>
                  <w:b w:val="false"/>
                  <w:i w:val="false"/>
                  <w:caps w:val="false"/>
                  <w:smallCaps w:val="false"/>
                  <w:strike w:val="false"/>
                  <w:dstrike w:val="false"/>
                  <w:color w:val="004A7C"/>
                  <w:sz w:val="14"/>
                  <w:u w:val="none"/>
                  <w:effect w:val="none"/>
                </w:rPr>
                <w:t>Executive Succession Planning and Leadership Development</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31</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GRANTS_PLANBASED_AWARDS_IN_2018">
              <w:r>
                <w:rPr>
                  <w:rStyle w:val="InternetLink"/>
                  <w:rFonts w:ascii="Open Sans" w:hAnsi="Open Sans"/>
                  <w:b w:val="false"/>
                  <w:i w:val="false"/>
                  <w:caps w:val="false"/>
                  <w:smallCaps w:val="false"/>
                  <w:strike w:val="false"/>
                  <w:dstrike w:val="false"/>
                  <w:color w:val="004A7C"/>
                  <w:sz w:val="14"/>
                  <w:u w:val="none"/>
                  <w:effect w:val="none"/>
                </w:rPr>
                <w:t>Grants of Plan-Based Awards in 2022</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73</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STOCK_OWNERSHIP_GUIDELINES_ANTIHEDGING_A">
              <w:r>
                <w:rPr>
                  <w:rStyle w:val="InternetLink"/>
                  <w:rFonts w:ascii="Open Sans" w:hAnsi="Open Sans"/>
                  <w:b w:val="false"/>
                  <w:i w:val="false"/>
                  <w:caps w:val="false"/>
                  <w:smallCaps w:val="false"/>
                  <w:strike w:val="false"/>
                  <w:dstrike w:val="false"/>
                  <w:color w:val="004A7C"/>
                  <w:sz w:val="14"/>
                  <w:u w:val="none"/>
                  <w:effect w:val="none"/>
                </w:rPr>
                <w:t>Stock Ownership Guidelines and Anti-Hedging and Anti-Pledging Policies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31</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OUTSTING_EQUITY_AWARDS_AT_FISCAL_YEAR_EN">
              <w:r>
                <w:rPr>
                  <w:rStyle w:val="InternetLink"/>
                  <w:rFonts w:ascii="Open Sans" w:hAnsi="Open Sans"/>
                  <w:b w:val="false"/>
                  <w:i w:val="false"/>
                  <w:caps w:val="false"/>
                  <w:smallCaps w:val="false"/>
                  <w:strike w:val="false"/>
                  <w:dstrike w:val="false"/>
                  <w:color w:val="004A7C"/>
                  <w:sz w:val="14"/>
                  <w:u w:val="none"/>
                  <w:effect w:val="none"/>
                </w:rPr>
                <w:t>Outstanding Equity Awards at Fiscal Year-End</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74</w:t>
            </w:r>
          </w:p>
        </w:tc>
      </w:tr>
      <w:tr>
        <w:trPr/>
        <w:tc>
          <w:tcPr>
            <w:tcW w:w="83" w:type="dxa"/>
            <w:gridSpan w:val="2"/>
            <w:tcBorders/>
            <w:shd w:fill="auto" w:val="clear"/>
            <w:vAlign w:val="bottom"/>
          </w:tcPr>
          <w:p>
            <w:pPr>
              <w:pStyle w:val="TableContents"/>
              <w:spacing w:before="0" w:after="0"/>
              <w:ind w:left="0" w:right="0" w:hanging="0"/>
              <w:rPr/>
            </w:pPr>
            <w:r>
              <w:rPr/>
              <w:t> </w:t>
            </w:r>
          </w:p>
        </w:tc>
        <w:tc>
          <w:tcPr>
            <w:tcW w:w="2398" w:type="dxa"/>
            <w:tcBorders/>
            <w:shd w:fill="auto" w:val="clear"/>
            <w:vAlign w:val="bottom"/>
          </w:tcPr>
          <w:p>
            <w:pPr>
              <w:pStyle w:val="TableContents"/>
              <w:spacing w:before="0" w:after="0"/>
              <w:ind w:left="0" w:right="0" w:hanging="0"/>
              <w:rPr/>
            </w:pPr>
            <w:hyperlink w:anchor="DIRECTOR_NOMINATION_PROCEDURES_DIVERSITY">
              <w:r>
                <w:rPr>
                  <w:rStyle w:val="InternetLink"/>
                  <w:rFonts w:ascii="Open Sans" w:hAnsi="Open Sans"/>
                  <w:b w:val="false"/>
                  <w:i w:val="false"/>
                  <w:caps w:val="false"/>
                  <w:smallCaps w:val="false"/>
                  <w:strike w:val="false"/>
                  <w:dstrike w:val="false"/>
                  <w:color w:val="004A7C"/>
                  <w:sz w:val="14"/>
                  <w:u w:val="none"/>
                  <w:effect w:val="none"/>
                </w:rPr>
                <w:t>Director Nomination Procedures and Diversity Relating to Board Candidacy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32</w:t>
            </w:r>
          </w:p>
        </w:tc>
        <w:tc>
          <w:tcPr>
            <w:tcW w:w="60" w:type="dxa"/>
            <w:tcBorders/>
            <w:shd w:fill="auto" w:val="clear"/>
            <w:vAlign w:val="bottom"/>
          </w:tcPr>
          <w:p>
            <w:pPr>
              <w:pStyle w:val="TableContents"/>
              <w:spacing w:before="0" w:after="0"/>
              <w:ind w:left="0" w:right="0" w:hanging="0"/>
              <w:rPr/>
            </w:pPr>
            <w:r>
              <w:rPr/>
              <w:t> </w:t>
            </w:r>
          </w:p>
        </w:tc>
        <w:tc>
          <w:tcPr>
            <w:tcW w:w="6911" w:type="dxa"/>
            <w:tcBorders/>
            <w:shd w:fill="auto" w:val="clear"/>
            <w:vAlign w:val="bottom"/>
          </w:tcPr>
          <w:p>
            <w:pPr>
              <w:pStyle w:val="TableContents"/>
              <w:spacing w:before="0" w:after="0"/>
              <w:ind w:left="0" w:right="0" w:hanging="0"/>
              <w:rPr/>
            </w:pPr>
            <w:hyperlink w:anchor="PSUS_RSUS_VESTED_IN_2021">
              <w:r>
                <w:rPr>
                  <w:rStyle w:val="InternetLink"/>
                  <w:rFonts w:ascii="Open Sans" w:hAnsi="Open Sans"/>
                  <w:b w:val="false"/>
                  <w:i w:val="false"/>
                  <w:caps w:val="false"/>
                  <w:smallCaps w:val="false"/>
                  <w:strike w:val="false"/>
                  <w:dstrike w:val="false"/>
                  <w:color w:val="004A7C"/>
                  <w:sz w:val="14"/>
                  <w:u w:val="none"/>
                  <w:effect w:val="none"/>
                </w:rPr>
                <w:t>PSUs and RSUs Vested in 2022</w:t>
              </w:r>
            </w:hyperlink>
          </w:p>
        </w:tc>
        <w:tc>
          <w:tcPr>
            <w:tcW w:w="90" w:type="dxa"/>
            <w:tcBorders/>
            <w:shd w:fill="auto" w:val="clear"/>
            <w:vAlign w:val="bottom"/>
          </w:tcPr>
          <w:p>
            <w:pPr>
              <w:pStyle w:val="TableContents"/>
              <w:spacing w:before="0" w:after="0"/>
              <w:ind w:left="0" w:right="0" w:hanging="0"/>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76</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DIRECTOR_INDEPENDENCE">
              <w:r>
                <w:rPr>
                  <w:rStyle w:val="InternetLink"/>
                  <w:rFonts w:ascii="Open Sans" w:hAnsi="Open Sans"/>
                  <w:b w:val="false"/>
                  <w:i w:val="false"/>
                  <w:caps w:val="false"/>
                  <w:smallCaps w:val="false"/>
                  <w:strike w:val="false"/>
                  <w:dstrike w:val="false"/>
                  <w:color w:val="004A7C"/>
                  <w:sz w:val="14"/>
                  <w:u w:val="none"/>
                  <w:effect w:val="none"/>
                </w:rPr>
                <w:t>Director Independence</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32</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NONQUALIFIED_DEFERRED_COMPENSATION_IN_20">
              <w:r>
                <w:rPr>
                  <w:rStyle w:val="InternetLink"/>
                  <w:rFonts w:ascii="Open Sans" w:hAnsi="Open Sans"/>
                  <w:b w:val="false"/>
                  <w:i w:val="false"/>
                  <w:caps w:val="false"/>
                  <w:smallCaps w:val="false"/>
                  <w:strike w:val="false"/>
                  <w:dstrike w:val="false"/>
                  <w:color w:val="004A7C"/>
                  <w:sz w:val="14"/>
                  <w:u w:val="none"/>
                  <w:effect w:val="none"/>
                </w:rPr>
                <w:t>Nonqualified Deferred Compensation in 2022</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76</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SHAREHOLDER_ENGAGEMENT">
              <w:r>
                <w:rPr>
                  <w:rStyle w:val="InternetLink"/>
                  <w:rFonts w:ascii="Open Sans" w:hAnsi="Open Sans"/>
                  <w:b w:val="false"/>
                  <w:i w:val="false"/>
                  <w:caps w:val="false"/>
                  <w:smallCaps w:val="false"/>
                  <w:strike w:val="false"/>
                  <w:dstrike w:val="false"/>
                  <w:color w:val="004A7C"/>
                  <w:sz w:val="14"/>
                  <w:u w:val="none"/>
                  <w:effect w:val="none"/>
                </w:rPr>
                <w:t>Shareholder Engagement</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32</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EMPLOYMENT_AGREEMENTS_POSTEMPLOYMENT_COM">
              <w:r>
                <w:rPr>
                  <w:rStyle w:val="InternetLink"/>
                  <w:rFonts w:ascii="Open Sans" w:hAnsi="Open Sans"/>
                  <w:b w:val="false"/>
                  <w:i w:val="false"/>
                  <w:caps w:val="false"/>
                  <w:smallCaps w:val="false"/>
                  <w:strike w:val="false"/>
                  <w:dstrike w:val="false"/>
                  <w:color w:val="004A7C"/>
                  <w:sz w:val="14"/>
                  <w:u w:val="none"/>
                  <w:effect w:val="none"/>
                </w:rPr>
                <w:t>Employment Agreements and Post-Employment Compensation</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77</w:t>
            </w:r>
          </w:p>
        </w:tc>
      </w:tr>
      <w:tr>
        <w:trPr/>
        <w:tc>
          <w:tcPr>
            <w:tcW w:w="83" w:type="dxa"/>
            <w:gridSpan w:val="2"/>
            <w:tcBorders/>
            <w:shd w:fill="auto" w:val="clear"/>
            <w:vAlign w:val="bottom"/>
          </w:tcPr>
          <w:p>
            <w:pPr>
              <w:pStyle w:val="TableContents"/>
              <w:spacing w:before="0" w:after="0"/>
              <w:ind w:left="0" w:right="0" w:hanging="0"/>
              <w:rPr/>
            </w:pPr>
            <w:r>
              <w:rPr/>
              <w:t> </w:t>
            </w:r>
          </w:p>
        </w:tc>
        <w:tc>
          <w:tcPr>
            <w:tcW w:w="2398" w:type="dxa"/>
            <w:tcBorders/>
            <w:shd w:fill="auto" w:val="clear"/>
            <w:vAlign w:val="bottom"/>
          </w:tcPr>
          <w:p>
            <w:pPr>
              <w:pStyle w:val="TableContents"/>
              <w:spacing w:before="0" w:after="0"/>
              <w:ind w:left="0" w:right="0" w:hanging="0"/>
              <w:rPr/>
            </w:pPr>
            <w:hyperlink w:anchor="HIGHLIGHTS_2022_ENGAGEMENT">
              <w:r>
                <w:rPr>
                  <w:rStyle w:val="InternetLink"/>
                  <w:rFonts w:ascii="Open Sans" w:hAnsi="Open Sans"/>
                  <w:b w:val="false"/>
                  <w:i w:val="false"/>
                  <w:caps w:val="false"/>
                  <w:smallCaps w:val="false"/>
                  <w:strike w:val="false"/>
                  <w:dstrike w:val="false"/>
                  <w:color w:val="004A7C"/>
                  <w:sz w:val="14"/>
                  <w:u w:val="none"/>
                  <w:effect w:val="none"/>
                </w:rPr>
                <w:t>Highlights of 2022 Engagement</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33</w:t>
            </w:r>
          </w:p>
        </w:tc>
        <w:tc>
          <w:tcPr>
            <w:tcW w:w="60" w:type="dxa"/>
            <w:tcBorders/>
            <w:shd w:fill="auto" w:val="clear"/>
            <w:vAlign w:val="bottom"/>
          </w:tcPr>
          <w:p>
            <w:pPr>
              <w:pStyle w:val="TableContents"/>
              <w:spacing w:before="0" w:after="0"/>
              <w:ind w:left="0" w:right="0" w:hanging="0"/>
              <w:rPr/>
            </w:pPr>
            <w:r>
              <w:rPr/>
              <w:t> </w:t>
            </w:r>
          </w:p>
        </w:tc>
        <w:tc>
          <w:tcPr>
            <w:tcW w:w="6911" w:type="dxa"/>
            <w:tcBorders/>
            <w:shd w:fill="auto" w:val="clear"/>
            <w:vAlign w:val="bottom"/>
          </w:tcPr>
          <w:p>
            <w:pPr>
              <w:pStyle w:val="TableContents"/>
              <w:spacing w:before="0" w:after="0"/>
              <w:ind w:left="0" w:right="0" w:hanging="0"/>
              <w:rPr/>
            </w:pPr>
            <w:hyperlink w:anchor="CEO_PAY_RATIO">
              <w:r>
                <w:rPr>
                  <w:rStyle w:val="InternetLink"/>
                  <w:rFonts w:ascii="Open Sans" w:hAnsi="Open Sans"/>
                  <w:b w:val="false"/>
                  <w:i w:val="false"/>
                  <w:caps w:val="false"/>
                  <w:smallCaps w:val="false"/>
                  <w:strike w:val="false"/>
                  <w:dstrike w:val="false"/>
                  <w:color w:val="004A7C"/>
                  <w:sz w:val="14"/>
                  <w:u w:val="none"/>
                  <w:effect w:val="none"/>
                </w:rPr>
                <w:t>CEO Pay Ratio</w:t>
              </w:r>
            </w:hyperlink>
          </w:p>
        </w:tc>
        <w:tc>
          <w:tcPr>
            <w:tcW w:w="90" w:type="dxa"/>
            <w:tcBorders/>
            <w:shd w:fill="auto" w:val="clear"/>
            <w:vAlign w:val="bottom"/>
          </w:tcPr>
          <w:p>
            <w:pPr>
              <w:pStyle w:val="TableContents"/>
              <w:spacing w:before="0" w:after="0"/>
              <w:ind w:left="0" w:right="0" w:hanging="0"/>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80</w:t>
            </w:r>
          </w:p>
        </w:tc>
      </w:tr>
      <w:tr>
        <w:trPr/>
        <w:tc>
          <w:tcPr>
            <w:tcW w:w="2481" w:type="dxa"/>
            <w:gridSpan w:val="3"/>
            <w:tcBorders/>
            <w:shd w:fill="auto" w:val="clear"/>
            <w:vAlign w:val="bottom"/>
          </w:tcPr>
          <w:p>
            <w:pPr>
              <w:pStyle w:val="TableContents"/>
              <w:spacing w:before="0" w:after="0"/>
              <w:ind w:left="0" w:right="0" w:hanging="0"/>
              <w:rPr/>
            </w:pPr>
            <w:hyperlink w:anchor="ADDITIONAL_BOARD_POLICIES">
              <w:r>
                <w:rPr>
                  <w:rStyle w:val="InternetLink"/>
                  <w:rFonts w:ascii="Open Sans" w:hAnsi="Open Sans"/>
                  <w:b w:val="false"/>
                  <w:i w:val="false"/>
                  <w:caps w:val="false"/>
                  <w:smallCaps w:val="false"/>
                  <w:strike w:val="false"/>
                  <w:dstrike w:val="false"/>
                  <w:color w:val="004A7C"/>
                  <w:sz w:val="14"/>
                  <w:u w:val="none"/>
                  <w:effect w:val="none"/>
                </w:rPr>
                <w:t>Additional Board Policies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34</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AY_VERSUS_PERFORMANCE">
              <w:r>
                <w:rPr>
                  <w:rStyle w:val="InternetLink"/>
                  <w:rFonts w:ascii="Open Sans" w:hAnsi="Open Sans"/>
                  <w:b w:val="false"/>
                  <w:i w:val="false"/>
                  <w:caps w:val="false"/>
                  <w:smallCaps w:val="false"/>
                  <w:strike w:val="false"/>
                  <w:dstrike w:val="false"/>
                  <w:color w:val="004A7C"/>
                  <w:sz w:val="14"/>
                  <w:u w:val="none"/>
                  <w:effect w:val="none"/>
                </w:rPr>
                <w:t>Pay versus Performance</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81</w:t>
            </w:r>
          </w:p>
        </w:tc>
      </w:tr>
      <w:tr>
        <w:trPr/>
        <w:tc>
          <w:tcPr>
            <w:tcW w:w="83" w:type="dxa"/>
            <w:gridSpan w:val="2"/>
            <w:tcBorders/>
            <w:shd w:fill="auto" w:val="clear"/>
            <w:vAlign w:val="bottom"/>
          </w:tcPr>
          <w:p>
            <w:pPr>
              <w:pStyle w:val="TableContents"/>
              <w:spacing w:before="0" w:after="0"/>
              <w:ind w:left="0" w:right="0" w:hanging="0"/>
              <w:rPr/>
            </w:pPr>
            <w:r>
              <w:rPr/>
              <w:t> </w:t>
            </w:r>
          </w:p>
        </w:tc>
        <w:tc>
          <w:tcPr>
            <w:tcW w:w="2398" w:type="dxa"/>
            <w:tcBorders/>
            <w:shd w:fill="auto" w:val="clear"/>
            <w:vAlign w:val="bottom"/>
          </w:tcPr>
          <w:p>
            <w:pPr>
              <w:pStyle w:val="TableContents"/>
              <w:spacing w:before="0" w:after="0"/>
              <w:ind w:left="0" w:right="0" w:hanging="0"/>
              <w:rPr/>
            </w:pPr>
            <w:hyperlink w:anchor="SHAREHOLDER_DIRECTOR_RECOMMENDATION_POLI">
              <w:r>
                <w:rPr>
                  <w:rStyle w:val="InternetLink"/>
                  <w:rFonts w:ascii="Open Sans" w:hAnsi="Open Sans"/>
                  <w:b w:val="false"/>
                  <w:i w:val="false"/>
                  <w:caps w:val="false"/>
                  <w:smallCaps w:val="false"/>
                  <w:strike w:val="false"/>
                  <w:dstrike w:val="false"/>
                  <w:color w:val="004A7C"/>
                  <w:sz w:val="14"/>
                  <w:u w:val="none"/>
                  <w:effect w:val="none"/>
                </w:rPr>
                <w:t>Shareholder Director Recommendation Policy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34</w:t>
            </w:r>
          </w:p>
        </w:tc>
        <w:tc>
          <w:tcPr>
            <w:tcW w:w="60" w:type="dxa"/>
            <w:tcBorders/>
            <w:shd w:fill="auto" w:val="clear"/>
            <w:vAlign w:val="bottom"/>
          </w:tcPr>
          <w:p>
            <w:pPr>
              <w:pStyle w:val="TableContents"/>
              <w:spacing w:before="0" w:after="0"/>
              <w:ind w:left="0" w:right="0" w:hanging="0"/>
              <w:rPr/>
            </w:pPr>
            <w:r>
              <w:rPr/>
              <w:t> </w:t>
            </w:r>
          </w:p>
        </w:tc>
        <w:tc>
          <w:tcPr>
            <w:tcW w:w="6911"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629" w:type="dxa"/>
            <w:tcBorders/>
            <w:shd w:fill="auto" w:val="clear"/>
            <w:vAlign w:val="bottom"/>
          </w:tcPr>
          <w:p>
            <w:pPr>
              <w:pStyle w:val="TableContents"/>
              <w:spacing w:before="0" w:after="0"/>
              <w:ind w:left="0" w:right="0" w:hanging="0"/>
              <w:rPr/>
            </w:pPr>
            <w:r>
              <w:rPr/>
              <w:t> </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PROXY_ACCESS_DIRECTOR_NOMINATIONS">
              <w:r>
                <w:rPr>
                  <w:rStyle w:val="InternetLink"/>
                  <w:rFonts w:ascii="Open Sans" w:hAnsi="Open Sans"/>
                  <w:b w:val="false"/>
                  <w:i w:val="false"/>
                  <w:caps w:val="false"/>
                  <w:smallCaps w:val="false"/>
                  <w:strike w:val="false"/>
                  <w:dstrike w:val="false"/>
                  <w:color w:val="004A7C"/>
                  <w:sz w:val="14"/>
                  <w:u w:val="none"/>
                  <w:effect w:val="none"/>
                </w:rPr>
                <w:t>Proxy Access Director Nominations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34</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ROPOSALS_TO_BE_VOTED_ON_AT_MEETING">
              <w:r>
                <w:rPr>
                  <w:rStyle w:val="InternetLink"/>
                  <w:rFonts w:ascii="Open Sans" w:hAnsi="Open Sans"/>
                  <w:b/>
                  <w:i w:val="false"/>
                  <w:caps w:val="false"/>
                  <w:smallCaps w:val="false"/>
                  <w:strike w:val="false"/>
                  <w:dstrike w:val="false"/>
                  <w:color w:val="004A7C"/>
                  <w:sz w:val="14"/>
                  <w:u w:val="none"/>
                  <w:effect w:val="none"/>
                </w:rPr>
                <w:t>Proposals to be Voted on at the Meeting</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A7C"/>
                <w:sz w:val="14"/>
              </w:rPr>
            </w:pPr>
            <w:r>
              <w:rPr>
                <w:rFonts w:ascii="Open Sans" w:hAnsi="Open Sans"/>
                <w:b/>
                <w:i w:val="false"/>
                <w:caps w:val="false"/>
                <w:smallCaps w:val="false"/>
                <w:color w:val="004A7C"/>
                <w:sz w:val="14"/>
              </w:rPr>
              <w:t>86-89</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DIRECTOR_RESIGNATION_POLICY">
              <w:r>
                <w:rPr>
                  <w:rStyle w:val="InternetLink"/>
                  <w:rFonts w:ascii="Open Sans" w:hAnsi="Open Sans"/>
                  <w:b w:val="false"/>
                  <w:i w:val="false"/>
                  <w:caps w:val="false"/>
                  <w:smallCaps w:val="false"/>
                  <w:strike w:val="false"/>
                  <w:dstrike w:val="false"/>
                  <w:color w:val="004A7C"/>
                  <w:sz w:val="14"/>
                  <w:u w:val="none"/>
                  <w:effect w:val="none"/>
                </w:rPr>
                <w:t>Director Resignation Policy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34</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ROPOSAL_1_ELECTION_DIRECTORS">
              <w:r>
                <w:rPr>
                  <w:rStyle w:val="InternetLink"/>
                  <w:rFonts w:ascii="Open Sans" w:hAnsi="Open Sans"/>
                  <w:b w:val="false"/>
                  <w:i w:val="false"/>
                  <w:caps w:val="false"/>
                  <w:smallCaps w:val="false"/>
                  <w:strike w:val="false"/>
                  <w:dstrike w:val="false"/>
                  <w:color w:val="004A7C"/>
                  <w:sz w:val="14"/>
                  <w:u w:val="none"/>
                  <w:effect w:val="none"/>
                </w:rPr>
                <w:t>Proposal 1: Election of Directors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86</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COMMUNICATIONS_WITH_BOARD_DIRECTORS">
              <w:r>
                <w:rPr>
                  <w:rStyle w:val="InternetLink"/>
                  <w:rFonts w:ascii="Open Sans" w:hAnsi="Open Sans"/>
                  <w:b w:val="false"/>
                  <w:i w:val="false"/>
                  <w:caps w:val="false"/>
                  <w:smallCaps w:val="false"/>
                  <w:strike w:val="false"/>
                  <w:dstrike w:val="false"/>
                  <w:color w:val="004A7C"/>
                  <w:sz w:val="14"/>
                  <w:u w:val="none"/>
                  <w:effect w:val="none"/>
                </w:rPr>
                <w:t>Communications with the Board of Directors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35</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ROPOSAL_2_ADVISORY_VOTE_ON_NAMED_EXECU">
              <w:r>
                <w:rPr>
                  <w:rStyle w:val="InternetLink"/>
                  <w:rFonts w:ascii="Open Sans" w:hAnsi="Open Sans"/>
                  <w:b w:val="false"/>
                  <w:i w:val="false"/>
                  <w:caps w:val="false"/>
                  <w:smallCaps w:val="false"/>
                  <w:strike w:val="false"/>
                  <w:dstrike w:val="false"/>
                  <w:color w:val="004A7C"/>
                  <w:sz w:val="14"/>
                  <w:u w:val="none"/>
                  <w:effect w:val="none"/>
                </w:rPr>
                <w:t>Proposal 2: Advisory Vote on Named Executive Officer Compensation</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87</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ATTENDANCE_AT_ANNUAL_MEETINGS_POLICY">
              <w:r>
                <w:rPr>
                  <w:rStyle w:val="InternetLink"/>
                  <w:rFonts w:ascii="Open Sans" w:hAnsi="Open Sans"/>
                  <w:b w:val="false"/>
                  <w:i w:val="false"/>
                  <w:caps w:val="false"/>
                  <w:smallCaps w:val="false"/>
                  <w:strike w:val="false"/>
                  <w:dstrike w:val="false"/>
                  <w:color w:val="004A7C"/>
                  <w:sz w:val="14"/>
                  <w:u w:val="none"/>
                  <w:effect w:val="none"/>
                </w:rPr>
                <w:t>Attendance at Annual Meetings Policy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35</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ROPOSAL_3_ADVISORY_VOTE_ON_FREQUENCY_A">
              <w:r>
                <w:rPr>
                  <w:rStyle w:val="InternetLink"/>
                  <w:rFonts w:ascii="Open Sans" w:hAnsi="Open Sans"/>
                  <w:b w:val="false"/>
                  <w:i w:val="false"/>
                  <w:caps w:val="false"/>
                  <w:smallCaps w:val="false"/>
                  <w:strike w:val="false"/>
                  <w:dstrike w:val="false"/>
                  <w:color w:val="004A7C"/>
                  <w:sz w:val="14"/>
                  <w:u w:val="none"/>
                  <w:effect w:val="none"/>
                </w:rPr>
                <w:t>Proposal 3: Advisory Vote on the Frequency of An Advisory Vote on Named Executive Officer Compensation</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88</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ADDITIONAL_INFORMATION_REGARDING_CORPORA">
              <w:r>
                <w:rPr>
                  <w:rStyle w:val="InternetLink"/>
                  <w:rFonts w:ascii="Open Sans" w:hAnsi="Open Sans"/>
                  <w:b w:val="false"/>
                  <w:i w:val="false"/>
                  <w:caps w:val="false"/>
                  <w:smallCaps w:val="false"/>
                  <w:strike w:val="false"/>
                  <w:dstrike w:val="false"/>
                  <w:color w:val="004A7C"/>
                  <w:sz w:val="14"/>
                  <w:u w:val="none"/>
                  <w:effect w:val="none"/>
                </w:rPr>
                <w:t>Additional Information Regarding Corporate Governance</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35</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ROPOSAL_4_RATIFICATION_INDEPENDENT1">
              <w:r>
                <w:rPr>
                  <w:rStyle w:val="InternetLink"/>
                  <w:rFonts w:ascii="Open Sans" w:hAnsi="Open Sans"/>
                  <w:b w:val="false"/>
                  <w:i w:val="false"/>
                  <w:caps w:val="false"/>
                  <w:smallCaps w:val="false"/>
                  <w:strike w:val="false"/>
                  <w:dstrike w:val="false"/>
                  <w:color w:val="004A7C"/>
                  <w:sz w:val="14"/>
                  <w:u w:val="none"/>
                  <w:effect w:val="none"/>
                </w:rPr>
                <w:t>Proposal 4: Ratification of Independent Registered Public Accounting Firm</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89</w:t>
            </w:r>
          </w:p>
        </w:tc>
      </w:tr>
      <w:tr>
        <w:trPr/>
        <w:tc>
          <w:tcPr>
            <w:tcW w:w="2481" w:type="dxa"/>
            <w:gridSpan w:val="3"/>
            <w:tcBorders/>
            <w:shd w:fill="auto" w:val="clear"/>
            <w:vAlign w:val="bottom"/>
          </w:tcPr>
          <w:p>
            <w:pPr>
              <w:pStyle w:val="TableContents"/>
              <w:spacing w:before="0" w:after="0"/>
              <w:ind w:left="0" w:right="0" w:hanging="0"/>
              <w:rPr/>
            </w:pPr>
            <w:hyperlink w:anchor="RISK_OVERSIGHT">
              <w:r>
                <w:rPr>
                  <w:rStyle w:val="InternetLink"/>
                  <w:rFonts w:ascii="Open Sans" w:hAnsi="Open Sans"/>
                  <w:b w:val="false"/>
                  <w:i w:val="false"/>
                  <w:caps w:val="false"/>
                  <w:smallCaps w:val="false"/>
                  <w:strike w:val="false"/>
                  <w:dstrike w:val="false"/>
                  <w:color w:val="004A7C"/>
                  <w:sz w:val="14"/>
                  <w:u w:val="none"/>
                  <w:effect w:val="none"/>
                </w:rPr>
                <w:t>Risk Oversight</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35</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pPr>
            <w:r>
              <w:rPr/>
              <w:t> </w:t>
            </w:r>
          </w:p>
        </w:tc>
      </w:tr>
      <w:tr>
        <w:trPr/>
        <w:tc>
          <w:tcPr>
            <w:tcW w:w="2481" w:type="dxa"/>
            <w:gridSpan w:val="3"/>
            <w:tcBorders/>
            <w:shd w:fill="auto" w:val="clear"/>
            <w:vAlign w:val="bottom"/>
          </w:tcPr>
          <w:p>
            <w:pPr>
              <w:pStyle w:val="TableContents"/>
              <w:spacing w:before="0" w:after="0"/>
              <w:ind w:left="300" w:right="0" w:hanging="0"/>
              <w:rPr/>
            </w:pPr>
            <w:hyperlink w:anchor="BOARD_OVERSIGHT_SUSTAINABILITY">
              <w:r>
                <w:rPr>
                  <w:rStyle w:val="InternetLink"/>
                  <w:rFonts w:ascii="Open Sans" w:hAnsi="Open Sans"/>
                  <w:b w:val="false"/>
                  <w:i w:val="false"/>
                  <w:caps w:val="false"/>
                  <w:smallCaps w:val="false"/>
                  <w:strike w:val="false"/>
                  <w:dstrike w:val="false"/>
                  <w:color w:val="004A7C"/>
                  <w:sz w:val="14"/>
                  <w:u w:val="none"/>
                  <w:effect w:val="none"/>
                </w:rPr>
                <w:t>Board Oversight of Sustainability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36</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QUESTIONS_ANSWERS_ABOUT_ANNUAL_MEETING">
              <w:r>
                <w:rPr>
                  <w:rStyle w:val="InternetLink"/>
                  <w:rFonts w:ascii="Open Sans" w:hAnsi="Open Sans"/>
                  <w:b/>
                  <w:i w:val="false"/>
                  <w:caps w:val="false"/>
                  <w:smallCaps w:val="false"/>
                  <w:strike w:val="false"/>
                  <w:dstrike w:val="false"/>
                  <w:color w:val="004A7C"/>
                  <w:sz w:val="14"/>
                  <w:u w:val="none"/>
                  <w:effect w:val="none"/>
                </w:rPr>
                <w:t>Information About the Meeting</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A7C"/>
                <w:sz w:val="14"/>
              </w:rPr>
            </w:pPr>
            <w:r>
              <w:rPr>
                <w:rFonts w:ascii="Open Sans" w:hAnsi="Open Sans"/>
                <w:b/>
                <w:i w:val="false"/>
                <w:caps w:val="false"/>
                <w:smallCaps w:val="false"/>
                <w:color w:val="004A7C"/>
                <w:sz w:val="14"/>
              </w:rPr>
              <w:t>92-95</w:t>
            </w:r>
          </w:p>
        </w:tc>
      </w:tr>
      <w:tr>
        <w:trPr/>
        <w:tc>
          <w:tcPr>
            <w:tcW w:w="2481" w:type="dxa"/>
            <w:gridSpan w:val="3"/>
            <w:tcBorders/>
            <w:shd w:fill="auto" w:val="clear"/>
            <w:vAlign w:val="bottom"/>
          </w:tcPr>
          <w:p>
            <w:pPr>
              <w:pStyle w:val="TableContents"/>
              <w:spacing w:before="0" w:after="0"/>
              <w:ind w:left="300" w:right="0" w:hanging="0"/>
              <w:rPr/>
            </w:pPr>
            <w:hyperlink w:anchor="BOARD_OVERSIGHT_TALENT">
              <w:r>
                <w:rPr>
                  <w:rStyle w:val="InternetLink"/>
                  <w:rFonts w:ascii="Open Sans" w:hAnsi="Open Sans"/>
                  <w:b w:val="false"/>
                  <w:i w:val="false"/>
                  <w:caps w:val="false"/>
                  <w:smallCaps w:val="false"/>
                  <w:strike w:val="false"/>
                  <w:dstrike w:val="false"/>
                  <w:color w:val="004A7C"/>
                  <w:sz w:val="14"/>
                  <w:u w:val="none"/>
                  <w:effect w:val="none"/>
                </w:rPr>
                <w:t>Board Oversight of Talent</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36</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QUESTIONS_ANSWERS_ABOUT_ANNUAL_MEETING">
              <w:r>
                <w:rPr>
                  <w:rStyle w:val="InternetLink"/>
                  <w:rFonts w:ascii="Open Sans" w:hAnsi="Open Sans"/>
                  <w:b w:val="false"/>
                  <w:i w:val="false"/>
                  <w:caps w:val="false"/>
                  <w:smallCaps w:val="false"/>
                  <w:strike w:val="false"/>
                  <w:dstrike w:val="false"/>
                  <w:color w:val="004A7C"/>
                  <w:sz w:val="14"/>
                  <w:u w:val="none"/>
                  <w:effect w:val="none"/>
                </w:rPr>
                <w:t>Questions and Answers About the Annual Meeting</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92</w:t>
            </w:r>
          </w:p>
        </w:tc>
      </w:tr>
      <w:tr>
        <w:trPr/>
        <w:tc>
          <w:tcPr>
            <w:tcW w:w="2481" w:type="dxa"/>
            <w:gridSpan w:val="3"/>
            <w:tcBorders/>
            <w:shd w:fill="auto" w:val="clear"/>
            <w:vAlign w:val="bottom"/>
          </w:tcPr>
          <w:p>
            <w:pPr>
              <w:pStyle w:val="TableContents"/>
              <w:spacing w:before="0" w:after="0"/>
              <w:ind w:left="0" w:right="0" w:hanging="0"/>
              <w:rPr/>
            </w:pPr>
            <w:hyperlink w:anchor="ETHICS_COMPLIANCE">
              <w:r>
                <w:rPr>
                  <w:rStyle w:val="InternetLink"/>
                  <w:rFonts w:ascii="Open Sans" w:hAnsi="Open Sans"/>
                  <w:b w:val="false"/>
                  <w:i w:val="false"/>
                  <w:caps w:val="false"/>
                  <w:smallCaps w:val="false"/>
                  <w:strike w:val="false"/>
                  <w:dstrike w:val="false"/>
                  <w:color w:val="004A7C"/>
                  <w:sz w:val="14"/>
                  <w:u w:val="none"/>
                  <w:effect w:val="none"/>
                </w:rPr>
                <w:t>Ethics and Compliance</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37</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EXPENSES_SOLICITATIONS">
              <w:r>
                <w:rPr>
                  <w:rStyle w:val="InternetLink"/>
                  <w:rFonts w:ascii="Open Sans" w:hAnsi="Open Sans"/>
                  <w:b w:val="false"/>
                  <w:i w:val="false"/>
                  <w:caps w:val="false"/>
                  <w:smallCaps w:val="false"/>
                  <w:strike w:val="false"/>
                  <w:dstrike w:val="false"/>
                  <w:color w:val="004A7C"/>
                  <w:sz w:val="14"/>
                  <w:u w:val="none"/>
                  <w:effect w:val="none"/>
                </w:rPr>
                <w:t>Expenses of Solicitations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94</w:t>
            </w:r>
          </w:p>
        </w:tc>
      </w:tr>
      <w:tr>
        <w:trPr/>
        <w:tc>
          <w:tcPr>
            <w:tcW w:w="2481" w:type="dxa"/>
            <w:gridSpan w:val="3"/>
            <w:tcBorders/>
            <w:shd w:fill="auto" w:val="clear"/>
            <w:vAlign w:val="bottom"/>
          </w:tcPr>
          <w:p>
            <w:pPr>
              <w:pStyle w:val="TableContents"/>
              <w:spacing w:before="0" w:after="0"/>
              <w:ind w:left="0" w:right="0" w:hanging="0"/>
              <w:rPr/>
            </w:pPr>
            <w:hyperlink w:anchor="SUSTAINABILITY_CORPORATE_RESPONSIBILITY">
              <w:r>
                <w:rPr>
                  <w:rStyle w:val="InternetLink"/>
                  <w:rFonts w:ascii="Open Sans" w:hAnsi="Open Sans"/>
                  <w:b w:val="false"/>
                  <w:i w:val="false"/>
                  <w:caps w:val="false"/>
                  <w:smallCaps w:val="false"/>
                  <w:strike w:val="false"/>
                  <w:dstrike w:val="false"/>
                  <w:color w:val="004A7C"/>
                  <w:sz w:val="14"/>
                  <w:u w:val="none"/>
                  <w:effect w:val="none"/>
                </w:rPr>
                <w:t>Sustainability and Corporate Responsibility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38</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PROXY_STATEMENT_MAILING_INFORMATION_HOUS">
              <w:r>
                <w:rPr>
                  <w:rStyle w:val="InternetLink"/>
                  <w:rFonts w:ascii="Open Sans" w:hAnsi="Open Sans"/>
                  <w:b w:val="false"/>
                  <w:i w:val="false"/>
                  <w:caps w:val="false"/>
                  <w:smallCaps w:val="false"/>
                  <w:strike w:val="false"/>
                  <w:dstrike w:val="false"/>
                  <w:color w:val="004A7C"/>
                  <w:sz w:val="14"/>
                  <w:u w:val="none"/>
                  <w:effect w:val="none"/>
                </w:rPr>
                <w:t>Proxy Statement Mailing Information and Householding</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94</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OUR_COMMITMENT_TO_SAFETY">
              <w:r>
                <w:rPr>
                  <w:rStyle w:val="InternetLink"/>
                  <w:rFonts w:ascii="Open Sans" w:hAnsi="Open Sans"/>
                  <w:b w:val="false"/>
                  <w:i w:val="false"/>
                  <w:caps w:val="false"/>
                  <w:smallCaps w:val="false"/>
                  <w:strike w:val="false"/>
                  <w:dstrike w:val="false"/>
                  <w:color w:val="004A7C"/>
                  <w:sz w:val="14"/>
                  <w:u w:val="none"/>
                  <w:effect w:val="none"/>
                </w:rPr>
                <w:t>Our Commitment to Safety</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38</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SUBMISSION_SHAREHOLDER_PROPOSALS_FOR_OUR">
              <w:r>
                <w:rPr>
                  <w:rStyle w:val="InternetLink"/>
                  <w:rFonts w:ascii="Open Sans" w:hAnsi="Open Sans"/>
                  <w:b w:val="false"/>
                  <w:i w:val="false"/>
                  <w:caps w:val="false"/>
                  <w:smallCaps w:val="false"/>
                  <w:strike w:val="false"/>
                  <w:dstrike w:val="false"/>
                  <w:color w:val="004A7C"/>
                  <w:sz w:val="14"/>
                  <w:u w:val="none"/>
                  <w:effect w:val="none"/>
                </w:rPr>
                <w:t>Submission of Shareholder Proposals for our 2024 Annual Meeting</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95</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SUSTAINABILITY_FOCUS">
              <w:r>
                <w:rPr>
                  <w:rStyle w:val="InternetLink"/>
                  <w:rFonts w:ascii="Open Sans" w:hAnsi="Open Sans"/>
                  <w:b w:val="false"/>
                  <w:i w:val="false"/>
                  <w:caps w:val="false"/>
                  <w:smallCaps w:val="false"/>
                  <w:strike w:val="false"/>
                  <w:dstrike w:val="false"/>
                  <w:color w:val="004A7C"/>
                  <w:sz w:val="14"/>
                  <w:u w:val="none"/>
                  <w:effect w:val="none"/>
                </w:rPr>
                <w:t>Sustainability Focus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38</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hyperlink w:anchor="MISCELLANEOUS_MATTERS">
              <w:r>
                <w:rPr>
                  <w:rStyle w:val="InternetLink"/>
                  <w:rFonts w:ascii="Open Sans" w:hAnsi="Open Sans"/>
                  <w:b w:val="false"/>
                  <w:i w:val="false"/>
                  <w:caps w:val="false"/>
                  <w:smallCaps w:val="false"/>
                  <w:strike w:val="false"/>
                  <w:dstrike w:val="false"/>
                  <w:color w:val="004A7C"/>
                  <w:sz w:val="14"/>
                  <w:u w:val="none"/>
                  <w:effect w:val="none"/>
                </w:rPr>
                <w:t>Miscellaneous Matters</w:t>
              </w:r>
            </w:hyperlink>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95</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INDUSTRY_LEADERSHIP">
              <w:r>
                <w:rPr>
                  <w:rStyle w:val="InternetLink"/>
                  <w:rFonts w:ascii="Open Sans" w:hAnsi="Open Sans"/>
                  <w:b w:val="false"/>
                  <w:i w:val="false"/>
                  <w:caps w:val="false"/>
                  <w:smallCaps w:val="false"/>
                  <w:strike w:val="false"/>
                  <w:dstrike w:val="false"/>
                  <w:color w:val="004A7C"/>
                  <w:sz w:val="14"/>
                  <w:u w:val="none"/>
                  <w:effect w:val="none"/>
                </w:rPr>
                <w:t>Industry Leadership</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39</w:t>
            </w:r>
          </w:p>
        </w:tc>
        <w:tc>
          <w:tcPr>
            <w:tcW w:w="60" w:type="dxa"/>
            <w:tcBorders/>
            <w:shd w:fill="auto" w:val="clear"/>
            <w:vAlign w:val="bottom"/>
          </w:tcPr>
          <w:p>
            <w:pPr>
              <w:pStyle w:val="TableContents"/>
              <w:spacing w:before="0" w:after="0"/>
              <w:ind w:left="0" w:right="0" w:hanging="0"/>
              <w:jc w:val="right"/>
              <w:rPr/>
            </w:pPr>
            <w:r>
              <w:rPr/>
              <w:t> </w:t>
            </w:r>
          </w:p>
        </w:tc>
        <w:tc>
          <w:tcPr>
            <w:tcW w:w="6911"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right"/>
              <w:rPr/>
            </w:pPr>
            <w:r>
              <w:rPr/>
              <w:t> </w:t>
            </w:r>
          </w:p>
        </w:tc>
        <w:tc>
          <w:tcPr>
            <w:tcW w:w="629" w:type="dxa"/>
            <w:tcBorders/>
            <w:shd w:fill="auto" w:val="clear"/>
            <w:vAlign w:val="bottom"/>
          </w:tcPr>
          <w:p>
            <w:pPr>
              <w:pStyle w:val="TableContents"/>
              <w:spacing w:before="0" w:after="0"/>
              <w:ind w:left="0" w:right="0" w:hanging="0"/>
              <w:jc w:val="right"/>
              <w:rPr/>
            </w:pPr>
            <w:r>
              <w:rPr/>
              <w:t> </w:t>
            </w:r>
          </w:p>
        </w:tc>
      </w:tr>
      <w:tr>
        <w:trPr/>
        <w:tc>
          <w:tcPr>
            <w:tcW w:w="2481" w:type="dxa"/>
            <w:gridSpan w:val="3"/>
            <w:tcBorders/>
            <w:shd w:fill="auto" w:val="clear"/>
            <w:vAlign w:val="bottom"/>
          </w:tcPr>
          <w:p>
            <w:pPr>
              <w:pStyle w:val="TableContents"/>
              <w:spacing w:before="0" w:after="0"/>
              <w:ind w:left="0" w:right="0" w:hanging="0"/>
              <w:rPr/>
            </w:pPr>
            <w:hyperlink w:anchor="TALENT">
              <w:r>
                <w:rPr>
                  <w:rStyle w:val="InternetLink"/>
                  <w:rFonts w:ascii="Open Sans" w:hAnsi="Open Sans"/>
                  <w:b w:val="false"/>
                  <w:i w:val="false"/>
                  <w:caps w:val="false"/>
                  <w:smallCaps w:val="false"/>
                  <w:strike w:val="false"/>
                  <w:dstrike w:val="false"/>
                  <w:color w:val="004A7C"/>
                  <w:sz w:val="14"/>
                  <w:u w:val="none"/>
                  <w:effect w:val="none"/>
                </w:rPr>
                <w:t>Talent</w:t>
              </w:r>
            </w:hyperlink>
            <w:r>
              <w:rPr>
                <w:rFonts w:ascii="Open Sans" w:hAnsi="Open Sans"/>
                <w:b w:val="false"/>
                <w:i w:val="false"/>
                <w:caps w:val="false"/>
                <w:smallCaps w:val="false"/>
                <w:color w:val="004A7C"/>
                <w:sz w:val="14"/>
              </w:rPr>
              <w:t xml:space="preserve"> </w:t>
            </w:r>
          </w:p>
        </w:tc>
        <w:tc>
          <w:tcPr>
            <w:tcW w:w="60" w:type="dxa"/>
            <w:tcBorders/>
            <w:shd w:fill="auto" w:val="clear"/>
            <w:vAlign w:val="bottom"/>
          </w:tcPr>
          <w:p>
            <w:pPr>
              <w:pStyle w:val="TableContents"/>
              <w:spacing w:before="0" w:after="0"/>
              <w:ind w:left="872"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40</w:t>
            </w:r>
          </w:p>
        </w:tc>
        <w:tc>
          <w:tcPr>
            <w:tcW w:w="60" w:type="dxa"/>
            <w:tcBorders/>
            <w:shd w:fill="auto" w:val="clear"/>
            <w:vAlign w:val="bottom"/>
          </w:tcPr>
          <w:p>
            <w:pPr>
              <w:pStyle w:val="TableContents"/>
              <w:spacing w:before="0" w:after="0"/>
              <w:ind w:left="872" w:right="0" w:hanging="0"/>
              <w:rPr/>
            </w:pPr>
            <w:r>
              <w:rPr/>
              <w:t> </w:t>
            </w:r>
          </w:p>
        </w:tc>
        <w:tc>
          <w:tcPr>
            <w:tcW w:w="6911" w:type="dxa"/>
            <w:tcBorders/>
            <w:shd w:fill="auto" w:val="clear"/>
            <w:vAlign w:val="bottom"/>
          </w:tcPr>
          <w:p>
            <w:pPr>
              <w:pStyle w:val="TableContents"/>
              <w:spacing w:before="0" w:after="0"/>
              <w:ind w:left="0" w:right="0" w:hanging="0"/>
              <w:rPr/>
            </w:pPr>
            <w:hyperlink w:anchor="ANNEX_A">
              <w:r>
                <w:rPr>
                  <w:rStyle w:val="InternetLink"/>
                  <w:rFonts w:ascii="Open Sans" w:hAnsi="Open Sans"/>
                  <w:b/>
                  <w:i w:val="false"/>
                  <w:caps w:val="false"/>
                  <w:smallCaps w:val="false"/>
                  <w:strike w:val="false"/>
                  <w:dstrike w:val="false"/>
                  <w:color w:val="004A7C"/>
                  <w:sz w:val="14"/>
                  <w:u w:val="none"/>
                  <w:effect w:val="none"/>
                </w:rPr>
                <w:t>Annex – CD&amp;A Appendix</w:t>
              </w:r>
            </w:hyperlink>
          </w:p>
        </w:tc>
        <w:tc>
          <w:tcPr>
            <w:tcW w:w="90" w:type="dxa"/>
            <w:tcBorders/>
            <w:shd w:fill="auto" w:val="clear"/>
            <w:vAlign w:val="bottom"/>
          </w:tcPr>
          <w:p>
            <w:pPr>
              <w:pStyle w:val="TableContents"/>
              <w:spacing w:before="0" w:after="0"/>
              <w:ind w:left="872" w:right="0" w:hanging="0"/>
              <w:rPr/>
            </w:pPr>
            <w:r>
              <w:rPr/>
              <w:t> </w:t>
            </w:r>
          </w:p>
        </w:tc>
        <w:tc>
          <w:tcPr>
            <w:tcW w:w="629"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A7C"/>
                <w:sz w:val="14"/>
              </w:rPr>
            </w:pPr>
            <w:r>
              <w:rPr>
                <w:rFonts w:ascii="Open Sans" w:hAnsi="Open Sans"/>
                <w:b/>
                <w:i w:val="false"/>
                <w:caps w:val="false"/>
                <w:smallCaps w:val="false"/>
                <w:color w:val="004A7C"/>
                <w:sz w:val="14"/>
              </w:rPr>
              <w:t>98-101</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EMPLOYEE_ENGAGEMENT">
              <w:r>
                <w:rPr>
                  <w:rStyle w:val="InternetLink"/>
                  <w:rFonts w:ascii="Open Sans" w:hAnsi="Open Sans"/>
                  <w:b w:val="false"/>
                  <w:i w:val="false"/>
                  <w:caps w:val="false"/>
                  <w:smallCaps w:val="false"/>
                  <w:strike w:val="false"/>
                  <w:dstrike w:val="false"/>
                  <w:color w:val="004A7C"/>
                  <w:sz w:val="14"/>
                  <w:u w:val="none"/>
                  <w:effect w:val="none"/>
                </w:rPr>
                <w:t xml:space="preserve">Employee Engagement </w:t>
              </w:r>
            </w:hyperlink>
          </w:p>
        </w:tc>
        <w:tc>
          <w:tcPr>
            <w:tcW w:w="60" w:type="dxa"/>
            <w:tcBorders/>
            <w:shd w:fill="auto" w:val="clear"/>
            <w:vAlign w:val="bottom"/>
          </w:tcPr>
          <w:p>
            <w:pPr>
              <w:pStyle w:val="TableContents"/>
              <w:spacing w:before="0" w:after="0"/>
              <w:ind w:left="872"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40</w:t>
            </w:r>
          </w:p>
        </w:tc>
        <w:tc>
          <w:tcPr>
            <w:tcW w:w="60" w:type="dxa"/>
            <w:tcBorders/>
            <w:shd w:fill="auto" w:val="clear"/>
            <w:vAlign w:val="bottom"/>
          </w:tcPr>
          <w:p>
            <w:pPr>
              <w:pStyle w:val="TableContents"/>
              <w:spacing w:before="0" w:after="0"/>
              <w:ind w:left="872" w:right="0" w:hanging="0"/>
              <w:rPr/>
            </w:pPr>
            <w:r>
              <w:rPr/>
              <w:t> </w:t>
            </w:r>
          </w:p>
        </w:tc>
        <w:tc>
          <w:tcPr>
            <w:tcW w:w="7630" w:type="dxa"/>
            <w:gridSpan w:val="3"/>
            <w:vMerge w:val="restart"/>
            <w:tcBorders/>
            <w:shd w:fill="auto" w:val="clear"/>
            <w:vAlign w:val="bottom"/>
          </w:tcPr>
          <w:p>
            <w:pPr>
              <w:pStyle w:val="TableContents"/>
              <w:spacing w:before="120" w:after="0"/>
              <w:ind w:left="0" w:right="0" w:hanging="0"/>
              <w:jc w:val="both"/>
              <w:rPr>
                <w:rFonts w:ascii="Open Sans" w:hAnsi="Open Sans"/>
                <w:b/>
                <w:i w:val="false"/>
                <w:caps w:val="false"/>
                <w:smallCaps w:val="false"/>
                <w:color w:val="004A7C"/>
                <w:spacing w:val="3"/>
                <w:sz w:val="14"/>
              </w:rPr>
            </w:pPr>
            <w:r>
              <w:rPr>
                <w:rFonts w:ascii="Open Sans" w:hAnsi="Open Sans"/>
                <w:b/>
                <w:i w:val="false"/>
                <w:caps w:val="false"/>
                <w:smallCaps w:val="false"/>
                <w:color w:val="004A7C"/>
                <w:spacing w:val="3"/>
                <w:sz w:val="14"/>
              </w:rPr>
              <w:t>Important</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notice</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regarding</w:t>
            </w:r>
            <w:r>
              <w:rPr>
                <w:rFonts w:ascii="Open Sans" w:hAnsi="Open Sans"/>
                <w:b/>
                <w:i w:val="false"/>
                <w:caps w:val="false"/>
                <w:smallCaps w:val="false"/>
                <w:color w:val="004A7C"/>
                <w:spacing w:val="7"/>
                <w:sz w:val="14"/>
              </w:rPr>
              <w:t xml:space="preserve"> </w:t>
            </w:r>
            <w:r>
              <w:rPr>
                <w:rFonts w:ascii="Open Sans" w:hAnsi="Open Sans"/>
                <w:b/>
                <w:i w:val="false"/>
                <w:caps w:val="false"/>
                <w:smallCaps w:val="false"/>
                <w:color w:val="004A7C"/>
                <w:spacing w:val="3"/>
                <w:sz w:val="14"/>
              </w:rPr>
              <w:t>the</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availability</w:t>
            </w:r>
            <w:r>
              <w:rPr>
                <w:rFonts w:ascii="Open Sans" w:hAnsi="Open Sans"/>
                <w:b/>
                <w:i w:val="false"/>
                <w:caps w:val="false"/>
                <w:smallCaps w:val="false"/>
                <w:color w:val="004A7C"/>
                <w:spacing w:val="7"/>
                <w:sz w:val="14"/>
              </w:rPr>
              <w:t xml:space="preserve"> </w:t>
            </w:r>
            <w:r>
              <w:rPr>
                <w:rFonts w:ascii="Open Sans" w:hAnsi="Open Sans"/>
                <w:b/>
                <w:i w:val="false"/>
                <w:caps w:val="false"/>
                <w:smallCaps w:val="false"/>
                <w:color w:val="004A7C"/>
                <w:spacing w:val="3"/>
                <w:sz w:val="14"/>
              </w:rPr>
              <w:t>of</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proxy</w:t>
            </w:r>
            <w:r>
              <w:rPr>
                <w:rFonts w:ascii="Open Sans" w:hAnsi="Open Sans"/>
                <w:b/>
                <w:i w:val="false"/>
                <w:caps w:val="false"/>
                <w:smallCaps w:val="false"/>
                <w:color w:val="004A7C"/>
                <w:spacing w:val="7"/>
                <w:sz w:val="14"/>
              </w:rPr>
              <w:t xml:space="preserve"> </w:t>
            </w:r>
            <w:r>
              <w:rPr>
                <w:rFonts w:ascii="Open Sans" w:hAnsi="Open Sans"/>
                <w:b/>
                <w:i w:val="false"/>
                <w:caps w:val="false"/>
                <w:smallCaps w:val="false"/>
                <w:color w:val="004A7C"/>
                <w:spacing w:val="3"/>
                <w:sz w:val="14"/>
              </w:rPr>
              <w:t>materials</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for</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the</w:t>
            </w:r>
            <w:r>
              <w:rPr>
                <w:rFonts w:ascii="Open Sans" w:hAnsi="Open Sans"/>
                <w:b/>
                <w:i w:val="false"/>
                <w:caps w:val="false"/>
                <w:smallCaps w:val="false"/>
                <w:color w:val="004A7C"/>
                <w:spacing w:val="7"/>
                <w:sz w:val="14"/>
              </w:rPr>
              <w:t xml:space="preserve"> </w:t>
            </w:r>
            <w:r>
              <w:rPr>
                <w:rFonts w:ascii="Open Sans" w:hAnsi="Open Sans"/>
                <w:b/>
                <w:i w:val="false"/>
                <w:caps w:val="false"/>
                <w:smallCaps w:val="false"/>
                <w:color w:val="004A7C"/>
                <w:spacing w:val="3"/>
                <w:sz w:val="14"/>
              </w:rPr>
              <w:t>Annual</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Meeting</w:t>
            </w:r>
            <w:r>
              <w:rPr>
                <w:rFonts w:ascii="Open Sans" w:hAnsi="Open Sans"/>
                <w:b/>
                <w:i w:val="false"/>
                <w:caps w:val="false"/>
                <w:smallCaps w:val="false"/>
                <w:color w:val="004A7C"/>
                <w:spacing w:val="7"/>
                <w:sz w:val="14"/>
              </w:rPr>
              <w:t xml:space="preserve"> </w:t>
            </w:r>
            <w:r>
              <w:rPr>
                <w:rFonts w:ascii="Open Sans" w:hAnsi="Open Sans"/>
                <w:b/>
                <w:i w:val="false"/>
                <w:caps w:val="false"/>
                <w:smallCaps w:val="false"/>
                <w:color w:val="004A7C"/>
                <w:spacing w:val="3"/>
                <w:sz w:val="14"/>
              </w:rPr>
              <w:t>of</w:t>
            </w:r>
            <w:r>
              <w:rPr>
                <w:rFonts w:ascii="Open Sans" w:hAnsi="Open Sans"/>
                <w:b/>
                <w:i w:val="false"/>
                <w:caps w:val="false"/>
                <w:smallCaps w:val="false"/>
                <w:color w:val="004A7C"/>
                <w:spacing w:val="6"/>
                <w:sz w:val="14"/>
              </w:rPr>
              <w:t xml:space="preserve"> </w:t>
            </w:r>
            <w:r>
              <w:rPr>
                <w:rFonts w:ascii="Open Sans" w:hAnsi="Open Sans"/>
                <w:b/>
                <w:i w:val="false"/>
                <w:caps w:val="false"/>
                <w:smallCaps w:val="false"/>
                <w:color w:val="004A7C"/>
                <w:spacing w:val="3"/>
                <w:sz w:val="14"/>
              </w:rPr>
              <w:t>Shareholders to</w:t>
            </w:r>
            <w:r>
              <w:rPr>
                <w:rFonts w:ascii="Open Sans" w:hAnsi="Open Sans"/>
                <w:b/>
                <w:i w:val="false"/>
                <w:caps w:val="false"/>
                <w:smallCaps w:val="false"/>
                <w:color w:val="004A7C"/>
                <w:spacing w:val="4"/>
                <w:sz w:val="14"/>
              </w:rPr>
              <w:t xml:space="preserve"> </w:t>
            </w:r>
            <w:r>
              <w:rPr>
                <w:rFonts w:ascii="Open Sans" w:hAnsi="Open Sans"/>
                <w:b/>
                <w:i w:val="false"/>
                <w:caps w:val="false"/>
                <w:smallCaps w:val="false"/>
                <w:color w:val="004A7C"/>
                <w:spacing w:val="3"/>
                <w:sz w:val="14"/>
              </w:rPr>
              <w:t>be</w:t>
            </w:r>
            <w:r>
              <w:rPr>
                <w:rFonts w:ascii="Open Sans" w:hAnsi="Open Sans"/>
                <w:b/>
                <w:i w:val="false"/>
                <w:caps w:val="false"/>
                <w:smallCaps w:val="false"/>
                <w:color w:val="004A7C"/>
                <w:spacing w:val="4"/>
                <w:sz w:val="14"/>
              </w:rPr>
              <w:t xml:space="preserve"> </w:t>
            </w:r>
            <w:r>
              <w:rPr>
                <w:rFonts w:ascii="Open Sans" w:hAnsi="Open Sans"/>
                <w:b/>
                <w:i w:val="false"/>
                <w:caps w:val="false"/>
                <w:smallCaps w:val="false"/>
                <w:color w:val="004A7C"/>
                <w:spacing w:val="3"/>
                <w:sz w:val="14"/>
              </w:rPr>
              <w:t>held</w:t>
            </w:r>
            <w:r>
              <w:rPr>
                <w:rFonts w:ascii="Open Sans" w:hAnsi="Open Sans"/>
                <w:b/>
                <w:i w:val="false"/>
                <w:caps w:val="false"/>
                <w:smallCaps w:val="false"/>
                <w:color w:val="004A7C"/>
                <w:spacing w:val="5"/>
                <w:sz w:val="14"/>
              </w:rPr>
              <w:t xml:space="preserve"> </w:t>
            </w:r>
            <w:r>
              <w:rPr>
                <w:rFonts w:ascii="Open Sans" w:hAnsi="Open Sans"/>
                <w:b/>
                <w:i w:val="false"/>
                <w:caps w:val="false"/>
                <w:smallCaps w:val="false"/>
                <w:color w:val="004A7C"/>
                <w:spacing w:val="3"/>
                <w:sz w:val="14"/>
              </w:rPr>
              <w:t>on</w:t>
            </w:r>
            <w:r>
              <w:rPr>
                <w:rFonts w:ascii="Open Sans" w:hAnsi="Open Sans"/>
                <w:b/>
                <w:i w:val="false"/>
                <w:caps w:val="false"/>
                <w:smallCaps w:val="false"/>
                <w:color w:val="004A7C"/>
                <w:spacing w:val="4"/>
                <w:sz w:val="14"/>
              </w:rPr>
              <w:t xml:space="preserve"> </w:t>
            </w:r>
            <w:r>
              <w:rPr>
                <w:rFonts w:ascii="Open Sans" w:hAnsi="Open Sans"/>
                <w:b/>
                <w:i w:val="false"/>
                <w:caps w:val="false"/>
                <w:smallCaps w:val="false"/>
                <w:color w:val="004A7C"/>
                <w:spacing w:val="3"/>
                <w:sz w:val="14"/>
              </w:rPr>
              <w:t>May 12, 2023:</w:t>
            </w:r>
            <w:r>
              <w:rPr>
                <w:rFonts w:ascii="Open Sans" w:hAnsi="Open Sans"/>
                <w:b/>
                <w:i w:val="false"/>
                <w:caps w:val="false"/>
                <w:smallCaps w:val="false"/>
                <w:color w:val="004A7C"/>
                <w:spacing w:val="4"/>
                <w:sz w:val="14"/>
              </w:rPr>
              <w:t xml:space="preserve"> </w:t>
            </w:r>
            <w:r>
              <w:rPr>
                <w:rFonts w:ascii="Open Sans" w:hAnsi="Open Sans"/>
                <w:b w:val="false"/>
                <w:i w:val="false"/>
                <w:caps w:val="false"/>
                <w:smallCaps w:val="false"/>
                <w:color w:val="004A7C"/>
                <w:spacing w:val="3"/>
                <w:sz w:val="14"/>
              </w:rPr>
              <w:t>This</w:t>
            </w:r>
            <w:r>
              <w:rPr>
                <w:rFonts w:ascii="Open Sans" w:hAnsi="Open Sans"/>
                <w:b/>
                <w:i w:val="false"/>
                <w:caps w:val="false"/>
                <w:smallCaps w:val="false"/>
                <w:color w:val="004A7C"/>
                <w:spacing w:val="4"/>
                <w:sz w:val="14"/>
              </w:rPr>
              <w:t xml:space="preserve"> </w:t>
            </w:r>
            <w:r>
              <w:rPr>
                <w:rFonts w:ascii="Open Sans" w:hAnsi="Open Sans"/>
                <w:b w:val="false"/>
                <w:i w:val="false"/>
                <w:caps w:val="false"/>
                <w:smallCaps w:val="false"/>
                <w:color w:val="004A7C"/>
                <w:spacing w:val="3"/>
                <w:sz w:val="14"/>
              </w:rPr>
              <w:t>Proxy</w:t>
            </w:r>
            <w:r>
              <w:rPr>
                <w:rFonts w:ascii="Open Sans" w:hAnsi="Open Sans"/>
                <w:b/>
                <w:i w:val="false"/>
                <w:caps w:val="false"/>
                <w:smallCaps w:val="false"/>
                <w:color w:val="004A7C"/>
                <w:spacing w:val="5"/>
                <w:sz w:val="14"/>
              </w:rPr>
              <w:t xml:space="preserve"> </w:t>
            </w:r>
            <w:r>
              <w:rPr>
                <w:rFonts w:ascii="Open Sans" w:hAnsi="Open Sans"/>
                <w:b w:val="false"/>
                <w:i w:val="false"/>
                <w:caps w:val="false"/>
                <w:smallCaps w:val="false"/>
                <w:color w:val="004A7C"/>
                <w:spacing w:val="3"/>
                <w:sz w:val="14"/>
              </w:rPr>
              <w:t>Statement relating to the 2023 Annual Meeting of Shareholders and the Annual Report on Form 10-K for the year ended December 31, 2022 are available at</w:t>
            </w:r>
            <w:r>
              <w:rPr>
                <w:rFonts w:ascii="Open Sans" w:hAnsi="Open Sans"/>
                <w:b/>
                <w:i w:val="false"/>
                <w:caps w:val="false"/>
                <w:smallCaps w:val="false"/>
                <w:color w:val="004A7C"/>
                <w:spacing w:val="7"/>
                <w:sz w:val="14"/>
              </w:rPr>
              <w:t xml:space="preserve"> </w:t>
            </w:r>
            <w:r>
              <w:rPr>
                <w:rFonts w:ascii="Open Sans" w:hAnsi="Open Sans"/>
                <w:b w:val="false"/>
                <w:i w:val="false"/>
                <w:caps w:val="false"/>
                <w:smallCaps w:val="false"/>
                <w:color w:val="004A7C"/>
                <w:spacing w:val="3"/>
                <w:sz w:val="14"/>
                <w:u w:val="single"/>
              </w:rPr>
              <w:t>www.proxyvote.com</w:t>
            </w:r>
            <w:r>
              <w:rPr>
                <w:rFonts w:ascii="Open Sans" w:hAnsi="Open Sans"/>
                <w:b w:val="false"/>
                <w:i w:val="false"/>
                <w:caps w:val="false"/>
                <w:smallCaps w:val="false"/>
                <w:color w:val="004A7C"/>
                <w:spacing w:val="3"/>
                <w:sz w:val="14"/>
              </w:rPr>
              <w:t>.</w:t>
            </w:r>
          </w:p>
        </w:tc>
      </w:tr>
      <w:tr>
        <w:trPr/>
        <w:tc>
          <w:tcPr>
            <w:tcW w:w="83" w:type="dxa"/>
            <w:gridSpan w:val="2"/>
            <w:tcBorders/>
            <w:shd w:fill="auto" w:val="clear"/>
            <w:vAlign w:val="bottom"/>
          </w:tcPr>
          <w:p>
            <w:pPr>
              <w:pStyle w:val="TableContents"/>
              <w:spacing w:before="0" w:after="0"/>
              <w:ind w:left="872" w:right="0" w:hanging="0"/>
              <w:rPr/>
            </w:pPr>
            <w:r>
              <w:rPr/>
              <w:t> </w:t>
            </w:r>
          </w:p>
        </w:tc>
        <w:tc>
          <w:tcPr>
            <w:tcW w:w="2398" w:type="dxa"/>
            <w:tcBorders/>
            <w:shd w:fill="auto" w:val="clear"/>
            <w:vAlign w:val="bottom"/>
          </w:tcPr>
          <w:p>
            <w:pPr>
              <w:pStyle w:val="TableContents"/>
              <w:spacing w:before="0" w:after="0"/>
              <w:ind w:left="0" w:right="0" w:hanging="0"/>
              <w:rPr/>
            </w:pPr>
            <w:hyperlink w:anchor="INCLUSION_DIVERSITY">
              <w:r>
                <w:rPr>
                  <w:rStyle w:val="InternetLink"/>
                  <w:rFonts w:ascii="Open Sans" w:hAnsi="Open Sans"/>
                  <w:b w:val="false"/>
                  <w:i w:val="false"/>
                  <w:caps w:val="false"/>
                  <w:smallCaps w:val="false"/>
                  <w:strike w:val="false"/>
                  <w:dstrike w:val="false"/>
                  <w:color w:val="004A7C"/>
                  <w:sz w:val="14"/>
                  <w:u w:val="none"/>
                  <w:effect w:val="none"/>
                </w:rPr>
                <w:t xml:space="preserve">Inclusion and Diversity </w:t>
              </w:r>
            </w:hyperlink>
          </w:p>
        </w:tc>
        <w:tc>
          <w:tcPr>
            <w:tcW w:w="60" w:type="dxa"/>
            <w:tcBorders/>
            <w:shd w:fill="auto" w:val="clear"/>
            <w:vAlign w:val="bottom"/>
          </w:tcPr>
          <w:p>
            <w:pPr>
              <w:pStyle w:val="TableContents"/>
              <w:spacing w:before="0" w:after="0"/>
              <w:ind w:left="872"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40</w:t>
            </w:r>
          </w:p>
        </w:tc>
        <w:tc>
          <w:tcPr>
            <w:tcW w:w="60" w:type="dxa"/>
            <w:tcBorders/>
            <w:shd w:fill="auto" w:val="clear"/>
            <w:vAlign w:val="bottom"/>
          </w:tcPr>
          <w:p>
            <w:pPr>
              <w:pStyle w:val="TableContents"/>
              <w:spacing w:before="0" w:after="0"/>
              <w:ind w:left="872" w:right="0" w:hanging="0"/>
              <w:rPr/>
            </w:pPr>
            <w:r>
              <w:rPr/>
              <w:t> </w:t>
            </w:r>
          </w:p>
        </w:tc>
        <w:tc>
          <w:tcPr>
            <w:tcW w:w="7630" w:type="dxa"/>
            <w:gridSpan w:val="3"/>
            <w:vMerge w:val="continue"/>
            <w:tcBorders/>
            <w:shd w:fill="auto" w:val="clear"/>
            <w:vAlign w:val="bottom"/>
          </w:tcPr>
          <w:p>
            <w:pPr>
              <w:pStyle w:val="Normal"/>
              <w:rPr/>
            </w:pPr>
            <w:r>
              <w:rPr/>
            </w:r>
          </w:p>
        </w:tc>
      </w:tr>
      <w:tr>
        <w:trPr/>
        <w:tc>
          <w:tcPr>
            <w:tcW w:w="83" w:type="dxa"/>
            <w:gridSpan w:val="2"/>
            <w:tcBorders/>
            <w:shd w:fill="auto" w:val="clear"/>
            <w:vAlign w:val="bottom"/>
          </w:tcPr>
          <w:p>
            <w:pPr>
              <w:pStyle w:val="TableContents"/>
              <w:spacing w:before="0" w:after="0"/>
              <w:ind w:left="0" w:right="0" w:hanging="0"/>
              <w:rPr/>
            </w:pPr>
            <w:r>
              <w:rPr/>
              <w:t> </w:t>
            </w:r>
          </w:p>
        </w:tc>
        <w:tc>
          <w:tcPr>
            <w:tcW w:w="2398" w:type="dxa"/>
            <w:tcBorders/>
            <w:shd w:fill="auto" w:val="clear"/>
            <w:vAlign w:val="bottom"/>
          </w:tcPr>
          <w:p>
            <w:pPr>
              <w:pStyle w:val="TableContents"/>
              <w:spacing w:before="0" w:after="0"/>
              <w:ind w:left="0" w:right="0" w:hanging="0"/>
              <w:rPr/>
            </w:pPr>
            <w:hyperlink w:anchor="COMMITTED_TO_SERVE">
              <w:r>
                <w:rPr>
                  <w:rStyle w:val="InternetLink"/>
                  <w:rFonts w:ascii="Open Sans" w:hAnsi="Open Sans"/>
                  <w:b w:val="false"/>
                  <w:i w:val="false"/>
                  <w:caps w:val="false"/>
                  <w:smallCaps w:val="false"/>
                  <w:strike w:val="false"/>
                  <w:dstrike w:val="false"/>
                  <w:color w:val="004A7C"/>
                  <w:sz w:val="14"/>
                  <w:u w:val="none"/>
                  <w:effect w:val="none"/>
                </w:rPr>
                <w:t xml:space="preserve">Committed to Serve </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41</w:t>
            </w:r>
          </w:p>
        </w:tc>
        <w:tc>
          <w:tcPr>
            <w:tcW w:w="60" w:type="dxa"/>
            <w:tcBorders/>
            <w:shd w:fill="auto" w:val="clear"/>
            <w:vAlign w:val="bottom"/>
          </w:tcPr>
          <w:p>
            <w:pPr>
              <w:pStyle w:val="TableContents"/>
              <w:spacing w:before="0" w:after="0"/>
              <w:ind w:left="0" w:right="0" w:hanging="0"/>
              <w:jc w:val="right"/>
              <w:rPr/>
            </w:pPr>
            <w:r>
              <w:rPr/>
              <w:t> </w:t>
            </w:r>
          </w:p>
        </w:tc>
        <w:tc>
          <w:tcPr>
            <w:tcW w:w="7630" w:type="dxa"/>
            <w:gridSpan w:val="3"/>
            <w:vMerge w:val="continue"/>
            <w:tcBorders/>
            <w:shd w:fill="auto" w:val="clear"/>
            <w:vAlign w:val="bottom"/>
          </w:tcPr>
          <w:p>
            <w:pPr>
              <w:pStyle w:val="Normal"/>
              <w:rPr/>
            </w:pPr>
            <w:r>
              <w:rPr/>
            </w:r>
          </w:p>
        </w:tc>
      </w:tr>
      <w:tr>
        <w:trPr/>
        <w:tc>
          <w:tcPr>
            <w:tcW w:w="2481" w:type="dxa"/>
            <w:gridSpan w:val="3"/>
            <w:tcBorders/>
            <w:shd w:fill="auto" w:val="clear"/>
            <w:vAlign w:val="bottom"/>
          </w:tcPr>
          <w:p>
            <w:pPr>
              <w:pStyle w:val="TableContents"/>
              <w:spacing w:before="0" w:after="0"/>
              <w:ind w:left="0" w:right="0" w:hanging="0"/>
              <w:rPr/>
            </w:pPr>
            <w:hyperlink w:anchor="AUDIT_COMMITTEE_MATTERS">
              <w:r>
                <w:rPr>
                  <w:rStyle w:val="InternetLink"/>
                  <w:rFonts w:ascii="Open Sans" w:hAnsi="Open Sans"/>
                  <w:b w:val="false"/>
                  <w:i w:val="false"/>
                  <w:caps w:val="false"/>
                  <w:smallCaps w:val="false"/>
                  <w:strike w:val="false"/>
                  <w:dstrike w:val="false"/>
                  <w:color w:val="004A7C"/>
                  <w:sz w:val="14"/>
                  <w:u w:val="none"/>
                  <w:effect w:val="none"/>
                </w:rPr>
                <w:t>Audit Committee Matters</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42</w:t>
            </w:r>
          </w:p>
        </w:tc>
        <w:tc>
          <w:tcPr>
            <w:tcW w:w="60" w:type="dxa"/>
            <w:tcBorders/>
            <w:shd w:fill="auto" w:val="clear"/>
            <w:vAlign w:val="bottom"/>
          </w:tcPr>
          <w:p>
            <w:pPr>
              <w:pStyle w:val="TableContents"/>
              <w:spacing w:before="0" w:after="0"/>
              <w:ind w:left="0" w:right="0" w:hanging="0"/>
              <w:jc w:val="right"/>
              <w:rPr/>
            </w:pPr>
            <w:r>
              <w:rPr/>
              <w:t> </w:t>
            </w:r>
          </w:p>
        </w:tc>
        <w:tc>
          <w:tcPr>
            <w:tcW w:w="7630" w:type="dxa"/>
            <w:gridSpan w:val="3"/>
            <w:vMerge w:val="continue"/>
            <w:tcBorders/>
            <w:shd w:fill="auto" w:val="clear"/>
            <w:vAlign w:val="bottom"/>
          </w:tcPr>
          <w:p>
            <w:pPr>
              <w:pStyle w:val="Normal"/>
              <w:rPr/>
            </w:pPr>
            <w:r>
              <w:rPr/>
            </w:r>
          </w:p>
        </w:tc>
      </w:tr>
      <w:tr>
        <w:trPr/>
        <w:tc>
          <w:tcPr>
            <w:tcW w:w="83" w:type="dxa"/>
            <w:gridSpan w:val="2"/>
            <w:tcBorders/>
            <w:shd w:fill="auto" w:val="clear"/>
            <w:vAlign w:val="bottom"/>
          </w:tcPr>
          <w:p>
            <w:pPr>
              <w:pStyle w:val="TableContents"/>
              <w:spacing w:before="0" w:after="0"/>
              <w:ind w:left="0" w:right="0" w:hanging="0"/>
              <w:rPr/>
            </w:pPr>
            <w:r>
              <w:rPr/>
              <w:t> </w:t>
            </w:r>
          </w:p>
        </w:tc>
        <w:tc>
          <w:tcPr>
            <w:tcW w:w="2398" w:type="dxa"/>
            <w:tcBorders/>
            <w:shd w:fill="auto" w:val="clear"/>
            <w:vAlign w:val="bottom"/>
          </w:tcPr>
          <w:p>
            <w:pPr>
              <w:pStyle w:val="TableContents"/>
              <w:spacing w:before="0" w:after="0"/>
              <w:ind w:left="0" w:right="0" w:hanging="0"/>
              <w:rPr/>
            </w:pPr>
            <w:hyperlink w:anchor="AUDIT_COMMITTEE_REPORT">
              <w:r>
                <w:rPr>
                  <w:rStyle w:val="InternetLink"/>
                  <w:rFonts w:ascii="Open Sans" w:hAnsi="Open Sans"/>
                  <w:b w:val="false"/>
                  <w:i w:val="false"/>
                  <w:caps w:val="false"/>
                  <w:smallCaps w:val="false"/>
                  <w:strike w:val="false"/>
                  <w:dstrike w:val="false"/>
                  <w:color w:val="004A7C"/>
                  <w:sz w:val="14"/>
                  <w:u w:val="none"/>
                  <w:effect w:val="none"/>
                </w:rPr>
                <w:t xml:space="preserve">Audit Committee Report </w:t>
              </w:r>
            </w:hyperlink>
          </w:p>
        </w:tc>
        <w:tc>
          <w:tcPr>
            <w:tcW w:w="60"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42</w:t>
            </w:r>
          </w:p>
        </w:tc>
        <w:tc>
          <w:tcPr>
            <w:tcW w:w="60" w:type="dxa"/>
            <w:tcBorders/>
            <w:shd w:fill="auto" w:val="clear"/>
            <w:vAlign w:val="bottom"/>
          </w:tcPr>
          <w:p>
            <w:pPr>
              <w:pStyle w:val="TableContents"/>
              <w:spacing w:before="0" w:after="0"/>
              <w:ind w:left="0" w:right="0" w:hanging="0"/>
              <w:jc w:val="right"/>
              <w:rPr/>
            </w:pPr>
            <w:r>
              <w:rPr/>
              <w:t> </w:t>
            </w:r>
          </w:p>
        </w:tc>
        <w:tc>
          <w:tcPr>
            <w:tcW w:w="7630" w:type="dxa"/>
            <w:gridSpan w:val="3"/>
            <w:vMerge w:val="continue"/>
            <w:tcBorders/>
            <w:shd w:fill="auto" w:val="clear"/>
            <w:vAlign w:val="bottom"/>
          </w:tcPr>
          <w:p>
            <w:pPr>
              <w:pStyle w:val="Normal"/>
              <w:rPr/>
            </w:pPr>
            <w:r>
              <w:rPr/>
            </w:r>
          </w:p>
        </w:tc>
      </w:tr>
    </w:tbl>
    <w:p>
      <w:pPr>
        <w:pStyle w:val="TextBody"/>
        <w:spacing w:before="0" w:after="0"/>
        <w:rPr/>
      </w:pPr>
      <w:r>
        <w:rPr/>
        <w:t> </w:t>
      </w:r>
    </w:p>
    <w:p>
      <w:pPr>
        <w:pStyle w:val="TextBody"/>
        <w:spacing w:before="0" w:after="0"/>
        <w:rPr>
          <w:rFonts w:ascii="Open Sans" w:hAnsi="Open Sans"/>
          <w:b/>
          <w:i w:val="false"/>
          <w:caps w:val="false"/>
          <w:smallCaps w:val="false"/>
          <w:color w:val="004A7C"/>
          <w:sz w:val="16"/>
        </w:rPr>
      </w:pPr>
      <w:r>
        <w:rPr>
          <w:rFonts w:ascii="Open Sans" w:hAnsi="Open Sans"/>
          <w:b/>
          <w:i w:val="false"/>
          <w:caps w:val="false"/>
          <w:smallCaps w:val="false"/>
          <w:color w:val="004A7C"/>
          <w:sz w:val="16"/>
        </w:rPr>
        <w:t>Forward-Looking Statements</w:t>
      </w:r>
    </w:p>
    <w:p>
      <w:pPr>
        <w:pStyle w:val="TextBody"/>
        <w:spacing w:before="60" w:after="0"/>
        <w:jc w:val="both"/>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This Proxy Statement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we cannot assure you that the expectations will prove to be correct. Among the factors that could cause actual results to differ materially from the expectations expressed in the forward-looking statements are the impacts of the overall global economy and increasing interest rates, our ability to effectively integrate and manage companies we acquire and to realize the anticipated benefits of any such acquisitions, acts of war, riots or terrorism, and the impact of these acts on economic, financial and social conditions in the United States,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2022, particularly under Part I,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43825" cy="10020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43825" cy="10020300"/>
                    </a:xfrm>
                    <a:prstGeom prst="rect">
                      <a:avLst/>
                    </a:prstGeom>
                  </pic:spPr>
                </pic:pic>
              </a:graphicData>
            </a:graphic>
          </wp:inline>
        </w:drawing>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658100" cy="9725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58100" cy="9725025"/>
                    </a:xfrm>
                    <a:prstGeom prst="rect">
                      <a:avLst/>
                    </a:prstGeom>
                  </pic:spPr>
                </pic:pic>
              </a:graphicData>
            </a:graphic>
          </wp:inline>
        </w:drawing>
      </w:r>
    </w:p>
    <w:p>
      <w:pPr>
        <w:pStyle w:val="TextBody"/>
        <w:spacing w:before="0" w:after="0"/>
        <w:jc w:val="center"/>
        <w:rPr/>
      </w:pPr>
      <w:r>
        <w:rPr/>
        <w:t> </w:t>
      </w:r>
    </w:p>
    <w:p>
      <w:pPr>
        <w:pStyle w:val="TextBody"/>
        <w:spacing w:before="0" w:after="0"/>
        <w:jc w:val="center"/>
        <w:rPr/>
      </w:pPr>
      <w:bookmarkStart w:id="2" w:name="P1"/>
      <w:bookmarkEnd w:id="2"/>
      <w:r>
        <w:rPr/>
        <w:t> </w:t>
      </w:r>
    </w:p>
    <w:p>
      <w:pPr>
        <w:pStyle w:val="TextBody"/>
        <w:spacing w:before="0" w:after="0"/>
        <w:jc w:val="center"/>
        <w:rPr/>
      </w:pPr>
      <w:r>
        <w:rPr/>
        <w:t> </w:t>
      </w:r>
    </w:p>
    <w:p>
      <w:pPr>
        <w:pStyle w:val="TextBody"/>
        <w:spacing w:before="24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val="false"/>
          <w:i w:val="false"/>
          <w:caps w:val="false"/>
          <w:smallCaps w:val="false"/>
          <w:color w:val="FFFFFF"/>
          <w:sz w:val="2"/>
          <w:bdr w:val="single" w:sz="6" w:space="1" w:color="00497C"/>
        </w:rPr>
      </w:pPr>
      <w:r>
        <w:rPr>
          <w:rFonts w:ascii="Open Sans" w:hAnsi="Open Sans"/>
          <w:b w:val="false"/>
          <w:i w:val="false"/>
          <w:caps w:val="false"/>
          <w:smallCaps w:val="false"/>
          <w:color w:val="FFFFFF"/>
          <w:sz w:val="2"/>
          <w:bdr w:val="single" w:sz="6" w:space="1" w:color="00497C"/>
        </w:rPr>
        <w:t>Proxy Summary</w:t>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1379"/>
        <w:gridCol w:w="5660"/>
        <w:gridCol w:w="2164"/>
        <w:gridCol w:w="1336"/>
      </w:tblGrid>
      <w:tr>
        <w:trPr/>
        <w:tc>
          <w:tcPr>
            <w:tcW w:w="10539" w:type="dxa"/>
            <w:gridSpan w:val="4"/>
            <w:tcBorders/>
            <w:shd w:fill="auto" w:val="clear"/>
          </w:tcPr>
          <w:p>
            <w:pPr>
              <w:pStyle w:val="TableContents"/>
              <w:spacing w:before="40" w:after="0"/>
              <w:ind w:left="200" w:right="0" w:hanging="200"/>
              <w:rPr>
                <w:rFonts w:ascii="Open Sans" w:hAnsi="Open Sans"/>
                <w:b/>
                <w:i w:val="false"/>
                <w:caps w:val="false"/>
                <w:smallCaps w:val="false"/>
                <w:color w:val="004A7C"/>
                <w:sz w:val="36"/>
              </w:rPr>
            </w:pPr>
            <w:bookmarkStart w:id="3" w:name="PROXY_SUMMARY"/>
            <w:bookmarkEnd w:id="3"/>
            <w:r>
              <w:rPr>
                <w:rFonts w:ascii="Open Sans" w:hAnsi="Open Sans"/>
                <w:b/>
                <w:i w:val="false"/>
                <w:caps w:val="false"/>
                <w:smallCaps w:val="false"/>
                <w:color w:val="004A7C"/>
                <w:sz w:val="36"/>
              </w:rPr>
              <w:t>Proxy Summary</w:t>
            </w:r>
          </w:p>
        </w:tc>
      </w:tr>
      <w:tr>
        <w:trPr/>
        <w:tc>
          <w:tcPr>
            <w:tcW w:w="10539" w:type="dxa"/>
            <w:gridSpan w:val="4"/>
            <w:tcBorders/>
            <w:shd w:fill="auto" w:val="clear"/>
          </w:tcPr>
          <w:p>
            <w:pPr>
              <w:pStyle w:val="TableContents"/>
              <w:spacing w:before="120" w:after="0"/>
              <w:ind w:left="0" w:right="0" w:hanging="0"/>
              <w:rPr>
                <w:rFonts w:ascii="Open Sans" w:hAnsi="Open Sans"/>
                <w:b w:val="false"/>
                <w:i w:val="false"/>
                <w:caps w:val="false"/>
                <w:smallCaps w:val="false"/>
                <w:color w:val="004A7C"/>
                <w:sz w:val="20"/>
              </w:rPr>
            </w:pPr>
            <w:r>
              <w:rPr>
                <w:rFonts w:ascii="Open Sans" w:hAnsi="Open Sans"/>
                <w:b w:val="false"/>
                <w:i w:val="false"/>
                <w:caps w:val="false"/>
                <w:smallCaps w:val="false"/>
                <w:color w:val="004A7C"/>
                <w:sz w:val="20"/>
              </w:rPr>
              <w:t>We are providing this proxy statement (“Proxy Statement”) to shareholders in connection with the solicitation by the Board of Directors (the “Board”) of Republic Services, Inc., a Delaware corporation (“Republic,” “Republic Services,” the “Company,” “we,” “us” or “our”), of proxies to be voted at the annual meeting of shareholders to be held virtually on May 12, 2023 (the “Annual Meeting”), and at any adjournment thereof, for the purposes set forth in the accompanying notice. This proxy summary is intended to provide an overview of the items contained in this Proxy Statement. We encourage you to read the entire Proxy Statement prior to voting your shares.</w:t>
            </w:r>
          </w:p>
        </w:tc>
      </w:tr>
      <w:tr>
        <w:trPr/>
        <w:tc>
          <w:tcPr>
            <w:tcW w:w="10539" w:type="dxa"/>
            <w:gridSpan w:val="4"/>
            <w:tcBorders/>
            <w:shd w:fill="auto" w:val="clear"/>
          </w:tcPr>
          <w:p>
            <w:pPr>
              <w:pStyle w:val="TableContents"/>
              <w:spacing w:before="0" w:after="0"/>
              <w:ind w:left="0" w:right="0" w:hanging="0"/>
              <w:rPr/>
            </w:pPr>
            <w:r>
              <w:rPr/>
              <w:t> </w:t>
            </w:r>
          </w:p>
        </w:tc>
      </w:tr>
      <w:tr>
        <w:trPr/>
        <w:tc>
          <w:tcPr>
            <w:tcW w:w="10539" w:type="dxa"/>
            <w:gridSpan w:val="4"/>
            <w:tcBorders/>
            <w:shd w:fill="auto" w:val="clear"/>
          </w:tcPr>
          <w:p>
            <w:pPr>
              <w:pStyle w:val="TableContents"/>
              <w:spacing w:before="120" w:after="0"/>
              <w:ind w:left="0" w:right="0" w:hanging="0"/>
              <w:rPr>
                <w:rFonts w:ascii="Open Sans SemiBold" w:hAnsi="Open Sans SemiBold"/>
                <w:b w:val="false"/>
                <w:i w:val="false"/>
                <w:caps w:val="false"/>
                <w:smallCaps w:val="false"/>
                <w:color w:val="004A7C"/>
                <w:sz w:val="24"/>
              </w:rPr>
            </w:pPr>
            <w:r>
              <w:rPr>
                <w:rFonts w:ascii="Open Sans SemiBold" w:hAnsi="Open Sans SemiBold"/>
                <w:b w:val="false"/>
                <w:i w:val="false"/>
                <w:caps w:val="false"/>
                <w:smallCaps w:val="false"/>
                <w:color w:val="004A7C"/>
                <w:sz w:val="24"/>
              </w:rPr>
              <w:t>annual meeting of shareholders</w:t>
            </w:r>
          </w:p>
          <w:p>
            <w:pPr>
              <w:pStyle w:val="TableContents"/>
              <w:spacing w:before="120" w:after="0"/>
              <w:ind w:left="1800" w:right="0" w:hanging="1800"/>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Date and time:</w:t>
            </w:r>
            <w:r>
              <w:rPr>
                <w:rFonts w:ascii="Open Sans" w:hAnsi="Open Sans"/>
                <w:b w:val="false"/>
                <w:i w:val="false"/>
                <w:caps w:val="false"/>
                <w:smallCaps w:val="false"/>
                <w:color w:val="004A7C"/>
                <w:sz w:val="20"/>
              </w:rPr>
              <w:t>Friday, May 12, 2023 at 10:30 a.m., Pacific Time</w:t>
            </w:r>
          </w:p>
          <w:p>
            <w:pPr>
              <w:pStyle w:val="TableContents"/>
              <w:spacing w:before="0" w:after="0"/>
              <w:ind w:left="1800" w:right="0" w:hanging="1800"/>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Place:</w:t>
            </w:r>
            <w:r>
              <w:rPr>
                <w:rFonts w:ascii="Open Sans" w:hAnsi="Open Sans"/>
                <w:b w:val="false"/>
                <w:i w:val="false"/>
                <w:caps w:val="false"/>
                <w:smallCaps w:val="false"/>
                <w:color w:val="004A7C"/>
                <w:sz w:val="20"/>
              </w:rPr>
              <w:t xml:space="preserve">Via webcast at </w:t>
            </w:r>
            <w:r>
              <w:rPr>
                <w:rFonts w:ascii="Open Sans" w:hAnsi="Open Sans"/>
                <w:b/>
                <w:i w:val="false"/>
                <w:caps w:val="false"/>
                <w:smallCaps w:val="false"/>
                <w:strike w:val="false"/>
                <w:dstrike w:val="false"/>
                <w:color w:val="004A7C"/>
                <w:sz w:val="20"/>
                <w:u w:val="none"/>
                <w:effect w:val="none"/>
              </w:rPr>
              <w:t>www.virtualshareholdermeeting.com/RSG2023</w:t>
            </w:r>
          </w:p>
          <w:p>
            <w:pPr>
              <w:pStyle w:val="TableContents"/>
              <w:spacing w:before="0" w:after="0"/>
              <w:ind w:left="1800" w:right="0" w:hanging="1800"/>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record date:</w:t>
            </w:r>
            <w:r>
              <w:rPr>
                <w:rFonts w:ascii="Open Sans" w:hAnsi="Open Sans"/>
                <w:b w:val="false"/>
                <w:i w:val="false"/>
                <w:caps w:val="false"/>
                <w:smallCaps w:val="false"/>
                <w:color w:val="004A7C"/>
                <w:sz w:val="20"/>
              </w:rPr>
              <w:t>Shareholders as of March 15, 2023 are entitled to attend and vote</w:t>
            </w:r>
          </w:p>
          <w:p>
            <w:pPr>
              <w:pStyle w:val="TableContents"/>
              <w:spacing w:before="0" w:after="0"/>
              <w:ind w:left="0" w:right="0" w:hanging="0"/>
              <w:rPr/>
            </w:pPr>
            <w:r>
              <w:rPr/>
              <w:t> </w:t>
            </w:r>
          </w:p>
        </w:tc>
      </w:tr>
      <w:tr>
        <w:trPr/>
        <w:tc>
          <w:tcPr>
            <w:tcW w:w="7039" w:type="dxa"/>
            <w:gridSpan w:val="2"/>
            <w:tcBorders>
              <w:bottom w:val="single" w:sz="6" w:space="0" w:color="D8E1E9"/>
            </w:tcBorders>
            <w:shd w:fill="auto" w:val="clear"/>
            <w:tcMar>
              <w:bottom w:w="28" w:type="dxa"/>
            </w:tcMar>
            <w:vAlign w:val="bottom"/>
          </w:tcPr>
          <w:p>
            <w:pPr>
              <w:pStyle w:val="TableContents"/>
              <w:spacing w:before="0" w:after="0"/>
              <w:ind w:left="0" w:right="0" w:hanging="0"/>
              <w:rPr>
                <w:rFonts w:ascii="Open Sans" w:hAnsi="Open Sans"/>
                <w:b w:val="false"/>
                <w:i w:val="false"/>
                <w:caps w:val="false"/>
                <w:smallCaps w:val="false"/>
                <w:color w:val="004A7C"/>
                <w:sz w:val="23"/>
              </w:rPr>
            </w:pPr>
            <w:r>
              <w:rPr>
                <w:rFonts w:ascii="Open Sans" w:hAnsi="Open Sans"/>
                <w:b w:val="false"/>
                <w:i w:val="false"/>
                <w:caps w:val="false"/>
                <w:smallCaps w:val="false"/>
                <w:color w:val="004A7C"/>
                <w:sz w:val="23"/>
              </w:rPr>
              <w:t>Proposals and Board Recommendations</w:t>
            </w:r>
          </w:p>
        </w:tc>
        <w:tc>
          <w:tcPr>
            <w:tcW w:w="2164" w:type="dxa"/>
            <w:tcBorders>
              <w:bottom w:val="single" w:sz="6" w:space="0" w:color="D8E1E9"/>
            </w:tcBorders>
            <w:shd w:fill="auto"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BOARD’S</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RECOMMENDATION</w:t>
            </w:r>
          </w:p>
        </w:tc>
        <w:tc>
          <w:tcPr>
            <w:tcW w:w="1336" w:type="dxa"/>
            <w:tcBorders>
              <w:bottom w:val="single" w:sz="6" w:space="0" w:color="D8E1E9"/>
            </w:tcBorders>
            <w:shd w:fill="auto"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PAGE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REFERENCE</w:t>
            </w:r>
          </w:p>
        </w:tc>
      </w:tr>
      <w:tr>
        <w:trPr/>
        <w:tc>
          <w:tcPr>
            <w:tcW w:w="1379"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center"/>
              <w:rPr/>
            </w:pPr>
            <w:hyperlink w:anchor="PROPOSAL_1_ELECTION_DIRECTORS">
              <w:r>
                <w:rPr>
                  <w:rStyle w:val="InternetLink"/>
                  <w:rFonts w:ascii="Open Sans" w:hAnsi="Open Sans"/>
                  <w:b/>
                  <w:i w:val="false"/>
                  <w:caps w:val="false"/>
                  <w:smallCaps w:val="false"/>
                  <w:strike w:val="false"/>
                  <w:dstrike w:val="false"/>
                  <w:color w:val="004A7C"/>
                  <w:sz w:val="20"/>
                  <w:u w:val="none"/>
                  <w:effect w:val="none"/>
                </w:rPr>
                <w:t>Proposal 1</w:t>
              </w:r>
            </w:hyperlink>
          </w:p>
        </w:tc>
        <w:tc>
          <w:tcPr>
            <w:tcW w:w="56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80" w:right="0" w:hanging="0"/>
              <w:rPr>
                <w:rFonts w:ascii="Open Sans" w:hAnsi="Open Sans"/>
                <w:b w:val="false"/>
                <w:i w:val="false"/>
                <w:caps w:val="false"/>
                <w:smallCaps w:val="false"/>
                <w:color w:val="004A7C"/>
                <w:sz w:val="20"/>
              </w:rPr>
            </w:pPr>
            <w:r>
              <w:rPr>
                <w:rFonts w:ascii="Open Sans" w:hAnsi="Open Sans"/>
                <w:b w:val="false"/>
                <w:i w:val="false"/>
                <w:caps w:val="false"/>
                <w:smallCaps w:val="false"/>
                <w:color w:val="004A7C"/>
                <w:sz w:val="20"/>
              </w:rPr>
              <w:t>Election of the 11 Director Nominees in this Proxy Statement</w:t>
            </w:r>
          </w:p>
        </w:tc>
        <w:tc>
          <w:tcPr>
            <w:tcW w:w="2164"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20"/>
              </w:rPr>
            </w:pPr>
            <w:r>
              <w:rPr>
                <w:rFonts w:ascii="Open Sans" w:hAnsi="Open Sans"/>
                <w:b/>
                <w:i w:val="false"/>
                <w:caps w:val="false"/>
                <w:smallCaps w:val="false"/>
                <w:color w:val="004A7C"/>
                <w:sz w:val="20"/>
              </w:rPr>
              <w:t>FOR</w:t>
            </w:r>
          </w:p>
        </w:tc>
        <w:tc>
          <w:tcPr>
            <w:tcW w:w="1336"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86</w:t>
            </w:r>
          </w:p>
        </w:tc>
      </w:tr>
      <w:tr>
        <w:trPr/>
        <w:tc>
          <w:tcPr>
            <w:tcW w:w="137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pPr>
            <w:hyperlink w:anchor="PROPOSAL_2_ADVISORY_VOTE_ON_NAMED_EXECU">
              <w:r>
                <w:rPr>
                  <w:rStyle w:val="InternetLink"/>
                  <w:rFonts w:ascii="Open Sans" w:hAnsi="Open Sans"/>
                  <w:b/>
                  <w:i w:val="false"/>
                  <w:caps w:val="false"/>
                  <w:smallCaps w:val="false"/>
                  <w:strike w:val="false"/>
                  <w:dstrike w:val="false"/>
                  <w:color w:val="004A7C"/>
                  <w:sz w:val="20"/>
                  <w:u w:val="none"/>
                  <w:effect w:val="none"/>
                </w:rPr>
                <w:t>Proposal 2</w:t>
              </w:r>
            </w:hyperlink>
          </w:p>
        </w:tc>
        <w:tc>
          <w:tcPr>
            <w:tcW w:w="56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80" w:right="0" w:hanging="0"/>
              <w:rPr>
                <w:rFonts w:ascii="Open Sans" w:hAnsi="Open Sans"/>
                <w:b w:val="false"/>
                <w:i w:val="false"/>
                <w:caps w:val="false"/>
                <w:smallCaps w:val="false"/>
                <w:color w:val="004A7C"/>
                <w:sz w:val="20"/>
              </w:rPr>
            </w:pPr>
            <w:r>
              <w:rPr>
                <w:rFonts w:ascii="Open Sans" w:hAnsi="Open Sans"/>
                <w:b w:val="false"/>
                <w:i w:val="false"/>
                <w:caps w:val="false"/>
                <w:smallCaps w:val="false"/>
                <w:color w:val="004A7C"/>
                <w:sz w:val="20"/>
              </w:rPr>
              <w:t>Advisory Vote on Named Executive Officer Compensation</w:t>
            </w:r>
          </w:p>
        </w:tc>
        <w:tc>
          <w:tcPr>
            <w:tcW w:w="2164"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20"/>
              </w:rPr>
            </w:pPr>
            <w:r>
              <w:rPr>
                <w:rFonts w:ascii="Open Sans" w:hAnsi="Open Sans"/>
                <w:b/>
                <w:i w:val="false"/>
                <w:caps w:val="false"/>
                <w:smallCaps w:val="false"/>
                <w:color w:val="004A7C"/>
                <w:sz w:val="20"/>
              </w:rPr>
              <w:t>FOR</w:t>
            </w:r>
          </w:p>
        </w:tc>
        <w:tc>
          <w:tcPr>
            <w:tcW w:w="1336"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87</w:t>
            </w:r>
          </w:p>
        </w:tc>
      </w:tr>
      <w:tr>
        <w:trPr/>
        <w:tc>
          <w:tcPr>
            <w:tcW w:w="137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pPr>
            <w:hyperlink w:anchor="PROPOSAL_3_ADVISORY_VOTE_ON_FREQUENCY_A">
              <w:r>
                <w:rPr>
                  <w:rStyle w:val="InternetLink"/>
                  <w:rFonts w:ascii="Open Sans" w:hAnsi="Open Sans"/>
                  <w:b/>
                  <w:i w:val="false"/>
                  <w:caps w:val="false"/>
                  <w:smallCaps w:val="false"/>
                  <w:strike w:val="false"/>
                  <w:dstrike w:val="false"/>
                  <w:color w:val="004A7C"/>
                  <w:sz w:val="20"/>
                  <w:u w:val="none"/>
                  <w:effect w:val="none"/>
                </w:rPr>
                <w:t>Proposal 3</w:t>
              </w:r>
            </w:hyperlink>
          </w:p>
        </w:tc>
        <w:tc>
          <w:tcPr>
            <w:tcW w:w="56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80" w:right="0" w:hanging="0"/>
              <w:rPr>
                <w:rFonts w:ascii="Open Sans" w:hAnsi="Open Sans"/>
                <w:b w:val="false"/>
                <w:i w:val="false"/>
                <w:caps w:val="false"/>
                <w:smallCaps w:val="false"/>
                <w:color w:val="004A7C"/>
                <w:sz w:val="20"/>
              </w:rPr>
            </w:pPr>
            <w:r>
              <w:rPr>
                <w:rFonts w:ascii="Open Sans" w:hAnsi="Open Sans"/>
                <w:b w:val="false"/>
                <w:i w:val="false"/>
                <w:caps w:val="false"/>
                <w:smallCaps w:val="false"/>
                <w:color w:val="004A7C"/>
                <w:sz w:val="20"/>
              </w:rPr>
              <w:t xml:space="preserve">Advisory Vote on the Frequency of an Advisory Vote to approve our Named Executive Officer Compensation </w:t>
            </w:r>
          </w:p>
        </w:tc>
        <w:tc>
          <w:tcPr>
            <w:tcW w:w="2164"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20"/>
              </w:rPr>
            </w:pPr>
            <w:r>
              <w:rPr>
                <w:rFonts w:ascii="Open Sans" w:hAnsi="Open Sans"/>
                <w:b/>
                <w:i w:val="false"/>
                <w:caps w:val="false"/>
                <w:smallCaps w:val="false"/>
                <w:color w:val="004A7C"/>
                <w:sz w:val="20"/>
              </w:rPr>
              <w:t>EVERY YEAR</w:t>
            </w:r>
          </w:p>
        </w:tc>
        <w:tc>
          <w:tcPr>
            <w:tcW w:w="1336"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88</w:t>
            </w:r>
          </w:p>
        </w:tc>
      </w:tr>
      <w:tr>
        <w:trPr/>
        <w:tc>
          <w:tcPr>
            <w:tcW w:w="137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pPr>
            <w:hyperlink w:anchor="PROPOSAL_4_RATIFICATION_INDEPENDENT1">
              <w:r>
                <w:rPr>
                  <w:rStyle w:val="InternetLink"/>
                  <w:rFonts w:ascii="Open Sans" w:hAnsi="Open Sans"/>
                  <w:b/>
                  <w:i w:val="false"/>
                  <w:caps w:val="false"/>
                  <w:smallCaps w:val="false"/>
                  <w:strike w:val="false"/>
                  <w:dstrike w:val="false"/>
                  <w:color w:val="004A7C"/>
                  <w:sz w:val="20"/>
                  <w:u w:val="none"/>
                  <w:effect w:val="none"/>
                </w:rPr>
                <w:t>Proposal 4</w:t>
              </w:r>
            </w:hyperlink>
          </w:p>
        </w:tc>
        <w:tc>
          <w:tcPr>
            <w:tcW w:w="56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80" w:right="0" w:hanging="0"/>
              <w:rPr>
                <w:rFonts w:ascii="Open Sans" w:hAnsi="Open Sans"/>
                <w:b w:val="false"/>
                <w:i w:val="false"/>
                <w:caps w:val="false"/>
                <w:smallCaps w:val="false"/>
                <w:color w:val="004A7C"/>
                <w:sz w:val="20"/>
              </w:rPr>
            </w:pPr>
            <w:r>
              <w:rPr>
                <w:rFonts w:ascii="Open Sans" w:hAnsi="Open Sans"/>
                <w:b w:val="false"/>
                <w:i w:val="false"/>
                <w:caps w:val="false"/>
                <w:smallCaps w:val="false"/>
                <w:color w:val="004A7C"/>
                <w:sz w:val="20"/>
              </w:rPr>
              <w:t>Ratification of Independent Registered Public Accounting Firm for 2023</w:t>
            </w:r>
          </w:p>
        </w:tc>
        <w:tc>
          <w:tcPr>
            <w:tcW w:w="2164"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20"/>
              </w:rPr>
            </w:pPr>
            <w:r>
              <w:rPr>
                <w:rFonts w:ascii="Open Sans" w:hAnsi="Open Sans"/>
                <w:b/>
                <w:i w:val="false"/>
                <w:caps w:val="false"/>
                <w:smallCaps w:val="false"/>
                <w:color w:val="004A7C"/>
                <w:sz w:val="20"/>
              </w:rPr>
              <w:t>FOR</w:t>
            </w:r>
          </w:p>
        </w:tc>
        <w:tc>
          <w:tcPr>
            <w:tcW w:w="1336"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89</w:t>
            </w:r>
          </w:p>
        </w:tc>
      </w:tr>
    </w:tbl>
    <w:p>
      <w:pPr>
        <w:pStyle w:val="TextBody"/>
        <w:spacing w:before="0" w:after="0"/>
        <w:jc w:val="center"/>
        <w:rPr>
          <w:bdr w:val="single" w:sz="6" w:space="1" w:color="00497C"/>
        </w:rPr>
      </w:pPr>
      <w:r>
        <w:rPr>
          <w:bdr w:val="single" w:sz="6" w:space="1" w:color="00497C"/>
        </w:rPr>
        <w:t> </w:t>
      </w:r>
    </w:p>
    <w:p>
      <w:pPr>
        <w:pStyle w:val="TextBody"/>
        <w:spacing w:before="0" w:after="0"/>
        <w:rPr>
          <w:rFonts w:ascii="Open Sans" w:hAnsi="Open Sans"/>
          <w:b/>
          <w:i w:val="false"/>
          <w:caps w:val="false"/>
          <w:smallCaps w:val="false"/>
          <w:color w:val="004A7C"/>
          <w:sz w:val="27"/>
          <w:bdr w:val="single" w:sz="6" w:space="1" w:color="00497C"/>
        </w:rPr>
      </w:pPr>
      <w:r>
        <w:rPr>
          <w:rFonts w:ascii="Open Sans" w:hAnsi="Open Sans"/>
          <w:b/>
          <w:i w:val="false"/>
          <w:caps w:val="false"/>
          <w:smallCaps w:val="false"/>
          <w:color w:val="004A7C"/>
          <w:sz w:val="27"/>
          <w:bdr w:val="single" w:sz="6" w:space="1" w:color="00497C"/>
        </w:rPr>
        <w:t>2022 Business and Performance Highlights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During 2022, we continued to create value for our shareholders. Our performance reflects our continued progress on our strategic priorities. We remain focused on executing our strategy designed to generate profitable growth by sustainably managing our customers’ needs, managing our cost structure, generating consistent earnings and free cash flow growth, improving return on invested capital, and increasing cash returns to our shareholders. We outperformed our upwardly revised adjusted earnings per share (“EPS”) and adjusted free cash flow (“FCF”) guidance. Highlights of the year include:</w:t>
      </w:r>
    </w:p>
    <w:p>
      <w:pPr>
        <w:pStyle w:val="TextBody"/>
        <w:spacing w:before="0" w:after="0"/>
        <w:rPr/>
      </w:pPr>
      <w:r>
        <w:rPr/>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10</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820" w:type="dxa"/>
        <w:jc w:val="left"/>
        <w:tblInd w:w="0" w:type="dxa"/>
        <w:tblCellMar>
          <w:top w:w="0" w:type="dxa"/>
          <w:left w:w="0" w:type="dxa"/>
          <w:bottom w:w="28" w:type="dxa"/>
          <w:right w:w="0" w:type="dxa"/>
        </w:tblCellMar>
      </w:tblPr>
      <w:tblGrid>
        <w:gridCol w:w="3395"/>
        <w:gridCol w:w="2660"/>
        <w:gridCol w:w="2765"/>
      </w:tblGrid>
      <w:tr>
        <w:trPr/>
        <w:tc>
          <w:tcPr>
            <w:tcW w:w="3395" w:type="dxa"/>
            <w:tcBorders>
              <w:bottom w:val="single" w:sz="8" w:space="0" w:color="004A7C"/>
            </w:tcBorders>
            <w:shd w:fill="auto" w:val="clear"/>
            <w:vAlign w:val="center"/>
          </w:tcPr>
          <w:p>
            <w:pPr>
              <w:pStyle w:val="TableContents"/>
              <w:spacing w:before="0" w:after="0"/>
              <w:ind w:left="0" w:right="0" w:hanging="0"/>
              <w:rPr/>
            </w:pPr>
            <w:r>
              <w:rPr/>
              <w:t> </w:t>
            </w:r>
          </w:p>
        </w:tc>
        <w:tc>
          <w:tcPr>
            <w:tcW w:w="2660" w:type="dxa"/>
            <w:tcBorders>
              <w:bottom w:val="single" w:sz="8" w:space="0" w:color="004A7C"/>
            </w:tcBorders>
            <w:shd w:fill="auto" w:val="clear"/>
            <w:vAlign w:val="center"/>
          </w:tcPr>
          <w:p>
            <w:pPr>
              <w:pStyle w:val="TableContents"/>
              <w:spacing w:before="0" w:after="0"/>
              <w:ind w:left="0" w:right="0" w:hanging="0"/>
              <w:rPr/>
            </w:pPr>
            <w:r>
              <w:rPr/>
              <w:t> </w:t>
            </w:r>
          </w:p>
        </w:tc>
        <w:tc>
          <w:tcPr>
            <w:tcW w:w="2765" w:type="dxa"/>
            <w:tcBorders/>
            <w:shd w:fill="auto" w:val="clear"/>
            <w:tcMar>
              <w:bottom w:w="0" w:type="dxa"/>
            </w:tcMar>
            <w:vAlign w:val="center"/>
          </w:tcPr>
          <w:p>
            <w:pPr>
              <w:pStyle w:val="TableContents"/>
              <w:spacing w:before="0" w:after="0"/>
              <w:ind w:left="0" w:right="0" w:hanging="0"/>
              <w:rPr/>
            </w:pPr>
            <w:r>
              <w:rPr/>
              <w:t> </w:t>
            </w:r>
          </w:p>
        </w:tc>
      </w:tr>
      <w:tr>
        <w:trPr/>
        <w:tc>
          <w:tcPr>
            <w:tcW w:w="3395" w:type="dxa"/>
            <w:tcBorders>
              <w:top w:val="single" w:sz="8" w:space="0" w:color="004A7C"/>
              <w:left w:val="single" w:sz="8" w:space="0" w:color="004A7C"/>
            </w:tcBorders>
            <w:shd w:fill="D8E1E9" w:val="clear"/>
            <w:tcMar>
              <w:top w:w="28" w:type="dxa"/>
              <w:left w:w="160"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660" w:type="dxa"/>
            <w:tcBorders>
              <w:top w:val="single" w:sz="8" w:space="0" w:color="004A7C"/>
              <w:left w:val="single" w:sz="8" w:space="0" w:color="004A7C"/>
            </w:tcBorders>
            <w:shd w:fill="D8E1E9" w:val="clear"/>
            <w:tcMar>
              <w:top w:w="28" w:type="dxa"/>
              <w:left w:w="28"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765" w:type="dxa"/>
            <w:tcBorders>
              <w:top w:val="single" w:sz="8" w:space="0" w:color="004A7C"/>
              <w:left w:val="single" w:sz="8" w:space="0" w:color="004A7C"/>
              <w:right w:val="single" w:sz="8" w:space="0" w:color="004A7C"/>
            </w:tcBorders>
            <w:shd w:fill="D8E1E9" w:val="clear"/>
            <w:tcMar>
              <w:top w:w="28" w:type="dxa"/>
              <w:left w:w="28" w:type="dxa"/>
              <w:bottom w:w="0"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395" w:type="dxa"/>
            <w:tcBorders>
              <w:left w:val="single" w:sz="8" w:space="0" w:color="004A7C"/>
              <w:right w:val="single" w:sz="8" w:space="0" w:color="004A7C"/>
            </w:tcBorders>
            <w:shd w:fill="D8E1E9" w:val="clear"/>
            <w:tcMar>
              <w:left w:w="160" w:type="dxa"/>
              <w:bottom w:w="0" w:type="dxa"/>
              <w:right w:w="28" w:type="dxa"/>
            </w:tcMar>
            <w:vAlign w:val="bottom"/>
          </w:tcPr>
          <w:p>
            <w:pPr>
              <w:pStyle w:val="TableContents"/>
              <w:spacing w:before="0" w:after="0"/>
              <w:ind w:left="0" w:right="0" w:hanging="0"/>
              <w:jc w:val="center"/>
              <w:rPr>
                <w:rFonts w:ascii="Open Sans" w:hAnsi="Open Sans"/>
                <w:b/>
                <w:i w:val="false"/>
                <w:caps w:val="false"/>
                <w:smallCaps w:val="false"/>
                <w:color w:val="004A7C"/>
                <w:sz w:val="72"/>
              </w:rPr>
            </w:pPr>
            <w:r>
              <w:rPr>
                <w:rFonts w:ascii="Open Sans" w:hAnsi="Open Sans"/>
                <w:b/>
                <w:i w:val="false"/>
                <w:caps w:val="false"/>
                <w:smallCaps w:val="false"/>
                <w:color w:val="004A7C"/>
                <w:sz w:val="72"/>
              </w:rPr>
              <w:t>20%</w:t>
            </w:r>
          </w:p>
        </w:tc>
        <w:tc>
          <w:tcPr>
            <w:tcW w:w="2660" w:type="dxa"/>
            <w:tcBorders>
              <w:left w:val="single" w:sz="8" w:space="0" w:color="004A7C"/>
              <w:right w:val="single" w:sz="8" w:space="0" w:color="004A7C"/>
            </w:tcBorders>
            <w:shd w:fill="D8E1E9" w:val="clear"/>
            <w:tcMar>
              <w:left w:w="28" w:type="dxa"/>
              <w:bottom w:w="0" w:type="dxa"/>
              <w:right w:w="28"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47"/>
              </w:rPr>
            </w:pPr>
            <w:r>
              <w:rPr>
                <w:rFonts w:ascii="Open Sans" w:hAnsi="Open Sans"/>
                <w:b/>
                <w:i w:val="false"/>
                <w:caps w:val="false"/>
                <w:smallCaps w:val="false"/>
                <w:color w:val="004A7C"/>
                <w:sz w:val="47"/>
              </w:rPr>
              <w:t>$</w:t>
            </w:r>
            <w:r>
              <w:rPr>
                <w:rFonts w:ascii="Open Sans" w:hAnsi="Open Sans"/>
                <w:b/>
                <w:i w:val="false"/>
                <w:caps w:val="false"/>
                <w:smallCaps w:val="false"/>
                <w:color w:val="004A7C"/>
                <w:sz w:val="72"/>
              </w:rPr>
              <w:t>1.74B</w:t>
            </w:r>
          </w:p>
        </w:tc>
        <w:tc>
          <w:tcPr>
            <w:tcW w:w="2765" w:type="dxa"/>
            <w:tcBorders>
              <w:left w:val="single" w:sz="8" w:space="0" w:color="004A7C"/>
              <w:right w:val="single" w:sz="8" w:space="0" w:color="004A7C"/>
            </w:tcBorders>
            <w:shd w:fill="D8E1E9" w:val="clear"/>
            <w:tcMar>
              <w:left w:w="28" w:type="dxa"/>
              <w:bottom w:w="0" w:type="dxa"/>
              <w:right w:w="40" w:type="dxa"/>
            </w:tcMar>
            <w:vAlign w:val="bottom"/>
          </w:tcPr>
          <w:p>
            <w:pPr>
              <w:pStyle w:val="TableContents"/>
              <w:spacing w:before="0" w:after="0"/>
              <w:ind w:left="0" w:right="0" w:hanging="0"/>
              <w:jc w:val="center"/>
              <w:rPr>
                <w:rFonts w:ascii="Open Sans" w:hAnsi="Open Sans"/>
                <w:b/>
                <w:i w:val="false"/>
                <w:caps w:val="false"/>
                <w:smallCaps w:val="false"/>
                <w:color w:val="004A7C"/>
                <w:sz w:val="72"/>
              </w:rPr>
            </w:pPr>
            <w:r>
              <w:rPr>
                <w:rFonts w:ascii="Open Sans" w:hAnsi="Open Sans"/>
                <w:b/>
                <w:i w:val="false"/>
                <w:caps w:val="false"/>
                <w:smallCaps w:val="false"/>
                <w:color w:val="004A7C"/>
                <w:sz w:val="72"/>
              </w:rPr>
              <w:t>18%</w:t>
            </w:r>
          </w:p>
        </w:tc>
      </w:tr>
      <w:tr>
        <w:trPr/>
        <w:tc>
          <w:tcPr>
            <w:tcW w:w="3395" w:type="dxa"/>
            <w:tcBorders>
              <w:left w:val="single" w:sz="8" w:space="0" w:color="004A7C"/>
            </w:tcBorders>
            <w:shd w:fill="D8E1E9" w:val="clear"/>
            <w:tcMar>
              <w:left w:w="160"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660" w:type="dxa"/>
            <w:tcBorders>
              <w:left w:val="single" w:sz="8" w:space="0" w:color="004A7C"/>
            </w:tcBorders>
            <w:shd w:fill="D8E1E9" w:val="clear"/>
            <w:tcMar>
              <w:left w:w="28"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765" w:type="dxa"/>
            <w:tcBorders>
              <w:left w:val="single" w:sz="8" w:space="0" w:color="004A7C"/>
              <w:right w:val="single" w:sz="8" w:space="0" w:color="004A7C"/>
            </w:tcBorders>
            <w:shd w:fill="D8E1E9" w:val="clear"/>
            <w:tcMar>
              <w:left w:w="28" w:type="dxa"/>
              <w:bottom w:w="0"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395" w:type="dxa"/>
            <w:tcBorders>
              <w:left w:val="single" w:sz="8" w:space="0" w:color="004A7C"/>
              <w:right w:val="single" w:sz="8" w:space="0" w:color="004A7C"/>
            </w:tcBorders>
            <w:shd w:fill="D8E1E9" w:val="clear"/>
            <w:tcMar>
              <w:left w:w="160" w:type="dxa"/>
              <w:bottom w:w="0" w:type="dxa"/>
              <w:right w:w="28" w:type="dxa"/>
            </w:tcMar>
          </w:tcPr>
          <w:p>
            <w:pPr>
              <w:pStyle w:val="TableContents"/>
              <w:spacing w:before="0" w:after="12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TOTAL REVENUE GROWTH OF 20%</w:t>
            </w:r>
          </w:p>
        </w:tc>
        <w:tc>
          <w:tcPr>
            <w:tcW w:w="2660" w:type="dxa"/>
            <w:tcBorders>
              <w:left w:val="single" w:sz="8" w:space="0" w:color="004A7C"/>
              <w:right w:val="single" w:sz="8" w:space="0" w:color="004A7C"/>
            </w:tcBorders>
            <w:shd w:fill="D8E1E9" w:val="clear"/>
            <w:tcMar>
              <w:left w:w="28" w:type="dxa"/>
              <w:bottom w:w="0"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 xml:space="preserve">Generated $1.74 billion </w:t>
            </w:r>
          </w:p>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of adjusted free cash</w:t>
            </w:r>
          </w:p>
          <w:p>
            <w:pPr>
              <w:pStyle w:val="TableContents"/>
              <w:spacing w:lineRule="auto" w:line="288" w:before="0" w:after="12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flow(1)</w:t>
            </w:r>
          </w:p>
        </w:tc>
        <w:tc>
          <w:tcPr>
            <w:tcW w:w="2765" w:type="dxa"/>
            <w:tcBorders>
              <w:left w:val="single" w:sz="8" w:space="0" w:color="004A7C"/>
              <w:right w:val="single" w:sz="8" w:space="0" w:color="004A7C"/>
            </w:tcBorders>
            <w:shd w:fill="D8E1E9" w:val="clear"/>
            <w:tcMar>
              <w:left w:w="28" w:type="dxa"/>
              <w:bottom w:w="0" w:type="dxa"/>
              <w:right w:w="40" w:type="dxa"/>
            </w:tcMar>
          </w:tcPr>
          <w:p>
            <w:pPr>
              <w:pStyle w:val="TableContents"/>
              <w:spacing w:lineRule="auto" w:line="288"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Grew adjusted EPS(1) 18%</w:t>
            </w:r>
          </w:p>
        </w:tc>
      </w:tr>
      <w:tr>
        <w:trPr/>
        <w:tc>
          <w:tcPr>
            <w:tcW w:w="3395" w:type="dxa"/>
            <w:tcBorders>
              <w:top w:val="single" w:sz="8" w:space="0" w:color="004A7C"/>
              <w:left w:val="single" w:sz="8" w:space="0" w:color="004A7C"/>
            </w:tcBorders>
            <w:shd w:fill="D8E1E9" w:val="clear"/>
            <w:tcMar>
              <w:top w:w="28" w:type="dxa"/>
              <w:left w:w="160"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660" w:type="dxa"/>
            <w:tcBorders>
              <w:top w:val="single" w:sz="8" w:space="0" w:color="004A7C"/>
              <w:left w:val="single" w:sz="8" w:space="0" w:color="004A7C"/>
            </w:tcBorders>
            <w:shd w:fill="D8E1E9" w:val="clear"/>
            <w:tcMar>
              <w:top w:w="28" w:type="dxa"/>
              <w:left w:w="28"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765" w:type="dxa"/>
            <w:tcBorders>
              <w:top w:val="single" w:sz="8" w:space="0" w:color="004A7C"/>
              <w:left w:val="single" w:sz="8" w:space="0" w:color="004A7C"/>
              <w:right w:val="single" w:sz="8" w:space="0" w:color="004A7C"/>
            </w:tcBorders>
            <w:shd w:fill="D8E1E9" w:val="clear"/>
            <w:tcMar>
              <w:top w:w="28" w:type="dxa"/>
              <w:left w:w="28" w:type="dxa"/>
              <w:bottom w:w="0"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395" w:type="dxa"/>
            <w:tcBorders>
              <w:left w:val="single" w:sz="8" w:space="0" w:color="004A7C"/>
              <w:right w:val="single" w:sz="8" w:space="0" w:color="004A7C"/>
            </w:tcBorders>
            <w:shd w:fill="D8E1E9" w:val="clear"/>
            <w:tcMar>
              <w:left w:w="160" w:type="dxa"/>
              <w:bottom w:w="0" w:type="dxa"/>
              <w:right w:w="28" w:type="dxa"/>
            </w:tcMar>
            <w:vAlign w:val="bottom"/>
          </w:tcPr>
          <w:p>
            <w:pPr>
              <w:pStyle w:val="TableContents"/>
              <w:spacing w:before="0" w:after="0"/>
              <w:ind w:left="0" w:right="0" w:hanging="0"/>
              <w:jc w:val="center"/>
              <w:rPr>
                <w:rFonts w:ascii="Open Sans" w:hAnsi="Open Sans"/>
                <w:b/>
                <w:i w:val="false"/>
                <w:caps w:val="false"/>
                <w:smallCaps w:val="false"/>
                <w:color w:val="004A7C"/>
                <w:sz w:val="72"/>
              </w:rPr>
            </w:pPr>
            <w:r>
              <w:rPr>
                <w:rFonts w:ascii="Open Sans" w:hAnsi="Open Sans"/>
                <w:b/>
                <w:i w:val="false"/>
                <w:caps w:val="false"/>
                <w:smallCaps w:val="false"/>
                <w:color w:val="004A7C"/>
                <w:sz w:val="72"/>
              </w:rPr>
              <w:t>44%</w:t>
            </w:r>
          </w:p>
        </w:tc>
        <w:tc>
          <w:tcPr>
            <w:tcW w:w="2660" w:type="dxa"/>
            <w:tcBorders>
              <w:left w:val="single" w:sz="8" w:space="0" w:color="004A7C"/>
              <w:right w:val="single" w:sz="8" w:space="0" w:color="004A7C"/>
            </w:tcBorders>
            <w:shd w:fill="D8E1E9" w:val="clear"/>
            <w:tcMar>
              <w:left w:w="28" w:type="dxa"/>
              <w:bottom w:w="0" w:type="dxa"/>
              <w:right w:w="28"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47"/>
              </w:rPr>
            </w:pPr>
            <w:r>
              <w:rPr>
                <w:rFonts w:ascii="Open Sans" w:hAnsi="Open Sans"/>
                <w:b/>
                <w:i w:val="false"/>
                <w:caps w:val="false"/>
                <w:smallCaps w:val="false"/>
                <w:color w:val="004A7C"/>
                <w:sz w:val="47"/>
              </w:rPr>
              <w:t>$</w:t>
            </w:r>
            <w:r>
              <w:rPr>
                <w:rFonts w:ascii="Open Sans" w:hAnsi="Open Sans"/>
                <w:b/>
                <w:i w:val="false"/>
                <w:caps w:val="false"/>
                <w:smallCaps w:val="false"/>
                <w:color w:val="004A7C"/>
                <w:sz w:val="72"/>
              </w:rPr>
              <w:t>796M</w:t>
            </w:r>
          </w:p>
        </w:tc>
        <w:tc>
          <w:tcPr>
            <w:tcW w:w="2765" w:type="dxa"/>
            <w:tcBorders>
              <w:left w:val="single" w:sz="8" w:space="0" w:color="004A7C"/>
              <w:right w:val="single" w:sz="8" w:space="0" w:color="004A7C"/>
            </w:tcBorders>
            <w:shd w:fill="D8E1E9" w:val="clear"/>
            <w:tcMar>
              <w:left w:w="28" w:type="dxa"/>
              <w:bottom w:w="0" w:type="dxa"/>
              <w:right w:w="40"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47"/>
              </w:rPr>
            </w:pPr>
            <w:r>
              <w:rPr>
                <w:rFonts w:ascii="Open Sans" w:hAnsi="Open Sans"/>
                <w:b/>
                <w:i w:val="false"/>
                <w:caps w:val="false"/>
                <w:smallCaps w:val="false"/>
                <w:color w:val="004A7C"/>
                <w:sz w:val="47"/>
              </w:rPr>
              <w:t>$</w:t>
            </w:r>
            <w:r>
              <w:rPr>
                <w:rFonts w:ascii="Open Sans" w:hAnsi="Open Sans"/>
                <w:b/>
                <w:i w:val="false"/>
                <w:caps w:val="false"/>
                <w:smallCaps w:val="false"/>
                <w:color w:val="004A7C"/>
                <w:sz w:val="72"/>
              </w:rPr>
              <w:t>2.7B+</w:t>
            </w:r>
          </w:p>
        </w:tc>
      </w:tr>
      <w:tr>
        <w:trPr/>
        <w:tc>
          <w:tcPr>
            <w:tcW w:w="3395" w:type="dxa"/>
            <w:tcBorders>
              <w:left w:val="single" w:sz="8" w:space="0" w:color="004A7C"/>
            </w:tcBorders>
            <w:shd w:fill="D8E1E9" w:val="clear"/>
            <w:tcMar>
              <w:left w:w="160"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660" w:type="dxa"/>
            <w:tcBorders>
              <w:left w:val="single" w:sz="8" w:space="0" w:color="004A7C"/>
            </w:tcBorders>
            <w:shd w:fill="D8E1E9" w:val="clear"/>
            <w:tcMar>
              <w:left w:w="28" w:type="dxa"/>
              <w:bottom w:w="0"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765" w:type="dxa"/>
            <w:tcBorders>
              <w:left w:val="single" w:sz="8" w:space="0" w:color="004A7C"/>
              <w:right w:val="single" w:sz="8" w:space="0" w:color="004A7C"/>
            </w:tcBorders>
            <w:shd w:fill="D8E1E9" w:val="clear"/>
            <w:tcMar>
              <w:left w:w="28" w:type="dxa"/>
              <w:bottom w:w="0"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395" w:type="dxa"/>
            <w:tcBorders>
              <w:left w:val="single" w:sz="8" w:space="0" w:color="004A7C"/>
              <w:bottom w:val="single" w:sz="8" w:space="0" w:color="004A7C"/>
              <w:right w:val="single" w:sz="8" w:space="0" w:color="004A7C"/>
            </w:tcBorders>
            <w:shd w:fill="D8E1E9" w:val="clear"/>
            <w:tcMar>
              <w:left w:w="160"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adjusted</w:t>
            </w:r>
          </w:p>
          <w:p>
            <w:pPr>
              <w:pStyle w:val="TableContents"/>
              <w:spacing w:lineRule="auto" w:line="288"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 xml:space="preserve">free cash flow(1) </w:t>
            </w:r>
          </w:p>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conversion</w:t>
            </w:r>
          </w:p>
          <w:p>
            <w:pPr>
              <w:pStyle w:val="TableContents"/>
              <w:spacing w:before="0" w:after="12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OF 44.3%</w:t>
            </w:r>
          </w:p>
        </w:tc>
        <w:tc>
          <w:tcPr>
            <w:tcW w:w="2660" w:type="dxa"/>
            <w:tcBorders>
              <w:left w:val="single" w:sz="8" w:space="0" w:color="004A7C"/>
              <w:bottom w:val="single" w:sz="8" w:space="0" w:color="004A7C"/>
              <w:right w:val="single" w:sz="8" w:space="0" w:color="004A7C"/>
            </w:tcBorders>
            <w:shd w:fill="D8E1E9" w:val="clear"/>
            <w:tcMar>
              <w:left w:w="28"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Returned $796 million to</w:t>
            </w:r>
          </w:p>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shareholders through</w:t>
            </w:r>
          </w:p>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share repurchases and</w:t>
            </w:r>
          </w:p>
          <w:p>
            <w:pPr>
              <w:pStyle w:val="TableContents"/>
              <w:spacing w:before="0" w:after="12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dividends</w:t>
            </w:r>
          </w:p>
        </w:tc>
        <w:tc>
          <w:tcPr>
            <w:tcW w:w="2765" w:type="dxa"/>
            <w:tcBorders>
              <w:left w:val="single" w:sz="8" w:space="0" w:color="004A7C"/>
              <w:bottom w:val="single" w:sz="8" w:space="0" w:color="004A7C"/>
              <w:right w:val="single" w:sz="8" w:space="0" w:color="004A7C"/>
            </w:tcBorders>
            <w:shd w:fill="D8E1E9" w:val="clear"/>
            <w:tcMar>
              <w:left w:w="28" w:type="dxa"/>
              <w:right w:w="40"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Invested over $2.7</w:t>
            </w:r>
          </w:p>
          <w:p>
            <w:pPr>
              <w:pStyle w:val="TableContents"/>
              <w:spacing w:before="0" w:after="20"/>
              <w:ind w:left="0" w:right="0" w:hanging="0"/>
              <w:jc w:val="center"/>
              <w:rPr>
                <w:rFonts w:ascii="Open Sans SemiBold" w:hAnsi="Open Sans SemiBold"/>
                <w:b w:val="false"/>
                <w:i w:val="false"/>
                <w:caps w:val="false"/>
                <w:smallCaps w:val="false"/>
                <w:color w:val="004A7C"/>
                <w:sz w:val="20"/>
              </w:rPr>
            </w:pPr>
            <w:r>
              <w:rPr>
                <w:rFonts w:ascii="Open Sans SemiBold" w:hAnsi="Open Sans SemiBold"/>
                <w:b w:val="false"/>
                <w:i w:val="false"/>
                <w:caps w:val="false"/>
                <w:smallCaps w:val="false"/>
                <w:color w:val="004A7C"/>
                <w:sz w:val="20"/>
              </w:rPr>
              <w:t>billion in acquisitions</w:t>
            </w:r>
          </w:p>
        </w:tc>
      </w:tr>
    </w:tbl>
    <w:tbl>
      <w:tblPr>
        <w:tblW w:w="10539" w:type="dxa"/>
        <w:jc w:val="left"/>
        <w:tblInd w:w="0" w:type="dxa"/>
        <w:tblCellMar>
          <w:top w:w="0" w:type="dxa"/>
          <w:left w:w="0" w:type="dxa"/>
          <w:bottom w:w="0" w:type="dxa"/>
          <w:right w:w="0" w:type="dxa"/>
        </w:tblCellMar>
      </w:tblPr>
      <w:tblGrid>
        <w:gridCol w:w="60"/>
        <w:gridCol w:w="238"/>
        <w:gridCol w:w="10241"/>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8" w:type="dxa"/>
            <w:tcBorders/>
            <w:shd w:fill="auto" w:val="clear"/>
          </w:tcPr>
          <w:p>
            <w:pPr>
              <w:pStyle w:val="TableContents"/>
              <w:spacing w:lineRule="auto" w:line="288"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241"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 xml:space="preserve">Adjusted free cash flow, adjusted EPS and adjusted free cash flow conversion are non-GAAP financial measures. For a reconciliation of these non-GAAP measures to the comparable measures in accordance with GAAP, see “Reconciliation of GAAP to Non-GAAP Financial Measures” in the Annex on page </w:t>
            </w:r>
            <w:r>
              <w:rPr>
                <w:b/>
                <w:i w:val="false"/>
                <w:caps w:val="false"/>
                <w:smallCaps w:val="false"/>
                <w:color w:val="000000"/>
              </w:rPr>
              <w:t>98</w:t>
            </w:r>
            <w:r>
              <w:rPr>
                <w:rFonts w:ascii="Arial" w:hAnsi="Arial"/>
                <w:b w:val="false"/>
                <w:i w:val="false"/>
                <w:caps w:val="false"/>
                <w:smallCaps w:val="false"/>
                <w:color w:val="000000"/>
              </w:rPr>
              <w:t xml:space="preserve">. </w:t>
            </w:r>
          </w:p>
        </w:tc>
      </w:tr>
    </w:tbl>
    <w:p>
      <w:pPr>
        <w:pStyle w:val="TextBody"/>
        <w:spacing w:before="120" w:after="0"/>
        <w:rPr>
          <w:rFonts w:ascii="Open Sans" w:hAnsi="Open Sans"/>
          <w:b/>
          <w:i w:val="false"/>
          <w:caps w:val="false"/>
          <w:smallCaps w:val="false"/>
          <w:color w:val="004A7C"/>
          <w:sz w:val="27"/>
          <w:bdr w:val="single" w:sz="6" w:space="1" w:color="00497C"/>
        </w:rPr>
      </w:pPr>
      <w:r>
        <w:rPr>
          <w:rFonts w:ascii="Open Sans" w:hAnsi="Open Sans"/>
          <w:b/>
          <w:i w:val="false"/>
          <w:caps w:val="false"/>
          <w:smallCaps w:val="false"/>
          <w:color w:val="004A7C"/>
          <w:sz w:val="27"/>
          <w:bdr w:val="single" w:sz="6" w:space="1" w:color="00497C"/>
        </w:rPr>
        <w:t>Sustainability Leadership</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sustainability goals and practices are core to our business and are integrated into our business strategy as well as our long-term financial targets. Sustainable business practices are embedded in our day-to-day operations, which we believe improve our profitability and support long-term value creation for our shareholders. The Board is responsible for overseeing our management’s handling of environmental, social and enterprise risks, including physical and transition risks and opportunities associated with climate change. As a result of this ongoing commitment, we have been recognized for our leading performance in several key areas including employee engagement, ethics, innovation and climate change management and resiliency.</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248275" cy="3152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248275" cy="3152775"/>
                    </a:xfrm>
                    <a:prstGeom prst="rect">
                      <a:avLst/>
                    </a:prstGeom>
                  </pic:spPr>
                </pic:pic>
              </a:graphicData>
            </a:graphic>
          </wp:inline>
        </w:drawing>
      </w:r>
      <w:r>
        <w:rPr>
          <w:caps w:val="false"/>
          <w:smallCaps w:val="false"/>
          <w:color w:val="004A7C"/>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11</w:t>
            </w:r>
          </w:p>
        </w:tc>
      </w:tr>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pPr>
            <w:r>
              <w:rPr/>
              <w:t> </w:t>
            </w:r>
          </w:p>
        </w:tc>
        <w:tc>
          <w:tcPr>
            <w:tcW w:w="80"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Sustainability in Action</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are partnering with our customers to create a more sustainable world. We are passionate about our role as responsible stewards of our nation’s waste, and we continue to make progress on our 2030 Sustainability Goals, which reaffirm our commitment to the elements of our sustainability platform: Safety, Talent, Climate Leadership and Communities. </w:t>
      </w:r>
    </w:p>
    <w:p>
      <w:pPr>
        <w:pStyle w:val="TextBody"/>
        <w:spacing w:before="120" w:after="0"/>
        <w:rPr>
          <w:rFonts w:ascii="Open Sans" w:hAnsi="Open Sans"/>
          <w:b/>
          <w:i w:val="false"/>
          <w:caps w:val="false"/>
          <w:smallCaps w:val="false"/>
          <w:color w:val="004A7C"/>
          <w:sz w:val="27"/>
          <w:bdr w:val="single" w:sz="6" w:space="1" w:color="00497C"/>
        </w:rPr>
      </w:pPr>
      <w:r>
        <w:rPr>
          <w:rFonts w:ascii="Open Sans" w:hAnsi="Open Sans"/>
          <w:b/>
          <w:i w:val="false"/>
          <w:caps w:val="false"/>
          <w:smallCaps w:val="false"/>
          <w:color w:val="004A7C"/>
          <w:sz w:val="27"/>
          <w:bdr w:val="single" w:sz="6" w:space="1" w:color="00497C"/>
        </w:rPr>
        <w:t xml:space="preserve">Director Nominees and Corporate Governance Highlights </w:t>
      </w:r>
    </w:p>
    <w:p>
      <w:pPr>
        <w:pStyle w:val="TextBody"/>
        <w:spacing w:before="60" w:after="0"/>
        <w:rPr>
          <w:rFonts w:ascii="Open Sans" w:hAnsi="Open Sans"/>
          <w:b w:val="false"/>
          <w:i w:val="false"/>
          <w:caps w:val="false"/>
          <w:smallCaps w:val="false"/>
          <w:color w:val="004A7C"/>
          <w:sz w:val="16"/>
          <w:bdr w:val="single" w:sz="6" w:space="1" w:color="00497C"/>
        </w:rPr>
      </w:pPr>
      <w:r>
        <w:rPr>
          <w:rFonts w:ascii="Open Sans" w:hAnsi="Open Sans"/>
          <w:b w:val="false"/>
          <w:i w:val="false"/>
          <w:caps w:val="false"/>
          <w:smallCaps w:val="false"/>
          <w:color w:val="004A7C"/>
          <w:sz w:val="16"/>
          <w:bdr w:val="single" w:sz="6" w:space="1" w:color="00497C"/>
        </w:rPr>
        <w:t>The table below lists the names of our director nominees and the standing committees on which they serve as of the date of this Proxy Statement.</w:t>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28" w:type="dxa"/>
          <w:right w:w="0" w:type="dxa"/>
        </w:tblCellMar>
      </w:tblPr>
      <w:tblGrid>
        <w:gridCol w:w="1882"/>
        <w:gridCol w:w="840"/>
        <w:gridCol w:w="410"/>
        <w:gridCol w:w="950"/>
        <w:gridCol w:w="5101"/>
        <w:gridCol w:w="1356"/>
      </w:tblGrid>
      <w:tr>
        <w:trPr/>
        <w:tc>
          <w:tcPr>
            <w:tcW w:w="1882"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DIRECTOR</w:t>
            </w:r>
          </w:p>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NAME</w:t>
            </w:r>
          </w:p>
        </w:tc>
        <w:tc>
          <w:tcPr>
            <w:tcW w:w="840" w:type="dxa"/>
            <w:tcBorders>
              <w:bottom w:val="single" w:sz="6" w:space="0" w:color="D8E1E9"/>
            </w:tcBorders>
            <w:shd w:fill="auto" w:val="clear"/>
            <w:vAlign w:val="bottom"/>
          </w:tcPr>
          <w:p>
            <w:pPr>
              <w:pStyle w:val="TableContents"/>
              <w:spacing w:before="0" w:after="0"/>
              <w:ind w:left="0" w:right="0" w:hanging="0"/>
              <w:jc w:val="center"/>
              <w:rPr/>
            </w:pPr>
            <w:r>
              <w:rPr/>
              <w:t> </w:t>
            </w:r>
          </w:p>
        </w:tc>
        <w:tc>
          <w:tcPr>
            <w:tcW w:w="41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AGE</w:t>
            </w:r>
          </w:p>
        </w:tc>
        <w:tc>
          <w:tcPr>
            <w:tcW w:w="95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DIRECTOR</w:t>
            </w:r>
          </w:p>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SINCE</w:t>
            </w:r>
          </w:p>
        </w:tc>
        <w:tc>
          <w:tcPr>
            <w:tcW w:w="5101"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COMMITTEES</w:t>
            </w:r>
          </w:p>
        </w:tc>
        <w:tc>
          <w:tcPr>
            <w:tcW w:w="1356"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INDEPENDENT</w:t>
            </w:r>
          </w:p>
        </w:tc>
      </w:tr>
      <w:tr>
        <w:trPr/>
        <w:tc>
          <w:tcPr>
            <w:tcW w:w="1882" w:type="dxa"/>
            <w:tcBorders>
              <w:top w:val="single" w:sz="6" w:space="0" w:color="D8E1E9"/>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Manuel Kadre</w:t>
            </w:r>
            <w:r>
              <w:rPr>
                <w:rFonts w:ascii="Calibri" w:hAnsi="Calibri"/>
                <w:b w:val="false"/>
                <w:i w:val="false"/>
                <w:caps w:val="false"/>
                <w:smallCaps w:val="false"/>
                <w:color w:val="004A7C"/>
                <w:sz w:val="22"/>
              </w:rPr>
              <w:br/>
            </w:r>
            <w:r>
              <w:rPr>
                <w:rFonts w:ascii="Open Sans" w:hAnsi="Open Sans"/>
                <w:b/>
                <w:i w:val="false"/>
                <w:caps w:val="false"/>
                <w:smallCaps w:val="false"/>
                <w:color w:val="004A7C"/>
                <w:sz w:val="17"/>
              </w:rPr>
              <w:t>(Chairman)</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23875" cy="523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23875" cy="523875"/>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12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57</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12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2014</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120" w:after="0"/>
              <w:ind w:left="0" w:right="0" w:hanging="0"/>
              <w:jc w:val="center"/>
              <w:rPr>
                <w:caps w:val="false"/>
                <w:smallCaps w:val="false"/>
                <w:color w:val="004A7C"/>
              </w:rPr>
            </w:pPr>
            <w:r>
              <w:rPr>
                <w:caps w:val="false"/>
                <w:smallCaps w:val="false"/>
                <w:color w:val="004A7C"/>
              </w:rPr>
              <w:t>—</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12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Tomago Collins</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51</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2013</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Sustainability &amp; Corporate</w:t>
              <w:br/>
              <w:t>Responsibility Committee (Chair)</w:t>
              <w:br/>
              <w:t>and Audit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Michael A. Duffy</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53</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2020</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Audit Committee and </w:t>
              <w:br/>
              <w:t>Sustainability &amp; Corporate</w:t>
              <w:br/>
              <w:t>Responsibility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Thomas W. Handley</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68</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2016</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Talent &amp; Compensation</w:t>
              <w:br/>
              <w:t xml:space="preserve">Committee (Chair) and </w:t>
            </w:r>
            <w:r>
              <w:rPr>
                <w:rFonts w:ascii="Calibri" w:hAnsi="Calibri"/>
                <w:b w:val="false"/>
                <w:i w:val="false"/>
                <w:caps w:val="false"/>
                <w:smallCaps w:val="false"/>
                <w:color w:val="004A7C"/>
                <w:sz w:val="22"/>
              </w:rPr>
              <w:br/>
            </w:r>
            <w:r>
              <w:rPr>
                <w:rFonts w:ascii="Open Sans" w:hAnsi="Open Sans"/>
                <w:b w:val="false"/>
                <w:i w:val="false"/>
                <w:caps w:val="false"/>
                <w:smallCaps w:val="false"/>
                <w:color w:val="004A7C"/>
                <w:sz w:val="16"/>
              </w:rPr>
              <w:t>Nominating &amp; Corporate</w:t>
              <w:br/>
              <w:t>Governance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Jennifer M. Kirk</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48</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2016</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Audit Committee (Chair) and</w:t>
              <w:br/>
              <w:t xml:space="preserve">Nominating &amp; Corporate </w:t>
            </w:r>
            <w:r>
              <w:rPr>
                <w:rFonts w:ascii="Calibri" w:hAnsi="Calibri"/>
                <w:b w:val="false"/>
                <w:i w:val="false"/>
                <w:caps w:val="false"/>
                <w:smallCaps w:val="false"/>
                <w:color w:val="004A7C"/>
                <w:sz w:val="22"/>
              </w:rPr>
              <w:br/>
            </w:r>
            <w:r>
              <w:rPr>
                <w:rFonts w:ascii="Open Sans" w:hAnsi="Open Sans"/>
                <w:b w:val="false"/>
                <w:i w:val="false"/>
                <w:caps w:val="false"/>
                <w:smallCaps w:val="false"/>
                <w:color w:val="004A7C"/>
                <w:sz w:val="16"/>
              </w:rPr>
              <w:t>Governance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Michael Larson</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63</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2009</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Nominating &amp; Corporate Governance</w:t>
              <w:br/>
              <w:t>Committee (Chair), Finance Committee</w:t>
            </w:r>
            <w:r>
              <w:rPr>
                <w:rFonts w:ascii="Calibri" w:hAnsi="Calibri"/>
                <w:b w:val="false"/>
                <w:i w:val="false"/>
                <w:caps w:val="false"/>
                <w:smallCaps w:val="false"/>
                <w:color w:val="004A7C"/>
                <w:sz w:val="22"/>
              </w:rPr>
              <w:br/>
            </w:r>
            <w:r>
              <w:rPr>
                <w:rFonts w:ascii="Open Sans" w:hAnsi="Open Sans"/>
                <w:b w:val="false"/>
                <w:i w:val="false"/>
                <w:caps w:val="false"/>
                <w:smallCaps w:val="false"/>
                <w:color w:val="004A7C"/>
                <w:sz w:val="16"/>
              </w:rPr>
              <w:t>and Talent &amp; Compensation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James P. Snee</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56</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2018</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Finance Committee (Chair), </w:t>
            </w:r>
            <w:r>
              <w:rPr>
                <w:rFonts w:ascii="Calibri" w:hAnsi="Calibri"/>
                <w:b w:val="false"/>
                <w:i w:val="false"/>
                <w:caps w:val="false"/>
                <w:smallCaps w:val="false"/>
                <w:color w:val="004A7C"/>
                <w:sz w:val="22"/>
              </w:rPr>
              <w:br/>
            </w:r>
            <w:r>
              <w:rPr>
                <w:rFonts w:ascii="Open Sans" w:hAnsi="Open Sans"/>
                <w:b w:val="false"/>
                <w:i w:val="false"/>
                <w:caps w:val="false"/>
                <w:smallCaps w:val="false"/>
                <w:color w:val="004A7C"/>
                <w:sz w:val="16"/>
              </w:rPr>
              <w:t xml:space="preserve">Nominating &amp; Corporate </w:t>
            </w:r>
            <w:r>
              <w:rPr>
                <w:rFonts w:ascii="Calibri" w:hAnsi="Calibri"/>
                <w:b w:val="false"/>
                <w:i w:val="false"/>
                <w:caps w:val="false"/>
                <w:smallCaps w:val="false"/>
                <w:color w:val="004A7C"/>
                <w:sz w:val="22"/>
              </w:rPr>
              <w:br/>
            </w:r>
            <w:r>
              <w:rPr>
                <w:rFonts w:ascii="Open Sans" w:hAnsi="Open Sans"/>
                <w:b w:val="false"/>
                <w:i w:val="false"/>
                <w:caps w:val="false"/>
                <w:smallCaps w:val="false"/>
                <w:color w:val="004A7C"/>
                <w:sz w:val="16"/>
              </w:rPr>
              <w:t xml:space="preserve">Governance Committee and </w:t>
            </w:r>
            <w:r>
              <w:rPr>
                <w:rFonts w:ascii="Calibri" w:hAnsi="Calibri"/>
                <w:b w:val="false"/>
                <w:i w:val="false"/>
                <w:caps w:val="false"/>
                <w:smallCaps w:val="false"/>
                <w:color w:val="004A7C"/>
                <w:sz w:val="22"/>
              </w:rPr>
              <w:br/>
            </w:r>
            <w:r>
              <w:rPr>
                <w:rFonts w:ascii="Open Sans" w:hAnsi="Open Sans"/>
                <w:b w:val="false"/>
                <w:i w:val="false"/>
                <w:caps w:val="false"/>
                <w:smallCaps w:val="false"/>
                <w:color w:val="004A7C"/>
                <w:sz w:val="16"/>
              </w:rPr>
              <w:t>Talent &amp; Compensation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Brian S. Tyler</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23875" cy="523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23875" cy="523875"/>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56</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2021</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Audit Committee, Finance Committee</w:t>
              <w:br/>
              <w:t>and Sustainability &amp; Corporate</w:t>
              <w:br/>
              <w:t>Responsibility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Jon Vander Ark</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523875" cy="523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23875" cy="523875"/>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47</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2021</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pPr>
            <w:r>
              <w:rPr/>
              <w:t> </w:t>
            </w:r>
          </w:p>
        </w:tc>
      </w:tr>
      <w:tr>
        <w:trPr/>
        <w:tc>
          <w:tcPr>
            <w:tcW w:w="1882"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Sandra M. Volpe</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55</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2016</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Finance Committee, Nominating &amp;</w:t>
              <w:br/>
              <w:t>Corporate Governance</w:t>
              <w:br/>
              <w:t>Committee and Sustainability &amp; Corporate Responsibility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4300" cy="104775"/>
                          </a:xfrm>
                          <a:prstGeom prst="rect">
                            <a:avLst/>
                          </a:prstGeom>
                        </pic:spPr>
                      </pic:pic>
                    </a:graphicData>
                  </a:graphic>
                </wp:inline>
              </w:drawing>
            </w:r>
          </w:p>
        </w:tc>
      </w:tr>
      <w:tr>
        <w:trPr/>
        <w:tc>
          <w:tcPr>
            <w:tcW w:w="1882" w:type="dxa"/>
            <w:tcBorders>
              <w:top w:val="single" w:sz="6" w:space="0" w:color="FFFFFF"/>
              <w:bottom w:val="single" w:sz="6" w:space="0" w:color="D8E1E9"/>
              <w:right w:val="single" w:sz="6" w:space="0" w:color="FFFFFF"/>
            </w:tcBorders>
            <w:shd w:fill="D8E1E9" w:val="clear"/>
            <w:tcMar>
              <w:top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Katharine B. Weymouth</w:t>
            </w:r>
          </w:p>
        </w:tc>
        <w:tc>
          <w:tcPr>
            <w:tcW w:w="840" w:type="dxa"/>
            <w:tcBorders>
              <w:top w:val="single" w:sz="6" w:space="0" w:color="D8E1E9"/>
              <w:left w:val="single" w:sz="6" w:space="0" w:color="FFFFFF"/>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33400" cy="533400"/>
                          </a:xfrm>
                          <a:prstGeom prst="rect">
                            <a:avLst/>
                          </a:prstGeom>
                        </pic:spPr>
                      </pic:pic>
                    </a:graphicData>
                  </a:graphic>
                </wp:inline>
              </w:drawing>
            </w:r>
          </w:p>
        </w:tc>
        <w:tc>
          <w:tcPr>
            <w:tcW w:w="41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56</w:t>
            </w:r>
          </w:p>
        </w:tc>
        <w:tc>
          <w:tcPr>
            <w:tcW w:w="95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2018</w:t>
            </w:r>
          </w:p>
        </w:tc>
        <w:tc>
          <w:tcPr>
            <w:tcW w:w="5101"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Audit Committee, Finance Committee and Talent &amp; Compensation Committee</w:t>
            </w:r>
          </w:p>
        </w:tc>
        <w:tc>
          <w:tcPr>
            <w:tcW w:w="1356"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drawing>
                <wp:inline distT="0" distB="0" distL="0" distR="0">
                  <wp:extent cx="114300"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4300" cy="104775"/>
                          </a:xfrm>
                          <a:prstGeom prst="rect">
                            <a:avLst/>
                          </a:prstGeom>
                        </pic:spPr>
                      </pic:pic>
                    </a:graphicData>
                  </a:graphic>
                </wp:inline>
              </w:drawing>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12</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i w:val="false"/>
          <w:caps w:val="false"/>
          <w:smallCaps w:val="false"/>
          <w:color w:val="004A7C"/>
          <w:sz w:val="27"/>
          <w:bdr w:val="single" w:sz="6" w:space="1" w:color="00497C"/>
        </w:rPr>
      </w:pPr>
      <w:r>
        <w:rPr>
          <w:rFonts w:ascii="Open Sans" w:hAnsi="Open Sans"/>
          <w:b/>
          <w:i w:val="false"/>
          <w:caps w:val="false"/>
          <w:smallCaps w:val="false"/>
          <w:color w:val="004A7C"/>
          <w:sz w:val="27"/>
          <w:bdr w:val="single" w:sz="6" w:space="1" w:color="00497C"/>
        </w:rPr>
        <w:t>Board Highlights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Board is comprised of highly engaged and skilled directors with varied experiences and backgrounds, who bring diverse perspectives to their oversight of our business, while representing the long-term interests of our shareholders.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Kim Pegula, who has served on our Board since 2017, will not be standing for re-election in 2023. Ms. Pegula has been a valued member of our Board and we thank her for her contributions to the Company.  </w:t>
      </w:r>
    </w:p>
    <w:p>
      <w:pPr>
        <w:pStyle w:val="TextBody"/>
        <w:spacing w:before="12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Board Practices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Board has developed a robust set of practices to help ensure appropriate composition and effective functioning. The Board maintains a regular Board evaluation process that is closely linked with ongoing succession planning and is committed to regular board refreshment based on the Company’s current and future needs and strategic priorities. The following charts summarizes the independence, tenure, age and diversity of our director nominees.</w:t>
      </w:r>
    </w:p>
    <w:p>
      <w:pPr>
        <w:pStyle w:val="TextBody"/>
        <w:spacing w:before="0" w:after="0"/>
        <w:rPr>
          <w:bdr w:val="single" w:sz="6" w:space="1" w:color="00497C"/>
        </w:rPr>
      </w:pPr>
      <w:r>
        <w:rPr>
          <w:bdr w:val="single" w:sz="6" w:space="1" w:color="00497C"/>
        </w:rPr>
        <w:t> </w:t>
      </w:r>
    </w:p>
    <w:p>
      <w:pPr>
        <w:pStyle w:val="TextBody"/>
        <w:spacing w:before="0" w:after="0"/>
        <w:jc w:val="center"/>
        <w:rPr>
          <w:caps w:val="false"/>
          <w:smallCaps w:val="false"/>
          <w:bdr w:val="single" w:sz="6" w:space="1" w:color="00497C"/>
        </w:rPr>
      </w:pPr>
      <w:r>
        <w:rPr>
          <w:caps w:val="false"/>
          <w:smallCaps w:val="false"/>
          <w:bdr w:val="single" w:sz="6" w:space="1" w:color="00497C"/>
        </w:rPr>
        <w:drawing>
          <wp:inline distT="0" distB="0" distL="0" distR="0">
            <wp:extent cx="5943600" cy="11620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943600" cy="1162050"/>
                    </a:xfrm>
                    <a:prstGeom prst="rect">
                      <a:avLst/>
                    </a:prstGeom>
                  </pic:spPr>
                </pic:pic>
              </a:graphicData>
            </a:graphic>
          </wp:inline>
        </w:drawing>
      </w:r>
      <w:r>
        <w:rPr>
          <w:caps w:val="false"/>
          <w:smallCaps w:val="false"/>
          <w:bdr w:val="single" w:sz="6" w:space="1" w:color="00497C"/>
        </w:rPr>
        <w:t> </w:t>
      </w:r>
    </w:p>
    <w:p>
      <w:pPr>
        <w:pStyle w:val="TextBody"/>
        <w:spacing w:before="0" w:after="0"/>
        <w:jc w:val="center"/>
        <w:rPr>
          <w:bdr w:val="single" w:sz="6" w:space="1" w:color="00497C"/>
        </w:rPr>
      </w:pPr>
      <w:r>
        <w:rPr>
          <w:bdr w:val="single" w:sz="6" w:space="1" w:color="00497C"/>
        </w:rPr>
        <w:t> </w:t>
      </w:r>
    </w:p>
    <w:p>
      <w:pPr>
        <w:pStyle w:val="TextBody"/>
        <w:spacing w:before="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 xml:space="preserve">Shareholder Engagement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have a well-developed shareholder engagement program that emphasizes year-round shareholder engagement and direct communication with our Board. During 2022, we engaged directly with shareholders representing approximately 55% of shares outstanding, as well as one proxy advisor and discussed our business performance, commitment to sustainable business practices and our human-centered talent program. </w:t>
      </w:r>
    </w:p>
    <w:p>
      <w:pPr>
        <w:pStyle w:val="TextBody"/>
        <w:spacing w:before="120" w:after="0"/>
        <w:rPr>
          <w:rFonts w:ascii="Open Sans" w:hAnsi="Open Sans"/>
          <w:b/>
          <w:i w:val="false"/>
          <w:caps w:val="false"/>
          <w:smallCaps w:val="false"/>
          <w:color w:val="004A7C"/>
          <w:sz w:val="27"/>
          <w:bdr w:val="single" w:sz="6" w:space="1" w:color="00497C"/>
        </w:rPr>
      </w:pPr>
      <w:r>
        <w:rPr>
          <w:rFonts w:ascii="Open Sans" w:hAnsi="Open Sans"/>
          <w:b/>
          <w:i w:val="false"/>
          <w:caps w:val="false"/>
          <w:smallCaps w:val="false"/>
          <w:color w:val="004A7C"/>
          <w:sz w:val="27"/>
          <w:bdr w:val="single" w:sz="6" w:space="1" w:color="00497C"/>
        </w:rPr>
        <w:t>Corporate Governance Highlights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We continuously monitor developments and best practices in corporate governance and enhance our practices as warranted and based on shareholder feedback. Key features of our corporate governance practices are noted below:</w:t>
      </w:r>
    </w:p>
    <w:p>
      <w:pPr>
        <w:pStyle w:val="TextBody"/>
        <w:spacing w:before="0" w:after="0"/>
        <w:rPr>
          <w:bdr w:val="single" w:sz="6" w:space="1" w:color="00497C"/>
        </w:rPr>
      </w:pPr>
      <w:r>
        <w:rPr>
          <w:bdr w:val="single" w:sz="6" w:space="1" w:color="00497C"/>
        </w:rPr>
        <w:t> </w:t>
      </w:r>
    </w:p>
    <w:tbl>
      <w:tblPr>
        <w:tblW w:w="10539" w:type="dxa"/>
        <w:jc w:val="left"/>
        <w:tblInd w:w="0" w:type="dxa"/>
        <w:tblCellMar>
          <w:top w:w="28" w:type="dxa"/>
          <w:left w:w="0" w:type="dxa"/>
          <w:bottom w:w="0" w:type="dxa"/>
          <w:right w:w="0" w:type="dxa"/>
        </w:tblCellMar>
      </w:tblPr>
      <w:tblGrid>
        <w:gridCol w:w="255"/>
        <w:gridCol w:w="6411"/>
        <w:gridCol w:w="255"/>
        <w:gridCol w:w="3618"/>
      </w:tblGrid>
      <w:tr>
        <w:trPr/>
        <w:tc>
          <w:tcPr>
            <w:tcW w:w="255" w:type="dxa"/>
            <w:tcBorders>
              <w:top w:val="single" w:sz="12" w:space="0" w:color="D8E1E9"/>
            </w:tcBorders>
            <w:shd w:fill="D8E1E9" w:val="cle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61925" cy="152400"/>
                          </a:xfrm>
                          <a:prstGeom prst="rect">
                            <a:avLst/>
                          </a:prstGeom>
                        </pic:spPr>
                      </pic:pic>
                    </a:graphicData>
                  </a:graphic>
                </wp:inline>
              </w:drawing>
            </w:r>
          </w:p>
        </w:tc>
        <w:tc>
          <w:tcPr>
            <w:tcW w:w="6411" w:type="dxa"/>
            <w:tcBorders>
              <w:top w:val="single" w:sz="12" w:space="0" w:color="D8E1E9"/>
              <w:right w:val="single" w:sz="12" w:space="0" w:color="FFFFFF"/>
            </w:tcBorders>
            <w:shd w:fill="D8E1E9" w:val="clear"/>
            <w:tcMar>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Shareholder Engagement Program with select participation of independent directors</w:t>
            </w:r>
          </w:p>
        </w:tc>
        <w:tc>
          <w:tcPr>
            <w:tcW w:w="255" w:type="dxa"/>
            <w:tcBorders>
              <w:top w:val="single" w:sz="12" w:space="0" w:color="D8E1E9"/>
              <w:left w:val="single" w:sz="12" w:space="0" w:color="FFFFFF"/>
            </w:tcBorders>
            <w:shd w:fill="D8E1E9" w:val="clear"/>
            <w:tcMar>
              <w:left w:w="28"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61925" cy="152400"/>
                          </a:xfrm>
                          <a:prstGeom prst="rect">
                            <a:avLst/>
                          </a:prstGeom>
                        </pic:spPr>
                      </pic:pic>
                    </a:graphicData>
                  </a:graphic>
                </wp:inline>
              </w:drawing>
            </w:r>
          </w:p>
        </w:tc>
        <w:tc>
          <w:tcPr>
            <w:tcW w:w="3618" w:type="dxa"/>
            <w:tcBorders>
              <w:top w:val="single" w:sz="12" w:space="0" w:color="D8E1E9"/>
            </w:tcBorders>
            <w:shd w:fill="D8E1E9" w:val="cle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Robust Clawback Policy (updated in 2022)</w:t>
            </w:r>
          </w:p>
        </w:tc>
      </w:tr>
      <w:tr>
        <w:trPr/>
        <w:tc>
          <w:tcPr>
            <w:tcW w:w="255" w:type="dxa"/>
            <w:tcBorders/>
            <w:shd w:fill="auto" w:val="clear"/>
            <w:tcMar>
              <w:top w:w="0"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D8E1E9"/>
            </w:tcBorders>
            <w:shd w:fill="auto"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Proxy Access Right</w:t>
            </w:r>
          </w:p>
        </w:tc>
        <w:tc>
          <w:tcPr>
            <w:tcW w:w="255" w:type="dxa"/>
            <w:tcBorders>
              <w:left w:val="single" w:sz="12" w:space="0" w:color="D8E1E9"/>
            </w:tcBorders>
            <w:shd w:fill="auto" w:val="clear"/>
            <w:tcMar>
              <w:top w:w="0" w:type="dxa"/>
              <w:left w:w="28"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61925" cy="152400"/>
                          </a:xfrm>
                          <a:prstGeom prst="rect">
                            <a:avLst/>
                          </a:prstGeom>
                        </pic:spPr>
                      </pic:pic>
                    </a:graphicData>
                  </a:graphic>
                </wp:inline>
              </w:drawing>
            </w:r>
          </w:p>
        </w:tc>
        <w:tc>
          <w:tcPr>
            <w:tcW w:w="3618" w:type="dxa"/>
            <w:tcBorders/>
            <w:shd w:fill="auto"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Thoughtful Board Evaluation Process</w:t>
            </w:r>
          </w:p>
        </w:tc>
      </w:tr>
      <w:tr>
        <w:trPr/>
        <w:tc>
          <w:tcPr>
            <w:tcW w:w="255" w:type="dxa"/>
            <w:tcBorders/>
            <w:shd w:fill="D8E1E9" w:val="clear"/>
            <w:tcMar>
              <w:top w:w="0"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FFFFFF"/>
            </w:tcBorders>
            <w:shd w:fill="D8E1E9"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Independent Board Chairman</w:t>
            </w:r>
          </w:p>
        </w:tc>
        <w:tc>
          <w:tcPr>
            <w:tcW w:w="255" w:type="dxa"/>
            <w:tcBorders>
              <w:left w:val="single" w:sz="12" w:space="0" w:color="FFFFFF"/>
            </w:tcBorders>
            <w:shd w:fill="D8E1E9" w:val="clear"/>
            <w:tcMar>
              <w:top w:w="0" w:type="dxa"/>
              <w:left w:w="28"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61925" cy="152400"/>
                          </a:xfrm>
                          <a:prstGeom prst="rect">
                            <a:avLst/>
                          </a:prstGeom>
                        </pic:spPr>
                      </pic:pic>
                    </a:graphicData>
                  </a:graphic>
                </wp:inline>
              </w:drawing>
            </w:r>
          </w:p>
        </w:tc>
        <w:tc>
          <w:tcPr>
            <w:tcW w:w="3618" w:type="dxa"/>
            <w:tcBorders/>
            <w:shd w:fill="D8E1E9"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Formal Onboarding Program for New Directors</w:t>
            </w:r>
          </w:p>
        </w:tc>
      </w:tr>
      <w:tr>
        <w:trPr/>
        <w:tc>
          <w:tcPr>
            <w:tcW w:w="255" w:type="dxa"/>
            <w:tcBorders/>
            <w:shd w:fill="auto" w:val="clear"/>
            <w:tcMar>
              <w:top w:w="0"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D8E1E9"/>
            </w:tcBorders>
            <w:shd w:fill="auto"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Director and Executive Succession Planning</w:t>
            </w:r>
          </w:p>
        </w:tc>
        <w:tc>
          <w:tcPr>
            <w:tcW w:w="255" w:type="dxa"/>
            <w:tcBorders>
              <w:left w:val="single" w:sz="12" w:space="0" w:color="D8E1E9"/>
            </w:tcBorders>
            <w:shd w:fill="auto" w:val="clear"/>
            <w:tcMar>
              <w:top w:w="0" w:type="dxa"/>
              <w:left w:w="28"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61925" cy="152400"/>
                          </a:xfrm>
                          <a:prstGeom prst="rect">
                            <a:avLst/>
                          </a:prstGeom>
                        </pic:spPr>
                      </pic:pic>
                    </a:graphicData>
                  </a:graphic>
                </wp:inline>
              </w:drawing>
            </w:r>
          </w:p>
        </w:tc>
        <w:tc>
          <w:tcPr>
            <w:tcW w:w="3618" w:type="dxa"/>
            <w:tcBorders/>
            <w:shd w:fill="auto"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Majority Vote Standard</w:t>
            </w:r>
          </w:p>
        </w:tc>
      </w:tr>
      <w:tr>
        <w:trPr/>
        <w:tc>
          <w:tcPr>
            <w:tcW w:w="255" w:type="dxa"/>
            <w:tcBorders/>
            <w:shd w:fill="D8E1E9" w:val="clear"/>
            <w:tcMar>
              <w:top w:w="0"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FFFFFF"/>
            </w:tcBorders>
            <w:shd w:fill="D8E1E9"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Majority Independent Board (10 of 11 director nominees)</w:t>
            </w:r>
          </w:p>
        </w:tc>
        <w:tc>
          <w:tcPr>
            <w:tcW w:w="255" w:type="dxa"/>
            <w:tcBorders>
              <w:left w:val="single" w:sz="12" w:space="0" w:color="FFFFFF"/>
            </w:tcBorders>
            <w:shd w:fill="D8E1E9" w:val="clear"/>
            <w:tcMar>
              <w:top w:w="0" w:type="dxa"/>
              <w:left w:w="28"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61925" cy="152400"/>
                          </a:xfrm>
                          <a:prstGeom prst="rect">
                            <a:avLst/>
                          </a:prstGeom>
                        </pic:spPr>
                      </pic:pic>
                    </a:graphicData>
                  </a:graphic>
                </wp:inline>
              </w:drawing>
            </w:r>
          </w:p>
        </w:tc>
        <w:tc>
          <w:tcPr>
            <w:tcW w:w="3618" w:type="dxa"/>
            <w:tcBorders/>
            <w:shd w:fill="D8E1E9"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Deferral of Compensation for Directors</w:t>
              <w:br/>
              <w:t xml:space="preserve">(restricted stock units or cash) </w:t>
            </w:r>
          </w:p>
        </w:tc>
      </w:tr>
      <w:tr>
        <w:trPr/>
        <w:tc>
          <w:tcPr>
            <w:tcW w:w="255" w:type="dxa"/>
            <w:tcBorders/>
            <w:shd w:fill="auto" w:val="clear"/>
            <w:tcMar>
              <w:top w:w="0"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D8E1E9"/>
            </w:tcBorders>
            <w:shd w:fill="auto"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 Supermajority Vote Requirements</w:t>
            </w:r>
          </w:p>
        </w:tc>
        <w:tc>
          <w:tcPr>
            <w:tcW w:w="255" w:type="dxa"/>
            <w:tcBorders>
              <w:left w:val="single" w:sz="12" w:space="0" w:color="D8E1E9"/>
            </w:tcBorders>
            <w:shd w:fill="auto" w:val="clear"/>
            <w:tcMar>
              <w:top w:w="0" w:type="dxa"/>
              <w:left w:w="28"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61925" cy="152400"/>
                          </a:xfrm>
                          <a:prstGeom prst="rect">
                            <a:avLst/>
                          </a:prstGeom>
                        </pic:spPr>
                      </pic:pic>
                    </a:graphicData>
                  </a:graphic>
                </wp:inline>
              </w:drawing>
            </w:r>
          </w:p>
        </w:tc>
        <w:tc>
          <w:tcPr>
            <w:tcW w:w="3618" w:type="dxa"/>
            <w:tcBorders/>
            <w:shd w:fill="auto"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Code of Business Ethics and Conduct</w:t>
            </w:r>
          </w:p>
        </w:tc>
      </w:tr>
      <w:tr>
        <w:trPr/>
        <w:tc>
          <w:tcPr>
            <w:tcW w:w="255" w:type="dxa"/>
            <w:tcBorders/>
            <w:shd w:fill="D8E1E9" w:val="clear"/>
            <w:tcMar>
              <w:top w:w="0"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FFFFFF"/>
            </w:tcBorders>
            <w:shd w:fill="D8E1E9"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Shareholder Action by Written Consent</w:t>
            </w:r>
          </w:p>
        </w:tc>
        <w:tc>
          <w:tcPr>
            <w:tcW w:w="255" w:type="dxa"/>
            <w:tcBorders>
              <w:left w:val="single" w:sz="12" w:space="0" w:color="FFFFFF"/>
            </w:tcBorders>
            <w:shd w:fill="D8E1E9" w:val="clear"/>
            <w:tcMar>
              <w:top w:w="0" w:type="dxa"/>
              <w:left w:w="28"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61925" cy="152400"/>
                          </a:xfrm>
                          <a:prstGeom prst="rect">
                            <a:avLst/>
                          </a:prstGeom>
                        </pic:spPr>
                      </pic:pic>
                    </a:graphicData>
                  </a:graphic>
                </wp:inline>
              </w:drawing>
            </w:r>
          </w:p>
        </w:tc>
        <w:tc>
          <w:tcPr>
            <w:tcW w:w="3618" w:type="dxa"/>
            <w:tcBorders/>
            <w:shd w:fill="D8E1E9"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Political Contributions Policy</w:t>
            </w:r>
          </w:p>
        </w:tc>
      </w:tr>
      <w:tr>
        <w:trPr/>
        <w:tc>
          <w:tcPr>
            <w:tcW w:w="255" w:type="dxa"/>
            <w:tcBorders/>
            <w:shd w:fill="auto" w:val="clear"/>
            <w:tcMar>
              <w:top w:w="0"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D8E1E9"/>
            </w:tcBorders>
            <w:shd w:fill="auto"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Independent Board Committees</w:t>
            </w:r>
          </w:p>
        </w:tc>
        <w:tc>
          <w:tcPr>
            <w:tcW w:w="255" w:type="dxa"/>
            <w:tcBorders>
              <w:left w:val="single" w:sz="12" w:space="0" w:color="D8E1E9"/>
            </w:tcBorders>
            <w:shd w:fill="auto" w:val="clear"/>
            <w:tcMar>
              <w:top w:w="0" w:type="dxa"/>
              <w:left w:w="28"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61925" cy="152400"/>
                          </a:xfrm>
                          <a:prstGeom prst="rect">
                            <a:avLst/>
                          </a:prstGeom>
                        </pic:spPr>
                      </pic:pic>
                    </a:graphicData>
                  </a:graphic>
                </wp:inline>
              </w:drawing>
            </w:r>
          </w:p>
        </w:tc>
        <w:tc>
          <w:tcPr>
            <w:tcW w:w="3618" w:type="dxa"/>
            <w:tcBorders/>
            <w:shd w:fill="auto"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Mandatory Retirement Age for Directors</w:t>
            </w:r>
          </w:p>
        </w:tc>
      </w:tr>
      <w:tr>
        <w:trPr/>
        <w:tc>
          <w:tcPr>
            <w:tcW w:w="255" w:type="dxa"/>
            <w:tcBorders/>
            <w:shd w:fill="D8E1E9" w:val="clear"/>
            <w:tcMar>
              <w:top w:w="0"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61925" cy="152400"/>
                          </a:xfrm>
                          <a:prstGeom prst="rect">
                            <a:avLst/>
                          </a:prstGeom>
                        </pic:spPr>
                      </pic:pic>
                    </a:graphicData>
                  </a:graphic>
                </wp:inline>
              </w:drawing>
            </w:r>
          </w:p>
        </w:tc>
        <w:tc>
          <w:tcPr>
            <w:tcW w:w="6411" w:type="dxa"/>
            <w:tcBorders>
              <w:right w:val="single" w:sz="12" w:space="0" w:color="FFFFFF"/>
            </w:tcBorders>
            <w:shd w:fill="D8E1E9" w:val="clear"/>
            <w:tcMar>
              <w:top w:w="0"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Annual Director Elections</w:t>
            </w:r>
          </w:p>
        </w:tc>
        <w:tc>
          <w:tcPr>
            <w:tcW w:w="255" w:type="dxa"/>
            <w:tcBorders>
              <w:left w:val="single" w:sz="12" w:space="0" w:color="FFFFFF"/>
            </w:tcBorders>
            <w:shd w:fill="D8E1E9" w:val="clear"/>
            <w:tcMar>
              <w:top w:w="0" w:type="dxa"/>
              <w:left w:w="28" w:type="dxa"/>
            </w:tcMar>
            <w:vAlign w:val="center"/>
          </w:tcPr>
          <w:p>
            <w:pPr>
              <w:pStyle w:val="TableContents"/>
              <w:spacing w:before="40" w:after="4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61925" cy="152400"/>
                          </a:xfrm>
                          <a:prstGeom prst="rect">
                            <a:avLst/>
                          </a:prstGeom>
                        </pic:spPr>
                      </pic:pic>
                    </a:graphicData>
                  </a:graphic>
                </wp:inline>
              </w:drawing>
            </w:r>
          </w:p>
        </w:tc>
        <w:tc>
          <w:tcPr>
            <w:tcW w:w="3618" w:type="dxa"/>
            <w:tcBorders/>
            <w:shd w:fill="D8E1E9" w:val="clear"/>
            <w:tcMar>
              <w:top w:w="0"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Anti-Hedging and Anti-Pledging Policies</w:t>
            </w:r>
          </w:p>
        </w:tc>
      </w:tr>
      <w:tr>
        <w:trPr/>
        <w:tc>
          <w:tcPr>
            <w:tcW w:w="255" w:type="dxa"/>
            <w:tcBorders>
              <w:bottom w:val="single" w:sz="12" w:space="0" w:color="D8E1E9"/>
            </w:tcBorders>
            <w:shd w:fill="auto" w:val="clear"/>
            <w:tcMar>
              <w:top w:w="0" w:type="dxa"/>
              <w:bottom w:w="28"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61925" cy="152400"/>
                          </a:xfrm>
                          <a:prstGeom prst="rect">
                            <a:avLst/>
                          </a:prstGeom>
                        </pic:spPr>
                      </pic:pic>
                    </a:graphicData>
                  </a:graphic>
                </wp:inline>
              </w:drawing>
            </w:r>
          </w:p>
        </w:tc>
        <w:tc>
          <w:tcPr>
            <w:tcW w:w="6411" w:type="dxa"/>
            <w:tcBorders>
              <w:bottom w:val="single" w:sz="12" w:space="0" w:color="D8E1E9"/>
              <w:right w:val="single" w:sz="12" w:space="0" w:color="D8E1E9"/>
            </w:tcBorders>
            <w:shd w:fill="auto" w:val="clear"/>
            <w:tcMar>
              <w:top w:w="0" w:type="dxa"/>
              <w:bottom w:w="28" w:type="dxa"/>
              <w:right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Human Rights Policy</w:t>
            </w:r>
          </w:p>
        </w:tc>
        <w:tc>
          <w:tcPr>
            <w:tcW w:w="255" w:type="dxa"/>
            <w:tcBorders>
              <w:left w:val="single" w:sz="12" w:space="0" w:color="D8E1E9"/>
              <w:bottom w:val="single" w:sz="12" w:space="0" w:color="D8E1E9"/>
            </w:tcBorders>
            <w:shd w:fill="auto" w:val="clear"/>
            <w:tcMar>
              <w:top w:w="0" w:type="dxa"/>
              <w:left w:w="28" w:type="dxa"/>
              <w:bottom w:w="28" w:type="dxa"/>
            </w:tcMar>
            <w:vAlign w:val="center"/>
          </w:tcPr>
          <w:p>
            <w:pPr>
              <w:pStyle w:val="TableContents"/>
              <w:spacing w:before="40" w:after="40"/>
              <w:ind w:left="0" w:right="0" w:hanging="0"/>
              <w:jc w:val="center"/>
              <w:rPr>
                <w:caps w:val="false"/>
                <w:smallCaps w:val="false"/>
              </w:rPr>
            </w:pPr>
            <w:r>
              <w:rPr>
                <w:caps w:val="false"/>
                <w:smallCaps w:val="false"/>
              </w:rPr>
              <w:drawing>
                <wp:inline distT="0" distB="0" distL="0" distR="0">
                  <wp:extent cx="161925" cy="152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61925" cy="152400"/>
                          </a:xfrm>
                          <a:prstGeom prst="rect">
                            <a:avLst/>
                          </a:prstGeom>
                        </pic:spPr>
                      </pic:pic>
                    </a:graphicData>
                  </a:graphic>
                </wp:inline>
              </w:drawing>
            </w:r>
          </w:p>
        </w:tc>
        <w:tc>
          <w:tcPr>
            <w:tcW w:w="3618" w:type="dxa"/>
            <w:tcBorders>
              <w:bottom w:val="single" w:sz="12" w:space="0" w:color="D8E1E9"/>
            </w:tcBorders>
            <w:shd w:fill="auto" w:val="clear"/>
            <w:tcMar>
              <w:top w:w="0" w:type="dxa"/>
              <w:bottom w:w="28" w:type="dxa"/>
            </w:tcMar>
            <w:vAlign w:val="center"/>
          </w:tcPr>
          <w:p>
            <w:pPr>
              <w:pStyle w:val="TableContents"/>
              <w:spacing w:before="40" w:after="4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One Share, One Vote Structure</w:t>
            </w:r>
          </w:p>
        </w:tc>
      </w:tr>
    </w:tbl>
    <w:p>
      <w:pPr>
        <w:pStyle w:val="TextBody"/>
        <w:spacing w:before="0" w:after="0"/>
        <w:rPr>
          <w:bdr w:val="single" w:sz="6" w:space="1" w:color="00497C"/>
        </w:rPr>
      </w:pPr>
      <w:r>
        <w:rPr>
          <w:bdr w:val="single" w:sz="6" w:space="1" w:color="00497C"/>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13</w:t>
            </w:r>
          </w:p>
        </w:tc>
      </w:tr>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pPr>
            <w:r>
              <w:rPr/>
              <w:t> </w:t>
            </w:r>
          </w:p>
        </w:tc>
        <w:tc>
          <w:tcPr>
            <w:tcW w:w="80"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i w:val="false"/>
          <w:caps w:val="false"/>
          <w:smallCaps w:val="false"/>
          <w:color w:val="004A7C"/>
          <w:sz w:val="27"/>
          <w:bdr w:val="single" w:sz="6" w:space="1" w:color="00497C"/>
        </w:rPr>
      </w:pPr>
      <w:r>
        <w:rPr>
          <w:rFonts w:ascii="Open Sans" w:hAnsi="Open Sans"/>
          <w:b/>
          <w:i w:val="false"/>
          <w:caps w:val="false"/>
          <w:smallCaps w:val="false"/>
          <w:color w:val="004A7C"/>
          <w:sz w:val="27"/>
          <w:bdr w:val="single" w:sz="6" w:space="1" w:color="00497C"/>
        </w:rPr>
        <w:t>Executive Compensation Highlights</w:t>
      </w:r>
    </w:p>
    <w:p>
      <w:pPr>
        <w:pStyle w:val="TextBody"/>
        <w:spacing w:before="12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Components of Our Executive Compensation Program</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Talent &amp; Compensation Committee is committed to a performance-based executive compensation program that enables us to attract, retain and motivate our leadership team to drive financial success and sustained shareholder value creation. The core compensation elements for the executive officers listed in the Summary Compensation Table (referred to as “named executive officers” or “NEOs”) are:</w:t>
      </w:r>
    </w:p>
    <w:tbl>
      <w:tblPr>
        <w:tblW w:w="1225" w:type="dxa"/>
        <w:jc w:val="left"/>
        <w:tblInd w:w="0" w:type="dxa"/>
        <w:tblCellMar>
          <w:top w:w="0" w:type="dxa"/>
          <w:left w:w="0" w:type="dxa"/>
          <w:bottom w:w="0" w:type="dxa"/>
          <w:right w:w="0" w:type="dxa"/>
        </w:tblCellMar>
      </w:tblPr>
      <w:tblGrid>
        <w:gridCol w:w="60"/>
        <w:gridCol w:w="110"/>
        <w:gridCol w:w="1055"/>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55" w:type="dxa"/>
            <w:tcBorders/>
            <w:shd w:fill="auto" w:val="clear"/>
          </w:tcPr>
          <w:p>
            <w:pPr>
              <w:pStyle w:val="TableContents"/>
              <w:spacing w:before="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base salary;</w:t>
            </w:r>
          </w:p>
        </w:tc>
      </w:tr>
    </w:tbl>
    <w:tbl>
      <w:tblPr>
        <w:tblW w:w="3790" w:type="dxa"/>
        <w:jc w:val="left"/>
        <w:tblInd w:w="0" w:type="dxa"/>
        <w:tblCellMar>
          <w:top w:w="0" w:type="dxa"/>
          <w:left w:w="0" w:type="dxa"/>
          <w:bottom w:w="0" w:type="dxa"/>
          <w:right w:w="0" w:type="dxa"/>
        </w:tblCellMar>
      </w:tblPr>
      <w:tblGrid>
        <w:gridCol w:w="60"/>
        <w:gridCol w:w="110"/>
        <w:gridCol w:w="3620"/>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3620" w:type="dxa"/>
            <w:tcBorders/>
            <w:shd w:fill="auto" w:val="clear"/>
          </w:tcPr>
          <w:p>
            <w:pPr>
              <w:pStyle w:val="TableContents"/>
              <w:spacing w:before="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annual cash incentive based on target; 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 xml:space="preserve">long-term incentive (“LTI”) awards based on targets, which are delivered in performance shares (“PSUs”) and restricted stock units (“RSUs”). </w:t>
            </w:r>
          </w:p>
        </w:tc>
      </w:tr>
    </w:tbl>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annual incentive metrics are designed to encourage profitable growth and are widely accepted by the investment community as important performance metrics, while our LTI metrics are designed to grow our business with an emphasis on cash flow while maximizing investment returns and aligning interests between our executives and shareholders. Together, these metrics provide the appropriate balance in target total direct compensation (“Target TDC”) to drive financial and operational performance that will build long-term value for our shareholders.</w:t>
      </w:r>
    </w:p>
    <w:p>
      <w:pPr>
        <w:pStyle w:val="TextBody"/>
        <w:spacing w:before="0" w:after="0"/>
        <w:rPr>
          <w:bdr w:val="single" w:sz="6" w:space="1" w:color="00497C"/>
        </w:rPr>
      </w:pPr>
      <w:r>
        <w:rPr>
          <w:bdr w:val="single" w:sz="6" w:space="1" w:color="00497C"/>
        </w:rPr>
        <w:t> </w:t>
      </w:r>
    </w:p>
    <w:p>
      <w:pPr>
        <w:pStyle w:val="TextBody"/>
        <w:spacing w:before="0" w:after="0"/>
        <w:jc w:val="center"/>
        <w:rPr>
          <w:caps w:val="false"/>
          <w:smallCaps w:val="false"/>
          <w:bdr w:val="single" w:sz="6" w:space="1" w:color="00497C"/>
        </w:rPr>
      </w:pPr>
      <w:r>
        <w:rPr>
          <w:caps w:val="false"/>
          <w:smallCaps w:val="false"/>
          <w:bdr w:val="single" w:sz="6" w:space="1" w:color="00497C"/>
        </w:rPr>
        <w:drawing>
          <wp:inline distT="0" distB="0" distL="0" distR="0">
            <wp:extent cx="5943600" cy="38862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5943600" cy="3886200"/>
                    </a:xfrm>
                    <a:prstGeom prst="rect">
                      <a:avLst/>
                    </a:prstGeom>
                  </pic:spPr>
                </pic:pic>
              </a:graphicData>
            </a:graphic>
          </wp:inline>
        </w:drawing>
      </w:r>
    </w:p>
    <w:p>
      <w:pPr>
        <w:pStyle w:val="TextBody"/>
        <w:spacing w:before="0" w:after="0"/>
        <w:jc w:val="center"/>
        <w:rPr>
          <w:bdr w:val="single" w:sz="6" w:space="1" w:color="00497C"/>
        </w:rPr>
      </w:pPr>
      <w:r>
        <w:rPr>
          <w:bdr w:val="single" w:sz="6" w:space="1" w:color="00497C"/>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14</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Executive Compensation Link to Strategy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compensation program is focused on achieving key financial results that support shareholder value creation.  We maintain rigorous performance goals on a bottom-up basis, reflecting management initiatives, such as profitable revenue growth, controllable operating expenses, capital investment and M&amp;A, and the impact of anticipated external factors, such as the macroeconomic environment, Consumer Price Index (“CPI”) impact on pricing, commodity pricing and regulatory changes. Progress towards our sustainability goals is included within each of our management initiatives and therefore directly linked to our executive compensation. To align management incentives, our metrics and performance targets focus on factors that management can impact, rather than external factors that are outside of management’s control or ability to mitigate. </w:t>
      </w:r>
    </w:p>
    <w:p>
      <w:pPr>
        <w:pStyle w:val="TextBody"/>
        <w:spacing w:before="120" w:after="0"/>
        <w:rPr>
          <w:b w:val="false"/>
          <w:bdr w:val="single" w:sz="6" w:space="1" w:color="00497C"/>
        </w:rPr>
      </w:pPr>
      <w:r>
        <w:rPr>
          <w:b w:val="false"/>
          <w:bdr w:val="single" w:sz="6" w:space="1" w:color="00497C"/>
        </w:rPr>
        <w:t xml:space="preserve">In 2022, the Talent &amp; Compensation Committee modified the annual incentive portion of our executive compensation program to further align compensation with our sustainability-related strategic priorities. Under the modified program, the annual incentives for senior executives including our NEOs are subject to adjustment, positively or negatively, of up to 10% based on the Company’s interim performance on safety, talent and climate leadership goals. See the Executive Compensation Section of the Proxy Statement for further information regarding the sustainability modifier of our annual incentive program. </w:t>
      </w:r>
    </w:p>
    <w:p>
      <w:pPr>
        <w:pStyle w:val="TextBody"/>
        <w:spacing w:before="120" w:after="0"/>
        <w:rPr>
          <w:rFonts w:ascii="Open Sans" w:hAnsi="Open Sans"/>
          <w:b/>
          <w:i w:val="false"/>
          <w:caps w:val="false"/>
          <w:smallCaps w:val="false"/>
          <w:color w:val="004A7C"/>
          <w:sz w:val="23"/>
          <w:bdr w:val="single" w:sz="6" w:space="1" w:color="00497C"/>
        </w:rPr>
      </w:pPr>
      <w:r>
        <w:rPr>
          <w:rFonts w:ascii="Open Sans" w:hAnsi="Open Sans"/>
          <w:b/>
          <w:i w:val="false"/>
          <w:caps w:val="false"/>
          <w:smallCaps w:val="false"/>
          <w:color w:val="004A7C"/>
          <w:sz w:val="23"/>
          <w:bdr w:val="single" w:sz="6" w:space="1" w:color="00497C"/>
        </w:rPr>
        <w:t>Compensation Governance Highlights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We have established a number of compensation best practices that help ensure our compensation program remains aligned with shareholder interests. Key features of these practices are noted below:</w:t>
      </w:r>
    </w:p>
    <w:p>
      <w:pPr>
        <w:pStyle w:val="TextBody"/>
        <w:spacing w:before="0" w:after="0"/>
        <w:rPr>
          <w:bdr w:val="single" w:sz="6" w:space="1" w:color="00497C"/>
        </w:rPr>
      </w:pPr>
      <w:r>
        <w:rPr>
          <w:bdr w:val="single" w:sz="6" w:space="1" w:color="00497C"/>
        </w:rPr>
        <w:t> </w:t>
      </w:r>
    </w:p>
    <w:tbl>
      <w:tblPr>
        <w:tblW w:w="10539" w:type="dxa"/>
        <w:jc w:val="left"/>
        <w:tblInd w:w="0" w:type="dxa"/>
        <w:tblCellMar>
          <w:top w:w="28" w:type="dxa"/>
          <w:left w:w="0" w:type="dxa"/>
          <w:bottom w:w="0" w:type="dxa"/>
          <w:right w:w="0" w:type="dxa"/>
        </w:tblCellMar>
      </w:tblPr>
      <w:tblGrid>
        <w:gridCol w:w="255"/>
        <w:gridCol w:w="5962"/>
        <w:gridCol w:w="255"/>
        <w:gridCol w:w="4067"/>
      </w:tblGrid>
      <w:tr>
        <w:trPr/>
        <w:tc>
          <w:tcPr>
            <w:tcW w:w="255" w:type="dxa"/>
            <w:tcBorders>
              <w:top w:val="single" w:sz="6" w:space="0" w:color="D8E1E9"/>
            </w:tcBorders>
            <w:shd w:fill="D8E1E9" w:val="clear"/>
            <w:vAlign w:val="center"/>
          </w:tcPr>
          <w:p>
            <w:pPr>
              <w:pStyle w:val="TableContents"/>
              <w:spacing w:before="0" w:after="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61925" cy="152400"/>
                          </a:xfrm>
                          <a:prstGeom prst="rect">
                            <a:avLst/>
                          </a:prstGeom>
                        </pic:spPr>
                      </pic:pic>
                    </a:graphicData>
                  </a:graphic>
                </wp:inline>
              </w:drawing>
            </w:r>
          </w:p>
        </w:tc>
        <w:tc>
          <w:tcPr>
            <w:tcW w:w="5962" w:type="dxa"/>
            <w:tcBorders>
              <w:top w:val="single" w:sz="6" w:space="0" w:color="D8E1E9"/>
              <w:right w:val="single" w:sz="6" w:space="0" w:color="FFFFFF"/>
            </w:tcBorders>
            <w:shd w:fill="D8E1E9" w:val="clear"/>
            <w:tcMar>
              <w:right w:w="28"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Pay-for-Performance Incentive Structures</w:t>
            </w:r>
          </w:p>
        </w:tc>
        <w:tc>
          <w:tcPr>
            <w:tcW w:w="255" w:type="dxa"/>
            <w:tcBorders>
              <w:top w:val="single" w:sz="6" w:space="0" w:color="D8E1E9"/>
              <w:left w:val="single" w:sz="6" w:space="0" w:color="FFFFFF"/>
            </w:tcBorders>
            <w:shd w:fill="D8E1E9" w:val="clear"/>
            <w:tcMar>
              <w:lef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61925" cy="152400"/>
                          </a:xfrm>
                          <a:prstGeom prst="rect">
                            <a:avLst/>
                          </a:prstGeom>
                        </pic:spPr>
                      </pic:pic>
                    </a:graphicData>
                  </a:graphic>
                </wp:inline>
              </w:drawing>
            </w:r>
          </w:p>
        </w:tc>
        <w:tc>
          <w:tcPr>
            <w:tcW w:w="4067" w:type="dxa"/>
            <w:tcBorders>
              <w:top w:val="single" w:sz="6" w:space="0" w:color="D8E1E9"/>
            </w:tcBorders>
            <w:shd w:fill="D8E1E9" w:val="cle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Active Management of Dilution from Equity Plans</w:t>
            </w:r>
          </w:p>
        </w:tc>
      </w:tr>
      <w:tr>
        <w:trPr/>
        <w:tc>
          <w:tcPr>
            <w:tcW w:w="255" w:type="dxa"/>
            <w:tcBorders/>
            <w:shd w:fill="auto" w:val="clear"/>
            <w:tcMar>
              <w:top w:w="0"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61925" cy="1524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61925" cy="152400"/>
                          </a:xfrm>
                          <a:prstGeom prst="rect">
                            <a:avLst/>
                          </a:prstGeom>
                        </pic:spPr>
                      </pic:pic>
                    </a:graphicData>
                  </a:graphic>
                </wp:inline>
              </w:drawing>
            </w:r>
          </w:p>
        </w:tc>
        <w:tc>
          <w:tcPr>
            <w:tcW w:w="5962" w:type="dxa"/>
            <w:tcBorders>
              <w:right w:val="single" w:sz="6" w:space="0" w:color="D8E1E9"/>
            </w:tcBorders>
            <w:shd w:fill="auto" w:val="clear"/>
            <w:tcMar>
              <w:top w:w="0" w:type="dxa"/>
              <w:right w:w="28"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Stock Ownership Guidelines for Senior Management and Directors </w:t>
            </w:r>
          </w:p>
        </w:tc>
        <w:tc>
          <w:tcPr>
            <w:tcW w:w="255" w:type="dxa"/>
            <w:tcBorders>
              <w:left w:val="single" w:sz="6" w:space="0" w:color="D8E1E9"/>
            </w:tcBorders>
            <w:shd w:fill="auto" w:val="clear"/>
            <w:tcMar>
              <w:top w:w="0" w:type="dxa"/>
              <w:lef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61925" cy="152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61925" cy="152400"/>
                          </a:xfrm>
                          <a:prstGeom prst="rect">
                            <a:avLst/>
                          </a:prstGeom>
                        </pic:spPr>
                      </pic:pic>
                    </a:graphicData>
                  </a:graphic>
                </wp:inline>
              </w:drawing>
            </w:r>
          </w:p>
        </w:tc>
        <w:tc>
          <w:tcPr>
            <w:tcW w:w="4067" w:type="dxa"/>
            <w:tcBorders/>
            <w:shd w:fill="auto" w:val="clear"/>
            <w:tcMar>
              <w:top w:w="0"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 Dividends on Unearned PSUs</w:t>
            </w:r>
          </w:p>
        </w:tc>
      </w:tr>
      <w:tr>
        <w:trPr/>
        <w:tc>
          <w:tcPr>
            <w:tcW w:w="255" w:type="dxa"/>
            <w:tcBorders/>
            <w:shd w:fill="D8E1E9" w:val="clear"/>
            <w:tcMar>
              <w:top w:w="0"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61925" cy="152400"/>
                          </a:xfrm>
                          <a:prstGeom prst="rect">
                            <a:avLst/>
                          </a:prstGeom>
                        </pic:spPr>
                      </pic:pic>
                    </a:graphicData>
                  </a:graphic>
                </wp:inline>
              </w:drawing>
            </w:r>
          </w:p>
        </w:tc>
        <w:tc>
          <w:tcPr>
            <w:tcW w:w="5962" w:type="dxa"/>
            <w:tcBorders>
              <w:right w:val="single" w:sz="6" w:space="0" w:color="FFFFFF"/>
            </w:tcBorders>
            <w:shd w:fill="D8E1E9" w:val="clear"/>
            <w:tcMar>
              <w:top w:w="0" w:type="dxa"/>
              <w:right w:w="28"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Sustainability modifier in Annual Incentive Program for Senior Management</w:t>
            </w:r>
          </w:p>
        </w:tc>
        <w:tc>
          <w:tcPr>
            <w:tcW w:w="255" w:type="dxa"/>
            <w:tcBorders>
              <w:left w:val="single" w:sz="6" w:space="0" w:color="FFFFFF"/>
            </w:tcBorders>
            <w:shd w:fill="D8E1E9" w:val="clear"/>
            <w:tcMar>
              <w:top w:w="0" w:type="dxa"/>
              <w:lef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61925" cy="152400"/>
                          </a:xfrm>
                          <a:prstGeom prst="rect">
                            <a:avLst/>
                          </a:prstGeom>
                        </pic:spPr>
                      </pic:pic>
                    </a:graphicData>
                  </a:graphic>
                </wp:inline>
              </w:drawing>
            </w:r>
          </w:p>
        </w:tc>
        <w:tc>
          <w:tcPr>
            <w:tcW w:w="4067" w:type="dxa"/>
            <w:tcBorders/>
            <w:shd w:fill="D8E1E9" w:val="clear"/>
            <w:tcMar>
              <w:top w:w="0"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Limited Perquisites</w:t>
            </w:r>
          </w:p>
        </w:tc>
      </w:tr>
      <w:tr>
        <w:trPr/>
        <w:tc>
          <w:tcPr>
            <w:tcW w:w="255" w:type="dxa"/>
            <w:tcBorders/>
            <w:shd w:fill="auto" w:val="clear"/>
            <w:tcMar>
              <w:top w:w="0"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61925" cy="152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61925" cy="152400"/>
                          </a:xfrm>
                          <a:prstGeom prst="rect">
                            <a:avLst/>
                          </a:prstGeom>
                        </pic:spPr>
                      </pic:pic>
                    </a:graphicData>
                  </a:graphic>
                </wp:inline>
              </w:drawing>
            </w:r>
          </w:p>
        </w:tc>
        <w:tc>
          <w:tcPr>
            <w:tcW w:w="5962" w:type="dxa"/>
            <w:tcBorders>
              <w:right w:val="single" w:sz="6" w:space="0" w:color="D8E1E9"/>
            </w:tcBorders>
            <w:shd w:fill="auto" w:val="clear"/>
            <w:tcMar>
              <w:top w:w="0" w:type="dxa"/>
              <w:right w:w="28"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Independent Compensation Consultant</w:t>
            </w:r>
          </w:p>
        </w:tc>
        <w:tc>
          <w:tcPr>
            <w:tcW w:w="255" w:type="dxa"/>
            <w:tcBorders>
              <w:left w:val="single" w:sz="6" w:space="0" w:color="D8E1E9"/>
            </w:tcBorders>
            <w:shd w:fill="auto" w:val="clear"/>
            <w:tcMar>
              <w:top w:w="0" w:type="dxa"/>
              <w:lef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61925" cy="152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61925" cy="152400"/>
                          </a:xfrm>
                          <a:prstGeom prst="rect">
                            <a:avLst/>
                          </a:prstGeom>
                        </pic:spPr>
                      </pic:pic>
                    </a:graphicData>
                  </a:graphic>
                </wp:inline>
              </w:drawing>
            </w:r>
          </w:p>
        </w:tc>
        <w:tc>
          <w:tcPr>
            <w:tcW w:w="4067" w:type="dxa"/>
            <w:tcBorders/>
            <w:shd w:fill="auto" w:val="clear"/>
            <w:tcMar>
              <w:top w:w="0"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 Excise Tax Gross-Ups</w:t>
            </w:r>
          </w:p>
        </w:tc>
      </w:tr>
      <w:tr>
        <w:trPr/>
        <w:tc>
          <w:tcPr>
            <w:tcW w:w="255" w:type="dxa"/>
            <w:tcBorders/>
            <w:shd w:fill="D8E1E9" w:val="clear"/>
            <w:tcMar>
              <w:top w:w="0"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61925" cy="152400"/>
                          </a:xfrm>
                          <a:prstGeom prst="rect">
                            <a:avLst/>
                          </a:prstGeom>
                        </pic:spPr>
                      </pic:pic>
                    </a:graphicData>
                  </a:graphic>
                </wp:inline>
              </w:drawing>
            </w:r>
          </w:p>
        </w:tc>
        <w:tc>
          <w:tcPr>
            <w:tcW w:w="5962" w:type="dxa"/>
            <w:tcBorders>
              <w:right w:val="single" w:sz="6" w:space="0" w:color="FFFFFF"/>
            </w:tcBorders>
            <w:shd w:fill="D8E1E9" w:val="clear"/>
            <w:tcMar>
              <w:top w:w="0" w:type="dxa"/>
              <w:right w:w="28"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Robust Clawback Policy (updated in 2022)</w:t>
            </w:r>
          </w:p>
        </w:tc>
        <w:tc>
          <w:tcPr>
            <w:tcW w:w="255" w:type="dxa"/>
            <w:tcBorders>
              <w:left w:val="single" w:sz="6" w:space="0" w:color="FFFFFF"/>
            </w:tcBorders>
            <w:shd w:fill="D8E1E9" w:val="clear"/>
            <w:tcMar>
              <w:top w:w="0" w:type="dxa"/>
              <w:lef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drawing>
                <wp:inline distT="0" distB="0" distL="0" distR="0">
                  <wp:extent cx="161925" cy="152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61925" cy="152400"/>
                          </a:xfrm>
                          <a:prstGeom prst="rect">
                            <a:avLst/>
                          </a:prstGeom>
                        </pic:spPr>
                      </pic:pic>
                    </a:graphicData>
                  </a:graphic>
                </wp:inline>
              </w:drawing>
            </w:r>
          </w:p>
        </w:tc>
        <w:tc>
          <w:tcPr>
            <w:tcW w:w="4067" w:type="dxa"/>
            <w:tcBorders/>
            <w:shd w:fill="D8E1E9" w:val="clear"/>
            <w:tcMar>
              <w:top w:w="0" w:type="dxa"/>
            </w:tcMar>
            <w:vAlign w:val="center"/>
          </w:tcPr>
          <w:p>
            <w:pPr>
              <w:pStyle w:val="TableContents"/>
              <w:spacing w:before="12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 Hedging, Pledging or Short Sales</w:t>
            </w:r>
          </w:p>
        </w:tc>
      </w:tr>
      <w:tr>
        <w:trPr/>
        <w:tc>
          <w:tcPr>
            <w:tcW w:w="255" w:type="dxa"/>
            <w:tcBorders>
              <w:bottom w:val="single" w:sz="6" w:space="0" w:color="D8E1E9"/>
            </w:tcBorders>
            <w:shd w:fill="auto" w:val="clear"/>
            <w:tcMar>
              <w:top w:w="0" w:type="dxa"/>
              <w:bottom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61925" cy="1524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61925" cy="152400"/>
                          </a:xfrm>
                          <a:prstGeom prst="rect">
                            <a:avLst/>
                          </a:prstGeom>
                        </pic:spPr>
                      </pic:pic>
                    </a:graphicData>
                  </a:graphic>
                </wp:inline>
              </w:drawing>
            </w:r>
          </w:p>
        </w:tc>
        <w:tc>
          <w:tcPr>
            <w:tcW w:w="5962" w:type="dxa"/>
            <w:tcBorders>
              <w:bottom w:val="single" w:sz="6" w:space="0" w:color="D8E1E9"/>
              <w:right w:val="single" w:sz="6" w:space="0" w:color="D8E1E9"/>
            </w:tcBorders>
            <w:shd w:fill="auto" w:val="clear"/>
            <w:tcMar>
              <w:top w:w="0" w:type="dxa"/>
              <w:bottom w:w="28" w:type="dxa"/>
              <w:right w:w="28" w:type="dxa"/>
            </w:tcMar>
            <w:vAlign w:val="center"/>
          </w:tcPr>
          <w:p>
            <w:pPr>
              <w:pStyle w:val="TableContents"/>
              <w:spacing w:before="120" w:after="6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Double Trigger Change in Control Provisions</w:t>
            </w:r>
          </w:p>
        </w:tc>
        <w:tc>
          <w:tcPr>
            <w:tcW w:w="255" w:type="dxa"/>
            <w:tcBorders>
              <w:left w:val="single" w:sz="6" w:space="0" w:color="D8E1E9"/>
              <w:bottom w:val="single" w:sz="6" w:space="0" w:color="D8E1E9"/>
            </w:tcBorders>
            <w:shd w:fill="auto" w:val="clear"/>
            <w:tcMar>
              <w:top w:w="0" w:type="dxa"/>
              <w:left w:w="28" w:type="dxa"/>
              <w:bottom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61925" cy="152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61925" cy="152400"/>
                          </a:xfrm>
                          <a:prstGeom prst="rect">
                            <a:avLst/>
                          </a:prstGeom>
                        </pic:spPr>
                      </pic:pic>
                    </a:graphicData>
                  </a:graphic>
                </wp:inline>
              </w:drawing>
            </w:r>
          </w:p>
        </w:tc>
        <w:tc>
          <w:tcPr>
            <w:tcW w:w="4067" w:type="dxa"/>
            <w:tcBorders>
              <w:bottom w:val="single" w:sz="6" w:space="0" w:color="D8E1E9"/>
            </w:tcBorders>
            <w:shd w:fill="auto" w:val="clear"/>
            <w:tcMar>
              <w:top w:w="0" w:type="dxa"/>
              <w:bottom w:w="28" w:type="dxa"/>
            </w:tcMar>
            <w:vAlign w:val="center"/>
          </w:tcPr>
          <w:p>
            <w:pPr>
              <w:pStyle w:val="TableContents"/>
              <w:spacing w:before="120" w:after="6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Annual Risk Assessment of Compensation Program</w:t>
            </w:r>
          </w:p>
        </w:tc>
      </w:tr>
    </w:tbl>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i w:val="false"/>
          <w:caps w:val="false"/>
          <w:smallCaps w:val="false"/>
          <w:color w:val="004A7C"/>
          <w:sz w:val="23"/>
          <w:bdr w:val="single" w:sz="6" w:space="1" w:color="00497C"/>
        </w:rPr>
      </w:pPr>
      <w:bookmarkStart w:id="4" w:name="WE_ENCOURAGE_YOU_TO_READ_ENTIRE_PROXY_ST"/>
      <w:bookmarkEnd w:id="4"/>
      <w:r>
        <w:rPr>
          <w:rFonts w:ascii="Open Sans" w:hAnsi="Open Sans"/>
          <w:b/>
          <w:i w:val="false"/>
          <w:caps w:val="false"/>
          <w:smallCaps w:val="false"/>
          <w:color w:val="004A7C"/>
          <w:sz w:val="23"/>
          <w:bdr w:val="single" w:sz="6" w:space="1" w:color="00497C"/>
        </w:rPr>
        <w:t>We encourage you to read the entire Proxy Statement for additional information prior to voting your shares.</w:t>
      </w:r>
    </w:p>
    <w:p>
      <w:pPr>
        <w:pStyle w:val="TextBody"/>
        <w:spacing w:before="0" w:after="0"/>
        <w:jc w:val="center"/>
        <w:rPr>
          <w:bdr w:val="single" w:sz="6" w:space="1" w:color="00497C"/>
        </w:rPr>
      </w:pPr>
      <w:r>
        <w:rPr>
          <w:bdr w:val="single" w:sz="6" w:space="1" w:color="00497C"/>
        </w:rPr>
        <w:t> </w:t>
      </w:r>
    </w:p>
    <w:p>
      <w:pPr>
        <w:pStyle w:val="TextBody"/>
        <w:spacing w:before="0" w:after="0"/>
        <w:jc w:val="center"/>
        <w:rPr>
          <w:bdr w:val="single" w:sz="6" w:space="1" w:color="00497C"/>
        </w:rPr>
      </w:pPr>
      <w:r>
        <w:rPr>
          <w:bdr w:val="single" w:sz="6" w:space="1" w:color="00497C"/>
        </w:rPr>
        <w:t> </w:t>
      </w:r>
    </w:p>
    <w:p>
      <w:pPr>
        <w:pStyle w:val="TextBody"/>
        <w:spacing w:before="0" w:after="0"/>
        <w:jc w:val="center"/>
        <w:rPr>
          <w:bdr w:val="single" w:sz="6" w:space="1" w:color="00497C"/>
        </w:rPr>
      </w:pPr>
      <w:r>
        <w:rPr>
          <w:bdr w:val="single" w:sz="6" w:space="1" w:color="00497C"/>
        </w:rPr>
        <w:t> </w:t>
      </w:r>
    </w:p>
    <w:p>
      <w:pPr>
        <w:pStyle w:val="TextBody"/>
        <w:spacing w:before="0" w:after="0"/>
        <w:jc w:val="center"/>
        <w:rPr>
          <w:bdr w:val="single" w:sz="6" w:space="1" w:color="00497C"/>
        </w:rPr>
      </w:pPr>
      <w:r>
        <w:rPr>
          <w:bdr w:val="single" w:sz="6" w:space="1" w:color="00497C"/>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15</w:t>
            </w:r>
          </w:p>
        </w:tc>
      </w:tr>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pPr>
            <w:r>
              <w:rPr/>
              <w:t> </w:t>
            </w:r>
          </w:p>
        </w:tc>
        <w:tc>
          <w:tcPr>
            <w:tcW w:w="80"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jc w:val="center"/>
        <w:rPr>
          <w:caps w:val="false"/>
          <w:smallCaps w:val="false"/>
          <w:bdr w:val="single" w:sz="6" w:space="1" w:color="00497C"/>
        </w:rPr>
      </w:pPr>
      <w:r>
        <w:rPr>
          <w:caps w:val="false"/>
          <w:smallCaps w:val="false"/>
          <w:bdr w:val="single" w:sz="6" w:space="1" w:color="00497C"/>
        </w:rPr>
        <w:drawing>
          <wp:inline distT="0" distB="0" distL="0" distR="0">
            <wp:extent cx="7762875" cy="100584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7762875" cy="10058400"/>
                    </a:xfrm>
                    <a:prstGeom prst="rect">
                      <a:avLst/>
                    </a:prstGeom>
                  </pic:spPr>
                </pic:pic>
              </a:graphicData>
            </a:graphic>
          </wp:inline>
        </w:drawing>
      </w:r>
    </w:p>
    <w:p>
      <w:pPr>
        <w:pStyle w:val="TextBody"/>
        <w:spacing w:before="120" w:after="0"/>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p>
      <w:pPr>
        <w:pStyle w:val="HorizontalLine"/>
        <w:rPr/>
      </w:pPr>
      <w:r>
        <w:rPr/>
      </w:r>
    </w:p>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jc w:val="center"/>
        <w:rPr>
          <w:caps w:val="false"/>
          <w:smallCaps w:val="false"/>
          <w:color w:val="004A7C"/>
          <w:bdr w:val="single" w:sz="6" w:space="1" w:color="00497C"/>
        </w:rPr>
      </w:pPr>
      <w:r>
        <w:rPr>
          <w:caps w:val="false"/>
          <w:smallCaps w:val="false"/>
          <w:color w:val="004A7C"/>
          <w:bdr w:val="single" w:sz="6" w:space="1" w:color="00497C"/>
        </w:rPr>
        <w:drawing>
          <wp:inline distT="0" distB="0" distL="0" distR="0">
            <wp:extent cx="7772400" cy="103346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7772400" cy="10334625"/>
                    </a:xfrm>
                    <a:prstGeom prst="rect">
                      <a:avLst/>
                    </a:prstGeom>
                  </pic:spPr>
                </pic:pic>
              </a:graphicData>
            </a:graphic>
          </wp:inline>
        </w:drawing>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jc w:val="center"/>
        <w:rPr>
          <w:bdr w:val="single" w:sz="6" w:space="1" w:color="00497C"/>
        </w:rPr>
      </w:pPr>
      <w:r>
        <w:rPr>
          <w:bdr w:val="single" w:sz="6" w:space="1" w:color="00497C"/>
        </w:rPr>
        <w:t> </w:t>
      </w:r>
    </w:p>
    <w:p>
      <w:pPr>
        <w:pStyle w:val="TextBody"/>
        <w:spacing w:before="120" w:after="0"/>
        <w:rPr>
          <w:rFonts w:ascii="Open Sans" w:hAnsi="Open Sans"/>
          <w:b/>
          <w:i w:val="false"/>
          <w:caps w:val="false"/>
          <w:smallCaps w:val="false"/>
          <w:color w:val="004A7C"/>
          <w:sz w:val="27"/>
          <w:bdr w:val="single" w:sz="6" w:space="1" w:color="00497C"/>
        </w:rPr>
      </w:pPr>
      <w:bookmarkStart w:id="5" w:name="BOARD_DIRECTORS_CORPORATE_GOVERNANCE"/>
      <w:bookmarkEnd w:id="5"/>
      <w:r>
        <w:rPr>
          <w:rFonts w:ascii="Open Sans" w:hAnsi="Open Sans"/>
          <w:b/>
          <w:i w:val="false"/>
          <w:caps w:val="false"/>
          <w:smallCaps w:val="false"/>
          <w:color w:val="004A7C"/>
          <w:sz w:val="27"/>
          <w:bdr w:val="single" w:sz="6" w:space="1" w:color="00497C"/>
        </w:rPr>
        <w:t xml:space="preserve">Board of Directors and Corporate Governance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6" w:name="REPUBLICS_BOARD_DIRECTORS"/>
      <w:bookmarkEnd w:id="6"/>
      <w:r>
        <w:rPr>
          <w:rFonts w:ascii="Open Sans SemiBold" w:hAnsi="Open Sans SemiBold"/>
          <w:b w:val="false"/>
          <w:i w:val="false"/>
          <w:caps w:val="false"/>
          <w:smallCaps w:val="false"/>
          <w:color w:val="004A7C"/>
          <w:sz w:val="17"/>
          <w:bdr w:val="single" w:sz="6" w:space="1" w:color="00497C"/>
        </w:rPr>
        <w:t xml:space="preserve">Republic’s Board of Directors </w:t>
      </w:r>
    </w:p>
    <w:p>
      <w:pPr>
        <w:pStyle w:val="TextBody"/>
        <w:spacing w:before="120" w:after="0"/>
        <w:rPr>
          <w:rFonts w:ascii="Open Sans" w:hAnsi="Open Sans"/>
          <w:b w:val="false"/>
          <w:i w:val="false"/>
          <w:caps w:val="false"/>
          <w:smallCaps w:val="false"/>
          <w:color w:val="000000"/>
          <w:sz w:val="16"/>
          <w:bdr w:val="single" w:sz="6" w:space="1" w:color="00497C"/>
        </w:rPr>
      </w:pPr>
      <w:r>
        <w:rPr>
          <w:rFonts w:ascii="Open Sans" w:hAnsi="Open Sans"/>
          <w:b w:val="false"/>
          <w:i w:val="false"/>
          <w:caps w:val="false"/>
          <w:smallCaps w:val="false"/>
          <w:color w:val="000000"/>
          <w:sz w:val="16"/>
          <w:bdr w:val="single" w:sz="6" w:space="1" w:color="00497C"/>
        </w:rPr>
        <w:t xml:space="preserve">Republic’s Board currently consists of 12 directors; however, Kim S. Pegula is not standing for re-election to the Board at the Annual Meeting.  Ms. Pegula has been a valuable member of the Company’s Board, and we greatly appreciate her many years of service.   </w:t>
      </w:r>
    </w:p>
    <w:p>
      <w:pPr>
        <w:pStyle w:val="TextBody"/>
        <w:spacing w:before="120" w:after="0"/>
        <w:rPr>
          <w:rFonts w:ascii="Open Sans" w:hAnsi="Open Sans"/>
          <w:b w:val="false"/>
          <w:i w:val="false"/>
          <w:caps w:val="false"/>
          <w:smallCaps w:val="false"/>
          <w:color w:val="000000"/>
          <w:sz w:val="16"/>
          <w:bdr w:val="single" w:sz="6" w:space="1" w:color="00497C"/>
        </w:rPr>
      </w:pPr>
      <w:r>
        <w:rPr>
          <w:rFonts w:ascii="Open Sans" w:hAnsi="Open Sans"/>
          <w:b w:val="false"/>
          <w:i w:val="false"/>
          <w:caps w:val="false"/>
          <w:smallCaps w:val="false"/>
          <w:color w:val="000000"/>
          <w:sz w:val="16"/>
          <w:bdr w:val="single" w:sz="6" w:space="1" w:color="00497C"/>
        </w:rPr>
        <w:t xml:space="preserve">The Board’s Nominating &amp; Corporate Governance Committee (the “Governance Committee”) evaluated our 11 director nominees in accordance with the Governance Committee’s charter and our Corporate Governance Guidelines and submitted the nominees to the full Board for approval. We believe that each of our director nominees is highly qualified and collectively, they represent an ideal mix of experience, wisdom, integrity, and ability to advance Republic’s strategy and serve the interests of all our stakeholders. </w:t>
      </w:r>
    </w:p>
    <w:p>
      <w:pPr>
        <w:pStyle w:val="TextBody"/>
        <w:spacing w:before="120" w:after="0"/>
        <w:rPr>
          <w:bdr w:val="single" w:sz="6" w:space="1" w:color="00497C"/>
        </w:rPr>
      </w:pPr>
      <w:r>
        <w:rPr>
          <w:bdr w:val="single" w:sz="6" w:space="1" w:color="00497C"/>
        </w:rPr>
        <w:t> </w:t>
      </w:r>
    </w:p>
    <w:p>
      <w:pPr>
        <w:pStyle w:val="TextBody"/>
        <w:spacing w:before="120" w:after="0"/>
        <w:rPr>
          <w:bdr w:val="single" w:sz="6" w:space="1" w:color="00497C"/>
        </w:rPr>
      </w:pPr>
      <w:r>
        <w:rPr>
          <w:bdr w:val="single" w:sz="6" w:space="1" w:color="00497C"/>
        </w:rPr>
        <w:t> </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943600" cy="40005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5943600" cy="4000500"/>
                    </a:xfrm>
                    <a:prstGeom prst="rect">
                      <a:avLst/>
                    </a:prstGeom>
                  </pic:spPr>
                </pic:pic>
              </a:graphicData>
            </a:graphic>
          </wp:inline>
        </w:drawing>
      </w:r>
    </w:p>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18</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SemiBold" w:hAnsi="Open Sans SemiBold"/>
          <w:b/>
          <w:i w:val="false"/>
          <w:caps w:val="false"/>
          <w:smallCaps w:val="false"/>
          <w:color w:val="004A7C"/>
          <w:sz w:val="23"/>
          <w:bdr w:val="single" w:sz="6" w:space="1" w:color="00497C"/>
        </w:rPr>
      </w:pPr>
      <w:bookmarkStart w:id="7" w:name="DIRECTOR_SKILLS_EXPERIENCE_BACKGROUND"/>
      <w:bookmarkEnd w:id="7"/>
      <w:r>
        <w:rPr>
          <w:rFonts w:ascii="Open Sans SemiBold" w:hAnsi="Open Sans SemiBold"/>
          <w:b/>
          <w:i w:val="false"/>
          <w:caps w:val="false"/>
          <w:smallCaps w:val="false"/>
          <w:color w:val="004A7C"/>
          <w:sz w:val="23"/>
          <w:bdr w:val="single" w:sz="6" w:space="1" w:color="00497C"/>
        </w:rPr>
        <w:t>DIRECTOR SKILLS, EXPERIENCE, AND BACKGROUND</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Republic is an environmental services company providing essential services to customers. We operate in a highly technical, regulated, and competitive industry. As such, we require a Board that possesses a wide array of skill sets to help us drive forward our long-term strategy. We seek directors who have a growth mindset, business judgment, integrity, professionalism, and a diverse set of experiences.</w:t>
      </w:r>
    </w:p>
    <w:p>
      <w:pPr>
        <w:pStyle w:val="TextBody"/>
        <w:spacing w:before="120" w:after="0"/>
        <w:rPr>
          <w:bdr w:val="single" w:sz="6" w:space="1" w:color="00497C"/>
        </w:rPr>
      </w:pPr>
      <w:r>
        <w:rPr>
          <w:bdr w:val="single" w:sz="6" w:space="1" w:color="00497C"/>
        </w:rPr>
        <w:t> </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943600" cy="53054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5943600" cy="5305425"/>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bdr w:val="single" w:sz="6" w:space="1" w:color="00497C"/>
        </w:rPr>
      </w:pPr>
      <w:r>
        <w:rPr>
          <w:rFonts w:ascii="Open Sans" w:hAnsi="Open Sans"/>
          <w:b w:val="false"/>
          <w:i w:val="false"/>
          <w:caps w:val="false"/>
          <w:smallCaps w:val="false"/>
          <w:color w:val="FFFFFF"/>
          <w:sz w:val="2"/>
          <w:bdr w:val="single" w:sz="6" w:space="1" w:color="00497C"/>
        </w:rPr>
        <w:t xml:space="preserve">ndependence independent insiders Tenure &lt;4years 5-10years &gt;10years Age Mix 46-55 56-65 66+ Ethnic Diversity Ethnically diverse Non-ethnically diverse Gender Diversity Men Women Skills distribution Executive (Active or retired chair, CEO or COO) Accounting Strategy Finance/Investments Marking sales Technology/Cyber Security Operations/Logistics HR/Talent ESG NO OF DIRECTORS 0 1 2 3 5 6 7 8 9 10 11 12 8 77 4 6 4 78 4 8 </w:t>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10539"/>
      </w:tblGrid>
      <w:tr>
        <w:trPr/>
        <w:tc>
          <w:tcPr>
            <w:tcW w:w="10539" w:type="dxa"/>
            <w:tcBorders/>
            <w:shd w:fill="D8E1E9" w:val="clear"/>
          </w:tcPr>
          <w:p>
            <w:pPr>
              <w:pStyle w:val="TableContents"/>
              <w:spacing w:before="0" w:after="0"/>
              <w:ind w:left="240" w:right="0" w:hanging="0"/>
              <w:rPr>
                <w:rFonts w:ascii="Open Sans" w:hAnsi="Open Sans"/>
                <w:b/>
                <w:i w:val="false"/>
                <w:caps w:val="false"/>
                <w:smallCaps w:val="false"/>
                <w:color w:val="004A7C"/>
                <w:sz w:val="20"/>
              </w:rPr>
            </w:pPr>
            <w:r>
              <w:rPr>
                <w:rFonts w:ascii="Open Sans" w:hAnsi="Open Sans"/>
                <w:b/>
                <w:i w:val="false"/>
                <w:caps w:val="false"/>
                <w:smallCaps w:val="false"/>
                <w:color w:val="004A7C"/>
                <w:sz w:val="20"/>
              </w:rPr>
              <w:t>Each of our 11 director nominees is a highly engaged and skilled professional who recognizes that strong corporate governance contributes to long-term shareholder value.</w:t>
            </w:r>
          </w:p>
        </w:tc>
      </w:tr>
    </w:tbl>
    <w:p>
      <w:pPr>
        <w:pStyle w:val="TextBody"/>
        <w:spacing w:before="0" w:after="0"/>
        <w:jc w:val="center"/>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19</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Listed below are the core skills and experiences we consider to be beneficial for our Board to possess. </w:t>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1513"/>
        <w:gridCol w:w="9026"/>
      </w:tblGrid>
      <w:tr>
        <w:trPr/>
        <w:tc>
          <w:tcPr>
            <w:tcW w:w="1513" w:type="dxa"/>
            <w:tcBorders/>
            <w:shd w:fill="auto" w:val="clear"/>
            <w:vAlign w:val="center"/>
          </w:tcPr>
          <w:p>
            <w:pPr>
              <w:pStyle w:val="TableContents"/>
              <w:spacing w:before="0" w:after="283"/>
              <w:rPr>
                <w:sz w:val="4"/>
                <w:szCs w:val="4"/>
              </w:rPr>
            </w:pPr>
            <w:r>
              <w:rPr>
                <w:sz w:val="4"/>
                <w:szCs w:val="4"/>
              </w:rPr>
            </w:r>
          </w:p>
        </w:tc>
        <w:tc>
          <w:tcPr>
            <w:tcW w:w="9026" w:type="dxa"/>
            <w:tcBorders/>
            <w:shd w:fill="auto" w:val="clear"/>
            <w:vAlign w:val="center"/>
          </w:tcPr>
          <w:p>
            <w:pPr>
              <w:pStyle w:val="TableContents"/>
              <w:spacing w:before="0" w:after="283"/>
              <w:rPr>
                <w:sz w:val="4"/>
                <w:szCs w:val="4"/>
              </w:rPr>
            </w:pPr>
            <w:r>
              <w:rPr>
                <w:sz w:val="4"/>
                <w:szCs w:val="4"/>
              </w:rPr>
            </w:r>
          </w:p>
        </w:tc>
      </w:tr>
      <w:tr>
        <w:trPr/>
        <w:tc>
          <w:tcPr>
            <w:tcW w:w="1513" w:type="dxa"/>
            <w:tcBorders>
              <w:top w:val="single" w:sz="6" w:space="0" w:color="000000"/>
              <w:left w:val="single" w:sz="6" w:space="0" w:color="000000"/>
              <w:bottom w:val="single" w:sz="6" w:space="0" w:color="000000"/>
              <w:right w:val="single" w:sz="6" w:space="0" w:color="000000"/>
            </w:tcBorders>
            <w:shd w:fill="002060" w:val="clear"/>
            <w:tcMar>
              <w:top w:w="28" w:type="dxa"/>
              <w:left w:w="28" w:type="dxa"/>
              <w:bottom w:w="28" w:type="dxa"/>
              <w:right w:w="28" w:type="dxa"/>
            </w:tcMar>
          </w:tcPr>
          <w:p>
            <w:pPr>
              <w:pStyle w:val="TableContents"/>
              <w:spacing w:before="0" w:after="0"/>
              <w:ind w:left="0" w:right="0" w:hanging="0"/>
              <w:jc w:val="center"/>
              <w:rPr>
                <w:rFonts w:ascii="Open Sans" w:hAnsi="Open Sans"/>
                <w:b/>
                <w:i w:val="false"/>
                <w:caps w:val="false"/>
                <w:smallCaps w:val="false"/>
                <w:sz w:val="16"/>
              </w:rPr>
            </w:pPr>
            <w:r>
              <w:rPr>
                <w:rFonts w:ascii="Open Sans" w:hAnsi="Open Sans"/>
                <w:b/>
                <w:i w:val="false"/>
                <w:caps w:val="false"/>
                <w:smallCaps w:val="false"/>
                <w:sz w:val="16"/>
              </w:rPr>
              <w:br/>
              <w:t>Skills &amp; Experience</w:t>
            </w:r>
          </w:p>
        </w:tc>
        <w:tc>
          <w:tcPr>
            <w:tcW w:w="9026" w:type="dxa"/>
            <w:tcBorders>
              <w:top w:val="single" w:sz="6" w:space="0" w:color="000000"/>
              <w:left w:val="single" w:sz="6" w:space="0" w:color="000000"/>
              <w:bottom w:val="single" w:sz="6" w:space="0" w:color="000000"/>
              <w:right w:val="single" w:sz="6" w:space="0" w:color="000000"/>
            </w:tcBorders>
            <w:shd w:fill="002060" w:val="clear"/>
            <w:tcMar>
              <w:top w:w="28" w:type="dxa"/>
              <w:left w:w="28" w:type="dxa"/>
              <w:bottom w:w="28" w:type="dxa"/>
              <w:right w:w="28" w:type="dxa"/>
            </w:tcMar>
          </w:tcPr>
          <w:p>
            <w:pPr>
              <w:pStyle w:val="TableContents"/>
              <w:spacing w:before="0" w:after="0"/>
              <w:ind w:left="0" w:right="0" w:hanging="0"/>
              <w:jc w:val="center"/>
              <w:rPr>
                <w:rFonts w:ascii="Open Sans" w:hAnsi="Open Sans"/>
                <w:b/>
                <w:i w:val="false"/>
                <w:caps w:val="false"/>
                <w:smallCaps w:val="false"/>
                <w:sz w:val="16"/>
              </w:rPr>
            </w:pPr>
            <w:r>
              <w:rPr>
                <w:rFonts w:ascii="Open Sans" w:hAnsi="Open Sans"/>
                <w:b/>
                <w:i w:val="false"/>
                <w:caps w:val="false"/>
                <w:smallCaps w:val="false"/>
                <w:sz w:val="16"/>
              </w:rPr>
              <w:t>Application to Republic Services</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Executive </w:t>
              <w:br/>
              <w:t>(Active or retired Chair, CEO or COO)</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As a leader in the environmental services industry with vertically integrated operations across the U.S. and Canada, the scale and intricacies of Republic’s business make it necessary to have directors who have experience leading their organizations. These directors provide valuable guidance and perspective when analyzing and overseeing complex financial, operational, and strategic decisions, and leading strong corporate governance practices. </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Financial Accounting</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As a publicly traded company with a national footprint and diversified exposure to franchise, large urban and small to mid-sized markets, financial accounting experience enables Republic directors to advise on and provide oversight into risk management, financial reporting and internal control items. </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Strategy</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A focus on customer needs and sustainability is core to how Republic generates profitable growth. Directors with a background in developing and implementing the strategic direction of a company provide useful insight into operating and growing Republic’s business. </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Finance/Investments</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As a vertically integrated company in an industry where consolidation often presents an opportunity to drive growth and build scale, directors with knowledge of financial markets, financing, funding operations and merger integration bring useful insights to the Board, particularly given the role M&amp;A has in Republic’s strategy. In addition, directors who possess a generic understanding of business cycles, capital markets and the investor perspective provide guidance on Republic’s capital allocation strategy and broader strategic positioning.</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Marketing/Sales</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As a customer-facing brand focused on growing new business, driving brand awareness and customer loyalty are important to Republic’s growth strategy. Directors with expertise in amplifying and enhancing effective corporate marketing strategies provide useful insight toward developing customer zeal, brand recognition and top-line revenue growth. </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Technology/</w:t>
            </w:r>
          </w:p>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Cybersecurity</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A core aspect of Republic’s long-term strategy is using technology to differentiate our service offerings, improve customer satisfaction and drive operational efficiencies. Directors who are familiar with innovative technological strategies and understand emerging trends bring necessary perspectives to the Board regarding technology’s role in Republic’s strategy. In addition, Republic’s technology and cybersecurity programs are crucial to maintaining secure cybersecurity operations, delivering customer satisfaction and trust, which means directors with knowledge of cybersecurity risks and best practices provide valuable insight into oversight of these risks.</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Operations/Logistics</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Republic’s business is focused on providing a comprehensive set of integrated environmental services to customers as efficiently and safely as possible in a cost-effective manner. This includes planning vehicle routes, operating and maintaining facilities such as recycling processing centers and regenerative landfills, and managing the company’s resources, such as equipment and personnel. Directors with experience strategizing, controlling and implementing logistics management systems can contribute valuable perspective and management to the Board on this essential element of Republic’s business.</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HR/Talent</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As a highly technical organization with employees that possess specialized skills in significant demand, directors that are able to provide guidance on attracting and retaining top talent, have experience managing compensation of executives and other employees and have experience in succession planning are of immense value to the Board. Maintaining an engaged workforce and investing in employee development are also core to Republic’s talent strategy, an area where directors with human resources experience provide thoughtful insight. </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Legal</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As a publicly traded company and a provider of services in a highly regulated industry, directors with in-depth legal knowledge and background are beneficial to assist the Board in its oversight of Republic’s compliance on legal and regulatory matters.</w:t>
            </w:r>
          </w:p>
        </w:tc>
      </w:tr>
      <w:tr>
        <w:trPr/>
        <w:tc>
          <w:tcPr>
            <w:tcW w:w="1513"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Sustainability </w:t>
            </w:r>
          </w:p>
        </w:tc>
        <w:tc>
          <w:tcPr>
            <w:tcW w:w="9026"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6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Republic’s strategy is designed to generate profitable growth by partnering with customers to create a more sustainable world. As an environmental services company, directors with expertise in evolving issues around talent, specifically inclusion and diversity, employee safety, climate leadership and community engagement provide valuable guidance and insight to the Board when providing oversight on Republic’s sustainability efforts.</w:t>
            </w:r>
          </w:p>
        </w:tc>
      </w:tr>
    </w:tbl>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jc w:val="both"/>
        <w:rPr>
          <w:rFonts w:ascii="Open Sans" w:hAnsi="Open Sans"/>
          <w:b/>
          <w:i w:val="false"/>
          <w:caps w:val="false"/>
          <w:smallCaps w:val="false"/>
          <w:color w:val="004A7C"/>
          <w:sz w:val="23"/>
          <w:bdr w:val="single" w:sz="6" w:space="1" w:color="00497C"/>
        </w:rPr>
      </w:pPr>
      <w:bookmarkStart w:id="8" w:name="BIOGRAPHICAL_INFORMATION_REGARDING_DIREC"/>
      <w:bookmarkEnd w:id="8"/>
      <w:r>
        <w:rPr>
          <w:rFonts w:ascii="Open Sans" w:hAnsi="Open Sans"/>
          <w:b/>
          <w:i w:val="false"/>
          <w:caps w:val="false"/>
          <w:smallCaps w:val="false"/>
          <w:color w:val="004A7C"/>
          <w:sz w:val="23"/>
          <w:bdr w:val="single" w:sz="6" w:space="1" w:color="00497C"/>
        </w:rPr>
        <w:t xml:space="preserve">Biographical Information Regarding Director Nominees </w:t>
      </w:r>
    </w:p>
    <w:p>
      <w:pPr>
        <w:pStyle w:val="TextBody"/>
        <w:spacing w:before="0" w:after="0"/>
        <w:jc w:val="both"/>
        <w:rPr>
          <w:bdr w:val="single" w:sz="6" w:space="1" w:color="00497C"/>
        </w:rPr>
      </w:pPr>
      <w:r>
        <w:rPr>
          <w:bdr w:val="single" w:sz="6" w:space="1" w:color="00497C"/>
        </w:rPr>
        <w:t> </w:t>
      </w:r>
    </w:p>
    <w:p>
      <w:pPr>
        <w:pStyle w:val="TextBody"/>
        <w:spacing w:before="0" w:after="0"/>
        <w:rPr>
          <w:caps w:val="false"/>
          <w:smallCaps w:val="false"/>
          <w:bdr w:val="single" w:sz="6" w:space="1" w:color="00497C"/>
        </w:rPr>
      </w:pPr>
      <w:r>
        <w:rPr>
          <w:caps w:val="false"/>
          <w:smallCaps w:val="false"/>
          <w:bdr w:val="single" w:sz="6" w:space="1" w:color="00497C"/>
        </w:rPr>
        <w:drawing>
          <wp:inline distT="0" distB="0" distL="0" distR="0">
            <wp:extent cx="5962650" cy="7905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5962650" cy="790575"/>
                    </a:xfrm>
                    <a:prstGeom prst="rect">
                      <a:avLst/>
                    </a:prstGeom>
                  </pic:spPr>
                </pic:pic>
              </a:graphicData>
            </a:graphic>
          </wp:inline>
        </w:drawing>
      </w:r>
    </w:p>
    <w:tbl>
      <w:tblPr>
        <w:tblW w:w="10539" w:type="dxa"/>
        <w:jc w:val="left"/>
        <w:tblInd w:w="0" w:type="dxa"/>
        <w:tblCellMar>
          <w:top w:w="0" w:type="dxa"/>
          <w:left w:w="0" w:type="dxa"/>
          <w:bottom w:w="28" w:type="dxa"/>
          <w:right w:w="0" w:type="dxa"/>
        </w:tblCellMar>
      </w:tblPr>
      <w:tblGrid>
        <w:gridCol w:w="7090"/>
        <w:gridCol w:w="3449"/>
      </w:tblGrid>
      <w:tr>
        <w:trPr/>
        <w:tc>
          <w:tcPr>
            <w:tcW w:w="7090" w:type="dxa"/>
            <w:vMerge w:val="restart"/>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Kadre is currently the Chief Executive Officer of Kollective Auto Group, a premium luxury retail automotive group, and previously was Chief Executive Officer of a number of beverage, automotive, healthcare and real estate companies.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Kadre has gained significant management and leadership experience from serving as Chief Executive Officer of these companies for over two decades.  He brings to the Board valuable perspective on managing the strategic direction of organizations, particularly useful given Republic operates in a highly technical, regulated and competitive industry.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Throughout his career, Mr. Kadre has held leadership roles in acquiring, managing, and running several businesses, gaining valuable financial and strategy experience. These experiences enable him to provide guidance regarding Republic’s M&amp;A opportunities, which is important given the role M&amp;A plays in Republic’s strategy and Republic’s position in an industry where consolidation presents an opportunity to drive growth and build scale.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Kadre has extensive experience strategically positioning well-known, customer-facing brands to drive customer awareness and loyalty. His focus on using marketing efforts to heighten brand recognition, particularly for businesses in highly regulated industries, augments the Board’s ability to oversee and provide input on marketing and sales topics. </w:t>
            </w:r>
          </w:p>
          <w:p>
            <w:pPr>
              <w:pStyle w:val="TableContents"/>
              <w:spacing w:before="0" w:after="12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Through Mr. Kadre’s leadership roles at companies in highly regulated industries, including serving as General Counsel of beverage product distributor CC1 Companies, he offers the Board valuable expertise when assessing legal and regulatory matters. In addition, he has extensive public company experience having served on four public company boards; Republic, Bright Health, The Home Depot, and Mednax.</w:t>
            </w:r>
          </w:p>
        </w:tc>
        <w:tc>
          <w:tcPr>
            <w:tcW w:w="3449"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5"/>
              </w:rPr>
            </w:pPr>
            <w:r>
              <w:rPr>
                <w:rFonts w:ascii="Open Sans" w:hAnsi="Open Sans"/>
                <w:b/>
                <w:i w:val="false"/>
                <w:caps w:val="false"/>
                <w:smallCaps w:val="false"/>
                <w:color w:val="D80025"/>
                <w:spacing w:val="10"/>
                <w:sz w:val="15"/>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Kollective Auto Group</w:t>
            </w:r>
            <w:r>
              <w:rPr>
                <w:rFonts w:ascii="Open Sans" w:hAnsi="Open Sans"/>
                <w:b w:val="false"/>
                <w:i w:val="false"/>
                <w:caps w:val="false"/>
                <w:smallCaps w:val="false"/>
                <w:color w:val="004A7C"/>
                <w:sz w:val="15"/>
                <w:u w:val="single"/>
              </w:rPr>
              <w:t>, 2012 – Present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Gold Coast Caribbean Importers</w:t>
            </w:r>
            <w:r>
              <w:rPr>
                <w:rFonts w:ascii="Open Sans" w:hAnsi="Open Sans"/>
                <w:b w:val="false"/>
                <w:i w:val="false"/>
                <w:caps w:val="false"/>
                <w:smallCaps w:val="false"/>
                <w:color w:val="004A7C"/>
                <w:sz w:val="15"/>
                <w:u w:val="single"/>
              </w:rPr>
              <w:t>, 2005 – 2014</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CC1 Companies</w:t>
            </w:r>
            <w:r>
              <w:rPr>
                <w:rFonts w:ascii="Open Sans" w:hAnsi="Open Sans"/>
                <w:b w:val="false"/>
                <w:i w:val="false"/>
                <w:caps w:val="false"/>
                <w:smallCaps w:val="false"/>
                <w:color w:val="004A7C"/>
                <w:sz w:val="15"/>
                <w:u w:val="single"/>
              </w:rPr>
              <w:t>, 1995 – 2009</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President, Vice President, General Counsel and Secretary</w:t>
            </w:r>
          </w:p>
        </w:tc>
      </w:tr>
      <w:tr>
        <w:trPr/>
        <w:tc>
          <w:tcPr>
            <w:tcW w:w="7090" w:type="dxa"/>
            <w:vMerge w:val="continue"/>
            <w:tcBorders>
              <w:bottom w:val="single" w:sz="12" w:space="0" w:color="D80024"/>
            </w:tcBorders>
            <w:shd w:fill="auto" w:val="clear"/>
          </w:tcPr>
          <w:p>
            <w:pPr>
              <w:pStyle w:val="Normal"/>
              <w:rPr/>
            </w:pPr>
            <w:r>
              <w:rPr/>
            </w:r>
          </w:p>
        </w:tc>
        <w:tc>
          <w:tcPr>
            <w:tcW w:w="3449"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Bright Health Group, Inc.</w:t>
            </w:r>
            <w:r>
              <w:rPr>
                <w:rFonts w:ascii="Open Sans" w:hAnsi="Open Sans"/>
                <w:b w:val="false"/>
                <w:i w:val="false"/>
                <w:caps w:val="false"/>
                <w:smallCaps w:val="false"/>
                <w:color w:val="004A7C"/>
                <w:sz w:val="15"/>
              </w:rPr>
              <w:t>, 2021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(Lead Independent Director, Chair of the Nominating and Corporate Governance Committee, Member of the Audit Committee and the Compensation and Human Capital Committee)</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The Home Depot, Inc.</w:t>
            </w:r>
            <w:r>
              <w:rPr>
                <w:rFonts w:ascii="Open Sans" w:hAnsi="Open Sans"/>
                <w:b w:val="false"/>
                <w:i w:val="false"/>
                <w:caps w:val="false"/>
                <w:smallCaps w:val="false"/>
                <w:color w:val="004A7C"/>
                <w:sz w:val="15"/>
              </w:rPr>
              <w:t>, 2018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(Member of the Audit Committee and the Finance Committee)</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Mednax, Inc.</w:t>
            </w:r>
            <w:r>
              <w:rPr>
                <w:rFonts w:ascii="Open Sans" w:hAnsi="Open Sans"/>
                <w:b w:val="false"/>
                <w:i w:val="false"/>
                <w:caps w:val="false"/>
                <w:smallCaps w:val="false"/>
                <w:color w:val="004A7C"/>
                <w:sz w:val="15"/>
              </w:rPr>
              <w:t>, 2007 – 2022</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(Lead Independent Director, Member of the Compensation Committee, Strategy Committee, and Chair of the Nominating and Corporate Governance Committee)</w:t>
            </w:r>
          </w:p>
        </w:tc>
      </w:tr>
      <w:tr>
        <w:trPr/>
        <w:tc>
          <w:tcPr>
            <w:tcW w:w="7090" w:type="dxa"/>
            <w:vMerge w:val="continue"/>
            <w:tcBorders>
              <w:bottom w:val="single" w:sz="12" w:space="0" w:color="D80024"/>
            </w:tcBorders>
            <w:shd w:fill="auto" w:val="clear"/>
          </w:tcPr>
          <w:p>
            <w:pPr>
              <w:pStyle w:val="Normal"/>
              <w:rPr/>
            </w:pPr>
            <w:r>
              <w:rPr/>
            </w:r>
          </w:p>
        </w:tc>
        <w:tc>
          <w:tcPr>
            <w:tcW w:w="3449" w:type="dxa"/>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of Trustees, </w:t>
            </w:r>
            <w:r>
              <w:rPr>
                <w:rFonts w:ascii="Open Sans" w:hAnsi="Open Sans"/>
                <w:b/>
                <w:i w:val="false"/>
                <w:caps w:val="false"/>
                <w:smallCaps w:val="false"/>
                <w:color w:val="004A7C"/>
                <w:sz w:val="15"/>
              </w:rPr>
              <w:t>University of Miami</w:t>
            </w:r>
            <w:r>
              <w:rPr>
                <w:rFonts w:ascii="Open Sans" w:hAnsi="Open Sans"/>
                <w:b w:val="false"/>
                <w:i w:val="false"/>
                <w:caps w:val="false"/>
                <w:smallCaps w:val="false"/>
                <w:color w:val="004A7C"/>
                <w:sz w:val="15"/>
              </w:rPr>
              <w:t xml:space="preserve">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of Directors, </w:t>
            </w:r>
            <w:r>
              <w:rPr>
                <w:rFonts w:ascii="Open Sans" w:hAnsi="Open Sans"/>
                <w:b/>
                <w:i w:val="false"/>
                <w:caps w:val="false"/>
                <w:smallCaps w:val="false"/>
                <w:color w:val="004A7C"/>
                <w:sz w:val="15"/>
              </w:rPr>
              <w:t xml:space="preserve">University of Miami Health System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43600" cy="7905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5943600" cy="790575"/>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6792"/>
        <w:gridCol w:w="3747"/>
      </w:tblGrid>
      <w:tr>
        <w:trPr/>
        <w:tc>
          <w:tcPr>
            <w:tcW w:w="6792"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Collins currently serves as Executive Vice President of Communications and Business Development at Kroenke Sports &amp; Entertainment. </w:t>
            </w:r>
          </w:p>
          <w:p>
            <w:pPr>
              <w:pStyle w:val="TableContents"/>
              <w:spacing w:before="0" w:after="120"/>
              <w:ind w:left="0" w:right="0" w:hanging="0"/>
              <w:rPr/>
            </w:pPr>
            <w:r>
              <w:rPr/>
              <w:t> </w:t>
            </w:r>
          </w:p>
        </w:tc>
        <w:tc>
          <w:tcPr>
            <w:tcW w:w="3747" w:type="dxa"/>
            <w:tcBorders/>
            <w:shd w:fill="auto" w:val="clear"/>
          </w:tcPr>
          <w:p>
            <w:pPr>
              <w:pStyle w:val="TableContents"/>
              <w:spacing w:before="120" w:after="0"/>
              <w:ind w:left="114"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114"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Kroenke Sports &amp; Entertainment</w:t>
            </w:r>
            <w:r>
              <w:rPr>
                <w:rFonts w:ascii="Open Sans" w:hAnsi="Open Sans"/>
                <w:b w:val="false"/>
                <w:i w:val="false"/>
                <w:caps w:val="false"/>
                <w:smallCaps w:val="false"/>
                <w:color w:val="004A7C"/>
                <w:sz w:val="15"/>
                <w:u w:val="single"/>
              </w:rPr>
              <w:t>, 2003 – Present</w:t>
            </w:r>
          </w:p>
          <w:p>
            <w:pPr>
              <w:pStyle w:val="TableContents"/>
              <w:spacing w:before="0" w:after="80"/>
              <w:ind w:left="114"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Executive Vice President, Communications and Business Development</w:t>
            </w:r>
          </w:p>
          <w:p>
            <w:pPr>
              <w:pStyle w:val="TableContents"/>
              <w:spacing w:before="0" w:after="0"/>
              <w:ind w:left="114" w:right="0" w:hanging="0"/>
              <w:rPr>
                <w:rFonts w:ascii="Open Sans" w:hAnsi="Open Sans"/>
                <w:b/>
                <w:i w:val="false"/>
                <w:caps w:val="false"/>
                <w:smallCaps w:val="false"/>
                <w:color w:val="004A7C"/>
                <w:sz w:val="15"/>
                <w:u w:val="single"/>
              </w:rPr>
            </w:pPr>
            <w:r>
              <w:rPr>
                <w:rFonts w:ascii="Open Sans" w:hAnsi="Open Sans"/>
                <w:b/>
                <w:i w:val="false"/>
                <w:caps w:val="false"/>
                <w:smallCaps w:val="false"/>
                <w:color w:val="004A7C"/>
                <w:sz w:val="15"/>
                <w:u w:val="single"/>
              </w:rPr>
              <w:t>The (Louisville) Courier-Journal and CNN International</w:t>
            </w:r>
          </w:p>
          <w:p>
            <w:pPr>
              <w:pStyle w:val="TableContents"/>
              <w:spacing w:before="0" w:after="80"/>
              <w:ind w:left="114"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Journalist</w:t>
            </w:r>
          </w:p>
          <w:p>
            <w:pPr>
              <w:pStyle w:val="TableContents"/>
              <w:spacing w:before="0" w:after="80"/>
              <w:ind w:left="114" w:right="0" w:hanging="0"/>
              <w:rPr/>
            </w:pPr>
            <w:r>
              <w:rPr/>
              <w:t> </w:t>
            </w:r>
          </w:p>
          <w:p>
            <w:pPr>
              <w:pStyle w:val="TableContents"/>
              <w:spacing w:before="0" w:after="80"/>
              <w:ind w:left="114" w:right="0" w:hanging="0"/>
              <w:rPr/>
            </w:pPr>
            <w:r>
              <w:rPr/>
              <w:t> </w:t>
            </w:r>
          </w:p>
        </w:tc>
      </w:tr>
    </w:tbl>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w:t>
            </w:r>
          </w:p>
        </w:tc>
      </w:tr>
    </w:tbl>
    <w:p>
      <w:pPr>
        <w:pStyle w:val="TextBody"/>
        <w:spacing w:before="0" w:after="0"/>
        <w:ind w:left="0" w:right="0" w:hanging="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p>
      <w:pPr>
        <w:pStyle w:val="TextBody"/>
        <w:spacing w:before="0" w:after="0"/>
        <w:ind w:left="0" w:right="0" w:hanging="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ind w:left="0" w:right="0" w:hanging="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7470"/>
        <w:gridCol w:w="3069"/>
      </w:tblGrid>
      <w:tr>
        <w:trPr/>
        <w:tc>
          <w:tcPr>
            <w:tcW w:w="7470" w:type="dxa"/>
            <w:tcBorders/>
            <w:shd w:fill="auto" w:val="clear"/>
          </w:tcPr>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Collins deeply understands successful marketing strategies from leading communications, business development, and public affairs for a diverse multibillion dollar portfolio of sports, entertainment, media, real estate, ranch, and vineyard products.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Through his roles at Kroenke Sports &amp; Entertainment-owned products, Mr. Collins maintains a unique perspective on determining and implementing corporate strategy.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Collins’ business development and mergers and acquisitions experience gives him a strong understanding of considerations in potential transactions and their integration. </w:t>
            </w:r>
          </w:p>
          <w:p>
            <w:pPr>
              <w:pStyle w:val="TableContents"/>
              <w:spacing w:before="12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Through his experience at Kroenke Sports &amp; Entertainment, specifically in leading ranch and vineyard conservation efforts and service on multiple company and non-profit boards, Mr. Collins has important sustainability and climate leadership knowledge.</w:t>
            </w:r>
          </w:p>
        </w:tc>
        <w:tc>
          <w:tcPr>
            <w:tcW w:w="3069" w:type="dxa"/>
            <w:tcBorders/>
            <w:shd w:fill="auto" w:val="clear"/>
          </w:tcPr>
          <w:p>
            <w:pPr>
              <w:pStyle w:val="TableContents"/>
              <w:spacing w:before="0" w:after="0"/>
              <w:ind w:left="114"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114"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80"/>
              <w:ind w:left="114"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AutoNation, Inc.</w:t>
            </w:r>
            <w:r>
              <w:rPr>
                <w:rFonts w:ascii="Open Sans" w:hAnsi="Open Sans"/>
                <w:b w:val="false"/>
                <w:i w:val="false"/>
                <w:caps w:val="false"/>
                <w:smallCaps w:val="false"/>
                <w:color w:val="004A7C"/>
                <w:sz w:val="15"/>
              </w:rPr>
              <w:t xml:space="preserve">, 2014 – 2019 </w:t>
            </w:r>
          </w:p>
          <w:p>
            <w:pPr>
              <w:pStyle w:val="TableContents"/>
              <w:spacing w:before="0" w:after="0"/>
              <w:ind w:left="114"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Clear Secure, Inc.</w:t>
            </w:r>
            <w:r>
              <w:rPr>
                <w:rFonts w:ascii="Open Sans" w:hAnsi="Open Sans"/>
                <w:b w:val="false"/>
                <w:i w:val="false"/>
                <w:caps w:val="false"/>
                <w:smallCaps w:val="false"/>
                <w:color w:val="004A7C"/>
                <w:sz w:val="15"/>
              </w:rPr>
              <w:t>, 2021 – Present</w:t>
            </w:r>
          </w:p>
          <w:p>
            <w:pPr>
              <w:pStyle w:val="TableContents"/>
              <w:spacing w:before="0" w:after="80"/>
              <w:ind w:left="114"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(Member of the Audit Committee and the Nominating and Corporate Governance Committee)</w:t>
            </w:r>
          </w:p>
          <w:p>
            <w:pPr>
              <w:pStyle w:val="TableContents"/>
              <w:spacing w:before="0" w:after="0"/>
              <w:ind w:left="114"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114"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Director, </w:t>
            </w:r>
            <w:r>
              <w:rPr>
                <w:rFonts w:ascii="Open Sans" w:hAnsi="Open Sans"/>
                <w:b/>
                <w:i w:val="false"/>
                <w:caps w:val="false"/>
                <w:smallCaps w:val="false"/>
                <w:color w:val="004A7C"/>
                <w:sz w:val="15"/>
              </w:rPr>
              <w:t>Global Down Syndrome Foundation</w:t>
            </w:r>
          </w:p>
          <w:p>
            <w:pPr>
              <w:pStyle w:val="TableContents"/>
              <w:spacing w:before="120" w:after="0"/>
              <w:ind w:left="114"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Director, </w:t>
            </w:r>
            <w:r>
              <w:rPr>
                <w:rFonts w:ascii="Open Sans" w:hAnsi="Open Sans"/>
                <w:b/>
                <w:i w:val="false"/>
                <w:caps w:val="false"/>
                <w:smallCaps w:val="false"/>
                <w:color w:val="004A7C"/>
                <w:sz w:val="15"/>
              </w:rPr>
              <w:t>Four Seasons Hotels and Resorts</w:t>
            </w:r>
          </w:p>
        </w:tc>
      </w:tr>
      <w:tr>
        <w:trPr/>
        <w:tc>
          <w:tcPr>
            <w:tcW w:w="7470" w:type="dxa"/>
            <w:tcBorders>
              <w:bottom w:val="single" w:sz="12" w:space="0" w:color="D80024"/>
            </w:tcBorders>
            <w:shd w:fill="auto" w:val="clear"/>
            <w:tcMar>
              <w:bottom w:w="28" w:type="dxa"/>
            </w:tcMar>
          </w:tcPr>
          <w:p>
            <w:pPr>
              <w:pStyle w:val="TableContents"/>
              <w:spacing w:before="0" w:after="0"/>
              <w:ind w:left="0" w:right="0" w:hanging="0"/>
              <w:rPr/>
            </w:pPr>
            <w:r>
              <w:rPr/>
              <w:t> </w:t>
            </w:r>
          </w:p>
        </w:tc>
        <w:tc>
          <w:tcPr>
            <w:tcW w:w="3069" w:type="dxa"/>
            <w:tcBorders>
              <w:bottom w:val="single" w:sz="12" w:space="0" w:color="D80024"/>
            </w:tcBorders>
            <w:shd w:fill="auto" w:val="clear"/>
            <w:tcMar>
              <w:bottom w:w="28" w:type="dxa"/>
            </w:tcMar>
          </w:tcPr>
          <w:p>
            <w:pPr>
              <w:pStyle w:val="TableContents"/>
              <w:spacing w:before="0" w:after="80"/>
              <w:ind w:left="114" w:right="0" w:hanging="0"/>
              <w:rPr/>
            </w:pPr>
            <w:r>
              <w:rPr/>
              <w:t>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53125" cy="8382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5953125" cy="838200"/>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7533"/>
        <w:gridCol w:w="3006"/>
      </w:tblGrid>
      <w:tr>
        <w:trPr/>
        <w:tc>
          <w:tcPr>
            <w:tcW w:w="7533"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Mike Duffy is a seasoned distribution, supply chain and retail executive with over 25 years of experience, and currently serves as the Chief Executive Officer of LaserShip/OnTrac, the largest regional e-commerce parcel carrier in the U.S.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Duffy has extensive leadership and chief executive experience from his roles at LaserShip/OnTrac, FleetPride, and C&amp;S Wholesale Grocers.</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In his roles as Chief Executive Officer of FleetPride and C&amp;S Wholesale Grocers, Mr. Duffy developed and implemented strategic initiatives to drive the growth of these organizations.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Duffy managed complex supply chains for Cardinal Health and The Procter &amp; Gamble Company through his roles as Global President of Supply Chain and Vice President of Supply Chain, respectively.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Through his chief executive experience at LaserShip/On Trac, FleetPride, and C&amp;S Wholesale Grocers, Mr. Duffy has gained important perspective on human resources, talent, and labor topics.</w:t>
            </w:r>
          </w:p>
        </w:tc>
        <w:tc>
          <w:tcPr>
            <w:tcW w:w="3006"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LaserShip/OnTrac</w:t>
            </w:r>
            <w:r>
              <w:rPr>
                <w:rFonts w:ascii="Open Sans" w:hAnsi="Open Sans"/>
                <w:b w:val="false"/>
                <w:i w:val="false"/>
                <w:caps w:val="false"/>
                <w:smallCaps w:val="false"/>
                <w:color w:val="004A7C"/>
                <w:sz w:val="15"/>
                <w:u w:val="single"/>
              </w:rPr>
              <w:t>, 2023 – Present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FleetPride, Inc.</w:t>
            </w:r>
            <w:r>
              <w:rPr>
                <w:rFonts w:ascii="Open Sans" w:hAnsi="Open Sans"/>
                <w:b w:val="false"/>
                <w:i w:val="false"/>
                <w:caps w:val="false"/>
                <w:smallCaps w:val="false"/>
                <w:color w:val="004A7C"/>
                <w:sz w:val="15"/>
                <w:u w:val="single"/>
              </w:rPr>
              <w:t>, 2021 – Present</w:t>
            </w:r>
          </w:p>
          <w:p>
            <w:pPr>
              <w:pStyle w:val="TableContents"/>
              <w:spacing w:lineRule="auto" w:line="288"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Officer1</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C&amp;S Wholesale Grocers, Inc.</w:t>
            </w:r>
            <w:r>
              <w:rPr>
                <w:rFonts w:ascii="Open Sans" w:hAnsi="Open Sans"/>
                <w:b w:val="false"/>
                <w:i w:val="false"/>
                <w:caps w:val="false"/>
                <w:smallCaps w:val="false"/>
                <w:color w:val="004A7C"/>
                <w:sz w:val="15"/>
                <w:u w:val="single"/>
              </w:rPr>
              <w:t>, 2017 – 2020</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Cardinal Health, Inc.</w:t>
            </w:r>
            <w:r>
              <w:rPr>
                <w:rFonts w:ascii="Open Sans" w:hAnsi="Open Sans"/>
                <w:b w:val="false"/>
                <w:i w:val="false"/>
                <w:caps w:val="false"/>
                <w:smallCaps w:val="false"/>
                <w:color w:val="004A7C"/>
                <w:sz w:val="15"/>
                <w:u w:val="single"/>
              </w:rPr>
              <w:t>, 2006 – 2017</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President, Hospital Solutions and Global Supply Chain President, Medical Products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Various executive positions with increasing responsibility</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The Procter &amp; Gamble Company</w:t>
            </w:r>
            <w:r>
              <w:rPr>
                <w:rFonts w:ascii="Open Sans" w:hAnsi="Open Sans"/>
                <w:b w:val="false"/>
                <w:i w:val="false"/>
                <w:caps w:val="false"/>
                <w:smallCaps w:val="false"/>
                <w:color w:val="004A7C"/>
                <w:sz w:val="15"/>
                <w:u w:val="single"/>
              </w:rPr>
              <w:t>, 2005 – 2006</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Global Supply Chain</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Gillette Company</w:t>
            </w:r>
            <w:r>
              <w:rPr>
                <w:rFonts w:ascii="Open Sans" w:hAnsi="Open Sans"/>
                <w:b w:val="false"/>
                <w:i w:val="false"/>
                <w:caps w:val="false"/>
                <w:smallCaps w:val="false"/>
                <w:color w:val="004A7C"/>
                <w:sz w:val="15"/>
                <w:u w:val="single"/>
              </w:rPr>
              <w:t>, 2001 – 2005 (Acquired by P&amp;G in 2005)</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North America Value Chain</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 xml:space="preserve">New York Consulting Partners, </w:t>
            </w:r>
            <w:r>
              <w:rPr>
                <w:rFonts w:ascii="Open Sans" w:hAnsi="Open Sans"/>
                <w:b w:val="false"/>
                <w:i w:val="false"/>
                <w:caps w:val="false"/>
                <w:smallCaps w:val="false"/>
                <w:color w:val="004A7C"/>
                <w:sz w:val="15"/>
                <w:u w:val="single"/>
              </w:rPr>
              <w:t>1997 –1999, 2000 – 2001</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Partner</w:t>
            </w:r>
          </w:p>
          <w:p>
            <w:pPr>
              <w:pStyle w:val="TableContents"/>
              <w:spacing w:before="6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Member, </w:t>
            </w:r>
            <w:r>
              <w:rPr>
                <w:rFonts w:ascii="Open Sans" w:hAnsi="Open Sans"/>
                <w:b/>
                <w:i w:val="false"/>
                <w:caps w:val="false"/>
                <w:smallCaps w:val="false"/>
                <w:color w:val="004A7C"/>
                <w:sz w:val="15"/>
              </w:rPr>
              <w:t>LaserShip/OnTrac</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Member, </w:t>
            </w:r>
            <w:r>
              <w:rPr>
                <w:rFonts w:ascii="Open Sans" w:hAnsi="Open Sans"/>
                <w:b/>
                <w:i w:val="false"/>
                <w:caps w:val="false"/>
                <w:smallCaps w:val="false"/>
                <w:color w:val="004A7C"/>
                <w:sz w:val="15"/>
              </w:rPr>
              <w:t>FleetPride</w:t>
            </w:r>
          </w:p>
        </w:tc>
      </w:tr>
      <w:tr>
        <w:trPr/>
        <w:tc>
          <w:tcPr>
            <w:tcW w:w="7533" w:type="dxa"/>
            <w:tcBorders>
              <w:bottom w:val="single" w:sz="12" w:space="0" w:color="D80024"/>
            </w:tcBorders>
            <w:shd w:fill="auto" w:val="clear"/>
            <w:tcMar>
              <w:bottom w:w="28" w:type="dxa"/>
            </w:tcMar>
            <w:vAlign w:val="bottom"/>
          </w:tcPr>
          <w:p>
            <w:pPr>
              <w:pStyle w:val="TableContents"/>
              <w:spacing w:before="0" w:after="0"/>
              <w:ind w:left="0" w:right="0" w:hanging="0"/>
              <w:rPr/>
            </w:pPr>
            <w:r>
              <w:rPr/>
              <w:t> </w:t>
            </w:r>
          </w:p>
        </w:tc>
        <w:tc>
          <w:tcPr>
            <w:tcW w:w="3006" w:type="dxa"/>
            <w:tcBorders>
              <w:bottom w:val="single" w:sz="12" w:space="0" w:color="D80024"/>
            </w:tcBorders>
            <w:shd w:fill="auto" w:val="clear"/>
            <w:tcMar>
              <w:bottom w:w="28" w:type="dxa"/>
            </w:tcMar>
            <w:vAlign w:val="bottom"/>
          </w:tcPr>
          <w:p>
            <w:pPr>
              <w:pStyle w:val="TableContents"/>
              <w:spacing w:before="0" w:after="0"/>
              <w:ind w:left="0" w:right="0" w:hanging="0"/>
              <w:rPr/>
            </w:pPr>
            <w:r>
              <w:rPr/>
              <w:t> </w:t>
            </w:r>
          </w:p>
        </w:tc>
      </w:tr>
    </w:tbl>
    <w:tbl>
      <w:tblPr>
        <w:tblW w:w="60" w:type="dxa"/>
        <w:jc w:val="left"/>
        <w:tblInd w:w="0" w:type="dxa"/>
        <w:tblCellMar>
          <w:top w:w="0" w:type="dxa"/>
          <w:left w:w="0" w:type="dxa"/>
          <w:bottom w:w="0" w:type="dxa"/>
          <w:right w:w="0" w:type="dxa"/>
        </w:tblCellMar>
      </w:tblPr>
      <w:tblGrid>
        <w:gridCol w:w="60"/>
      </w:tblGrid>
      <w:tr>
        <w:trPr/>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pPr>
            <w:r>
              <w:rPr/>
              <w:t> </w:t>
            </w:r>
          </w:p>
        </w:tc>
      </w:tr>
    </w:tbl>
    <w:tbl>
      <w:tblPr>
        <w:tblW w:w="4810" w:type="dxa"/>
        <w:jc w:val="left"/>
        <w:tblInd w:w="0" w:type="dxa"/>
        <w:tblCellMar>
          <w:top w:w="0" w:type="dxa"/>
          <w:left w:w="0" w:type="dxa"/>
          <w:bottom w:w="0" w:type="dxa"/>
          <w:right w:w="0" w:type="dxa"/>
        </w:tblCellMar>
      </w:tblPr>
      <w:tblGrid>
        <w:gridCol w:w="155"/>
        <w:gridCol w:w="4655"/>
      </w:tblGrid>
      <w:tr>
        <w:trPr/>
        <w:tc>
          <w:tcPr>
            <w:tcW w:w="155" w:type="dxa"/>
            <w:tcBorders/>
            <w:shd w:fill="auto" w:val="clear"/>
          </w:tcPr>
          <w:p>
            <w:pPr>
              <w:pStyle w:val="TableContents"/>
              <w:spacing w:lineRule="auto" w:line="288" w:before="0" w:after="8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1 </w:t>
            </w:r>
          </w:p>
        </w:tc>
        <w:tc>
          <w:tcPr>
            <w:tcW w:w="4655" w:type="dxa"/>
            <w:tcBorders/>
            <w:shd w:fill="auto" w:val="clear"/>
          </w:tcPr>
          <w:p>
            <w:pPr>
              <w:pStyle w:val="TableContents"/>
              <w:spacing w:before="0" w:after="8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Duffy is transitioning to Chairman of the FleetPride Board.</w:t>
            </w:r>
            <w:r>
              <w:rPr>
                <w:rFonts w:ascii="Open Sans" w:hAnsi="Open Sans"/>
                <w:b w:val="false"/>
                <w:i w:val="false"/>
                <w:caps w:val="false"/>
                <w:smallCaps w:val="false"/>
                <w:color w:val="000000"/>
                <w:sz w:val="15"/>
              </w:rPr>
              <w:t xml:space="preserve"> </w:t>
            </w:r>
          </w:p>
        </w:tc>
      </w:tr>
    </w:tbl>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22</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62650" cy="8382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5962650" cy="838200"/>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6570"/>
        <w:gridCol w:w="3969"/>
      </w:tblGrid>
      <w:tr>
        <w:trPr/>
        <w:tc>
          <w:tcPr>
            <w:tcW w:w="6570" w:type="dxa"/>
            <w:vMerge w:val="restart"/>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Handley is the Chief Operating Officer of Cascade Asset Management Company, the investment office for William H. Gates III, and the Bill &amp; Melinda Gates Foundation Trust.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Handley’s experience as the former President and Chief Operating Officer of Ecolab, a hygiene and infection prevention solutions and services company, benefits the Board and management as they implement strategies for growth while operating in a safe, responsible and cost-effective manner.</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Handley’s understanding of corporate strategic planning, business operations, sales and marketing gained during two decades in senior executive roles at The Procter &amp; Gamble Company helps the Board oversee Republic’s brand and customer experience.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Handley’s expertise in business operations and information technology provides the Board governance skills with respect to field operations and cybersecurity which assists Republic in maintaining a strong digital capability.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Handley’s combined experience in corporate operations and investment management also supports the Board as it considers matters relating to corporate governance, investor relations, compensation, operational safety and sustainability.</w:t>
            </w:r>
          </w:p>
        </w:tc>
        <w:tc>
          <w:tcPr>
            <w:tcW w:w="3969"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William H. Gates III</w:t>
            </w:r>
            <w:r>
              <w:rPr>
                <w:rFonts w:ascii="Open Sans" w:hAnsi="Open Sans"/>
                <w:b w:val="false"/>
                <w:i w:val="false"/>
                <w:caps w:val="false"/>
                <w:smallCaps w:val="false"/>
                <w:color w:val="004A7C"/>
                <w:sz w:val="15"/>
                <w:u w:val="single"/>
              </w:rPr>
              <w:t>, 2019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Operating Officer of Cascade Asset Management Company, the investment office for William H. Gates III, and the Bill &amp; Melinda Gates Foundation Trust</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Ecolab Inc.</w:t>
            </w:r>
            <w:r>
              <w:rPr>
                <w:rFonts w:ascii="Open Sans" w:hAnsi="Open Sans"/>
                <w:b w:val="false"/>
                <w:i w:val="false"/>
                <w:caps w:val="false"/>
                <w:smallCaps w:val="false"/>
                <w:color w:val="004A7C"/>
                <w:sz w:val="15"/>
                <w:u w:val="single"/>
              </w:rPr>
              <w:t>, 2003 – 2019</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Special Advisor to the CEO responsible for the spin-off of Ecolab’s upstream energy business</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President and Chief Operating Officer</w:t>
            </w:r>
          </w:p>
          <w:p>
            <w:pPr>
              <w:pStyle w:val="TableContents"/>
              <w:spacing w:before="0" w:after="0"/>
              <w:ind w:left="0" w:right="0" w:hanging="0"/>
              <w:rPr/>
            </w:pPr>
            <w:r>
              <w:rPr/>
              <w:t>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Various executive positions with increasing responsibility</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The Procter &amp; Gamble Company</w:t>
            </w:r>
            <w:r>
              <w:rPr>
                <w:rFonts w:ascii="Open Sans" w:hAnsi="Open Sans"/>
                <w:b w:val="false"/>
                <w:i w:val="false"/>
                <w:caps w:val="false"/>
                <w:smallCaps w:val="false"/>
                <w:color w:val="004A7C"/>
                <w:sz w:val="15"/>
                <w:u w:val="single"/>
              </w:rPr>
              <w:t>, 1981 – 2003</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Global Planning, Marketing and Always Global Franchise</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Various positions in general and brand management both in the United States and internationally</w:t>
            </w:r>
          </w:p>
        </w:tc>
      </w:tr>
      <w:tr>
        <w:trPr/>
        <w:tc>
          <w:tcPr>
            <w:tcW w:w="6570" w:type="dxa"/>
            <w:vMerge w:val="continue"/>
            <w:tcBorders/>
            <w:shd w:fill="auto" w:val="clear"/>
          </w:tcPr>
          <w:p>
            <w:pPr>
              <w:pStyle w:val="Normal"/>
              <w:rPr/>
            </w:pPr>
            <w:r>
              <w:rPr/>
            </w:r>
          </w:p>
        </w:tc>
        <w:tc>
          <w:tcPr>
            <w:tcW w:w="3969" w:type="dxa"/>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HB Fuller Company</w:t>
            </w:r>
            <w:r>
              <w:rPr>
                <w:rFonts w:ascii="Open Sans" w:hAnsi="Open Sans"/>
                <w:b w:val="false"/>
                <w:i w:val="false"/>
                <w:caps w:val="false"/>
                <w:smallCaps w:val="false"/>
                <w:color w:val="004A7C"/>
                <w:sz w:val="15"/>
              </w:rPr>
              <w:t>, 2010 – Present</w:t>
            </w:r>
          </w:p>
          <w:p>
            <w:pPr>
              <w:pStyle w:val="TableContents"/>
              <w:spacing w:before="0" w:after="8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(Member of the Corporate Governance and Nominating Committee and Chair of the Audit Committee)</w:t>
            </w:r>
          </w:p>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Former Director and Member</w:t>
            </w:r>
            <w:r>
              <w:rPr>
                <w:rFonts w:ascii="Open Sans" w:hAnsi="Open Sans"/>
                <w:b/>
                <w:i w:val="false"/>
                <w:caps w:val="false"/>
                <w:smallCaps w:val="false"/>
                <w:color w:val="004A7C"/>
                <w:sz w:val="15"/>
              </w:rPr>
              <w:t xml:space="preserve">, National Association of Manufacturers Executive Board </w:t>
            </w:r>
            <w:r>
              <w:rPr>
                <w:rFonts w:ascii="Open Sans" w:hAnsi="Open Sans"/>
                <w:b w:val="false"/>
                <w:i w:val="false"/>
                <w:caps w:val="false"/>
                <w:smallCaps w:val="false"/>
                <w:color w:val="004A7C"/>
                <w:sz w:val="15"/>
              </w:rPr>
              <w:t>(organization’s governing board)</w:t>
            </w:r>
          </w:p>
        </w:tc>
      </w:tr>
      <w:tr>
        <w:trPr/>
        <w:tc>
          <w:tcPr>
            <w:tcW w:w="6570" w:type="dxa"/>
            <w:tcBorders>
              <w:bottom w:val="single" w:sz="12" w:space="0" w:color="D80024"/>
            </w:tcBorders>
            <w:shd w:fill="auto" w:val="clear"/>
            <w:tcMar>
              <w:bottom w:w="28" w:type="dxa"/>
            </w:tcMar>
          </w:tcPr>
          <w:p>
            <w:pPr>
              <w:pStyle w:val="TableContents"/>
              <w:spacing w:before="0" w:after="0"/>
              <w:ind w:left="0" w:right="0" w:hanging="0"/>
              <w:rPr/>
            </w:pPr>
            <w:r>
              <w:rPr/>
              <w:t> </w:t>
            </w:r>
          </w:p>
        </w:tc>
        <w:tc>
          <w:tcPr>
            <w:tcW w:w="3969" w:type="dxa"/>
            <w:tcBorders>
              <w:bottom w:val="single" w:sz="12" w:space="0" w:color="D80024"/>
            </w:tcBorders>
            <w:shd w:fill="auto" w:val="clear"/>
            <w:tcMar>
              <w:bottom w:w="28" w:type="dxa"/>
            </w:tcMar>
          </w:tcPr>
          <w:p>
            <w:pPr>
              <w:pStyle w:val="TableContents"/>
              <w:spacing w:before="0" w:after="0"/>
              <w:ind w:left="0" w:right="0" w:hanging="0"/>
              <w:rPr/>
            </w:pPr>
            <w:r>
              <w:rPr/>
              <w:t>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43600" cy="8382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5943600" cy="838200"/>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5975"/>
        <w:gridCol w:w="4564"/>
      </w:tblGrid>
      <w:tr>
        <w:trPr/>
        <w:tc>
          <w:tcPr>
            <w:tcW w:w="5975"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Ms. Kirk currently serves as Senior Vice President, Global Controller and Chief Accounting Officer at Medtronic PLC, a medical device company.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With more than 25 years in finance and accounting roles, including her current role at Medtronic, Ms. Kirk has deep experience in financial accounting.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During her over 20 years at Occidental Petroleum, Ms. Kirk held various positions, including Senior Vice President of Integration and Value Capture, where she led initiatives focused on technological innovation and cybersecurity. </w:t>
            </w:r>
          </w:p>
          <w:p>
            <w:pPr>
              <w:pStyle w:val="TableContents"/>
              <w:spacing w:before="0" w:after="80"/>
              <w:ind w:left="0" w:right="0" w:hanging="0"/>
              <w:rPr/>
            </w:pPr>
            <w:r>
              <w:rPr/>
              <w:t> </w:t>
            </w:r>
          </w:p>
        </w:tc>
        <w:tc>
          <w:tcPr>
            <w:tcW w:w="4564"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Medtronic PLC</w:t>
            </w:r>
            <w:r>
              <w:rPr>
                <w:rFonts w:ascii="Open Sans" w:hAnsi="Open Sans"/>
                <w:b w:val="false"/>
                <w:i w:val="false"/>
                <w:caps w:val="false"/>
                <w:smallCaps w:val="false"/>
                <w:color w:val="004A7C"/>
                <w:sz w:val="15"/>
                <w:u w:val="single"/>
              </w:rPr>
              <w:t>, 2021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Senior Vice President, Global Controller and Chief Accounting Officer</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Occidental Petroleum Corporation</w:t>
            </w:r>
            <w:r>
              <w:rPr>
                <w:rFonts w:ascii="Open Sans" w:hAnsi="Open Sans"/>
                <w:b w:val="false"/>
                <w:i w:val="false"/>
                <w:caps w:val="false"/>
                <w:smallCaps w:val="false"/>
                <w:color w:val="004A7C"/>
                <w:sz w:val="15"/>
                <w:u w:val="single"/>
              </w:rPr>
              <w:t>, 1999 – 2020</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Senior Vice President, Integration and Value Capture</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Controller and Chief Accounting Officer</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Various operational and HQ positions with increasing responsibility</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Arthur Andersen LLP</w:t>
            </w:r>
            <w:r>
              <w:rPr>
                <w:rFonts w:ascii="Open Sans" w:hAnsi="Open Sans"/>
                <w:b w:val="false"/>
                <w:i w:val="false"/>
                <w:caps w:val="false"/>
                <w:smallCaps w:val="false"/>
                <w:color w:val="004A7C"/>
                <w:sz w:val="15"/>
                <w:u w:val="single"/>
              </w:rPr>
              <w:t>, 1996 – 1999</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Responsibilities encompassed all areas of financial statement audits including planning, supervision and financial statement reporting at both a staff and senior level</w:t>
            </w:r>
          </w:p>
        </w:tc>
      </w:tr>
    </w:tbl>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23</w:t>
            </w:r>
          </w:p>
        </w:tc>
      </w:tr>
    </w:tbl>
    <w:p>
      <w:pPr>
        <w:pStyle w:val="TextBody"/>
        <w:spacing w:before="0" w:after="0"/>
        <w:ind w:left="0" w:right="0" w:hanging="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p>
      <w:pPr>
        <w:pStyle w:val="TextBody"/>
        <w:spacing w:before="0" w:after="0"/>
        <w:ind w:left="0" w:right="0" w:hanging="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ind w:left="0" w:right="0" w:hanging="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6613"/>
        <w:gridCol w:w="3926"/>
      </w:tblGrid>
      <w:tr>
        <w:trPr/>
        <w:tc>
          <w:tcPr>
            <w:tcW w:w="6613" w:type="dxa"/>
            <w:tcBorders/>
            <w:shd w:fill="auto" w:val="clear"/>
          </w:tcPr>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Ms. Kirk has experience leading companies’ financial departments, particularly their financial support and financial business processes, providing useful perspectives on financial positioning and capital allocation.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Through Ms. Kirk’s role at Medtronic and her time at Occidental Petroleum, she has extensive experience in overseeing compliance for organizations that operate in highly regulated industries.</w:t>
            </w:r>
          </w:p>
        </w:tc>
        <w:tc>
          <w:tcPr>
            <w:tcW w:w="3926" w:type="dxa"/>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6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Western Midstream Partners, LP</w:t>
            </w:r>
            <w:r>
              <w:rPr>
                <w:rFonts w:ascii="Open Sans" w:hAnsi="Open Sans"/>
                <w:b w:val="false"/>
                <w:i w:val="false"/>
                <w:caps w:val="false"/>
                <w:smallCaps w:val="false"/>
                <w:color w:val="004A7C"/>
                <w:sz w:val="15"/>
              </w:rPr>
              <w:t>, 2019 – 2020</w:t>
            </w:r>
          </w:p>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Member, </w:t>
            </w:r>
            <w:r>
              <w:rPr>
                <w:rFonts w:ascii="Open Sans" w:hAnsi="Open Sans"/>
                <w:b/>
                <w:i w:val="false"/>
                <w:caps w:val="false"/>
                <w:smallCaps w:val="false"/>
                <w:color w:val="004A7C"/>
                <w:sz w:val="15"/>
              </w:rPr>
              <w:t>Chief Accounting Officer Network and the American Institute of Certified Public Accountants</w:t>
            </w:r>
          </w:p>
          <w:p>
            <w:pPr>
              <w:pStyle w:val="TableContents"/>
              <w:spacing w:before="12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Member, </w:t>
            </w:r>
            <w:r>
              <w:rPr>
                <w:rFonts w:ascii="Open Sans" w:hAnsi="Open Sans"/>
                <w:b/>
                <w:i w:val="false"/>
                <w:caps w:val="false"/>
                <w:smallCaps w:val="false"/>
                <w:color w:val="004A7C"/>
                <w:sz w:val="15"/>
              </w:rPr>
              <w:t>Healing with Horseplay</w:t>
            </w:r>
          </w:p>
        </w:tc>
      </w:tr>
      <w:tr>
        <w:trPr/>
        <w:tc>
          <w:tcPr>
            <w:tcW w:w="6613" w:type="dxa"/>
            <w:tcBorders>
              <w:bottom w:val="single" w:sz="12" w:space="0" w:color="D80024"/>
            </w:tcBorders>
            <w:shd w:fill="auto" w:val="clear"/>
            <w:tcMar>
              <w:bottom w:w="28" w:type="dxa"/>
            </w:tcMar>
          </w:tcPr>
          <w:p>
            <w:pPr>
              <w:pStyle w:val="TableContents"/>
              <w:spacing w:before="0" w:after="0"/>
              <w:ind w:left="0" w:right="0" w:hanging="0"/>
              <w:rPr/>
            </w:pPr>
            <w:r>
              <w:rPr/>
              <w:t> </w:t>
            </w:r>
          </w:p>
        </w:tc>
        <w:tc>
          <w:tcPr>
            <w:tcW w:w="3926" w:type="dxa"/>
            <w:tcBorders>
              <w:bottom w:val="single" w:sz="12" w:space="0" w:color="D80024"/>
            </w:tcBorders>
            <w:shd w:fill="auto" w:val="clear"/>
            <w:tcMar>
              <w:bottom w:w="28" w:type="dxa"/>
            </w:tcMar>
          </w:tcPr>
          <w:p>
            <w:pPr>
              <w:pStyle w:val="TableContents"/>
              <w:spacing w:before="0" w:after="0"/>
              <w:ind w:left="0" w:right="0" w:hanging="0"/>
              <w:rPr/>
            </w:pPr>
            <w:r>
              <w:rPr/>
              <w:t>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53125" cy="8382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5953125" cy="838200"/>
                    </a:xfrm>
                    <a:prstGeom prst="rect">
                      <a:avLst/>
                    </a:prstGeom>
                  </pic:spPr>
                </pic:pic>
              </a:graphicData>
            </a:graphic>
          </wp:inline>
        </w:drawing>
      </w:r>
    </w:p>
    <w:tbl>
      <w:tblPr>
        <w:tblW w:w="10539" w:type="dxa"/>
        <w:jc w:val="left"/>
        <w:tblInd w:w="0" w:type="dxa"/>
        <w:tblCellMar>
          <w:top w:w="0" w:type="dxa"/>
          <w:left w:w="0" w:type="dxa"/>
          <w:bottom w:w="28" w:type="dxa"/>
          <w:right w:w="0" w:type="dxa"/>
        </w:tblCellMar>
      </w:tblPr>
      <w:tblGrid>
        <w:gridCol w:w="5127"/>
        <w:gridCol w:w="5412"/>
      </w:tblGrid>
      <w:tr>
        <w:trPr/>
        <w:tc>
          <w:tcPr>
            <w:tcW w:w="5127" w:type="dxa"/>
            <w:vMerge w:val="restart"/>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Larson is the Chief Investment Officer of both Cascade Asset Management Company, the investment office for William H. Gates III, and the Bill &amp; Melinda Gates Foundation Trust.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Over the course of his successful 40-year career as an investor, Mr. Larson has developed a deep understanding of global capital markets, business cycles and capital allocation. These experiences prove invaluable as the Board and management seek to drive growth and build scale.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Larson’s commitment to sound corporate governance enhances the Board’s ability to align the interests of Republic’s management, investors, shareholders and stakeholders.</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Larson’s insight into sustainability issues also offers the Board unique perspective concerning matters vital to Republic’s business model including talent management, employee safety and climate leadership.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Larson brings to the Board a special appreciation of the interests of long-term shareholders, including the perspective of Republic’s largest shareholder, Cascade Investment, L.L.C.</w:t>
            </w:r>
          </w:p>
        </w:tc>
        <w:tc>
          <w:tcPr>
            <w:tcW w:w="5412"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William H. Gates III</w:t>
            </w:r>
            <w:r>
              <w:rPr>
                <w:rFonts w:ascii="Open Sans" w:hAnsi="Open Sans"/>
                <w:b w:val="false"/>
                <w:i w:val="false"/>
                <w:caps w:val="false"/>
                <w:smallCaps w:val="false"/>
                <w:color w:val="004A7C"/>
                <w:sz w:val="15"/>
                <w:u w:val="single"/>
              </w:rPr>
              <w:t>, 1994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Investment Officer for William H. Gates III and the Bill &amp; Melinda Gates Foundation Trust</w:t>
            </w:r>
          </w:p>
        </w:tc>
      </w:tr>
      <w:tr>
        <w:trPr/>
        <w:tc>
          <w:tcPr>
            <w:tcW w:w="5127" w:type="dxa"/>
            <w:vMerge w:val="continue"/>
            <w:tcBorders>
              <w:bottom w:val="single" w:sz="12" w:space="0" w:color="D80024"/>
            </w:tcBorders>
            <w:shd w:fill="auto" w:val="clear"/>
          </w:tcPr>
          <w:p>
            <w:pPr>
              <w:pStyle w:val="Normal"/>
              <w:rPr/>
            </w:pPr>
            <w:r>
              <w:rPr/>
            </w:r>
          </w:p>
        </w:tc>
        <w:tc>
          <w:tcPr>
            <w:tcW w:w="5412"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8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Ecolab Inc.</w:t>
            </w:r>
            <w:r>
              <w:rPr>
                <w:rFonts w:ascii="Open Sans" w:hAnsi="Open Sans"/>
                <w:b w:val="false"/>
                <w:i w:val="false"/>
                <w:caps w:val="false"/>
                <w:smallCaps w:val="false"/>
                <w:color w:val="004A7C"/>
                <w:sz w:val="15"/>
              </w:rPr>
              <w:t xml:space="preserve">, 2012 – Present (Chair of the Finance Committee and Member of the Safety, Health and Environment Committee) </w:t>
            </w:r>
          </w:p>
          <w:p>
            <w:pPr>
              <w:pStyle w:val="TableContents"/>
              <w:spacing w:before="0" w:after="8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Fomento Económico Mexicano, S.A.B.de C.V.</w:t>
            </w:r>
            <w:r>
              <w:rPr>
                <w:rFonts w:ascii="Open Sans" w:hAnsi="Open Sans"/>
                <w:b w:val="false"/>
                <w:i w:val="false"/>
                <w:caps w:val="false"/>
                <w:smallCaps w:val="false"/>
                <w:color w:val="004A7C"/>
                <w:sz w:val="15"/>
              </w:rPr>
              <w:t>, 2011 – Present</w:t>
            </w:r>
          </w:p>
          <w:p>
            <w:pPr>
              <w:pStyle w:val="TableContents"/>
              <w:spacing w:before="0" w:after="8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 xml:space="preserve">AutoNation, Inc., </w:t>
            </w:r>
            <w:r>
              <w:rPr>
                <w:rFonts w:ascii="Open Sans" w:hAnsi="Open Sans"/>
                <w:b w:val="false"/>
                <w:i w:val="false"/>
                <w:caps w:val="false"/>
                <w:smallCaps w:val="false"/>
                <w:color w:val="004A7C"/>
                <w:sz w:val="15"/>
              </w:rPr>
              <w:t>2010 – 2018</w:t>
            </w:r>
          </w:p>
        </w:tc>
      </w:tr>
      <w:tr>
        <w:trPr/>
        <w:tc>
          <w:tcPr>
            <w:tcW w:w="5127" w:type="dxa"/>
            <w:vMerge w:val="continue"/>
            <w:tcBorders>
              <w:bottom w:val="single" w:sz="12" w:space="0" w:color="D80024"/>
            </w:tcBorders>
            <w:shd w:fill="auto" w:val="clear"/>
          </w:tcPr>
          <w:p>
            <w:pPr>
              <w:pStyle w:val="Normal"/>
              <w:rPr/>
            </w:pPr>
            <w:r>
              <w:rPr/>
            </w:r>
          </w:p>
        </w:tc>
        <w:tc>
          <w:tcPr>
            <w:tcW w:w="5412" w:type="dxa"/>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Member of the </w:t>
            </w:r>
            <w:r>
              <w:rPr>
                <w:rFonts w:ascii="Open Sans" w:hAnsi="Open Sans"/>
                <w:b/>
                <w:i w:val="false"/>
                <w:caps w:val="false"/>
                <w:smallCaps w:val="false"/>
                <w:color w:val="004A7C"/>
                <w:sz w:val="15"/>
              </w:rPr>
              <w:t>Western</w:t>
            </w:r>
            <w:r>
              <w:rPr>
                <w:rFonts w:ascii="Open Sans" w:hAnsi="Open Sans"/>
                <w:b w:val="false"/>
                <w:i w:val="false"/>
                <w:caps w:val="false"/>
                <w:smallCaps w:val="false"/>
                <w:color w:val="004A7C"/>
                <w:sz w:val="15"/>
              </w:rPr>
              <w:t xml:space="preserve"> </w:t>
            </w:r>
            <w:r>
              <w:rPr>
                <w:rFonts w:ascii="Open Sans" w:hAnsi="Open Sans"/>
                <w:b/>
                <w:i w:val="false"/>
                <w:caps w:val="false"/>
                <w:smallCaps w:val="false"/>
                <w:color w:val="004A7C"/>
                <w:sz w:val="15"/>
              </w:rPr>
              <w:t>Asset</w:t>
            </w:r>
            <w:r>
              <w:rPr>
                <w:rFonts w:ascii="Open Sans" w:hAnsi="Open Sans"/>
                <w:b w:val="false"/>
                <w:i w:val="false"/>
                <w:caps w:val="false"/>
                <w:smallCaps w:val="false"/>
                <w:color w:val="004A7C"/>
                <w:sz w:val="15"/>
              </w:rPr>
              <w:t xml:space="preserve"> </w:t>
            </w:r>
            <w:r>
              <w:rPr>
                <w:rFonts w:ascii="Open Sans" w:hAnsi="Open Sans"/>
                <w:b/>
                <w:i w:val="false"/>
                <w:caps w:val="false"/>
                <w:smallCaps w:val="false"/>
                <w:color w:val="004A7C"/>
                <w:sz w:val="15"/>
              </w:rPr>
              <w:t>Funds</w:t>
            </w:r>
            <w:r>
              <w:rPr>
                <w:rFonts w:ascii="Open Sans" w:hAnsi="Open Sans"/>
                <w:b w:val="false"/>
                <w:i w:val="false"/>
                <w:caps w:val="false"/>
                <w:smallCaps w:val="false"/>
                <w:color w:val="004A7C"/>
                <w:sz w:val="15"/>
              </w:rPr>
              <w:t xml:space="preserve"> </w:t>
            </w:r>
            <w:r>
              <w:rPr>
                <w:rFonts w:ascii="Open Sans" w:hAnsi="Open Sans"/>
                <w:b/>
                <w:i w:val="false"/>
                <w:caps w:val="false"/>
                <w:smallCaps w:val="false"/>
                <w:color w:val="004A7C"/>
                <w:sz w:val="15"/>
              </w:rPr>
              <w:t>Board</w:t>
            </w:r>
            <w:r>
              <w:rPr>
                <w:rFonts w:ascii="Open Sans" w:hAnsi="Open Sans"/>
                <w:b w:val="false"/>
                <w:i w:val="false"/>
                <w:caps w:val="false"/>
                <w:smallCaps w:val="false"/>
                <w:color w:val="004A7C"/>
                <w:sz w:val="15"/>
              </w:rPr>
              <w:t xml:space="preserve"> </w:t>
            </w:r>
            <w:r>
              <w:rPr>
                <w:rFonts w:ascii="Open Sans" w:hAnsi="Open Sans"/>
                <w:b/>
                <w:i w:val="false"/>
                <w:caps w:val="false"/>
                <w:smallCaps w:val="false"/>
                <w:color w:val="004A7C"/>
                <w:sz w:val="15"/>
              </w:rPr>
              <w:t>of</w:t>
            </w:r>
            <w:r>
              <w:rPr>
                <w:rFonts w:ascii="Open Sans" w:hAnsi="Open Sans"/>
                <w:b w:val="false"/>
                <w:i w:val="false"/>
                <w:caps w:val="false"/>
                <w:smallCaps w:val="false"/>
                <w:color w:val="004A7C"/>
                <w:sz w:val="15"/>
              </w:rPr>
              <w:t xml:space="preserve"> </w:t>
            </w:r>
            <w:r>
              <w:rPr>
                <w:rFonts w:ascii="Open Sans" w:hAnsi="Open Sans"/>
                <w:b/>
                <w:i w:val="false"/>
                <w:caps w:val="false"/>
                <w:smallCaps w:val="false"/>
                <w:color w:val="004A7C"/>
                <w:sz w:val="15"/>
              </w:rPr>
              <w:t>Directors</w:t>
            </w:r>
            <w:r>
              <w:rPr>
                <w:rFonts w:ascii="Open Sans" w:hAnsi="Open Sans"/>
                <w:b w:val="false"/>
                <w:i w:val="false"/>
                <w:caps w:val="false"/>
                <w:smallCaps w:val="false"/>
                <w:color w:val="004A7C"/>
                <w:sz w:val="15"/>
              </w:rPr>
              <w:t>, Member of the Audit, Governance and Nominating, Executive and Contracts, and Investment and Performance Committees. Formerly served on the Board of Directors of Grupo Televisa, S.A.B., Hamilton Lane and Pan American Silver Corp.</w:t>
            </w:r>
          </w:p>
          <w:p>
            <w:pPr>
              <w:pStyle w:val="TableContents"/>
              <w:spacing w:before="12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Additional Experience</w:t>
            </w:r>
            <w:r>
              <w:rPr>
                <w:rFonts w:ascii="Open Sans" w:hAnsi="Open Sans"/>
                <w:b w:val="false"/>
                <w:i w:val="false"/>
                <w:caps w:val="false"/>
                <w:smallCaps w:val="false"/>
                <w:color w:val="004A7C"/>
                <w:sz w:val="15"/>
                <w:u w:val="single"/>
              </w:rPr>
              <w:t>, Prior to 1994</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Harris Investment Management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Putnam Management Company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ARCO  </w:t>
            </w:r>
          </w:p>
        </w:tc>
      </w:tr>
    </w:tbl>
    <w:p>
      <w:pPr>
        <w:pStyle w:val="TextBody"/>
        <w:spacing w:before="0" w:after="0"/>
        <w:jc w:val="both"/>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24</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62650" cy="8382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5962650" cy="838200"/>
                    </a:xfrm>
                    <a:prstGeom prst="rect">
                      <a:avLst/>
                    </a:prstGeom>
                  </pic:spPr>
                </pic:pic>
              </a:graphicData>
            </a:graphic>
          </wp:inline>
        </w:drawing>
      </w:r>
    </w:p>
    <w:tbl>
      <w:tblPr>
        <w:tblW w:w="10539" w:type="dxa"/>
        <w:jc w:val="left"/>
        <w:tblInd w:w="0" w:type="dxa"/>
        <w:tblCellMar>
          <w:top w:w="0" w:type="dxa"/>
          <w:left w:w="0" w:type="dxa"/>
          <w:bottom w:w="28" w:type="dxa"/>
          <w:right w:w="0" w:type="dxa"/>
        </w:tblCellMar>
      </w:tblPr>
      <w:tblGrid>
        <w:gridCol w:w="7522"/>
        <w:gridCol w:w="3017"/>
      </w:tblGrid>
      <w:tr>
        <w:trPr/>
        <w:tc>
          <w:tcPr>
            <w:tcW w:w="7522" w:type="dxa"/>
            <w:vMerge w:val="restart"/>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Snee is the Chairman, President and Chief Executive Officer of Hormel Foods Corp, a global manufacturer and marketer of consumer-branded food.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Snee has extensive executive experience through his multiple leadership roles at Hormel Foods Corp, a publicly traded Fortune 500 company.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While overseeing the expanding global portfolio for Hormel Foods, Mr. Snee gained a depth of marketing experience helping customer-facing brands develop customer loyalty and brand awareness.</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Snee has held multiple senior operational roles at Hormel Foods, a company that derives revenue from over 80 countries. In these roles, he has gained experience with logistics and operating large-scale organizations efficiently.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While leading Hormel Foods, Mr. Snee has developed a keen awareness of numerous sustainability factors, especially talent attraction and retention. </w:t>
            </w:r>
          </w:p>
          <w:p>
            <w:pPr>
              <w:pStyle w:val="TableContents"/>
              <w:spacing w:before="0" w:after="12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At Hormel Foods, Mr. Snee led the modernization of its technology and e-commerce capabilities.</w:t>
            </w:r>
          </w:p>
        </w:tc>
        <w:tc>
          <w:tcPr>
            <w:tcW w:w="3017"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Hormel Foods Corporation</w:t>
            </w:r>
            <w:r>
              <w:rPr>
                <w:rFonts w:ascii="Open Sans" w:hAnsi="Open Sans"/>
                <w:b w:val="false"/>
                <w:i w:val="false"/>
                <w:caps w:val="false"/>
                <w:smallCaps w:val="false"/>
                <w:color w:val="004A7C"/>
                <w:sz w:val="15"/>
                <w:u w:val="single"/>
              </w:rPr>
              <w:t>, 1989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Chairman, President and Chief Executive Officer</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President and Chief Operating Officer</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Group Vice President and President, Hormel Foods International Corporation</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and Senior Vice President, Hormel Foods International Corporation</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Affiliated Business Units</w:t>
            </w:r>
          </w:p>
        </w:tc>
      </w:tr>
      <w:tr>
        <w:trPr/>
        <w:tc>
          <w:tcPr>
            <w:tcW w:w="7522" w:type="dxa"/>
            <w:vMerge w:val="continue"/>
            <w:tcBorders>
              <w:bottom w:val="single" w:sz="12" w:space="0" w:color="D80024"/>
            </w:tcBorders>
            <w:shd w:fill="auto" w:val="clear"/>
          </w:tcPr>
          <w:p>
            <w:pPr>
              <w:pStyle w:val="Normal"/>
              <w:rPr/>
            </w:pPr>
            <w:r>
              <w:rPr/>
            </w:r>
          </w:p>
        </w:tc>
        <w:tc>
          <w:tcPr>
            <w:tcW w:w="3017"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Hormel Foods Corporation</w:t>
            </w:r>
            <w:r>
              <w:rPr>
                <w:rFonts w:ascii="Open Sans" w:hAnsi="Open Sans"/>
                <w:b w:val="false"/>
                <w:i w:val="false"/>
                <w:caps w:val="false"/>
                <w:smallCaps w:val="false"/>
                <w:color w:val="004A7C"/>
                <w:sz w:val="15"/>
              </w:rPr>
              <w:t>, 2015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(Chairman of the Board)</w:t>
            </w:r>
          </w:p>
        </w:tc>
      </w:tr>
      <w:tr>
        <w:trPr/>
        <w:tc>
          <w:tcPr>
            <w:tcW w:w="7522" w:type="dxa"/>
            <w:vMerge w:val="continue"/>
            <w:tcBorders>
              <w:bottom w:val="single" w:sz="12" w:space="0" w:color="D80024"/>
            </w:tcBorders>
            <w:shd w:fill="auto" w:val="clear"/>
          </w:tcPr>
          <w:p>
            <w:pPr>
              <w:pStyle w:val="Normal"/>
              <w:rPr/>
            </w:pPr>
            <w:r>
              <w:rPr/>
            </w:r>
          </w:p>
        </w:tc>
        <w:tc>
          <w:tcPr>
            <w:tcW w:w="3017" w:type="dxa"/>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Board and Executive Committee Member</w:t>
            </w:r>
            <w:r>
              <w:rPr>
                <w:rFonts w:ascii="Open Sans" w:hAnsi="Open Sans"/>
                <w:b/>
                <w:i w:val="false"/>
                <w:caps w:val="false"/>
                <w:smallCaps w:val="false"/>
                <w:color w:val="004A7C"/>
                <w:sz w:val="15"/>
              </w:rPr>
              <w:t>, Consumer Brands Association</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Executive Board Member, </w:t>
            </w:r>
            <w:r>
              <w:rPr>
                <w:rFonts w:ascii="Open Sans" w:hAnsi="Open Sans"/>
                <w:b/>
                <w:i w:val="false"/>
                <w:caps w:val="false"/>
                <w:smallCaps w:val="false"/>
                <w:color w:val="004A7C"/>
                <w:sz w:val="15"/>
              </w:rPr>
              <w:t>North American Meat Institute</w:t>
            </w:r>
          </w:p>
          <w:p>
            <w:pPr>
              <w:pStyle w:val="TableContents"/>
              <w:spacing w:before="0" w:after="12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Member, </w:t>
            </w:r>
            <w:r>
              <w:rPr>
                <w:rFonts w:ascii="Open Sans" w:hAnsi="Open Sans"/>
                <w:b/>
                <w:i w:val="false"/>
                <w:caps w:val="false"/>
                <w:smallCaps w:val="false"/>
                <w:color w:val="004A7C"/>
                <w:sz w:val="15"/>
              </w:rPr>
              <w:t>The Hormel Foundation</w:t>
            </w:r>
            <w:r>
              <w:rPr>
                <w:rFonts w:ascii="Open Sans" w:hAnsi="Open Sans"/>
                <w:b w:val="false"/>
                <w:i w:val="false"/>
                <w:caps w:val="false"/>
                <w:smallCaps w:val="false"/>
                <w:color w:val="004A7C"/>
                <w:sz w:val="15"/>
              </w:rPr>
              <w:t xml:space="preserve">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53125" cy="8382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5953125" cy="838200"/>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7954"/>
        <w:gridCol w:w="2585"/>
      </w:tblGrid>
      <w:tr>
        <w:trPr/>
        <w:tc>
          <w:tcPr>
            <w:tcW w:w="7954"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Mr. Tyler is the Chief Executive Officer of McKesson Corporation, a publicly traded $230 billion healthcare distribution and services firm.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Through his experiences at McKesson, Mr. Tyler has gained leadership experience, helping design, analyze, and execute on the company’s strategy. </w:t>
            </w:r>
          </w:p>
          <w:p>
            <w:pPr>
              <w:pStyle w:val="TableContents"/>
              <w:spacing w:before="0" w:after="80"/>
              <w:ind w:left="0" w:right="0" w:hanging="0"/>
              <w:rPr/>
            </w:pPr>
            <w:r>
              <w:rPr/>
              <w:t>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With more than twenty-five years at McKesson, Mr. Tyler has developed valuable operations and logistics experience. This helps him oversee Republic’s ability to provide integrated environmental services to customers in an efficient and safe manner.</w:t>
            </w:r>
          </w:p>
          <w:p>
            <w:pPr>
              <w:pStyle w:val="TableContents"/>
              <w:spacing w:before="0" w:after="80"/>
              <w:ind w:left="0" w:right="0" w:hanging="0"/>
              <w:rPr/>
            </w:pPr>
            <w:r>
              <w:rPr/>
              <w:t> </w:t>
            </w:r>
          </w:p>
          <w:p>
            <w:pPr>
              <w:pStyle w:val="TableContents"/>
              <w:spacing w:before="0" w:after="12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At McKesson, Mr. Tyler has assessed numerous potential transactions, including financing and funding options, and led the integration of acquired assets. </w:t>
            </w:r>
          </w:p>
          <w:p>
            <w:pPr>
              <w:pStyle w:val="TableContents"/>
              <w:spacing w:before="0" w:after="120"/>
              <w:ind w:left="0" w:right="0" w:hanging="0"/>
              <w:rPr/>
            </w:pPr>
            <w:r>
              <w:rPr/>
              <w:t> </w:t>
            </w:r>
          </w:p>
        </w:tc>
        <w:tc>
          <w:tcPr>
            <w:tcW w:w="2585"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McKesson Corporation</w:t>
            </w:r>
            <w:r>
              <w:rPr>
                <w:rFonts w:ascii="Open Sans" w:hAnsi="Open Sans"/>
                <w:b w:val="false"/>
                <w:i w:val="false"/>
                <w:caps w:val="false"/>
                <w:smallCaps w:val="false"/>
                <w:color w:val="004A7C"/>
                <w:sz w:val="15"/>
                <w:u w:val="single"/>
              </w:rPr>
              <w:t>, 1997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 and President, McKesson Corporation</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Chairman, McKesson Europe AG</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President and Chief Operating Officer, McKesson Europe AG</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President, North America Pharmaceutical Distribution &amp; Services</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Various executive positions with increasing responsibility</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McKesson Corporation</w:t>
            </w:r>
            <w:r>
              <w:rPr>
                <w:rFonts w:ascii="Open Sans" w:hAnsi="Open Sans"/>
                <w:b w:val="false"/>
                <w:i w:val="false"/>
                <w:caps w:val="false"/>
                <w:smallCaps w:val="false"/>
                <w:color w:val="004A7C"/>
                <w:sz w:val="15"/>
              </w:rPr>
              <w:t>, 2019 – Present</w:t>
            </w:r>
          </w:p>
          <w:p>
            <w:pPr>
              <w:pStyle w:val="TableContents"/>
              <w:spacing w:before="0" w:after="0"/>
              <w:ind w:left="0" w:right="0" w:hanging="0"/>
              <w:rPr/>
            </w:pPr>
            <w:r>
              <w:rPr/>
              <w:t> </w:t>
            </w:r>
          </w:p>
        </w:tc>
      </w:tr>
    </w:tbl>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25</w:t>
            </w:r>
          </w:p>
        </w:tc>
      </w:tr>
    </w:tbl>
    <w:p>
      <w:pPr>
        <w:pStyle w:val="TextBody"/>
        <w:spacing w:before="0" w:after="0"/>
        <w:ind w:left="0" w:right="0" w:hanging="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p>
      <w:pPr>
        <w:pStyle w:val="TextBody"/>
        <w:spacing w:before="0" w:after="0"/>
        <w:ind w:left="0" w:right="0" w:hanging="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ind w:left="0" w:right="0" w:hanging="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7168"/>
        <w:gridCol w:w="3371"/>
      </w:tblGrid>
      <w:tr>
        <w:trPr/>
        <w:tc>
          <w:tcPr>
            <w:tcW w:w="7168" w:type="dxa"/>
            <w:tcBorders/>
            <w:shd w:fill="auto" w:val="clear"/>
          </w:tcPr>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As the Chief Executive Officer of the leading healthcare distribution and services firm, Mr. Tyler understands the importance of making sustainability a core aspect of a company’s strategy.</w:t>
            </w:r>
          </w:p>
          <w:p>
            <w:pPr>
              <w:pStyle w:val="TableContents"/>
              <w:spacing w:before="12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In Mr. Tyler’s roles at McKesson, he has been focused on improving patient care and customer value. These efforts have provided him with experience in enhancing customer relationships, brand awareness, and customer loyalty.</w:t>
            </w:r>
          </w:p>
        </w:tc>
        <w:tc>
          <w:tcPr>
            <w:tcW w:w="3371" w:type="dxa"/>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member, </w:t>
            </w:r>
            <w:r>
              <w:rPr>
                <w:rFonts w:ascii="Open Sans" w:hAnsi="Open Sans"/>
                <w:b/>
                <w:i w:val="false"/>
                <w:caps w:val="false"/>
                <w:smallCaps w:val="false"/>
                <w:color w:val="004A7C"/>
                <w:sz w:val="15"/>
              </w:rPr>
              <w:t>International Federation of Pharmaceutical Wholesalers (IFPW)</w:t>
            </w:r>
          </w:p>
          <w:p>
            <w:pPr>
              <w:pStyle w:val="TableContents"/>
              <w:spacing w:before="120" w:after="0"/>
              <w:ind w:left="0" w:right="0" w:hanging="0"/>
              <w:rPr/>
            </w:pPr>
            <w:r>
              <w:rPr/>
              <w:t> </w:t>
            </w:r>
          </w:p>
        </w:tc>
      </w:tr>
      <w:tr>
        <w:trPr/>
        <w:tc>
          <w:tcPr>
            <w:tcW w:w="7168" w:type="dxa"/>
            <w:tcBorders>
              <w:bottom w:val="single" w:sz="12" w:space="0" w:color="D80024"/>
            </w:tcBorders>
            <w:shd w:fill="auto" w:val="clear"/>
            <w:tcMar>
              <w:bottom w:w="28" w:type="dxa"/>
            </w:tcMar>
          </w:tcPr>
          <w:p>
            <w:pPr>
              <w:pStyle w:val="TableContents"/>
              <w:spacing w:before="0" w:after="0"/>
              <w:ind w:left="0" w:right="0" w:hanging="0"/>
              <w:rPr/>
            </w:pPr>
            <w:r>
              <w:rPr/>
              <w:t> </w:t>
            </w:r>
          </w:p>
        </w:tc>
        <w:tc>
          <w:tcPr>
            <w:tcW w:w="3371" w:type="dxa"/>
            <w:tcBorders>
              <w:bottom w:val="single" w:sz="12" w:space="0" w:color="D80024"/>
            </w:tcBorders>
            <w:shd w:fill="auto" w:val="clear"/>
            <w:tcMar>
              <w:bottom w:w="28" w:type="dxa"/>
            </w:tcMar>
          </w:tcPr>
          <w:p>
            <w:pPr>
              <w:pStyle w:val="TableContents"/>
              <w:spacing w:before="0" w:after="80"/>
              <w:ind w:left="0" w:right="0" w:hanging="0"/>
              <w:rPr/>
            </w:pPr>
            <w:r>
              <w:rPr/>
              <w:t>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color w:val="004A7C"/>
          <w:bdr w:val="single" w:sz="6" w:space="1" w:color="00497C"/>
        </w:rPr>
      </w:pPr>
      <w:r>
        <w:rPr>
          <w:caps w:val="false"/>
          <w:smallCaps w:val="false"/>
          <w:color w:val="004A7C"/>
          <w:bdr w:val="single" w:sz="6" w:space="1" w:color="00497C"/>
        </w:rPr>
        <w:drawing>
          <wp:inline distT="0" distB="0" distL="0" distR="0">
            <wp:extent cx="5962650" cy="8382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5962650" cy="838200"/>
                    </a:xfrm>
                    <a:prstGeom prst="rect">
                      <a:avLst/>
                    </a:prstGeom>
                  </pic:spPr>
                </pic:pic>
              </a:graphicData>
            </a:graphic>
          </wp:inline>
        </w:drawing>
      </w:r>
    </w:p>
    <w:tbl>
      <w:tblPr>
        <w:tblW w:w="10539" w:type="dxa"/>
        <w:jc w:val="left"/>
        <w:tblInd w:w="0" w:type="dxa"/>
        <w:tblCellMar>
          <w:top w:w="0" w:type="dxa"/>
          <w:left w:w="0" w:type="dxa"/>
          <w:bottom w:w="28" w:type="dxa"/>
          <w:right w:w="0" w:type="dxa"/>
        </w:tblCellMar>
      </w:tblPr>
      <w:tblGrid>
        <w:gridCol w:w="8821"/>
        <w:gridCol w:w="1718"/>
      </w:tblGrid>
      <w:tr>
        <w:trPr/>
        <w:tc>
          <w:tcPr>
            <w:tcW w:w="8821" w:type="dxa"/>
            <w:vMerge w:val="restart"/>
            <w:tcBorders>
              <w:bottom w:val="single" w:sz="12" w:space="0" w:color="D80024"/>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relevant Experience: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Vander Ark is President and Chief Executive Officer of Republic Services, Inc. He is responsible for driving its values-based culture and leading the Company’s strategy. He was instrumental in developing Republic’s strategy to partner with customers to create a more sustainable world. By executing this strategy, Republic now has the most comprehensive environmental services offering in North America.</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Vander Ark has extensive knowledge of the Company’s customer base and growth opportunities that he first developed as the company’s Chief Marketing Officer.  He played a critical role in building the company’s capabilities in customer zeal, digital, and sustainability.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Mr. Vander Ark also gained extensive knowledge of the Company’s operating assets through a series of operating roles, culminating in his time as the Company’s Chief Operating Officer.  He has spent extensive visiting the Company’s 190 business units.  This provides an unrivaled perspective on the company’s talent, local competitive dynamics and the regulatory environment.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More recently, in Mr. Vander Ark’s time as President and CEO, he has helped develop a strategy to compete more broadly in environmental services while building world-class capabilities in customer zeal, digital, and sustainability.</w:t>
            </w:r>
          </w:p>
          <w:p>
            <w:pPr>
              <w:pStyle w:val="TableContents"/>
              <w:spacing w:before="0" w:after="12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Prior to joining Republic, Mr. Vander Ark’s role in consulting exposed him to a wide range of industries including automotive, logistics, and consumer durables.  He developed deep expertise in marketing and sales serving leading global companies.</w:t>
            </w:r>
          </w:p>
        </w:tc>
        <w:tc>
          <w:tcPr>
            <w:tcW w:w="1718"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Republic Services, Inc.</w:t>
            </w:r>
            <w:r>
              <w:rPr>
                <w:rFonts w:ascii="Open Sans" w:hAnsi="Open Sans"/>
                <w:b w:val="false"/>
                <w:i w:val="false"/>
                <w:caps w:val="false"/>
                <w:smallCaps w:val="false"/>
                <w:color w:val="004A7C"/>
                <w:sz w:val="15"/>
                <w:u w:val="single"/>
              </w:rPr>
              <w:t>, 2013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President and Chief Executive Officer </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Executive Vice President, Chief Operating Officer</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Executive Vice President, Operations</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Executive Vice President, Chief Marketing Officer</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McKinsey &amp; Company</w:t>
            </w:r>
            <w:r>
              <w:rPr>
                <w:rFonts w:ascii="Open Sans" w:hAnsi="Open Sans"/>
                <w:b w:val="false"/>
                <w:i w:val="false"/>
                <w:caps w:val="false"/>
                <w:smallCaps w:val="false"/>
                <w:color w:val="004A7C"/>
                <w:sz w:val="15"/>
                <w:u w:val="single"/>
              </w:rPr>
              <w:t>, 2000 – 2012</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Partner</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Associate Principal</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Manager</w:t>
            </w:r>
          </w:p>
        </w:tc>
      </w:tr>
      <w:tr>
        <w:trPr/>
        <w:tc>
          <w:tcPr>
            <w:tcW w:w="8821" w:type="dxa"/>
            <w:vMerge w:val="continue"/>
            <w:tcBorders>
              <w:bottom w:val="single" w:sz="12" w:space="0" w:color="D80024"/>
            </w:tcBorders>
            <w:shd w:fill="auto" w:val="clear"/>
          </w:tcPr>
          <w:p>
            <w:pPr>
              <w:pStyle w:val="Normal"/>
              <w:rPr/>
            </w:pPr>
            <w:r>
              <w:rPr/>
            </w:r>
          </w:p>
        </w:tc>
        <w:tc>
          <w:tcPr>
            <w:tcW w:w="1718" w:type="dxa"/>
            <w:tcBorders/>
            <w:shd w:fill="auto" w:val="clear"/>
            <w:tcMar>
              <w:bottom w:w="0"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member, </w:t>
            </w:r>
            <w:r>
              <w:rPr>
                <w:rFonts w:ascii="Open Sans" w:hAnsi="Open Sans"/>
                <w:b/>
                <w:i w:val="false"/>
                <w:caps w:val="false"/>
                <w:smallCaps w:val="false"/>
                <w:color w:val="004A7C"/>
                <w:sz w:val="15"/>
              </w:rPr>
              <w:t>Chances for Children</w:t>
            </w:r>
          </w:p>
        </w:tc>
      </w:tr>
      <w:tr>
        <w:trPr/>
        <w:tc>
          <w:tcPr>
            <w:tcW w:w="8821" w:type="dxa"/>
            <w:vMerge w:val="continue"/>
            <w:tcBorders>
              <w:bottom w:val="single" w:sz="12" w:space="0" w:color="D80024"/>
            </w:tcBorders>
            <w:shd w:fill="auto" w:val="clear"/>
          </w:tcPr>
          <w:p>
            <w:pPr>
              <w:pStyle w:val="Normal"/>
              <w:rPr/>
            </w:pPr>
            <w:r>
              <w:rPr/>
            </w:r>
          </w:p>
        </w:tc>
        <w:tc>
          <w:tcPr>
            <w:tcW w:w="1718" w:type="dxa"/>
            <w:tcBorders>
              <w:bottom w:val="single" w:sz="12" w:space="0" w:color="D80024"/>
            </w:tcBorders>
            <w:shd w:fill="auto" w:val="clear"/>
          </w:tcPr>
          <w:p>
            <w:pPr>
              <w:pStyle w:val="TableContents"/>
              <w:spacing w:before="0" w:after="0"/>
              <w:ind w:left="0" w:right="0" w:hanging="0"/>
              <w:rPr/>
            </w:pPr>
            <w:r>
              <w:rPr/>
              <w:t>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26</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53125" cy="8382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5953125" cy="838200"/>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6266"/>
        <w:gridCol w:w="4273"/>
      </w:tblGrid>
      <w:tr>
        <w:trPr/>
        <w:tc>
          <w:tcPr>
            <w:tcW w:w="6266" w:type="dxa"/>
            <w:vMerge w:val="restart"/>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Ms. Volpe is the former Senior Vice President of Strategic Planning, Communications and Business Development Solutions at FedEx Ground.</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Ms. Volpe led FedEx Ground in strategic planning, communications, and business development for over two decades. This gives her a unique point of view on operations and logistics, including planning vehicle routes and operating and maintaining facilities.</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In her roles at FedEx and Lender’s Service, Ms. Volpe developed an understanding of attracting and retaining talent, training and developing employees, and maintaining an engaged workforce.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Ms. Volpe has more than thirty years in financial and strategic planning roles at large global companies. Her knowledge of financial accounting allows her to support Republic with oversight on risk management, financial reporting, and internal control items.</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Ms. Volpe’s career in financial and strategic planning brings important perspective to discussions regarding capital allocation and the strategic direction of Republic.</w:t>
            </w:r>
          </w:p>
        </w:tc>
        <w:tc>
          <w:tcPr>
            <w:tcW w:w="4273" w:type="dxa"/>
            <w:tcBorders/>
            <w:shd w:fill="auto" w:val="clear"/>
          </w:tcPr>
          <w:p>
            <w:pPr>
              <w:pStyle w:val="TableContents"/>
              <w:spacing w:before="12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FedEx Ground</w:t>
            </w:r>
            <w:r>
              <w:rPr>
                <w:rFonts w:ascii="Open Sans" w:hAnsi="Open Sans"/>
                <w:b w:val="false"/>
                <w:i w:val="false"/>
                <w:caps w:val="false"/>
                <w:smallCaps w:val="false"/>
                <w:color w:val="004A7C"/>
                <w:sz w:val="15"/>
                <w:u w:val="single"/>
              </w:rPr>
              <w:t>, 2000 – 2022</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Senior Vice President, Strategic Planning, Communications and Business Development Solutions</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Senior Vice President, Strategic Planning, Communications and Contractor Relations</w:t>
            </w:r>
          </w:p>
          <w:p>
            <w:pPr>
              <w:pStyle w:val="TableContents"/>
              <w:spacing w:before="0" w:after="0"/>
              <w:ind w:left="0" w:right="0" w:hanging="0"/>
              <w:rPr/>
            </w:pPr>
            <w:r>
              <w:rPr/>
              <w: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Strategic Planning</w:t>
            </w:r>
          </w:p>
          <w:p>
            <w:pPr>
              <w:pStyle w:val="TableContents"/>
              <w:spacing w:before="0" w:after="0"/>
              <w:ind w:left="0" w:right="0" w:hanging="0"/>
              <w:rPr/>
            </w:pPr>
            <w:r>
              <w:rPr/>
              <w:t>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Finance</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Lender’s Service, Inc.</w:t>
            </w:r>
            <w:r>
              <w:rPr>
                <w:rFonts w:ascii="Open Sans" w:hAnsi="Open Sans"/>
                <w:b w:val="false"/>
                <w:i w:val="false"/>
                <w:caps w:val="false"/>
                <w:smallCaps w:val="false"/>
                <w:color w:val="004A7C"/>
                <w:sz w:val="15"/>
                <w:u w:val="single"/>
              </w:rPr>
              <w:t>, 1993 – 2000</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Director of Financial Planning and Analysis</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Associate Vice President</w:t>
            </w:r>
          </w:p>
        </w:tc>
      </w:tr>
      <w:tr>
        <w:trPr/>
        <w:tc>
          <w:tcPr>
            <w:tcW w:w="6266" w:type="dxa"/>
            <w:vMerge w:val="continue"/>
            <w:tcBorders/>
            <w:shd w:fill="auto" w:val="clear"/>
          </w:tcPr>
          <w:p>
            <w:pPr>
              <w:pStyle w:val="Normal"/>
              <w:rPr/>
            </w:pPr>
            <w:r>
              <w:rPr/>
            </w:r>
          </w:p>
        </w:tc>
        <w:tc>
          <w:tcPr>
            <w:tcW w:w="4273" w:type="dxa"/>
            <w:tcBorders/>
            <w:shd w:fill="auto" w:val="clear"/>
          </w:tcPr>
          <w:p>
            <w:pPr>
              <w:pStyle w:val="TableContents"/>
              <w:spacing w:before="4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Executive Leadership Chair, </w:t>
            </w:r>
            <w:r>
              <w:rPr>
                <w:rFonts w:ascii="Open Sans" w:hAnsi="Open Sans"/>
                <w:b/>
                <w:i w:val="false"/>
                <w:caps w:val="false"/>
                <w:smallCaps w:val="false"/>
                <w:color w:val="004A7C"/>
                <w:sz w:val="15"/>
              </w:rPr>
              <w:t>Go Red for Women</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Board Member (former Board Chair), </w:t>
            </w:r>
            <w:r>
              <w:rPr>
                <w:rFonts w:ascii="Open Sans" w:hAnsi="Open Sans"/>
                <w:b/>
                <w:i w:val="false"/>
                <w:caps w:val="false"/>
                <w:smallCaps w:val="false"/>
                <w:color w:val="004A7C"/>
                <w:sz w:val="15"/>
              </w:rPr>
              <w:t>American Heart Association, Eastern States</w:t>
            </w:r>
            <w:r>
              <w:rPr>
                <w:rFonts w:ascii="Open Sans" w:hAnsi="Open Sans"/>
                <w:b w:val="false"/>
                <w:i w:val="false"/>
                <w:caps w:val="false"/>
                <w:smallCaps w:val="false"/>
                <w:color w:val="004A7C"/>
                <w:sz w:val="15"/>
              </w:rPr>
              <w:t xml:space="preserve">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Vice Chair, </w:t>
            </w:r>
            <w:r>
              <w:rPr>
                <w:rFonts w:ascii="Open Sans" w:hAnsi="Open Sans"/>
                <w:b/>
                <w:i w:val="false"/>
                <w:caps w:val="false"/>
                <w:smallCaps w:val="false"/>
                <w:color w:val="004A7C"/>
                <w:sz w:val="15"/>
              </w:rPr>
              <w:t>National Advisory Board for the Ambassador Crawford College of Business and Entrepreneurship at Kent State University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National Trustee, </w:t>
            </w:r>
            <w:r>
              <w:rPr>
                <w:rFonts w:ascii="Open Sans" w:hAnsi="Open Sans"/>
                <w:b/>
                <w:i w:val="false"/>
                <w:caps w:val="false"/>
                <w:smallCaps w:val="false"/>
                <w:color w:val="004A7C"/>
                <w:sz w:val="15"/>
              </w:rPr>
              <w:t>Kent State University Board of Trustees</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FedEx 5 Star Award, FedEx Leadership Award, FedEx Corporation Bravo Zulu Award for Service, and Prudential Principle Player Award</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2018 Spirit of Women in Business Award, </w:t>
            </w:r>
            <w:r>
              <w:rPr>
                <w:rFonts w:ascii="Open Sans" w:hAnsi="Open Sans"/>
                <w:b/>
                <w:i w:val="false"/>
                <w:caps w:val="false"/>
                <w:smallCaps w:val="false"/>
                <w:color w:val="004A7C"/>
                <w:sz w:val="15"/>
              </w:rPr>
              <w:t>Kent State University</w:t>
            </w:r>
          </w:p>
        </w:tc>
      </w:tr>
      <w:tr>
        <w:trPr/>
        <w:tc>
          <w:tcPr>
            <w:tcW w:w="6266" w:type="dxa"/>
            <w:tcBorders>
              <w:bottom w:val="single" w:sz="12" w:space="0" w:color="D80024"/>
            </w:tcBorders>
            <w:shd w:fill="auto" w:val="clear"/>
            <w:tcMar>
              <w:bottom w:w="28" w:type="dxa"/>
            </w:tcMar>
          </w:tcPr>
          <w:p>
            <w:pPr>
              <w:pStyle w:val="TableContents"/>
              <w:spacing w:before="0" w:after="0"/>
              <w:ind w:left="0" w:right="0" w:hanging="0"/>
              <w:rPr/>
            </w:pPr>
            <w:r>
              <w:rPr/>
              <w:t> </w:t>
            </w:r>
          </w:p>
        </w:tc>
        <w:tc>
          <w:tcPr>
            <w:tcW w:w="4273" w:type="dxa"/>
            <w:tcBorders>
              <w:bottom w:val="single" w:sz="12" w:space="0" w:color="D80024"/>
            </w:tcBorders>
            <w:shd w:fill="auto" w:val="clear"/>
            <w:tcMar>
              <w:bottom w:w="28" w:type="dxa"/>
            </w:tcMar>
          </w:tcPr>
          <w:p>
            <w:pPr>
              <w:pStyle w:val="TableContents"/>
              <w:spacing w:before="0" w:after="0"/>
              <w:ind w:left="0" w:right="0" w:hanging="0"/>
              <w:rPr/>
            </w:pPr>
            <w:r>
              <w:rPr/>
              <w:t> </w:t>
            </w:r>
          </w:p>
        </w:tc>
      </w:tr>
    </w:tbl>
    <w:p>
      <w:pPr>
        <w:pStyle w:val="TextBody"/>
        <w:spacing w:before="0" w:after="0"/>
        <w:jc w:val="both"/>
        <w:rPr>
          <w:bdr w:val="single" w:sz="6" w:space="1" w:color="00497C"/>
        </w:rPr>
      </w:pPr>
      <w:r>
        <w:rPr>
          <w:bdr w:val="single" w:sz="6" w:space="1" w:color="00497C"/>
        </w:rPr>
        <w:t> </w:t>
      </w:r>
    </w:p>
    <w:p>
      <w:pPr>
        <w:pStyle w:val="TextBody"/>
        <w:spacing w:before="0" w:after="0"/>
        <w:jc w:val="both"/>
        <w:rPr>
          <w:bdr w:val="single" w:sz="6" w:space="1" w:color="00497C"/>
        </w:rPr>
      </w:pPr>
      <w:r>
        <w:rPr>
          <w:bdr w:val="single" w:sz="6" w:space="1" w:color="00497C"/>
        </w:rPr>
        <w:t> </w:t>
      </w:r>
    </w:p>
    <w:p>
      <w:pPr>
        <w:pStyle w:val="TextBody"/>
        <w:spacing w:before="0" w:after="0"/>
        <w:jc w:val="both"/>
        <w:rPr>
          <w:caps w:val="false"/>
          <w:smallCaps w:val="false"/>
          <w:bdr w:val="single" w:sz="6" w:space="1" w:color="00497C"/>
        </w:rPr>
      </w:pPr>
      <w:r>
        <w:rPr>
          <w:caps w:val="false"/>
          <w:smallCaps w:val="false"/>
          <w:bdr w:val="single" w:sz="6" w:space="1" w:color="00497C"/>
        </w:rPr>
        <w:drawing>
          <wp:inline distT="0" distB="0" distL="0" distR="0">
            <wp:extent cx="5962650" cy="8382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5962650" cy="838200"/>
                    </a:xfrm>
                    <a:prstGeom prst="rect">
                      <a:avLst/>
                    </a:prstGeom>
                  </pic:spPr>
                </pic:pic>
              </a:graphicData>
            </a:graphic>
          </wp:inline>
        </w:drawing>
      </w:r>
    </w:p>
    <w:tbl>
      <w:tblPr>
        <w:tblW w:w="10539" w:type="dxa"/>
        <w:jc w:val="left"/>
        <w:tblInd w:w="0" w:type="dxa"/>
        <w:tblCellMar>
          <w:top w:w="0" w:type="dxa"/>
          <w:left w:w="0" w:type="dxa"/>
          <w:bottom w:w="0" w:type="dxa"/>
          <w:right w:w="0" w:type="dxa"/>
        </w:tblCellMar>
      </w:tblPr>
      <w:tblGrid>
        <w:gridCol w:w="7720"/>
        <w:gridCol w:w="2819"/>
      </w:tblGrid>
      <w:tr>
        <w:trPr/>
        <w:tc>
          <w:tcPr>
            <w:tcW w:w="7720" w:type="dxa"/>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Experiences and skill sets aligned with Board Contributions and Republic’s Strategy:</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Ms. Weymouth is currently the Chief Operating Officer at FamilyCare, a start-up in the mental health space.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Ms. Weymouth has executive leadership and strategy experience through numerous leadership positions at The Washington Post, including Publisher and Chief Executive Officer.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Ms. Weymouth has held roles at two start-ups, including her current work of building a digital community platform. These roles have given her unique insight into building businesses, developing talent, and managing sustainability issues. </w:t>
            </w:r>
          </w:p>
          <w:p>
            <w:pPr>
              <w:pStyle w:val="TableContents"/>
              <w:spacing w:before="0" w:after="80"/>
              <w:ind w:left="0" w:right="0" w:hanging="0"/>
              <w:rPr/>
            </w:pPr>
            <w:r>
              <w:rPr/>
              <w:t> </w:t>
            </w:r>
          </w:p>
        </w:tc>
        <w:tc>
          <w:tcPr>
            <w:tcW w:w="2819" w:type="dxa"/>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Career Highlights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FamilyCare</w:t>
            </w:r>
            <w:r>
              <w:rPr>
                <w:rFonts w:ascii="Open Sans" w:hAnsi="Open Sans"/>
                <w:b w:val="false"/>
                <w:i w:val="false"/>
                <w:caps w:val="false"/>
                <w:smallCaps w:val="false"/>
                <w:color w:val="004A7C"/>
                <w:sz w:val="15"/>
                <w:u w:val="single"/>
              </w:rPr>
              <w:t>, 2021 – Present</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Operating Officer</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The Chef Market (formerly dineXpert)</w:t>
            </w:r>
            <w:r>
              <w:rPr>
                <w:rFonts w:ascii="Open Sans" w:hAnsi="Open Sans"/>
                <w:b w:val="false"/>
                <w:i w:val="false"/>
                <w:caps w:val="false"/>
                <w:smallCaps w:val="false"/>
                <w:color w:val="004A7C"/>
                <w:sz w:val="15"/>
                <w:u w:val="single"/>
              </w:rPr>
              <w:t>, 2017 – 2022</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Senior Advisor</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Operating Officer</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w:t>
            </w:r>
          </w:p>
          <w:p>
            <w:pPr>
              <w:pStyle w:val="TableContents"/>
              <w:spacing w:before="0" w:after="0"/>
              <w:ind w:left="0" w:right="0" w:hanging="0"/>
              <w:rPr/>
            </w:pPr>
            <w:r>
              <w:rPr/>
              <w:t> </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u w:val="single"/>
              </w:rPr>
              <w:t>The Washington Post</w:t>
            </w:r>
            <w:r>
              <w:rPr>
                <w:rFonts w:ascii="Open Sans" w:hAnsi="Open Sans"/>
                <w:b w:val="false"/>
                <w:i w:val="false"/>
                <w:caps w:val="false"/>
                <w:smallCaps w:val="false"/>
                <w:color w:val="004A7C"/>
                <w:sz w:val="15"/>
                <w:u w:val="single"/>
              </w:rPr>
              <w:t>, 1996 – 2014</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Chief Executive Officer and Publisher</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Director of Advertising Sales</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Vice President of Advertising</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Assistant General Counsel</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Various other legal and advertising positions with increasing responsibility</w:t>
            </w:r>
          </w:p>
        </w:tc>
      </w:tr>
    </w:tbl>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27</w:t>
            </w:r>
          </w:p>
        </w:tc>
      </w:tr>
    </w:tbl>
    <w:p>
      <w:pPr>
        <w:pStyle w:val="TextBody"/>
        <w:spacing w:before="0" w:after="0"/>
        <w:ind w:left="0" w:right="0" w:hanging="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ind w:left="0" w:right="0" w:hanging="0"/>
        <w:rPr>
          <w:bdr w:val="single" w:sz="6" w:space="1" w:color="00497C"/>
        </w:rPr>
      </w:pPr>
      <w:r>
        <w:rPr>
          <w:bdr w:val="single" w:sz="6" w:space="1" w:color="00497C"/>
        </w:rPr>
        <w:t> </w:t>
      </w:r>
    </w:p>
    <w:p>
      <w:pPr>
        <w:pStyle w:val="TextBody"/>
        <w:spacing w:before="0" w:after="0"/>
        <w:ind w:left="0" w:right="0" w:hanging="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ind w:left="0" w:right="0" w:hanging="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7186"/>
        <w:gridCol w:w="3353"/>
      </w:tblGrid>
      <w:tr>
        <w:trPr/>
        <w:tc>
          <w:tcPr>
            <w:tcW w:w="7186" w:type="dxa"/>
            <w:tcBorders/>
            <w:shd w:fill="auto" w:val="clear"/>
          </w:tcPr>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In her roles at the Washington Post, Ms. Weymouth led initiatives to modernize the newspaper’s digital platform to improve customer experience. She brings valuable points of view on how Republic can use technology to differentiate its service offering.</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Ms. Weymouth’s legal experience from her time as the Assistant General Counsel at The Washington Post gives her a strong understanding of legal and regulatory considerations for high-profile industries.</w:t>
            </w:r>
          </w:p>
        </w:tc>
        <w:tc>
          <w:tcPr>
            <w:tcW w:w="3353" w:type="dxa"/>
            <w:tcBorders/>
            <w:shd w:fill="auto" w:val="cle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 xml:space="preserve">Other Public Company Directorships </w:t>
            </w:r>
          </w:p>
          <w:p>
            <w:pPr>
              <w:pStyle w:val="TableContents"/>
              <w:spacing w:before="0" w:after="2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(within the last 5 years)</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Xometry, Inc.</w:t>
            </w:r>
            <w:r>
              <w:rPr>
                <w:rFonts w:ascii="Open Sans" w:hAnsi="Open Sans"/>
                <w:b w:val="false"/>
                <w:i w:val="false"/>
                <w:caps w:val="false"/>
                <w:smallCaps w:val="false"/>
                <w:color w:val="004A7C"/>
                <w:sz w:val="15"/>
              </w:rPr>
              <w:t xml:space="preserve">, 2020 – Present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(Chair of the Nominating and Corporate Governance Committee and Member of the Audit Committee)</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Sequoia Fund, Inc.</w:t>
            </w:r>
            <w:r>
              <w:rPr>
                <w:rFonts w:ascii="Open Sans" w:hAnsi="Open Sans"/>
                <w:b w:val="false"/>
                <w:i w:val="false"/>
                <w:caps w:val="false"/>
                <w:smallCaps w:val="false"/>
                <w:color w:val="004A7C"/>
                <w:sz w:val="15"/>
              </w:rPr>
              <w:t>, 2020 – Present</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(Member of the Audit Committee and the Nominating Committee)</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Cable One, Inc.</w:t>
            </w:r>
            <w:r>
              <w:rPr>
                <w:rFonts w:ascii="Open Sans" w:hAnsi="Open Sans"/>
                <w:b w:val="false"/>
                <w:i w:val="false"/>
                <w:caps w:val="false"/>
                <w:smallCaps w:val="false"/>
                <w:color w:val="004A7C"/>
                <w:sz w:val="15"/>
              </w:rPr>
              <w:t xml:space="preserve">, 2015 – Present </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(Member of the Compensation and Talent Management Committee)</w:t>
            </w:r>
          </w:p>
          <w:p>
            <w:pPr>
              <w:pStyle w:val="TableContents"/>
              <w:spacing w:before="0" w:after="0"/>
              <w:ind w:left="0" w:right="0" w:hanging="0"/>
              <w:rPr>
                <w:rFonts w:ascii="Open Sans" w:hAnsi="Open Sans"/>
                <w:b/>
                <w:i w:val="false"/>
                <w:caps w:val="false"/>
                <w:smallCaps w:val="false"/>
                <w:color w:val="004A7C"/>
                <w:sz w:val="15"/>
              </w:rPr>
            </w:pPr>
            <w:r>
              <w:rPr>
                <w:rFonts w:ascii="Open Sans" w:hAnsi="Open Sans"/>
                <w:b/>
                <w:i w:val="false"/>
                <w:caps w:val="false"/>
                <w:smallCaps w:val="false"/>
                <w:color w:val="004A7C"/>
                <w:sz w:val="15"/>
              </w:rPr>
              <w:t>Graham Holdings Company</w:t>
            </w:r>
            <w:r>
              <w:rPr>
                <w:rFonts w:ascii="Open Sans" w:hAnsi="Open Sans"/>
                <w:b w:val="false"/>
                <w:i w:val="false"/>
                <w:caps w:val="false"/>
                <w:smallCaps w:val="false"/>
                <w:color w:val="004A7C"/>
                <w:sz w:val="15"/>
              </w:rPr>
              <w:t xml:space="preserve">, 2010 – Present </w:t>
            </w:r>
          </w:p>
          <w:p>
            <w:pPr>
              <w:pStyle w:val="TableContents"/>
              <w:spacing w:before="0" w:after="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(Member of the Finance Committee and the Compensation Committee)</w:t>
            </w:r>
          </w:p>
        </w:tc>
      </w:tr>
      <w:tr>
        <w:trPr/>
        <w:tc>
          <w:tcPr>
            <w:tcW w:w="7186" w:type="dxa"/>
            <w:tcBorders>
              <w:bottom w:val="single" w:sz="12" w:space="0" w:color="D80024"/>
            </w:tcBorders>
            <w:shd w:fill="auto" w:val="clear"/>
            <w:tcMar>
              <w:bottom w:w="28" w:type="dxa"/>
            </w:tcMar>
          </w:tcPr>
          <w:p>
            <w:pPr>
              <w:pStyle w:val="TableContents"/>
              <w:spacing w:before="0" w:after="0"/>
              <w:ind w:left="0" w:right="0" w:hanging="0"/>
              <w:rPr/>
            </w:pPr>
            <w:r>
              <w:rPr/>
              <w:t> </w:t>
            </w:r>
          </w:p>
        </w:tc>
        <w:tc>
          <w:tcPr>
            <w:tcW w:w="3353" w:type="dxa"/>
            <w:tcBorders>
              <w:bottom w:val="single" w:sz="12" w:space="0" w:color="D80024"/>
            </w:tcBorders>
            <w:shd w:fill="auto" w:val="clear"/>
            <w:tcMar>
              <w:bottom w:w="28" w:type="dxa"/>
            </w:tcMar>
          </w:tcPr>
          <w:p>
            <w:pPr>
              <w:pStyle w:val="TableContents"/>
              <w:spacing w:before="0" w:after="0"/>
              <w:ind w:left="0" w:right="0" w:hanging="0"/>
              <w:rPr>
                <w:rFonts w:ascii="Open Sans" w:hAnsi="Open Sans"/>
                <w:b/>
                <w:i w:val="false"/>
                <w:caps w:val="false"/>
                <w:smallCaps w:val="false"/>
                <w:color w:val="D80025"/>
                <w:spacing w:val="10"/>
                <w:sz w:val="14"/>
              </w:rPr>
            </w:pPr>
            <w:r>
              <w:rPr>
                <w:rFonts w:ascii="Open Sans" w:hAnsi="Open Sans"/>
                <w:b/>
                <w:i w:val="false"/>
                <w:caps w:val="false"/>
                <w:smallCaps w:val="false"/>
                <w:color w:val="D80025"/>
                <w:spacing w:val="10"/>
                <w:sz w:val="14"/>
              </w:rPr>
              <w:t>Additional Experience &amp; Service</w:t>
            </w:r>
          </w:p>
          <w:p>
            <w:pPr>
              <w:pStyle w:val="TableContents"/>
              <w:spacing w:before="0" w:after="8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Trustee, </w:t>
            </w:r>
            <w:r>
              <w:rPr>
                <w:rFonts w:ascii="Open Sans" w:hAnsi="Open Sans"/>
                <w:b/>
                <w:i w:val="false"/>
                <w:caps w:val="false"/>
                <w:smallCaps w:val="false"/>
                <w:color w:val="004A7C"/>
                <w:sz w:val="15"/>
              </w:rPr>
              <w:t>Philip L. Graham Fund</w:t>
            </w:r>
          </w:p>
          <w:p>
            <w:pPr>
              <w:pStyle w:val="TableContents"/>
              <w:spacing w:before="0" w:after="120"/>
              <w:ind w:left="0" w:right="0" w:hanging="0"/>
              <w:rPr>
                <w:rFonts w:ascii="Open Sans" w:hAnsi="Open Sans"/>
                <w:b w:val="false"/>
                <w:i w:val="false"/>
                <w:caps w:val="false"/>
                <w:smallCaps w:val="false"/>
                <w:color w:val="004A7C"/>
                <w:sz w:val="15"/>
              </w:rPr>
            </w:pPr>
            <w:r>
              <w:rPr>
                <w:rFonts w:ascii="Open Sans" w:hAnsi="Open Sans"/>
                <w:b w:val="false"/>
                <w:i w:val="false"/>
                <w:caps w:val="false"/>
                <w:smallCaps w:val="false"/>
                <w:color w:val="004A7C"/>
                <w:sz w:val="15"/>
              </w:rPr>
              <w:t xml:space="preserve">Trustee, </w:t>
            </w:r>
            <w:r>
              <w:rPr>
                <w:rFonts w:ascii="Open Sans" w:hAnsi="Open Sans"/>
                <w:b/>
                <w:i w:val="false"/>
                <w:caps w:val="false"/>
                <w:smallCaps w:val="false"/>
                <w:color w:val="004A7C"/>
                <w:sz w:val="15"/>
              </w:rPr>
              <w:t>Greater Washington Community Foundation</w:t>
            </w:r>
          </w:p>
        </w:tc>
      </w:tr>
    </w:tbl>
    <w:p>
      <w:pPr>
        <w:pStyle w:val="TextBody"/>
        <w:spacing w:before="240" w:after="0"/>
        <w:rPr>
          <w:rFonts w:ascii="Open Sans" w:hAnsi="Open Sans"/>
          <w:b/>
          <w:i w:val="false"/>
          <w:caps w:val="false"/>
          <w:smallCaps w:val="false"/>
          <w:color w:val="004A7C"/>
          <w:sz w:val="27"/>
          <w:bdr w:val="single" w:sz="6" w:space="1" w:color="00497C"/>
        </w:rPr>
      </w:pPr>
      <w:bookmarkStart w:id="9" w:name="BOARD_DIRECTORS_CORPORATE_GOVERNANCE_MAT"/>
      <w:bookmarkEnd w:id="9"/>
      <w:r>
        <w:rPr>
          <w:rFonts w:ascii="Open Sans" w:hAnsi="Open Sans"/>
          <w:b/>
          <w:i w:val="false"/>
          <w:caps w:val="false"/>
          <w:smallCaps w:val="false"/>
          <w:color w:val="004A7C"/>
          <w:sz w:val="27"/>
          <w:bdr w:val="single" w:sz="6" w:space="1" w:color="00497C"/>
        </w:rPr>
        <w:t xml:space="preserve">Board of Directors and Corporate Governance Matters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operate within a comprehensive corporate governance framework that defines responsibilities, sets high ethical standards of professional and personal conduct, and helps ensure compliance with these responsibilities and standards. The Board’s Corporate Governance Guidelines provide the framework for effective governance and are amended by the Board from time to time in response to changing laws, evolving best practices, and shareholder input.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0" w:name="BOARD_LEADERSHIP_STRUCTURE"/>
      <w:bookmarkEnd w:id="10"/>
      <w:r>
        <w:rPr>
          <w:rFonts w:ascii="Open Sans SemiBold" w:hAnsi="Open Sans SemiBold"/>
          <w:b w:val="false"/>
          <w:i w:val="false"/>
          <w:caps w:val="false"/>
          <w:smallCaps w:val="false"/>
          <w:color w:val="004A7C"/>
          <w:sz w:val="17"/>
          <w:bdr w:val="single" w:sz="6" w:space="1" w:color="00497C"/>
        </w:rPr>
        <w:t xml:space="preserve">Board Leadership Structure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have a non-executive Chairman of the Board. The Board believes that having a non-executive, independent director serving as the Chairman of the Board is in the best interests of Republic and our shareholders because it strengthens the Board’s independence and allows the CEO to focus his talents and attention on managing our business. The Chairman of the Board is also a valuable bridge between the Board and management and provides independent leadership to the Board.  Responsibilities of the role include: </w:t>
      </w:r>
    </w:p>
    <w:tbl>
      <w:tblPr>
        <w:tblW w:w="7330" w:type="dxa"/>
        <w:jc w:val="left"/>
        <w:tblInd w:w="0" w:type="dxa"/>
        <w:tblCellMar>
          <w:top w:w="0" w:type="dxa"/>
          <w:left w:w="0" w:type="dxa"/>
          <w:bottom w:w="0" w:type="dxa"/>
          <w:right w:w="0" w:type="dxa"/>
        </w:tblCellMar>
      </w:tblPr>
      <w:tblGrid>
        <w:gridCol w:w="60"/>
        <w:gridCol w:w="110"/>
        <w:gridCol w:w="716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716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setting the agenda and procedures for Board meetings in collaboration with the CEO; </w:t>
            </w:r>
          </w:p>
        </w:tc>
      </w:tr>
    </w:tbl>
    <w:tbl>
      <w:tblPr>
        <w:tblW w:w="3130" w:type="dxa"/>
        <w:jc w:val="left"/>
        <w:tblInd w:w="0" w:type="dxa"/>
        <w:tblCellMar>
          <w:top w:w="0" w:type="dxa"/>
          <w:left w:w="0" w:type="dxa"/>
          <w:bottom w:w="0" w:type="dxa"/>
          <w:right w:w="0" w:type="dxa"/>
        </w:tblCellMar>
      </w:tblPr>
      <w:tblGrid>
        <w:gridCol w:w="60"/>
        <w:gridCol w:w="110"/>
        <w:gridCol w:w="296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296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presiding over all Board meetings; </w:t>
            </w:r>
          </w:p>
        </w:tc>
      </w:tr>
    </w:tbl>
    <w:tbl>
      <w:tblPr>
        <w:tblW w:w="5050" w:type="dxa"/>
        <w:jc w:val="left"/>
        <w:tblInd w:w="0" w:type="dxa"/>
        <w:tblCellMar>
          <w:top w:w="0" w:type="dxa"/>
          <w:left w:w="0" w:type="dxa"/>
          <w:bottom w:w="0" w:type="dxa"/>
          <w:right w:w="0" w:type="dxa"/>
        </w:tblCellMar>
      </w:tblPr>
      <w:tblGrid>
        <w:gridCol w:w="60"/>
        <w:gridCol w:w="110"/>
        <w:gridCol w:w="488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488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supervising the circulation of information to the directors;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10369"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after consulting with the CEO and other directors, providing input to the Governance Committee regarding revisions to our Corporate Governance Guidelines and the appointment of chairs and members of the Board’s committees; </w:t>
            </w:r>
          </w:p>
        </w:tc>
      </w:tr>
    </w:tbl>
    <w:tbl>
      <w:tblPr>
        <w:tblW w:w="6040" w:type="dxa"/>
        <w:jc w:val="left"/>
        <w:tblInd w:w="0" w:type="dxa"/>
        <w:tblCellMar>
          <w:top w:w="0" w:type="dxa"/>
          <w:left w:w="0" w:type="dxa"/>
          <w:bottom w:w="0" w:type="dxa"/>
          <w:right w:w="0" w:type="dxa"/>
        </w:tblCellMar>
      </w:tblPr>
      <w:tblGrid>
        <w:gridCol w:w="60"/>
        <w:gridCol w:w="110"/>
        <w:gridCol w:w="587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587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coordinating periodic reviews of senior management’s strategic plan; </w:t>
            </w:r>
          </w:p>
        </w:tc>
      </w:tr>
    </w:tbl>
    <w:tbl>
      <w:tblPr>
        <w:tblW w:w="2380" w:type="dxa"/>
        <w:jc w:val="left"/>
        <w:tblInd w:w="0" w:type="dxa"/>
        <w:tblCellMar>
          <w:top w:w="0" w:type="dxa"/>
          <w:left w:w="0" w:type="dxa"/>
          <w:bottom w:w="0" w:type="dxa"/>
          <w:right w:w="0" w:type="dxa"/>
        </w:tblCellMar>
      </w:tblPr>
      <w:tblGrid>
        <w:gridCol w:w="60"/>
        <w:gridCol w:w="110"/>
        <w:gridCol w:w="221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221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shareholder engagement;</w:t>
            </w:r>
          </w:p>
        </w:tc>
      </w:tr>
    </w:tbl>
    <w:tbl>
      <w:tblPr>
        <w:tblW w:w="7075" w:type="dxa"/>
        <w:jc w:val="left"/>
        <w:tblInd w:w="0" w:type="dxa"/>
        <w:tblCellMar>
          <w:top w:w="0" w:type="dxa"/>
          <w:left w:w="0" w:type="dxa"/>
          <w:bottom w:w="0" w:type="dxa"/>
          <w:right w:w="0" w:type="dxa"/>
        </w:tblCellMar>
      </w:tblPr>
      <w:tblGrid>
        <w:gridCol w:w="60"/>
        <w:gridCol w:w="110"/>
        <w:gridCol w:w="6905"/>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690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consulting with committee chairs about the retention of advisors and experts; and </w:t>
            </w:r>
          </w:p>
        </w:tc>
      </w:tr>
    </w:tbl>
    <w:tbl>
      <w:tblPr>
        <w:tblW w:w="6010" w:type="dxa"/>
        <w:jc w:val="left"/>
        <w:tblInd w:w="0" w:type="dxa"/>
        <w:tblCellMar>
          <w:top w:w="0" w:type="dxa"/>
          <w:left w:w="0" w:type="dxa"/>
          <w:bottom w:w="0" w:type="dxa"/>
          <w:right w:w="0" w:type="dxa"/>
        </w:tblCellMar>
      </w:tblPr>
      <w:tblGrid>
        <w:gridCol w:w="60"/>
        <w:gridCol w:w="110"/>
        <w:gridCol w:w="584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584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performing such other duties and services as the Board may require. </w:t>
            </w:r>
          </w:p>
        </w:tc>
      </w:tr>
    </w:tbl>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The Chairman of the Board also has the authority to request access to any of our employees at any time.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Board has five standing committees — the Audit Committee, the Talent &amp; Compensation Committee, the Finance Committee, the Governance Committee and the Sustainability &amp; Corporate Responsibility Committee. Each committee consists solely of independent directors and has its own chair who is responsible for directing the committee’s work in fulfilling its responsibilities. </w:t>
      </w:r>
    </w:p>
    <w:p>
      <w:pPr>
        <w:pStyle w:val="TextBody"/>
        <w:spacing w:before="0" w:after="0"/>
        <w:rPr>
          <w:bdr w:val="single" w:sz="6" w:space="1" w:color="00497C"/>
        </w:rPr>
      </w:pPr>
      <w:r>
        <w:rPr>
          <w:bdr w:val="single" w:sz="6" w:space="1" w:color="00497C"/>
        </w:rPr>
        <w:t> </w:t>
      </w:r>
    </w:p>
    <w:p>
      <w:pPr>
        <w:pStyle w:val="TextBody"/>
        <w:spacing w:before="0" w:after="0"/>
        <w:jc w:val="center"/>
        <w:rPr>
          <w:caps w:val="false"/>
          <w:smallCaps w:val="false"/>
          <w:bdr w:val="single" w:sz="6" w:space="1" w:color="00497C"/>
        </w:rPr>
      </w:pPr>
      <w:r>
        <w:rPr>
          <w:caps w:val="false"/>
          <w:smallCaps w:val="false"/>
          <w:bdr w:val="single" w:sz="6" w:space="1" w:color="00497C"/>
        </w:rPr>
        <w:drawing>
          <wp:inline distT="0" distB="0" distL="0" distR="0">
            <wp:extent cx="5972175" cy="14573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5972175" cy="1457325"/>
                    </a:xfrm>
                    <a:prstGeom prst="rect">
                      <a:avLst/>
                    </a:prstGeom>
                  </pic:spPr>
                </pic:pic>
              </a:graphicData>
            </a:graphic>
          </wp:inline>
        </w:drawing>
      </w:r>
    </w:p>
    <w:p>
      <w:pPr>
        <w:pStyle w:val="TextBody"/>
        <w:spacing w:before="0" w:after="0"/>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28</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i w:val="false"/>
          <w:caps w:val="false"/>
          <w:smallCaps w:val="false"/>
          <w:color w:val="004A7C"/>
          <w:sz w:val="27"/>
          <w:bdr w:val="single" w:sz="6" w:space="1" w:color="00497C"/>
        </w:rPr>
      </w:pPr>
      <w:bookmarkStart w:id="11" w:name="BOARD_MEETINGS_COMMITTEES"/>
      <w:bookmarkEnd w:id="11"/>
      <w:r>
        <w:rPr>
          <w:rFonts w:ascii="Open Sans" w:hAnsi="Open Sans"/>
          <w:b/>
          <w:i w:val="false"/>
          <w:caps w:val="false"/>
          <w:smallCaps w:val="false"/>
          <w:color w:val="004A7C"/>
          <w:sz w:val="27"/>
          <w:bdr w:val="single" w:sz="6" w:space="1" w:color="00497C"/>
        </w:rPr>
        <w:t>Board Meetings and Committees</w:t>
      </w:r>
    </w:p>
    <w:p>
      <w:pPr>
        <w:pStyle w:val="TextBody"/>
        <w:spacing w:before="60" w:after="0"/>
        <w:rPr>
          <w:rFonts w:ascii="Open Sans SemiBold" w:hAnsi="Open Sans SemiBold"/>
          <w:b w:val="false"/>
          <w:i w:val="false"/>
          <w:caps w:val="false"/>
          <w:smallCaps w:val="false"/>
          <w:color w:val="004A7C"/>
          <w:sz w:val="17"/>
          <w:bdr w:val="single" w:sz="6" w:space="1" w:color="00497C"/>
        </w:rPr>
      </w:pPr>
      <w:bookmarkStart w:id="12" w:name="MEETING_PARTICIPATION"/>
      <w:bookmarkEnd w:id="12"/>
      <w:r>
        <w:rPr>
          <w:rFonts w:ascii="Open Sans SemiBold" w:hAnsi="Open Sans SemiBold"/>
          <w:b w:val="false"/>
          <w:i w:val="false"/>
          <w:caps w:val="false"/>
          <w:smallCaps w:val="false"/>
          <w:color w:val="004A7C"/>
          <w:sz w:val="17"/>
          <w:bdr w:val="single" w:sz="6" w:space="1" w:color="00497C"/>
        </w:rPr>
        <w:t xml:space="preserve">Meeting Participation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Board held six meetings during 2022. Each director other than Ms. Pegula attended at least 75% of the total number of Board meetings and the total number of meetings of all Board committees on which he or she served. The non-employee directors met regularly in executive sessions during 2022.</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3" w:name="tx122656_33b"/>
      <w:bookmarkEnd w:id="13"/>
      <w:r>
        <w:rPr>
          <w:rFonts w:ascii="Open Sans SemiBold" w:hAnsi="Open Sans SemiBold"/>
          <w:b w:val="false"/>
          <w:i w:val="false"/>
          <w:caps w:val="false"/>
          <w:smallCaps w:val="false"/>
          <w:color w:val="004A7C"/>
          <w:sz w:val="17"/>
          <w:bdr w:val="single" w:sz="6" w:space="1" w:color="00497C"/>
        </w:rPr>
        <w:t xml:space="preserve">Committee Composition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Each of the five standing committees operates under a written charter adopted by the Board and reviews its charter at least annually. Messrs. Kadre and Vander Ark are not members of any of our standing committees. Information regarding each of the current standing committees as of the mailing date of this Proxy Statement appears in the chart on the following page.</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4" w:name="BOARD_REFRESHMENT"/>
      <w:bookmarkEnd w:id="14"/>
      <w:r>
        <w:rPr>
          <w:rFonts w:ascii="Open Sans SemiBold" w:hAnsi="Open Sans SemiBold"/>
          <w:b w:val="false"/>
          <w:i w:val="false"/>
          <w:caps w:val="false"/>
          <w:smallCaps w:val="false"/>
          <w:color w:val="004A7C"/>
          <w:sz w:val="17"/>
          <w:bdr w:val="single" w:sz="6" w:space="1" w:color="00497C"/>
        </w:rPr>
        <w:t xml:space="preserve">Board Refreshment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are committed to maintaining a Board that has a balanced mix of skills and attributes, and we accomplish this through our active refreshment and director succession planning process. We evaluate our evolving operating environment to ensure that the skills and attributes we seek in our Board members reflect the needs of our Company. The addition of nine new directors since 2016 highlights our commitment to seek highly qualified candidates who will bring additional skills and perspectives to the Board.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5" w:name="DIRECTOR_ONBOARDING_PROCESS"/>
      <w:bookmarkEnd w:id="15"/>
      <w:r>
        <w:rPr>
          <w:rFonts w:ascii="Open Sans SemiBold" w:hAnsi="Open Sans SemiBold"/>
          <w:b w:val="false"/>
          <w:i w:val="false"/>
          <w:caps w:val="false"/>
          <w:smallCaps w:val="false"/>
          <w:color w:val="004A7C"/>
          <w:sz w:val="17"/>
          <w:bdr w:val="single" w:sz="6" w:space="1" w:color="00497C"/>
        </w:rPr>
        <w:t xml:space="preserve">Director Onboarding Process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Upon joining our Board, new directors are provided with a comprehensive orientation and participate in a formal onboarding process to facilitate their transition onto our Board. Our onboarding process familiarizes new directors with the Company’s business, strategic plans, governance program, Board policies, and the director’s responsibilities on assigned committees. New directors hold meetings with Republic’s senior leadership and key management representatives to learn about the Company. They also participate in site visits. Based on feedback received, we believe this onboarding program, coupled with participation in regular Board and committee meetings, provides new directors with a strong foundation in our Company’s business, and accelerates their ability to fully engage in Board discussions and decision-making. Additional training is also encouraged when a director assumes a leadership role as either our Chairman or as a committee chair.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6" w:name="CONTINUING_EDUCATION"/>
      <w:bookmarkEnd w:id="16"/>
      <w:r>
        <w:rPr>
          <w:rFonts w:ascii="Open Sans SemiBold" w:hAnsi="Open Sans SemiBold"/>
          <w:b w:val="false"/>
          <w:i w:val="false"/>
          <w:caps w:val="false"/>
          <w:smallCaps w:val="false"/>
          <w:color w:val="004A7C"/>
          <w:sz w:val="17"/>
          <w:bdr w:val="single" w:sz="6" w:space="1" w:color="00497C"/>
        </w:rPr>
        <w:t xml:space="preserve">Continuing Education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directors attend seminars and continuing education programs relating to corporate governance, audit, compensation and other matters. In addition, site visits and external and in-house presentations are scheduled as part of the directors’ continuing education. Examples of continuing education programs attended by some of our directors in 2022 include G100 Network’s Board Excellence program, Harvard Business School executive education programs focused on governance, Corporate Board Member conferences, and NACD webinars, among others.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7" w:name="THOUGHTFUL_BOARD_EVALUATION_PROCESS"/>
      <w:bookmarkEnd w:id="17"/>
      <w:r>
        <w:rPr>
          <w:rFonts w:ascii="Open Sans SemiBold" w:hAnsi="Open Sans SemiBold"/>
          <w:b w:val="false"/>
          <w:i w:val="false"/>
          <w:caps w:val="false"/>
          <w:smallCaps w:val="false"/>
          <w:color w:val="004A7C"/>
          <w:sz w:val="17"/>
          <w:bdr w:val="single" w:sz="6" w:space="1" w:color="00497C"/>
        </w:rPr>
        <w:t xml:space="preserve">Thoughtful Board Evaluation Process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recognize that Board and committee evaluations play an important role in ensuring the effective functioning of our Board. Therefore, the Board and each of its committees conduct annual self-assessments, which are overseen by the Governance Committee and include written evaluation forms to assess their effectiveness. Periodically, we will employ the services of an external advisor to assist with the evaluation process. Regardless of whether an external advisor is involved in the evaluation process, the results of these assessments are compiled without attribution and sent to the directors for a full Board assessment and to each committee member, for those committees on which they serve, to identify areas for future improvement. This feedback is also considered by the Governance Committee when searching for and evaluating potential future Board nominees to help ensure we are adding new directors with the proper mix of subject matter expertise and perspective consistent with the needs of our growing Company.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8" w:name="DIRECTOR_SUCCESSION_PLANNING"/>
      <w:bookmarkEnd w:id="18"/>
      <w:r>
        <w:rPr>
          <w:rFonts w:ascii="Open Sans SemiBold" w:hAnsi="Open Sans SemiBold"/>
          <w:b w:val="false"/>
          <w:i w:val="false"/>
          <w:caps w:val="false"/>
          <w:smallCaps w:val="false"/>
          <w:color w:val="004A7C"/>
          <w:sz w:val="17"/>
          <w:bdr w:val="single" w:sz="6" w:space="1" w:color="00497C"/>
        </w:rPr>
        <w:t xml:space="preserve">Director Succession Planning </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The Board, through the Governance Committee, engages in formal Board succession planning/forward planning discussions at regular intervals throughout the year, in which it considers and evaluates director tenure and the skill sets of current directors. These discussions are supported by the formal evaluation process that identifies areas for improvement, including the need to add new members with unique expertise and experience that it believes will benefit our Company. These discussion topics are included as quarterly agenda items for the Governance Committee. The Governance Committee utilizes an executive search firm to identify potential director candidates and conducts interviews on an ongoing basis. The Board also established a mandatory director retirement age of 72 to promote continual refreshment and the addition of diverse perspectives. </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29</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1194"/>
        <w:gridCol w:w="1186"/>
        <w:gridCol w:w="30"/>
        <w:gridCol w:w="30"/>
        <w:gridCol w:w="398"/>
        <w:gridCol w:w="398"/>
        <w:gridCol w:w="2940"/>
        <w:gridCol w:w="2475"/>
        <w:gridCol w:w="931"/>
        <w:gridCol w:w="931"/>
        <w:gridCol w:w="26"/>
      </w:tblGrid>
      <w:tr>
        <w:trPr/>
        <w:tc>
          <w:tcPr>
            <w:tcW w:w="119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940" w:type="dxa"/>
            <w:tcBorders/>
            <w:shd w:fill="auto" w:val="clear"/>
            <w:vAlign w:val="center"/>
          </w:tcPr>
          <w:p>
            <w:pPr>
              <w:pStyle w:val="TableContents"/>
              <w:spacing w:before="0" w:after="283"/>
              <w:rPr>
                <w:sz w:val="4"/>
                <w:szCs w:val="4"/>
              </w:rPr>
            </w:pPr>
            <w:r>
              <w:rPr>
                <w:sz w:val="4"/>
                <w:szCs w:val="4"/>
              </w:rPr>
            </w:r>
          </w:p>
        </w:tc>
        <w:tc>
          <w:tcPr>
            <w:tcW w:w="247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6" w:type="dxa"/>
            <w:tcBorders/>
            <w:shd w:fill="auto" w:val="clear"/>
            <w:vAlign w:val="center"/>
          </w:tcPr>
          <w:p>
            <w:pPr>
              <w:pStyle w:val="TableContents"/>
              <w:spacing w:before="0" w:after="283"/>
              <w:rPr>
                <w:sz w:val="4"/>
                <w:szCs w:val="4"/>
              </w:rPr>
            </w:pPr>
            <w:r>
              <w:rPr>
                <w:sz w:val="4"/>
                <w:szCs w:val="4"/>
              </w:rPr>
            </w:r>
          </w:p>
        </w:tc>
      </w:tr>
      <w:tr>
        <w:trPr/>
        <w:tc>
          <w:tcPr>
            <w:tcW w:w="2380" w:type="dxa"/>
            <w:gridSpan w:val="2"/>
            <w:vMerge w:val="restart"/>
            <w:tcBorders>
              <w:left w:val="single" w:sz="12" w:space="0" w:color="D80025"/>
            </w:tcBorders>
            <w:shd w:fill="D8E1E9" w:val="clear"/>
            <w:tcMar>
              <w:left w:w="28" w:type="dxa"/>
            </w:tcMar>
          </w:tcPr>
          <w:p>
            <w:pPr>
              <w:pStyle w:val="TableContents"/>
              <w:spacing w:before="0" w:after="0"/>
              <w:ind w:left="80" w:right="0" w:hanging="0"/>
              <w:rPr>
                <w:rFonts w:ascii="Open Sans" w:hAnsi="Open Sans"/>
                <w:b/>
                <w:i w:val="false"/>
                <w:caps w:val="false"/>
                <w:smallCaps w:val="false"/>
                <w:color w:val="004A7C"/>
                <w:sz w:val="18"/>
              </w:rPr>
            </w:pPr>
            <w:r>
              <w:rPr>
                <w:rFonts w:ascii="Open Sans" w:hAnsi="Open Sans"/>
                <w:b/>
                <w:i w:val="false"/>
                <w:caps w:val="false"/>
                <w:smallCaps w:val="false"/>
                <w:color w:val="004A7C"/>
                <w:sz w:val="18"/>
              </w:rPr>
              <w:t>Audit</w:t>
              <w:br/>
              <w:t>Committee</w:t>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Key Responsibilities</w:t>
            </w:r>
          </w:p>
        </w:tc>
        <w:tc>
          <w:tcPr>
            <w:tcW w:w="1862" w:type="dxa"/>
            <w:gridSpan w:val="2"/>
            <w:vMerge w:val="restart"/>
            <w:tcBorders/>
            <w:shd w:fill="auto" w:val="clear"/>
            <w:vAlign w:val="center"/>
          </w:tcPr>
          <w:p>
            <w:pPr>
              <w:pStyle w:val="TableContents"/>
              <w:spacing w:before="0" w:after="0"/>
              <w:ind w:left="120" w:right="0" w:hanging="0"/>
              <w:rPr>
                <w:rFonts w:ascii="Open Sans" w:hAnsi="Open Sans"/>
                <w:b/>
                <w:i w:val="false"/>
                <w:caps w:val="false"/>
                <w:smallCaps w:val="false"/>
                <w:color w:val="004A7C"/>
                <w:sz w:val="14"/>
              </w:rPr>
            </w:pPr>
            <w:r>
              <w:rPr>
                <w:rFonts w:ascii="Open Sans" w:hAnsi="Open Sans"/>
                <w:b/>
                <w:i w:val="false"/>
                <w:caps w:val="false"/>
                <w:smallCaps w:val="false"/>
                <w:color w:val="004A7C"/>
                <w:sz w:val="14"/>
              </w:rPr>
              <w:t>The committee held FOUR meetings and met regularly in executive sessions during 2022</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D8E1E9"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Assists the Board in monitoring the integrity of financial statements, our compliance with legal and regulatory requirements, political contributions, our ethics and compliance program and the independence and performance of our internal and external auditors on an annual basis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shd w:fill="auto" w:val="clear"/>
            <w:vAlign w:val="center"/>
          </w:tcPr>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 xml:space="preserve">Jennifer M. Kirk*, </w:t>
            </w:r>
            <w:r>
              <w:rPr>
                <w:rFonts w:ascii="Open Sans" w:hAnsi="Open Sans"/>
                <w:b/>
                <w:i w:val="false"/>
                <w:caps w:val="false"/>
                <w:smallCaps w:val="false"/>
                <w:color w:val="004A7C"/>
                <w:sz w:val="14"/>
              </w:rPr>
              <w:t>Chair</w:t>
            </w:r>
          </w:p>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Tomago Collins</w:t>
              <w:br/>
              <w:t>Michael A. Duffy</w:t>
              <w:br/>
              <w:t>Brian S. Tyler*</w:t>
              <w:br/>
              <w:t>Katharine B. Weymouth</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Meets with management and the independent auditor to review the Company’s major financial and cybersecurity risk exposures and the steps management has taken to monitor and control such exposures including a review of information and security policies, data protection strategies and internal controls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issues regarding accounting principles, financial statement presentations, internal controls and the effect of regulatory and accounting initiatives on the financial statements of the Company</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Has the ultimate authority and responsibility to select, evaluate, terminate and replace our independent registered public accounting firm</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Approves the Audit Committee Report in this Proxy Statement</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SemiBold" w:hAnsi="Open Sans SemiBold"/>
                <w:b w:val="false"/>
                <w:i w:val="false"/>
                <w:caps w:val="false"/>
                <w:smallCaps w:val="false"/>
                <w:color w:val="004A7C"/>
                <w:sz w:val="14"/>
              </w:rPr>
            </w:pPr>
            <w:r>
              <w:rPr>
                <w:rFonts w:ascii="Open Sans SemiBold" w:hAnsi="Open Sans SemiBold"/>
                <w:b w:val="false"/>
                <w:i w:val="false"/>
                <w:caps w:val="false"/>
                <w:smallCaps w:val="false"/>
                <w:color w:val="004A7C"/>
                <w:sz w:val="14"/>
              </w:rPr>
              <w:t>* Our Board has determined that each of Ms. Kirk and Mr. Tyler qualify as an "audit committee financial expert" within the meaning of Item 407 of Regulation S-K.</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tcBorders/>
            <w:shd w:fill="auto" w:val="clear"/>
          </w:tcPr>
          <w:p>
            <w:pPr>
              <w:pStyle w:val="TableContents"/>
              <w:spacing w:before="0" w:after="0"/>
              <w:ind w:left="0" w:right="0" w:hanging="0"/>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left w:val="single" w:sz="12" w:space="0" w:color="D80025"/>
            </w:tcBorders>
            <w:shd w:fill="auto" w:val="clear"/>
            <w:tcMar>
              <w:left w:w="28" w:type="dxa"/>
            </w:tcMar>
          </w:tcPr>
          <w:p>
            <w:pPr>
              <w:pStyle w:val="TableContents"/>
              <w:spacing w:before="0" w:after="0"/>
              <w:ind w:left="80" w:right="0" w:hanging="0"/>
              <w:rPr>
                <w:rFonts w:ascii="Open Sans" w:hAnsi="Open Sans"/>
                <w:b/>
                <w:i w:val="false"/>
                <w:caps w:val="false"/>
                <w:smallCaps w:val="false"/>
                <w:color w:val="004A7C"/>
                <w:sz w:val="18"/>
              </w:rPr>
            </w:pPr>
            <w:r>
              <w:rPr>
                <w:rFonts w:ascii="Open Sans" w:hAnsi="Open Sans"/>
                <w:b/>
                <w:i w:val="false"/>
                <w:caps w:val="false"/>
                <w:smallCaps w:val="false"/>
                <w:color w:val="004A7C"/>
                <w:sz w:val="18"/>
              </w:rPr>
              <w:t>Talent &amp; Compensation Committee</w:t>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Key Responsibilities</w:t>
            </w:r>
          </w:p>
        </w:tc>
        <w:tc>
          <w:tcPr>
            <w:tcW w:w="1862" w:type="dxa"/>
            <w:gridSpan w:val="2"/>
            <w:vMerge w:val="restart"/>
            <w:tcBorders/>
            <w:shd w:fill="auto" w:val="clear"/>
            <w:vAlign w:val="center"/>
          </w:tcPr>
          <w:p>
            <w:pPr>
              <w:pStyle w:val="TableContents"/>
              <w:spacing w:before="0" w:after="0"/>
              <w:ind w:left="120" w:right="0" w:hanging="0"/>
              <w:rPr>
                <w:rFonts w:ascii="Open Sans" w:hAnsi="Open Sans"/>
                <w:b/>
                <w:i w:val="false"/>
                <w:caps w:val="false"/>
                <w:smallCaps w:val="false"/>
                <w:color w:val="004A7C"/>
                <w:sz w:val="14"/>
              </w:rPr>
            </w:pPr>
            <w:r>
              <w:rPr>
                <w:rFonts w:ascii="Open Sans" w:hAnsi="Open Sans"/>
                <w:b/>
                <w:i w:val="false"/>
                <w:caps w:val="false"/>
                <w:smallCaps w:val="false"/>
                <w:color w:val="004A7C"/>
                <w:sz w:val="14"/>
              </w:rPr>
              <w:t>The committee held SIX meetings and met regularly in executive sessions during 2022</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auto"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Establishes and regularly reviews our compensation and benefits philosophy and program consistent with corporate financial goals and objectives, including sustainability metrics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auto"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Determines the salaries and incentive compensation payable to executive officers, including annual and long-term incentive compensation under our shareholder-approved pay-for performance program</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shd w:fill="auto" w:val="clear"/>
            <w:vAlign w:val="center"/>
          </w:tcPr>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 xml:space="preserve">Thomas W. Handley, </w:t>
            </w:r>
            <w:r>
              <w:rPr>
                <w:rFonts w:ascii="Open Sans" w:hAnsi="Open Sans"/>
                <w:b/>
                <w:i w:val="false"/>
                <w:caps w:val="false"/>
                <w:smallCaps w:val="false"/>
                <w:color w:val="004A7C"/>
                <w:sz w:val="14"/>
              </w:rPr>
              <w:t>Chair</w:t>
            </w:r>
          </w:p>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Michael Larson</w:t>
              <w:br/>
              <w:t>James P. Snee</w:t>
              <w:br/>
              <w:t>Katharine B. Weymouth</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Administers our benefits plans and our stock incentive plan</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Evaluates our CEO's performance, sets his compensation and reviews the executive succession plan overseen by the Governance Committee</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and oversees our talent management strategy and execution including talent acquisition and retention, inclusion and diversity, employee engagement and employee wellbeing</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Engages with management each quarter on critical elements of our talent program</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Oversees the annual risk assessment of our compensation policies and practices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Oversees the scope and engagement of the external compensation consultant's services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SemiBold" w:hAnsi="Open Sans SemiBold"/>
                <w:b w:val="false"/>
                <w:i w:val="false"/>
                <w:caps w:val="false"/>
                <w:smallCaps w:val="false"/>
                <w:color w:val="004A7C"/>
                <w:sz w:val="14"/>
              </w:rPr>
            </w:pPr>
            <w:r>
              <w:rPr>
                <w:rFonts w:ascii="Open Sans SemiBold" w:hAnsi="Open Sans SemiBold"/>
                <w:b w:val="false"/>
                <w:i w:val="false"/>
                <w:caps w:val="false"/>
                <w:smallCaps w:val="false"/>
                <w:color w:val="004A7C"/>
                <w:sz w:val="14"/>
              </w:rPr>
              <w:t xml:space="preserve">The Committee retained Pearl Meyer &amp; Partners ("Pearl Meyer") as its compensation consultant, as further discussed on page </w:t>
            </w:r>
            <w:r>
              <w:rPr>
                <w:rFonts w:ascii="Open Sans" w:hAnsi="Open Sans"/>
                <w:b w:val="false"/>
                <w:i w:val="false"/>
                <w:caps w:val="false"/>
                <w:smallCaps w:val="false"/>
                <w:color w:val="00497C"/>
                <w:sz w:val="14"/>
              </w:rPr>
              <w:t>69</w:t>
            </w:r>
            <w:r>
              <w:rPr>
                <w:rFonts w:ascii="Open Sans SemiBold" w:hAnsi="Open Sans SemiBold"/>
                <w:b w:val="false"/>
                <w:i w:val="false"/>
                <w:caps w:val="false"/>
                <w:smallCaps w:val="false"/>
                <w:color w:val="004A7C"/>
                <w:sz w:val="14"/>
              </w:rPr>
              <w:t>.</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tcBorders/>
            <w:shd w:fill="auto" w:val="clear"/>
          </w:tcPr>
          <w:p>
            <w:pPr>
              <w:pStyle w:val="TableContents"/>
              <w:spacing w:before="0" w:after="0"/>
              <w:ind w:left="0" w:right="0" w:hanging="0"/>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left w:val="single" w:sz="12" w:space="0" w:color="D80025"/>
            </w:tcBorders>
            <w:shd w:fill="D8E1E9" w:val="clear"/>
            <w:tcMar>
              <w:left w:w="28" w:type="dxa"/>
            </w:tcMar>
          </w:tcPr>
          <w:p>
            <w:pPr>
              <w:pStyle w:val="TableContents"/>
              <w:spacing w:before="0" w:after="0"/>
              <w:ind w:left="80" w:right="0" w:hanging="0"/>
              <w:rPr>
                <w:rFonts w:ascii="Open Sans" w:hAnsi="Open Sans"/>
                <w:b/>
                <w:i w:val="false"/>
                <w:caps w:val="false"/>
                <w:smallCaps w:val="false"/>
                <w:color w:val="004A7C"/>
                <w:sz w:val="18"/>
              </w:rPr>
            </w:pPr>
            <w:r>
              <w:rPr>
                <w:rFonts w:ascii="Open Sans" w:hAnsi="Open Sans"/>
                <w:b/>
                <w:i w:val="false"/>
                <w:caps w:val="false"/>
                <w:smallCaps w:val="false"/>
                <w:color w:val="004A7C"/>
                <w:sz w:val="18"/>
              </w:rPr>
              <w:t>Nominating &amp; Corporate Governance Committee</w:t>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Key Responsibilities</w:t>
            </w:r>
          </w:p>
        </w:tc>
        <w:tc>
          <w:tcPr>
            <w:tcW w:w="1862" w:type="dxa"/>
            <w:gridSpan w:val="2"/>
            <w:vMerge w:val="restart"/>
            <w:tcBorders/>
            <w:shd w:fill="auto" w:val="clear"/>
            <w:vAlign w:val="center"/>
          </w:tcPr>
          <w:p>
            <w:pPr>
              <w:pStyle w:val="TableContents"/>
              <w:spacing w:before="0" w:after="0"/>
              <w:ind w:left="120" w:right="0" w:hanging="0"/>
              <w:rPr>
                <w:rFonts w:ascii="Open Sans" w:hAnsi="Open Sans"/>
                <w:b/>
                <w:i w:val="false"/>
                <w:caps w:val="false"/>
                <w:smallCaps w:val="false"/>
                <w:color w:val="004A7C"/>
                <w:sz w:val="14"/>
              </w:rPr>
            </w:pPr>
            <w:r>
              <w:rPr>
                <w:rFonts w:ascii="Open Sans" w:hAnsi="Open Sans"/>
                <w:b/>
                <w:i w:val="false"/>
                <w:caps w:val="false"/>
                <w:smallCaps w:val="false"/>
                <w:color w:val="004A7C"/>
                <w:sz w:val="14"/>
              </w:rPr>
              <w:t>The committee held FOUR meetings and met regularly in executive sessions during 2022</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D8E1E9"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Identifies Director candidates that it recommends to our Board for selection as the director nominees for the next annual meeting or to fill vacancies and candidates that it recommends to our Board for selection as the Chairman of the Board</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D8E1E9"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Develops and recommends our corporate governance principles and reviews and provides oversight of the effectiveness of our governance practices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shd w:fill="auto" w:val="clear"/>
            <w:vAlign w:val="center"/>
          </w:tcPr>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 xml:space="preserve">Michael Larson, </w:t>
            </w:r>
            <w:r>
              <w:rPr>
                <w:rFonts w:ascii="Open Sans" w:hAnsi="Open Sans"/>
                <w:b/>
                <w:i w:val="false"/>
                <w:caps w:val="false"/>
                <w:smallCaps w:val="false"/>
                <w:color w:val="004A7C"/>
                <w:sz w:val="14"/>
              </w:rPr>
              <w:t>Chair</w:t>
            </w:r>
          </w:p>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Thomas W. Handley</w:t>
              <w:br/>
              <w:t>Jennifer M. Kirk</w:t>
              <w:br/>
              <w:t>James P. Snee</w:t>
              <w:br/>
              <w:t>Sandra M. Volpe</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Oversees the annual evaluation of the Board and its committees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Makes recommendations to the Board related to the compensation of nonemployee directors, and monitors the talent management and succession planning program for executive management to ensure appropriate focus on maintaining a diverse team of current and future executives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Considers nominations for the Board from shareholders that are entitled to vote for the election of directors, as described under “Shareholder Director Recommendation Policy"</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tcBorders/>
            <w:shd w:fill="auto" w:val="clear"/>
          </w:tcPr>
          <w:p>
            <w:pPr>
              <w:pStyle w:val="TableContents"/>
              <w:spacing w:before="0" w:after="0"/>
              <w:ind w:left="0" w:right="0" w:hanging="0"/>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left w:val="single" w:sz="12" w:space="0" w:color="D80025"/>
            </w:tcBorders>
            <w:shd w:fill="auto" w:val="clear"/>
            <w:tcMar>
              <w:left w:w="28" w:type="dxa"/>
            </w:tcMar>
          </w:tcPr>
          <w:p>
            <w:pPr>
              <w:pStyle w:val="TableContents"/>
              <w:spacing w:before="0" w:after="0"/>
              <w:ind w:left="80" w:right="0" w:hanging="0"/>
              <w:rPr>
                <w:rFonts w:ascii="Open Sans" w:hAnsi="Open Sans"/>
                <w:b/>
                <w:i w:val="false"/>
                <w:caps w:val="false"/>
                <w:smallCaps w:val="false"/>
                <w:color w:val="004A7C"/>
                <w:sz w:val="18"/>
              </w:rPr>
            </w:pPr>
            <w:r>
              <w:rPr>
                <w:rFonts w:ascii="Open Sans" w:hAnsi="Open Sans"/>
                <w:b/>
                <w:i w:val="false"/>
                <w:caps w:val="false"/>
                <w:smallCaps w:val="false"/>
                <w:color w:val="004A7C"/>
                <w:sz w:val="18"/>
              </w:rPr>
              <w:t>Sustainability &amp; Corporate Responsibility Committee</w:t>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Key Responsibilities</w:t>
            </w:r>
          </w:p>
        </w:tc>
        <w:tc>
          <w:tcPr>
            <w:tcW w:w="1862" w:type="dxa"/>
            <w:gridSpan w:val="2"/>
            <w:vMerge w:val="restart"/>
            <w:tcBorders/>
            <w:shd w:fill="auto" w:val="clear"/>
            <w:vAlign w:val="center"/>
          </w:tcPr>
          <w:p>
            <w:pPr>
              <w:pStyle w:val="TableContents"/>
              <w:spacing w:before="0" w:after="0"/>
              <w:ind w:left="120" w:right="0" w:hanging="0"/>
              <w:rPr>
                <w:rFonts w:ascii="Open Sans" w:hAnsi="Open Sans"/>
                <w:b/>
                <w:i w:val="false"/>
                <w:caps w:val="false"/>
                <w:smallCaps w:val="false"/>
                <w:color w:val="004A7C"/>
                <w:sz w:val="14"/>
              </w:rPr>
            </w:pPr>
            <w:r>
              <w:rPr>
                <w:rFonts w:ascii="Open Sans" w:hAnsi="Open Sans"/>
                <w:b/>
                <w:i w:val="false"/>
                <w:caps w:val="false"/>
                <w:smallCaps w:val="false"/>
                <w:color w:val="004A7C"/>
                <w:sz w:val="14"/>
              </w:rPr>
              <w:t>The committee held FOUR meetings and met regularly in executive sessions during 2022</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auto"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the Company’s sustainability performance and progress toward sustainability goals and objectives, including appropriate sustainability scorecards and rankings and the Company’s climate change initiatives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auto" w:val="clear"/>
            <w:tcMar>
              <w:left w:w="28" w:type="dxa"/>
            </w:tcMar>
          </w:tcPr>
          <w:p>
            <w:pPr>
              <w:pStyle w:val="Normal"/>
              <w:rPr/>
            </w:pPr>
            <w:r>
              <w:rPr/>
            </w:r>
          </w:p>
        </w:tc>
        <w:tc>
          <w:tcPr>
            <w:tcW w:w="60" w:type="dxa"/>
            <w:gridSpan w:val="2"/>
            <w:vMerge w:val="restart"/>
            <w:tcBorders/>
            <w:shd w:fill="auto" w:val="clear"/>
          </w:tcPr>
          <w:p>
            <w:pPr>
              <w:pStyle w:val="TableContents"/>
              <w:spacing w:before="0" w:after="0"/>
              <w:ind w:left="0" w:right="0" w:hanging="0"/>
              <w:rPr/>
            </w:pPr>
            <w:r>
              <w:rPr/>
              <w:t> </w:t>
            </w:r>
          </w:p>
        </w:tc>
        <w:tc>
          <w:tcPr>
            <w:tcW w:w="796" w:type="dxa"/>
            <w:gridSpan w:val="2"/>
            <w:vMerge w:val="restart"/>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vMerge w:val="restart"/>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and provides oversight on sustainability and corporate responsibility topics including community engagement, sustainability performance and innovation, climate change, environmental management and security for the Company’s people and assets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shd w:fill="auto" w:val="clear"/>
            <w:vAlign w:val="center"/>
          </w:tcPr>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 xml:space="preserve">Tomago Collins, </w:t>
            </w:r>
            <w:r>
              <w:rPr>
                <w:rFonts w:ascii="Open Sans" w:hAnsi="Open Sans"/>
                <w:b/>
                <w:i w:val="false"/>
                <w:caps w:val="false"/>
                <w:smallCaps w:val="false"/>
                <w:color w:val="004A7C"/>
                <w:sz w:val="14"/>
              </w:rPr>
              <w:t>Chair</w:t>
            </w:r>
          </w:p>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Michael A. Duffy</w:t>
              <w:br/>
              <w:t>Brian S. Tyler</w:t>
              <w:br/>
              <w:t>Sandra M. Volpe</w:t>
            </w:r>
          </w:p>
        </w:tc>
        <w:tc>
          <w:tcPr>
            <w:tcW w:w="60" w:type="dxa"/>
            <w:gridSpan w:val="2"/>
            <w:vMerge w:val="continue"/>
            <w:tcBorders/>
            <w:shd w:fill="auto" w:val="clear"/>
          </w:tcPr>
          <w:p>
            <w:pPr>
              <w:pStyle w:val="Normal"/>
              <w:rPr/>
            </w:pPr>
            <w:r>
              <w:rPr/>
            </w:r>
          </w:p>
        </w:tc>
        <w:tc>
          <w:tcPr>
            <w:tcW w:w="796" w:type="dxa"/>
            <w:gridSpan w:val="2"/>
            <w:vMerge w:val="continue"/>
            <w:tcBorders/>
            <w:shd w:fill="auto" w:val="clear"/>
          </w:tcPr>
          <w:p>
            <w:pPr>
              <w:pStyle w:val="Normal"/>
              <w:rPr/>
            </w:pPr>
            <w:r>
              <w:rPr/>
            </w:r>
          </w:p>
        </w:tc>
        <w:tc>
          <w:tcPr>
            <w:tcW w:w="5415" w:type="dxa"/>
            <w:gridSpan w:val="2"/>
            <w:vMerge w:val="continue"/>
            <w:tcBorders/>
            <w:shd w:fill="auto" w:val="clear"/>
            <w:vAlign w:val="center"/>
          </w:tcPr>
          <w:p>
            <w:pPr>
              <w:pStyle w:val="Normal"/>
              <w:rPr/>
            </w:pPr>
            <w:r>
              <w:rPr/>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the annual sustainability report and charitable giving policies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Engages with shareholders and proxy advisor firms on sustainability, business conduct, environmental, safety and other matters relating to social, political and public policy issues, including the review and evaluation of shareholder proposals on these topics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tcBorders/>
            <w:shd w:fill="auto" w:val="clear"/>
          </w:tcPr>
          <w:p>
            <w:pPr>
              <w:pStyle w:val="TableContents"/>
              <w:spacing w:before="0" w:after="0"/>
              <w:ind w:left="0" w:right="0" w:hanging="0"/>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left w:val="single" w:sz="12" w:space="0" w:color="D80025"/>
            </w:tcBorders>
            <w:shd w:fill="D8E1E9" w:val="clear"/>
            <w:tcMar>
              <w:left w:w="28" w:type="dxa"/>
            </w:tcMar>
          </w:tcPr>
          <w:p>
            <w:pPr>
              <w:pStyle w:val="TableContents"/>
              <w:spacing w:before="0" w:after="0"/>
              <w:ind w:left="80" w:right="0" w:hanging="0"/>
              <w:rPr>
                <w:rFonts w:ascii="Open Sans" w:hAnsi="Open Sans"/>
                <w:b/>
                <w:i w:val="false"/>
                <w:caps w:val="false"/>
                <w:smallCaps w:val="false"/>
                <w:color w:val="004A7C"/>
                <w:sz w:val="18"/>
              </w:rPr>
            </w:pPr>
            <w:r>
              <w:rPr>
                <w:rFonts w:ascii="Open Sans" w:hAnsi="Open Sans"/>
                <w:b/>
                <w:i w:val="false"/>
                <w:caps w:val="false"/>
                <w:smallCaps w:val="false"/>
                <w:color w:val="004A7C"/>
                <w:sz w:val="18"/>
              </w:rPr>
              <w:t>Finance</w:t>
            </w:r>
          </w:p>
          <w:p>
            <w:pPr>
              <w:pStyle w:val="TableContents"/>
              <w:spacing w:before="0" w:after="0"/>
              <w:ind w:left="80" w:right="0" w:hanging="0"/>
              <w:rPr>
                <w:rFonts w:ascii="Open Sans" w:hAnsi="Open Sans"/>
                <w:b/>
                <w:i w:val="false"/>
                <w:caps w:val="false"/>
                <w:smallCaps w:val="false"/>
                <w:color w:val="004A7C"/>
                <w:sz w:val="18"/>
              </w:rPr>
            </w:pPr>
            <w:r>
              <w:rPr>
                <w:rFonts w:ascii="Open Sans" w:hAnsi="Open Sans"/>
                <w:b/>
                <w:i w:val="false"/>
                <w:caps w:val="false"/>
                <w:smallCaps w:val="false"/>
                <w:color w:val="004A7C"/>
                <w:sz w:val="18"/>
              </w:rPr>
              <w:t>Committee</w:t>
            </w:r>
          </w:p>
        </w:tc>
        <w:tc>
          <w:tcPr>
            <w:tcW w:w="60" w:type="dxa"/>
            <w:gridSpan w:val="2"/>
            <w:tcBorders/>
            <w:shd w:fill="auto" w:val="clear"/>
          </w:tcPr>
          <w:p>
            <w:pPr>
              <w:pStyle w:val="TableContents"/>
              <w:spacing w:before="0" w:after="0"/>
              <w:ind w:left="0" w:right="0" w:hanging="0"/>
              <w:rPr/>
            </w:pPr>
            <w:r>
              <w:rPr/>
              <w:t> </w:t>
            </w:r>
          </w:p>
        </w:tc>
        <w:tc>
          <w:tcPr>
            <w:tcW w:w="6211" w:type="dxa"/>
            <w:gridSpan w:val="4"/>
            <w:tcBorders/>
            <w:shd w:fill="auto" w:val="clear"/>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Key Responsibilities</w:t>
            </w:r>
          </w:p>
        </w:tc>
        <w:tc>
          <w:tcPr>
            <w:tcW w:w="1862" w:type="dxa"/>
            <w:gridSpan w:val="2"/>
            <w:vMerge w:val="restart"/>
            <w:tcBorders/>
            <w:shd w:fill="auto" w:val="clear"/>
            <w:vAlign w:val="center"/>
          </w:tcPr>
          <w:p>
            <w:pPr>
              <w:pStyle w:val="TableContents"/>
              <w:spacing w:before="0" w:after="0"/>
              <w:ind w:left="120" w:right="0" w:hanging="0"/>
              <w:rPr>
                <w:rFonts w:ascii="Open Sans" w:hAnsi="Open Sans"/>
                <w:b/>
                <w:i w:val="false"/>
                <w:caps w:val="false"/>
                <w:smallCaps w:val="false"/>
                <w:color w:val="004A7C"/>
                <w:sz w:val="14"/>
              </w:rPr>
            </w:pPr>
            <w:r>
              <w:rPr>
                <w:rFonts w:ascii="Open Sans" w:hAnsi="Open Sans"/>
                <w:b/>
                <w:i w:val="false"/>
                <w:caps w:val="false"/>
                <w:smallCaps w:val="false"/>
                <w:color w:val="004A7C"/>
                <w:sz w:val="14"/>
              </w:rPr>
              <w:t>The committee held SEVEN meetings and met regularly in executive sessions during 2022</w:t>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left w:val="single" w:sz="12" w:space="0" w:color="D80025"/>
            </w:tcBorders>
            <w:shd w:fill="D8E1E9" w:val="clear"/>
            <w:tcMar>
              <w:left w:w="28" w:type="dxa"/>
            </w:tcMa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the financial condition of the Company including the annual finance plan, long-term financial objectives and financial management principles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restart"/>
            <w:tcBorders/>
            <w:shd w:fill="auto" w:val="clear"/>
            <w:vAlign w:val="center"/>
          </w:tcPr>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 xml:space="preserve">James P. Snee, </w:t>
            </w:r>
            <w:r>
              <w:rPr>
                <w:rFonts w:ascii="Open Sans" w:hAnsi="Open Sans"/>
                <w:b/>
                <w:i w:val="false"/>
                <w:caps w:val="false"/>
                <w:smallCaps w:val="false"/>
                <w:color w:val="004A7C"/>
                <w:sz w:val="14"/>
              </w:rPr>
              <w:t>Chair</w:t>
            </w:r>
          </w:p>
          <w:p>
            <w:pPr>
              <w:pStyle w:val="TableContents"/>
              <w:spacing w:before="0" w:after="0"/>
              <w:ind w:left="8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Michael Larson</w:t>
              <w:br/>
              <w:t>Brian S. Tyler</w:t>
              <w:br/>
              <w:t>Sandra M. Volpe</w:t>
              <w:br/>
              <w:t>Katharine B. Weymouth</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and makes recommendations on management proposals for financing requirements, dividends, proposed capital budget, certain capital expenditures and the repurchase of Company stock</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Evaluates the financial impact of certain acquisitions and divestitures and conducts post-acquisition reviews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Annually reviews the Company’s insurable risk management strategy</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vMerge w:val="continue"/>
            <w:tcBorders/>
            <w:shd w:fill="auto" w:val="clear"/>
            <w:vAlign w:val="center"/>
          </w:tcPr>
          <w:p>
            <w:pPr>
              <w:pStyle w:val="Normal"/>
              <w:rPr/>
            </w:pPr>
            <w:r>
              <w:rPr/>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caps w:val="false"/>
                <w:smallCaps w:val="false"/>
                <w:color w:val="D80025"/>
              </w:rPr>
            </w:pPr>
            <w:r>
              <w:rPr>
                <w:caps w:val="false"/>
                <w:smallCaps w:val="false"/>
                <w:color w:val="D80025"/>
              </w:rPr>
              <w:t>•</w:t>
            </w:r>
          </w:p>
        </w:tc>
        <w:tc>
          <w:tcPr>
            <w:tcW w:w="5415" w:type="dxa"/>
            <w:gridSpan w:val="2"/>
            <w:tcBorders/>
            <w:shd w:fill="auto" w:val="clea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Reviews and reports to the Board on the significant financial impact of retirement benefit plans</w:t>
            </w:r>
          </w:p>
        </w:tc>
        <w:tc>
          <w:tcPr>
            <w:tcW w:w="1862" w:type="dxa"/>
            <w:gridSpan w:val="2"/>
            <w:vMerge w:val="continue"/>
            <w:tcBorders/>
            <w:shd w:fill="auto" w:val="clear"/>
            <w:vAlign w:val="center"/>
          </w:tcPr>
          <w:p>
            <w:pPr>
              <w:pStyle w:val="Normal"/>
              <w:rPr/>
            </w:pPr>
            <w:r>
              <w:rPr/>
            </w:r>
          </w:p>
        </w:tc>
        <w:tc>
          <w:tcPr>
            <w:tcW w:w="26" w:type="dxa"/>
            <w:tcBorders/>
            <w:shd w:fill="auto" w:val="clear"/>
          </w:tcPr>
          <w:p>
            <w:pPr>
              <w:pStyle w:val="TableContents"/>
              <w:spacing w:before="0" w:after="283"/>
              <w:rPr>
                <w:sz w:val="4"/>
                <w:szCs w:val="4"/>
              </w:rPr>
            </w:pPr>
            <w:r>
              <w:rPr>
                <w:sz w:val="4"/>
                <w:szCs w:val="4"/>
              </w:rPr>
            </w:r>
          </w:p>
        </w:tc>
      </w:tr>
      <w:tr>
        <w:trPr/>
        <w:tc>
          <w:tcPr>
            <w:tcW w:w="2380" w:type="dxa"/>
            <w:gridSpan w:val="2"/>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96" w:type="dxa"/>
            <w:gridSpan w:val="2"/>
            <w:tcBorders/>
            <w:shd w:fill="auto" w:val="clear"/>
          </w:tcPr>
          <w:p>
            <w:pPr>
              <w:pStyle w:val="TableContents"/>
              <w:spacing w:before="0" w:after="0"/>
              <w:ind w:left="0" w:right="0" w:hanging="0"/>
              <w:rPr/>
            </w:pPr>
            <w:r>
              <w:rPr/>
              <w:t> </w:t>
            </w:r>
          </w:p>
        </w:tc>
        <w:tc>
          <w:tcPr>
            <w:tcW w:w="5415" w:type="dxa"/>
            <w:gridSpan w:val="2"/>
            <w:tcBorders/>
            <w:shd w:fill="auto" w:val="clear"/>
          </w:tcPr>
          <w:p>
            <w:pPr>
              <w:pStyle w:val="TableContents"/>
              <w:spacing w:before="0" w:after="0"/>
              <w:ind w:left="0" w:right="0" w:hanging="0"/>
              <w:rPr/>
            </w:pPr>
            <w:r>
              <w:rPr/>
              <w:t> </w:t>
            </w:r>
          </w:p>
        </w:tc>
        <w:tc>
          <w:tcPr>
            <w:tcW w:w="1862" w:type="dxa"/>
            <w:gridSpan w:val="2"/>
            <w:tcBorders/>
            <w:shd w:fill="auto" w:val="clear"/>
          </w:tcPr>
          <w:p>
            <w:pPr>
              <w:pStyle w:val="TableContents"/>
              <w:spacing w:before="0" w:after="0"/>
              <w:ind w:left="0" w:right="0" w:hanging="0"/>
              <w:rPr/>
            </w:pPr>
            <w:r>
              <w:rPr/>
              <w:t> </w:t>
            </w:r>
          </w:p>
        </w:tc>
        <w:tc>
          <w:tcPr>
            <w:tcW w:w="26" w:type="dxa"/>
            <w:tcBorders/>
            <w:shd w:fill="auto" w:val="clear"/>
          </w:tcPr>
          <w:p>
            <w:pPr>
              <w:pStyle w:val="TableContents"/>
              <w:spacing w:before="0" w:after="283"/>
              <w:rPr>
                <w:sz w:val="4"/>
                <w:szCs w:val="4"/>
              </w:rPr>
            </w:pPr>
            <w:r>
              <w:rPr>
                <w:sz w:val="4"/>
                <w:szCs w:val="4"/>
              </w:rPr>
            </w:r>
          </w:p>
        </w:tc>
      </w:tr>
    </w:tbl>
    <w:p>
      <w:pPr>
        <w:pStyle w:val="TextBody"/>
        <w:spacing w:before="0" w:after="0"/>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30</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12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Board evaluation and succession planning processes are critical components of the Board’s commitment to and execution of its Board refreshment policy. The following graphic illustrates how these processes support our commitment to help ensure we have the right members on our Board: </w:t>
      </w:r>
    </w:p>
    <w:tbl>
      <w:tblPr>
        <w:tblW w:w="10539" w:type="dxa"/>
        <w:jc w:val="left"/>
        <w:tblInd w:w="0" w:type="dxa"/>
        <w:tblCellMar>
          <w:top w:w="0" w:type="dxa"/>
          <w:left w:w="0" w:type="dxa"/>
          <w:bottom w:w="0" w:type="dxa"/>
          <w:right w:w="0" w:type="dxa"/>
        </w:tblCellMar>
      </w:tblPr>
      <w:tblGrid>
        <w:gridCol w:w="3514"/>
        <w:gridCol w:w="300"/>
        <w:gridCol w:w="2871"/>
        <w:gridCol w:w="300"/>
        <w:gridCol w:w="3554"/>
      </w:tblGrid>
      <w:tr>
        <w:trPr/>
        <w:tc>
          <w:tcPr>
            <w:tcW w:w="351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554" w:type="dxa"/>
            <w:tcBorders/>
            <w:shd w:fill="auto" w:val="clear"/>
            <w:vAlign w:val="center"/>
          </w:tcPr>
          <w:p>
            <w:pPr>
              <w:pStyle w:val="TableContents"/>
              <w:spacing w:before="0" w:after="283"/>
              <w:rPr>
                <w:sz w:val="4"/>
                <w:szCs w:val="4"/>
              </w:rPr>
            </w:pPr>
            <w:r>
              <w:rPr>
                <w:sz w:val="4"/>
                <w:szCs w:val="4"/>
              </w:rPr>
            </w:r>
          </w:p>
        </w:tc>
      </w:tr>
      <w:tr>
        <w:trPr/>
        <w:tc>
          <w:tcPr>
            <w:tcW w:w="3514" w:type="dxa"/>
            <w:tcBorders>
              <w:top w:val="single" w:sz="6" w:space="0" w:color="7BBEEA"/>
              <w:left w:val="single" w:sz="6" w:space="0" w:color="7BBEEA"/>
              <w:right w:val="single" w:sz="6" w:space="0" w:color="7BBEEA"/>
            </w:tcBorders>
            <w:shd w:fill="7BBEEA" w:val="clear"/>
            <w:tcMar>
              <w:top w:w="28" w:type="dxa"/>
              <w:left w:w="28" w:type="dxa"/>
              <w:right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FFFFFF"/>
                <w:sz w:val="17"/>
              </w:rPr>
            </w:pPr>
            <w:r>
              <w:rPr>
                <w:rFonts w:ascii="Open Sans SemiBold" w:hAnsi="Open Sans SemiBold"/>
                <w:b w:val="false"/>
                <w:i w:val="false"/>
                <w:caps w:val="false"/>
                <w:smallCaps w:val="false"/>
                <w:color w:val="FFFFFF"/>
                <w:sz w:val="17"/>
                <w:highlight w:val="cyan"/>
              </w:rPr>
              <w:t>ANNUAL</w:t>
            </w:r>
            <w:r>
              <w:rPr>
                <w:rFonts w:ascii="Open Sans SemiBold" w:hAnsi="Open Sans SemiBold"/>
                <w:b w:val="false"/>
                <w:i w:val="false"/>
                <w:caps w:val="false"/>
                <w:smallCaps w:val="false"/>
                <w:color w:val="FFFFFF"/>
                <w:sz w:val="17"/>
              </w:rPr>
              <w:t xml:space="preserve"> BOARD EVALUATION</w:t>
            </w:r>
          </w:p>
        </w:tc>
        <w:tc>
          <w:tcPr>
            <w:tcW w:w="300" w:type="dxa"/>
            <w:tcBorders>
              <w:top w:val="single" w:sz="6" w:space="0" w:color="000000"/>
              <w:left w:val="single" w:sz="6" w:space="0" w:color="7BBEEA"/>
              <w:right w:val="single" w:sz="6" w:space="0" w:color="1F497D"/>
            </w:tcBorders>
            <w:shd w:fill="auto" w:val="clear"/>
            <w:tcMar>
              <w:top w:w="28" w:type="dxa"/>
              <w:left w:w="28" w:type="dxa"/>
              <w:right w:w="28" w:type="dxa"/>
            </w:tcMar>
            <w:vAlign w:val="center"/>
          </w:tcPr>
          <w:p>
            <w:pPr>
              <w:pStyle w:val="TableContents"/>
              <w:spacing w:before="120" w:after="120"/>
              <w:ind w:left="0" w:right="0" w:hanging="0"/>
              <w:jc w:val="center"/>
              <w:rPr/>
            </w:pPr>
            <w:r>
              <w:rPr/>
              <w:t> </w:t>
            </w:r>
          </w:p>
        </w:tc>
        <w:tc>
          <w:tcPr>
            <w:tcW w:w="2871" w:type="dxa"/>
            <w:tcBorders>
              <w:top w:val="single" w:sz="6" w:space="0" w:color="1F497D"/>
              <w:left w:val="single" w:sz="6" w:space="0" w:color="1F497D"/>
              <w:right w:val="single" w:sz="6" w:space="0" w:color="1F497D"/>
            </w:tcBorders>
            <w:shd w:fill="1F497D" w:val="clear"/>
            <w:tcMar>
              <w:top w:w="28" w:type="dxa"/>
              <w:left w:w="28" w:type="dxa"/>
              <w:right w:w="28" w:type="dxa"/>
            </w:tcMar>
            <w:vAlign w:val="center"/>
          </w:tcPr>
          <w:p>
            <w:pPr>
              <w:pStyle w:val="TableContents"/>
              <w:spacing w:before="120" w:after="120"/>
              <w:ind w:left="0" w:right="0" w:hanging="0"/>
              <w:jc w:val="center"/>
              <w:rPr>
                <w:rFonts w:ascii="Open Sans SemiBold" w:hAnsi="Open Sans SemiBold"/>
                <w:b w:val="false"/>
                <w:i w:val="false"/>
                <w:caps w:val="false"/>
                <w:smallCaps w:val="false"/>
                <w:color w:val="FFFFFF"/>
                <w:sz w:val="17"/>
              </w:rPr>
            </w:pPr>
            <w:r>
              <w:rPr>
                <w:rFonts w:ascii="Open Sans SemiBold" w:hAnsi="Open Sans SemiBold"/>
                <w:b w:val="false"/>
                <w:i w:val="false"/>
                <w:caps w:val="false"/>
                <w:smallCaps w:val="false"/>
                <w:color w:val="FFFFFF"/>
                <w:sz w:val="17"/>
              </w:rPr>
              <w:t>SUCCESSION PLANNING</w:t>
            </w:r>
          </w:p>
        </w:tc>
        <w:tc>
          <w:tcPr>
            <w:tcW w:w="300" w:type="dxa"/>
            <w:tcBorders>
              <w:top w:val="single" w:sz="6" w:space="0" w:color="000000"/>
              <w:left w:val="single" w:sz="6" w:space="0" w:color="1F497D"/>
              <w:right w:val="single" w:sz="6" w:space="0" w:color="7BBEEA"/>
            </w:tcBorders>
            <w:shd w:fill="auto" w:val="clear"/>
            <w:tcMar>
              <w:top w:w="28" w:type="dxa"/>
              <w:left w:w="28" w:type="dxa"/>
              <w:right w:w="28" w:type="dxa"/>
            </w:tcMar>
            <w:vAlign w:val="center"/>
          </w:tcPr>
          <w:p>
            <w:pPr>
              <w:pStyle w:val="TableContents"/>
              <w:spacing w:before="120" w:after="120"/>
              <w:ind w:left="0" w:right="0" w:hanging="0"/>
              <w:jc w:val="center"/>
              <w:rPr/>
            </w:pPr>
            <w:r>
              <w:rPr/>
              <w:t> </w:t>
            </w:r>
          </w:p>
        </w:tc>
        <w:tc>
          <w:tcPr>
            <w:tcW w:w="3554" w:type="dxa"/>
            <w:tcBorders>
              <w:top w:val="single" w:sz="6" w:space="0" w:color="7BBEEA"/>
              <w:left w:val="single" w:sz="6" w:space="0" w:color="7BBEEA"/>
              <w:right w:val="single" w:sz="6" w:space="0" w:color="7BBEEA"/>
            </w:tcBorders>
            <w:shd w:fill="7BBEEA" w:val="clear"/>
            <w:tcMar>
              <w:top w:w="28" w:type="dxa"/>
              <w:left w:w="28" w:type="dxa"/>
              <w:right w:w="28" w:type="dxa"/>
            </w:tcMar>
            <w:vAlign w:val="center"/>
          </w:tcPr>
          <w:p>
            <w:pPr>
              <w:pStyle w:val="TableContents"/>
              <w:spacing w:before="120" w:after="120"/>
              <w:ind w:left="0" w:right="0" w:hanging="0"/>
              <w:jc w:val="center"/>
              <w:rPr>
                <w:rFonts w:ascii="Open Sans SemiBold" w:hAnsi="Open Sans SemiBold"/>
                <w:b w:val="false"/>
                <w:i w:val="false"/>
                <w:caps w:val="false"/>
                <w:smallCaps w:val="false"/>
                <w:color w:val="FFFFFF"/>
                <w:sz w:val="17"/>
              </w:rPr>
            </w:pPr>
            <w:r>
              <w:rPr>
                <w:rFonts w:ascii="Open Sans SemiBold" w:hAnsi="Open Sans SemiBold"/>
                <w:b w:val="false"/>
                <w:i w:val="false"/>
                <w:caps w:val="false"/>
                <w:smallCaps w:val="false"/>
                <w:color w:val="FFFFFF"/>
                <w:sz w:val="17"/>
              </w:rPr>
              <w:t>BOARD REFRESHMENT</w:t>
            </w:r>
          </w:p>
        </w:tc>
      </w:tr>
      <w:tr>
        <w:trPr/>
        <w:tc>
          <w:tcPr>
            <w:tcW w:w="3514" w:type="dxa"/>
            <w:tcBorders>
              <w:left w:val="single" w:sz="6" w:space="0" w:color="7BBEEA"/>
              <w:bottom w:val="single" w:sz="6" w:space="0" w:color="7BBEEA"/>
              <w:right w:val="single" w:sz="6" w:space="0" w:color="7BBEEA"/>
            </w:tcBorders>
            <w:shd w:fill="auto" w:val="clear"/>
            <w:tcMar>
              <w:left w:w="28" w:type="dxa"/>
              <w:bottom w:w="28" w:type="dxa"/>
              <w:right w:w="28" w:type="dxa"/>
            </w:tcMar>
            <w:vAlign w:val="center"/>
          </w:tcPr>
          <w:p>
            <w:pPr>
              <w:pStyle w:val="TableContents"/>
              <w:spacing w:before="120" w:after="0"/>
              <w:ind w:left="255"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Results shared with full Board</w:t>
            </w:r>
          </w:p>
          <w:p>
            <w:pPr>
              <w:pStyle w:val="TableContents"/>
              <w:spacing w:before="0" w:after="0"/>
              <w:ind w:left="255"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Identifies skills and experiences that could be additive to Board composition</w:t>
            </w:r>
          </w:p>
          <w:p>
            <w:pPr>
              <w:pStyle w:val="TableContents"/>
              <w:spacing w:before="0" w:after="120"/>
              <w:ind w:left="255"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Identifies board governance efficiencies</w:t>
            </w:r>
          </w:p>
        </w:tc>
        <w:tc>
          <w:tcPr>
            <w:tcW w:w="300" w:type="dxa"/>
            <w:tcBorders>
              <w:left w:val="single" w:sz="6" w:space="0" w:color="7BBEEA"/>
              <w:bottom w:val="single" w:sz="6" w:space="0" w:color="000000"/>
              <w:right w:val="single" w:sz="6" w:space="0" w:color="1F497D"/>
            </w:tcBorders>
            <w:shd w:fill="auto" w:val="clear"/>
            <w:tcMar>
              <w:left w:w="28" w:type="dxa"/>
              <w:bottom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90500" cy="1905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90500" cy="190500"/>
                          </a:xfrm>
                          <a:prstGeom prst="rect">
                            <a:avLst/>
                          </a:prstGeom>
                        </pic:spPr>
                      </pic:pic>
                    </a:graphicData>
                  </a:graphic>
                </wp:inline>
              </w:drawing>
            </w:r>
          </w:p>
          <w:p>
            <w:pPr>
              <w:pStyle w:val="TableContents"/>
              <w:spacing w:before="0" w:after="0"/>
              <w:ind w:left="0" w:right="0" w:hanging="0"/>
              <w:jc w:val="center"/>
              <w:rPr>
                <w:caps w:val="false"/>
                <w:smallCaps w:val="false"/>
                <w:color w:val="FFFFFF"/>
              </w:rPr>
            </w:pPr>
            <w:r>
              <w:rPr>
                <w:caps w:val="false"/>
                <w:smallCaps w:val="false"/>
                <w:color w:val="FFFFFF"/>
              </w:rPr>
              <w:drawing>
                <wp:inline distT="0" distB="0" distL="0" distR="0">
                  <wp:extent cx="171450" cy="1809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71450" cy="180975"/>
                          </a:xfrm>
                          <a:prstGeom prst="rect">
                            <a:avLst/>
                          </a:prstGeom>
                        </pic:spPr>
                      </pic:pic>
                    </a:graphicData>
                  </a:graphic>
                </wp:inline>
              </w:drawing>
            </w:r>
          </w:p>
        </w:tc>
        <w:tc>
          <w:tcPr>
            <w:tcW w:w="2871" w:type="dxa"/>
            <w:tcBorders>
              <w:left w:val="single" w:sz="6" w:space="0" w:color="1F497D"/>
              <w:bottom w:val="single" w:sz="6" w:space="0" w:color="1F497D"/>
              <w:right w:val="single" w:sz="6" w:space="0" w:color="1F497D"/>
            </w:tcBorders>
            <w:shd w:fill="auto" w:val="clear"/>
            <w:tcMar>
              <w:left w:w="28" w:type="dxa"/>
              <w:bottom w:w="28" w:type="dxa"/>
              <w:right w:w="28" w:type="dxa"/>
            </w:tcMar>
            <w:vAlign w:val="center"/>
          </w:tcPr>
          <w:p>
            <w:pPr>
              <w:pStyle w:val="TableContents"/>
              <w:spacing w:before="0" w:after="0"/>
              <w:ind w:left="255"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Quarterly Governance Committee agenda item</w:t>
            </w:r>
          </w:p>
          <w:p>
            <w:pPr>
              <w:pStyle w:val="TableContents"/>
              <w:spacing w:before="0" w:after="0"/>
              <w:ind w:left="255"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Committee discusses results of Board evaluation annually</w:t>
            </w:r>
          </w:p>
          <w:p>
            <w:pPr>
              <w:pStyle w:val="TableContents"/>
              <w:spacing w:before="0" w:after="0"/>
              <w:ind w:left="255"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Informs new director candidate skill sets</w:t>
            </w:r>
          </w:p>
        </w:tc>
        <w:tc>
          <w:tcPr>
            <w:tcW w:w="300" w:type="dxa"/>
            <w:tcBorders>
              <w:left w:val="single" w:sz="6" w:space="0" w:color="1F497D"/>
              <w:bottom w:val="single" w:sz="6" w:space="0" w:color="000000"/>
              <w:right w:val="single" w:sz="6" w:space="0" w:color="7BBEEA"/>
            </w:tcBorders>
            <w:shd w:fill="auto" w:val="clear"/>
            <w:tcMar>
              <w:left w:w="28" w:type="dxa"/>
              <w:bottom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90500" cy="1905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90500" cy="190500"/>
                          </a:xfrm>
                          <a:prstGeom prst="rect">
                            <a:avLst/>
                          </a:prstGeom>
                        </pic:spPr>
                      </pic:pic>
                    </a:graphicData>
                  </a:graphic>
                </wp:inline>
              </w:drawing>
            </w:r>
          </w:p>
          <w:p>
            <w:pPr>
              <w:pStyle w:val="TableContents"/>
              <w:spacing w:before="0" w:after="0"/>
              <w:ind w:left="0" w:right="0" w:hanging="0"/>
              <w:jc w:val="center"/>
              <w:rPr>
                <w:caps w:val="false"/>
                <w:smallCaps w:val="false"/>
                <w:color w:val="FFFFFF"/>
              </w:rPr>
            </w:pPr>
            <w:r>
              <w:rPr>
                <w:caps w:val="false"/>
                <w:smallCaps w:val="false"/>
                <w:color w:val="FFFFFF"/>
              </w:rPr>
              <w:drawing>
                <wp:inline distT="0" distB="0" distL="0" distR="0">
                  <wp:extent cx="171450" cy="1809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71450" cy="180975"/>
                          </a:xfrm>
                          <a:prstGeom prst="rect">
                            <a:avLst/>
                          </a:prstGeom>
                        </pic:spPr>
                      </pic:pic>
                    </a:graphicData>
                  </a:graphic>
                </wp:inline>
              </w:drawing>
            </w:r>
          </w:p>
        </w:tc>
        <w:tc>
          <w:tcPr>
            <w:tcW w:w="3554" w:type="dxa"/>
            <w:tcBorders>
              <w:left w:val="single" w:sz="6" w:space="0" w:color="7BBEEA"/>
              <w:bottom w:val="single" w:sz="6" w:space="0" w:color="7BBEEA"/>
              <w:right w:val="single" w:sz="6" w:space="0" w:color="7BBEEA"/>
            </w:tcBorders>
            <w:shd w:fill="auto" w:val="clear"/>
            <w:tcMar>
              <w:left w:w="28" w:type="dxa"/>
              <w:bottom w:w="28" w:type="dxa"/>
              <w:right w:w="28" w:type="dxa"/>
            </w:tcMar>
            <w:vAlign w:val="center"/>
          </w:tcPr>
          <w:p>
            <w:pPr>
              <w:pStyle w:val="TableContents"/>
              <w:spacing w:before="0" w:after="0"/>
              <w:ind w:left="300"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Evaluation and succession planning process support refreshment planning</w:t>
            </w:r>
          </w:p>
          <w:p>
            <w:pPr>
              <w:pStyle w:val="TableContents"/>
              <w:spacing w:before="0" w:after="0"/>
              <w:ind w:left="300" w:right="0" w:hanging="180"/>
              <w:rPr>
                <w:caps w:val="false"/>
                <w:smallCaps w:val="false"/>
                <w:color w:val="004A7C"/>
              </w:rPr>
            </w:pPr>
            <w:r>
              <w:rPr>
                <w:caps w:val="false"/>
                <w:smallCaps w:val="false"/>
                <w:color w:val="004A7C"/>
              </w:rPr>
              <w:t>•   </w:t>
            </w:r>
            <w:r>
              <w:rPr>
                <w:rFonts w:ascii="Open Sans" w:hAnsi="Open Sans"/>
                <w:b w:val="false"/>
                <w:i w:val="false"/>
                <w:caps w:val="false"/>
                <w:smallCaps w:val="false"/>
                <w:color w:val="004A7C"/>
                <w:sz w:val="16"/>
              </w:rPr>
              <w:t>Board emphasizes key criteria, diversity</w:t>
            </w:r>
          </w:p>
        </w:tc>
      </w:tr>
    </w:tbl>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60"/>
        <w:gridCol w:w="10419"/>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10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10419" w:type="dxa"/>
            <w:tcBorders/>
            <w:shd w:fill="auto" w:val="clear"/>
          </w:tcPr>
          <w:p>
            <w:pPr>
              <w:pStyle w:val="TableContents"/>
              <w:spacing w:before="60" w:after="6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Interconnected evaluation and succession planning practices ensure that our Board composition reflects the skills and experiences that best meet both the current and future needs of our business.</w:t>
            </w:r>
          </w:p>
        </w:tc>
        <w:tc>
          <w:tcPr>
            <w:tcW w:w="60" w:type="dxa"/>
            <w:tcBorders/>
            <w:shd w:fill="auto" w:val="clear"/>
          </w:tcPr>
          <w:p>
            <w:pPr>
              <w:pStyle w:val="TableContents"/>
              <w:spacing w:before="0" w:after="0"/>
              <w:ind w:left="0" w:right="0" w:hanging="0"/>
              <w:rPr/>
            </w:pPr>
            <w:r>
              <w:rPr/>
              <w:t> </w:t>
            </w:r>
          </w:p>
        </w:tc>
      </w:tr>
    </w:tbl>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19" w:name="EXECUTIVE_SUCCESSION_PLANNING"/>
      <w:bookmarkEnd w:id="19"/>
      <w:r>
        <w:rPr>
          <w:rFonts w:ascii="Open Sans SemiBold" w:hAnsi="Open Sans SemiBold"/>
          <w:b w:val="false"/>
          <w:i w:val="false"/>
          <w:caps w:val="false"/>
          <w:smallCaps w:val="false"/>
          <w:color w:val="004A7C"/>
          <w:sz w:val="17"/>
          <w:bdr w:val="single" w:sz="6" w:space="1" w:color="00497C"/>
        </w:rPr>
        <w:t xml:space="preserve">Executive Succession Planning AND LEADERSHIP DEVELOPMENT </w:t>
      </w:r>
    </w:p>
    <w:p>
      <w:pPr>
        <w:pStyle w:val="TextBody"/>
        <w:spacing w:before="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Board believes that planning for CEO succession is one of its most important responsibilities. The Governance Committee discusses potential successor candidates and their qualifications, experience and preparedness. The Governance Committee also maintains and reviews annually an emergency CEO succession plan for the timely and efficient transfer of the CEO’s responsibilities in the event of an emergency or his sudden incapacitation or departure, which includes a periodic external market scan of potential candidates to replace the CEO.</w:t>
      </w:r>
    </w:p>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The Board, through the Governance Committee, also regularly reviews the Company’s executive management succession plan to help ensure business continuity in the event a key executive departs from the Company. This evaluation includes a thorough discussion on the Company’s senior leadership structure with a focus on key executive positions and maintaining a diverse team of current and future executives. Every year, our CEO and Chief Human Resources Officer review with the Governance Committee succession plans for executive officers and other key positions in the organization. The review includes a discussion of potential successors, an evaluation of their readiness for the role and a discussion of development or other opportunities to prepare them for the role. The Company maintains development plans for potential successors identifying specific skills, training, or other development opportunities to help them prepare for the role. The Board’s committees also frequently discuss the talent pipeline, and individuals identified as potential future leaders are given exposure to Board members through formal presentations and informal meetings or events. More broadly, the Board, through the Talent &amp; Compensation Committee, is regularly updated on key talent indicators for the overall workforce and recruiting and development programs. Republic is also cognizant of the impact our overall compensation program has on our succession planning process and has designed our program accordingly.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0" w:name="STOCK_OWNERSHIP_GUIDELINES_ANTIHEDGING_A"/>
      <w:bookmarkEnd w:id="20"/>
      <w:r>
        <w:rPr>
          <w:rFonts w:ascii="Open Sans SemiBold" w:hAnsi="Open Sans SemiBold"/>
          <w:b w:val="false"/>
          <w:i w:val="false"/>
          <w:caps w:val="false"/>
          <w:smallCaps w:val="false"/>
          <w:color w:val="004A7C"/>
          <w:sz w:val="17"/>
          <w:bdr w:val="single" w:sz="6" w:space="1" w:color="00497C"/>
        </w:rPr>
        <w:t xml:space="preserve">Stock Ownership Guidelines and Anti-Hedging and Anti-Pledging Policies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Board believes that ownership of our stock by directors, executive officers, and certain other members of management is important to align their interests with our shareholders’ interests and to demonstrate their commitment to the investing public and our employees.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Corporate Governance Guidelines reflect the Board’s belief that directors should be shareholders and have a financial stake in Republic. To support that philosophy, we pay our non-employee directors a significant portion of their compensation in the form of RSUs. Our non-employee directors receive RSUs that either (1) do not distribute until the director’s termination of service on the Board or (2) distribute three years after their grant date. To further demonstrate the Board’s commitment to align itself with our shareholders, our Board’s equity ownership guideline requires each independent director to hold Republic stock or vested RSUs, or both, having a total value of $750,000 within five years from the date of the director’s first full annual grant. All of our independent directors who have been on the Board for at least five years meet this guideline.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also maintain stock ownership guidelines for our executive officers and other members of management. The stock ownership guidelines for executive officers are: (1) CEO — five times salary; (2) President — four times salary; (3) Executive Officer EVP — three times salary; (4) Senior Vice President — two times salary; and (5) Vice President, Area President and Market Vice President – one times salary. Each member of management has a five-year period from the time of promotion or hire into a covered position to meet the applicable guideline, and interim progress is expected. Members of management may meet their requirement by holding Republic stock or vested Republic stock equivalents in the Deferred Compensation </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31</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Plan (“DCP”), or both, having the requisite value, and by holding shares in the 401(k) plan. As discussed further in the CD&amp;A on page 50, all of our executive officers either meet or are on track to meet their stock ownership guidelines.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insider trading policy prohibits all directors, officers and employees, and their immediate family members, from engaging in the following transactions relating to Republic securities or derivatives thereof: purchasing or selling puts or calls, short sales, placing standing orders (other than under approved 10b5-1 plans), engaging in short-term or “in-and-out” trading, and holding Republic securities or derivatives thereof in a margin account or pledging them.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1" w:name="DIRECTOR_NOMINATION_PROCEDURES_DIVERSITY"/>
      <w:bookmarkEnd w:id="21"/>
      <w:r>
        <w:rPr>
          <w:rFonts w:ascii="Open Sans SemiBold" w:hAnsi="Open Sans SemiBold"/>
          <w:b w:val="false"/>
          <w:i w:val="false"/>
          <w:caps w:val="false"/>
          <w:smallCaps w:val="false"/>
          <w:color w:val="004A7C"/>
          <w:sz w:val="17"/>
          <w:bdr w:val="single" w:sz="6" w:space="1" w:color="00497C"/>
        </w:rPr>
        <w:t xml:space="preserve">Director Nomination Procedures and Diversity Relating to Board Candidacy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The Governance Committee is responsible for soliciting recommendations for candidates for the Board, reviewing background information for such candidates, and making recommendations to the Board with respect to such candidates. In evaluating candidates, the Governance Committee considers, among other things, the following attributes: </w:t>
      </w:r>
    </w:p>
    <w:tbl>
      <w:tblPr>
        <w:tblW w:w="2470" w:type="dxa"/>
        <w:jc w:val="left"/>
        <w:tblInd w:w="0" w:type="dxa"/>
        <w:tblCellMar>
          <w:top w:w="0" w:type="dxa"/>
          <w:left w:w="0" w:type="dxa"/>
          <w:bottom w:w="0" w:type="dxa"/>
          <w:right w:w="0" w:type="dxa"/>
        </w:tblCellMar>
      </w:tblPr>
      <w:tblGrid>
        <w:gridCol w:w="60"/>
        <w:gridCol w:w="110"/>
        <w:gridCol w:w="230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230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independence (if required);</w:t>
            </w:r>
          </w:p>
        </w:tc>
      </w:tr>
    </w:tbl>
    <w:tbl>
      <w:tblPr>
        <w:tblW w:w="3175" w:type="dxa"/>
        <w:jc w:val="left"/>
        <w:tblInd w:w="0" w:type="dxa"/>
        <w:tblCellMar>
          <w:top w:w="0" w:type="dxa"/>
          <w:left w:w="0" w:type="dxa"/>
          <w:bottom w:w="0" w:type="dxa"/>
          <w:right w:w="0" w:type="dxa"/>
        </w:tblCellMar>
      </w:tblPr>
      <w:tblGrid>
        <w:gridCol w:w="60"/>
        <w:gridCol w:w="110"/>
        <w:gridCol w:w="3005"/>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300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personal and professional integrity;</w:t>
            </w:r>
          </w:p>
        </w:tc>
      </w:tr>
    </w:tbl>
    <w:tbl>
      <w:tblPr>
        <w:tblW w:w="2380" w:type="dxa"/>
        <w:jc w:val="left"/>
        <w:tblInd w:w="0" w:type="dxa"/>
        <w:tblCellMar>
          <w:top w:w="0" w:type="dxa"/>
          <w:left w:w="0" w:type="dxa"/>
          <w:bottom w:w="0" w:type="dxa"/>
          <w:right w:w="0" w:type="dxa"/>
        </w:tblCellMar>
      </w:tblPr>
      <w:tblGrid>
        <w:gridCol w:w="60"/>
        <w:gridCol w:w="110"/>
        <w:gridCol w:w="221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221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sound business judgment;</w:t>
            </w:r>
          </w:p>
        </w:tc>
      </w:tr>
    </w:tbl>
    <w:tbl>
      <w:tblPr>
        <w:tblW w:w="3820" w:type="dxa"/>
        <w:jc w:val="left"/>
        <w:tblInd w:w="0" w:type="dxa"/>
        <w:tblCellMar>
          <w:top w:w="0" w:type="dxa"/>
          <w:left w:w="0" w:type="dxa"/>
          <w:bottom w:w="0" w:type="dxa"/>
          <w:right w:w="0" w:type="dxa"/>
        </w:tblCellMar>
      </w:tblPr>
      <w:tblGrid>
        <w:gridCol w:w="60"/>
        <w:gridCol w:w="110"/>
        <w:gridCol w:w="365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365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relevant business and industry experience;</w:t>
            </w:r>
          </w:p>
        </w:tc>
      </w:tr>
    </w:tbl>
    <w:tbl>
      <w:tblPr>
        <w:tblW w:w="3430" w:type="dxa"/>
        <w:jc w:val="left"/>
        <w:tblInd w:w="0" w:type="dxa"/>
        <w:tblCellMar>
          <w:top w:w="0" w:type="dxa"/>
          <w:left w:w="0" w:type="dxa"/>
          <w:bottom w:w="0" w:type="dxa"/>
          <w:right w:w="0" w:type="dxa"/>
        </w:tblCellMar>
      </w:tblPr>
      <w:tblGrid>
        <w:gridCol w:w="60"/>
        <w:gridCol w:w="110"/>
        <w:gridCol w:w="3260"/>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326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proper mix of education and skills; and</w:t>
            </w:r>
          </w:p>
        </w:tc>
      </w:tr>
    </w:tbl>
    <w:tbl>
      <w:tblPr>
        <w:tblW w:w="7765" w:type="dxa"/>
        <w:jc w:val="left"/>
        <w:tblInd w:w="0" w:type="dxa"/>
        <w:tblCellMar>
          <w:top w:w="0" w:type="dxa"/>
          <w:left w:w="0" w:type="dxa"/>
          <w:bottom w:w="0" w:type="dxa"/>
          <w:right w:w="0" w:type="dxa"/>
        </w:tblCellMar>
      </w:tblPr>
      <w:tblGrid>
        <w:gridCol w:w="60"/>
        <w:gridCol w:w="110"/>
        <w:gridCol w:w="7595"/>
      </w:tblGrid>
      <w:tr>
        <w:trPr/>
        <w:tc>
          <w:tcPr>
            <w:tcW w:w="60" w:type="dxa"/>
            <w:tcBorders/>
            <w:shd w:fill="auto" w:val="clear"/>
          </w:tcPr>
          <w:p>
            <w:pPr>
              <w:pStyle w:val="TableContents"/>
              <w:spacing w:before="0" w:after="0"/>
              <w:rPr>
                <w:caps w:val="false"/>
                <w:smallCaps w:val="false"/>
                <w:color w:val="00497C"/>
              </w:rPr>
            </w:pPr>
            <w:r>
              <w:rPr>
                <w:caps w:val="false"/>
                <w:smallCaps w:val="false"/>
                <w:color w:val="00497C"/>
              </w:rPr>
              <w:t> </w:t>
            </w:r>
          </w:p>
        </w:tc>
        <w:tc>
          <w:tcPr>
            <w:tcW w:w="110" w:type="dxa"/>
            <w:tcBorders/>
            <w:shd w:fill="auto" w:val="clear"/>
          </w:tcPr>
          <w:p>
            <w:pPr>
              <w:pStyle w:val="TableContents"/>
              <w:spacing w:before="0" w:after="0"/>
              <w:rPr>
                <w:caps w:val="false"/>
                <w:smallCaps w:val="false"/>
                <w:color w:val="00497C"/>
              </w:rPr>
            </w:pPr>
            <w:r>
              <w:rPr>
                <w:caps w:val="false"/>
                <w:smallCaps w:val="false"/>
                <w:color w:val="00497C"/>
              </w:rPr>
              <w:t>•</w:t>
            </w:r>
          </w:p>
        </w:tc>
        <w:tc>
          <w:tcPr>
            <w:tcW w:w="759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potential effectiveness as a director in serving the long-term interests of our shareholders.</w:t>
            </w:r>
          </w:p>
        </w:tc>
      </w:tr>
    </w:tbl>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With respect to diversity relating to Board candidacy, our Corporate Governance Guidelines state that directors will be selected in the context of assessing the Board’s needs at the time and with the objective of ensuring diversity in the background, experience, and viewpoints of Board members. To assist in promoting such diversity, the Governance Committee shall take reasonable steps to ensure that new Board nominees are properly drawn from a pool that includes diverse candidates. The Board and the Governance Committee will continue to assess the need to expand the breadth of experience, expertise, and viewpoints represented collectively by our directors and continue to seek top-quality candidates to fill any identified gaps.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Please also see “Shareholder Director Recommendation Policy” on page 34 for information regarding our policies for director candidates identified by shareholders.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2" w:name="DIRECTOR_INDEPENDENCE"/>
      <w:bookmarkEnd w:id="22"/>
      <w:r>
        <w:rPr>
          <w:rFonts w:ascii="Open Sans SemiBold" w:hAnsi="Open Sans SemiBold"/>
          <w:b w:val="false"/>
          <w:i w:val="false"/>
          <w:caps w:val="false"/>
          <w:smallCaps w:val="false"/>
          <w:color w:val="004A7C"/>
          <w:sz w:val="17"/>
          <w:bdr w:val="single" w:sz="6" w:space="1" w:color="00497C"/>
        </w:rPr>
        <w:t xml:space="preserve">Director Independence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common stock is listed on the New York Stock Exchange (“NYSE”), which requires that a majority of our Board be comprised of “independent directors” according to the NYSE’s independence standards. The Governance Committee considers the “per se” disqualifications from director independence under NYSE rules when assessing the independence of a current director or a nominee for director. In addition, our Board has adopted categorical standards that provide that certain relationships are not material relationships that would prevent a director’s independence. The Board reviews director independence and considers relationships between each of the directors and their immediate family members and Republic and its subsidiaries, both in the aggregate and individually. Mr. Vander Ark is not an “independent director” under the NYSE listing standards because he is an employee of Republic. The Board determined that the other 10 director nominees meet the NYSE standards for independence and the categorical standards adopted by our Board, and have no material relationships with us that impair their independence. In making its determination, the Board considered, in the case of Messrs. Larson and Handley, their status as chief investment officer and chief operating officer, respectively, to William H. Gates III, who is the beneficial owner of Cascade Investment, L.L.C., our largest shareholder. The Board also considered Mr. Collins’ membership on the board of directors of Four Seasons Hotels and Resorts as a representative of Cascade Investment, L.L.C.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3" w:name="SHAREHOLDER_ENGAGEMENT"/>
      <w:bookmarkEnd w:id="23"/>
      <w:r>
        <w:rPr>
          <w:rFonts w:ascii="Open Sans SemiBold" w:hAnsi="Open Sans SemiBold"/>
          <w:b w:val="false"/>
          <w:i w:val="false"/>
          <w:caps w:val="false"/>
          <w:smallCaps w:val="false"/>
          <w:color w:val="004A7C"/>
          <w:sz w:val="17"/>
          <w:bdr w:val="single" w:sz="6" w:space="1" w:color="00497C"/>
        </w:rPr>
        <w:t xml:space="preserve">Shareholder Engagement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have a well-developed shareholder engagement program that emphasizes year-round shareholder engagement and direct communication with our Board.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The ways in which we communicate with our investors throughout the year include quarterly earnings releases and earnings conference calls, SEC filings, sustainability reports, investor conferences, press releases, bi-annual or annual investor meetings, and our website.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32</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val="false"/>
          <w:i w:val="false"/>
          <w:caps w:val="false"/>
          <w:smallCaps w:val="false"/>
          <w:color w:val="1F497D"/>
          <w:sz w:val="16"/>
          <w:bdr w:val="single" w:sz="6" w:space="1" w:color="00497C"/>
        </w:rPr>
      </w:pPr>
      <w:bookmarkStart w:id="24" w:name="HIGHLIGHTS_2022_ENGAGEMENT"/>
      <w:bookmarkEnd w:id="24"/>
      <w:r>
        <w:rPr>
          <w:rFonts w:ascii="Open Sans" w:hAnsi="Open Sans"/>
          <w:b w:val="false"/>
          <w:i w:val="false"/>
          <w:caps w:val="false"/>
          <w:smallCaps w:val="false"/>
          <w:color w:val="1F497D"/>
          <w:sz w:val="16"/>
          <w:bdr w:val="single" w:sz="6" w:space="1" w:color="00497C"/>
        </w:rPr>
        <w:t xml:space="preserve">HIGHLIGHTS OF 2022 ENGAGEMENT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During 2022, we reached out to shareholders representing approximately 61% of shares outstanding, and engaged directly with shareholders representing approximately 55% of shares outstanding as well as one proxy advisor. </w:t>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10539"/>
      </w:tblGrid>
      <w:tr>
        <w:trPr/>
        <w:tc>
          <w:tcPr>
            <w:tcW w:w="10539" w:type="dxa"/>
            <w:tcBorders/>
            <w:shd w:fill="auto" w:val="clear"/>
            <w:vAlign w:val="center"/>
          </w:tcPr>
          <w:p>
            <w:pPr>
              <w:pStyle w:val="TableContents"/>
              <w:spacing w:before="0" w:after="283"/>
              <w:rPr>
                <w:sz w:val="4"/>
                <w:szCs w:val="4"/>
              </w:rPr>
            </w:pPr>
            <w:r>
              <w:rPr>
                <w:sz w:val="4"/>
                <w:szCs w:val="4"/>
              </w:rPr>
            </w:r>
          </w:p>
        </w:tc>
      </w:tr>
      <w:tr>
        <w:trPr/>
        <w:tc>
          <w:tcPr>
            <w:tcW w:w="10539" w:type="dxa"/>
            <w:tcBorders>
              <w:top w:val="single" w:sz="12" w:space="0" w:color="1F497D"/>
              <w:left w:val="single" w:sz="6" w:space="0" w:color="1F497D"/>
              <w:right w:val="single" w:sz="6" w:space="0" w:color="1F497D"/>
            </w:tcBorders>
            <w:shd w:fill="D8E1E9" w:val="clear"/>
            <w:tcMar>
              <w:top w:w="28" w:type="dxa"/>
              <w:left w:w="28" w:type="dxa"/>
              <w:right w:w="28" w:type="dxa"/>
            </w:tcMar>
          </w:tcPr>
          <w:p>
            <w:pPr>
              <w:pStyle w:val="TableContents"/>
              <w:spacing w:before="0" w:after="0"/>
              <w:ind w:left="0" w:right="0" w:hanging="0"/>
              <w:rPr/>
            </w:pPr>
            <w:r>
              <w:rPr/>
              <w:t> </w:t>
            </w:r>
          </w:p>
        </w:tc>
      </w:tr>
      <w:tr>
        <w:trPr/>
        <w:tc>
          <w:tcPr>
            <w:tcW w:w="10539" w:type="dxa"/>
            <w:tcBorders>
              <w:left w:val="single" w:sz="6" w:space="0" w:color="1F497D"/>
              <w:right w:val="single" w:sz="6" w:space="0" w:color="1F497D"/>
            </w:tcBorders>
            <w:shd w:fill="D8E1E9" w:val="clear"/>
            <w:tcMar>
              <w:left w:w="28" w:type="dxa"/>
              <w:right w:w="28" w:type="dxa"/>
            </w:tcMar>
          </w:tcPr>
          <w:p>
            <w:pPr>
              <w:pStyle w:val="TableContents"/>
              <w:spacing w:before="0" w:after="0"/>
              <w:ind w:left="115" w:right="0" w:hanging="0"/>
              <w:jc w:val="center"/>
              <w:rPr>
                <w:rFonts w:ascii="Open Sans" w:hAnsi="Open Sans"/>
                <w:b/>
                <w:i w:val="false"/>
                <w:caps w:val="false"/>
                <w:smallCaps w:val="false"/>
                <w:color w:val="002060"/>
                <w:sz w:val="16"/>
              </w:rPr>
            </w:pPr>
            <w:r>
              <w:rPr>
                <w:rFonts w:ascii="Open Sans" w:hAnsi="Open Sans"/>
                <w:b/>
                <w:i w:val="false"/>
                <w:caps w:val="false"/>
                <w:smallCaps w:val="false"/>
                <w:color w:val="002060"/>
                <w:sz w:val="16"/>
              </w:rPr>
              <w:t>In the fall of 2022, we conducted extensive shareholder outreach to discuss corporate governance, sustainability, our differentiated operating model, and executive compensation, among other topics. We also reached out to proxy advisors and engaged with one proxy advisor.</w:t>
            </w:r>
          </w:p>
        </w:tc>
      </w:tr>
      <w:tr>
        <w:trPr/>
        <w:tc>
          <w:tcPr>
            <w:tcW w:w="10539" w:type="dxa"/>
            <w:tcBorders>
              <w:left w:val="single" w:sz="6" w:space="0" w:color="1F497D"/>
              <w:bottom w:val="single" w:sz="12" w:space="0" w:color="1F497D"/>
              <w:right w:val="single" w:sz="6" w:space="0" w:color="1F497D"/>
            </w:tcBorders>
            <w:shd w:fill="D8E1E9" w:val="clear"/>
            <w:tcMar>
              <w:left w:w="28" w:type="dxa"/>
              <w:bottom w:w="28" w:type="dxa"/>
              <w:right w:w="28" w:type="dxa"/>
            </w:tcM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575" w:type="dxa"/>
        <w:jc w:val="left"/>
        <w:tblInd w:w="0" w:type="dxa"/>
        <w:tblCellMar>
          <w:top w:w="0" w:type="dxa"/>
          <w:left w:w="0" w:type="dxa"/>
          <w:bottom w:w="0" w:type="dxa"/>
          <w:right w:w="0" w:type="dxa"/>
        </w:tblCellMar>
      </w:tblPr>
      <w:tblGrid>
        <w:gridCol w:w="4355"/>
        <w:gridCol w:w="60"/>
        <w:gridCol w:w="4160"/>
      </w:tblGrid>
      <w:tr>
        <w:trPr/>
        <w:tc>
          <w:tcPr>
            <w:tcW w:w="43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60" w:type="dxa"/>
            <w:tcBorders/>
            <w:shd w:fill="auto" w:val="clear"/>
            <w:vAlign w:val="center"/>
          </w:tcPr>
          <w:p>
            <w:pPr>
              <w:pStyle w:val="TableContents"/>
              <w:spacing w:before="0" w:after="283"/>
              <w:rPr>
                <w:sz w:val="4"/>
                <w:szCs w:val="4"/>
              </w:rPr>
            </w:pPr>
            <w:r>
              <w:rPr>
                <w:sz w:val="4"/>
                <w:szCs w:val="4"/>
              </w:rPr>
            </w:r>
          </w:p>
        </w:tc>
      </w:tr>
      <w:tr>
        <w:trPr/>
        <w:tc>
          <w:tcPr>
            <w:tcW w:w="4355" w:type="dxa"/>
            <w:tcBorders>
              <w:top w:val="single" w:sz="12" w:space="0" w:color="1F497D"/>
              <w:left w:val="single" w:sz="6" w:space="0" w:color="1F497D"/>
              <w:right w:val="single" w:sz="12" w:space="0" w:color="1F497D"/>
            </w:tcBorders>
            <w:shd w:fill="D8E1E9" w:val="clear"/>
            <w:tcMar>
              <w:top w:w="28" w:type="dxa"/>
              <w:left w:w="28" w:type="dxa"/>
              <w:right w:w="28" w:type="dxa"/>
            </w:tcMar>
          </w:tcPr>
          <w:p>
            <w:pPr>
              <w:pStyle w:val="TableContents"/>
              <w:spacing w:before="0" w:after="0"/>
              <w:ind w:left="0" w:right="0" w:hanging="0"/>
              <w:rPr/>
            </w:pPr>
            <w:r>
              <w:rPr/>
              <w:t> </w:t>
            </w:r>
          </w:p>
        </w:tc>
        <w:tc>
          <w:tcPr>
            <w:tcW w:w="60" w:type="dxa"/>
            <w:tcBorders>
              <w:top w:val="single" w:sz="12" w:space="0" w:color="1F497D"/>
              <w:left w:val="single" w:sz="12" w:space="0" w:color="1F497D"/>
              <w:right w:val="single" w:sz="12" w:space="0" w:color="1F497D"/>
            </w:tcBorders>
            <w:shd w:fill="auto" w:val="clear"/>
            <w:tcMar>
              <w:top w:w="28" w:type="dxa"/>
              <w:left w:w="28" w:type="dxa"/>
              <w:right w:w="28" w:type="dxa"/>
            </w:tcMar>
          </w:tcPr>
          <w:p>
            <w:pPr>
              <w:pStyle w:val="TableContents"/>
              <w:spacing w:before="0" w:after="0"/>
              <w:ind w:left="0" w:right="0" w:hanging="0"/>
              <w:rPr/>
            </w:pPr>
            <w:r>
              <w:rPr/>
              <w:t> </w:t>
            </w:r>
          </w:p>
        </w:tc>
        <w:tc>
          <w:tcPr>
            <w:tcW w:w="4160" w:type="dxa"/>
            <w:tcBorders>
              <w:top w:val="single" w:sz="12" w:space="0" w:color="1F497D"/>
              <w:left w:val="single" w:sz="12" w:space="0" w:color="1F497D"/>
              <w:right w:val="single" w:sz="6" w:space="0" w:color="1F497D"/>
            </w:tcBorders>
            <w:shd w:fill="D8E1E9" w:val="clear"/>
            <w:tcMar>
              <w:top w:w="28" w:type="dxa"/>
              <w:left w:w="28" w:type="dxa"/>
              <w:right w:w="28" w:type="dxa"/>
            </w:tcMar>
          </w:tcPr>
          <w:p>
            <w:pPr>
              <w:pStyle w:val="TableContents"/>
              <w:spacing w:before="0" w:after="0"/>
              <w:ind w:left="0" w:right="0" w:hanging="0"/>
              <w:rPr/>
            </w:pPr>
            <w:r>
              <w:rPr/>
              <w:t> </w:t>
            </w:r>
          </w:p>
        </w:tc>
      </w:tr>
      <w:tr>
        <w:trPr/>
        <w:tc>
          <w:tcPr>
            <w:tcW w:w="4355" w:type="dxa"/>
            <w:tcBorders>
              <w:left w:val="single" w:sz="6" w:space="0" w:color="1F497D"/>
              <w:right w:val="single" w:sz="12" w:space="0" w:color="1F497D"/>
            </w:tcBorders>
            <w:shd w:fill="D8E1E9" w:val="clear"/>
            <w:tcMar>
              <w:left w:w="28" w:type="dxa"/>
              <w:right w:w="28" w:type="dxa"/>
            </w:tcMar>
          </w:tcPr>
          <w:p>
            <w:pPr>
              <w:pStyle w:val="TableContents"/>
              <w:spacing w:before="0" w:after="0"/>
              <w:ind w:left="0" w:right="0" w:hanging="0"/>
              <w:jc w:val="center"/>
              <w:rPr>
                <w:rFonts w:ascii="Open Sans" w:hAnsi="Open Sans"/>
                <w:b/>
                <w:i w:val="false"/>
                <w:caps w:val="false"/>
                <w:smallCaps w:val="false"/>
                <w:color w:val="002060"/>
                <w:sz w:val="16"/>
              </w:rPr>
            </w:pPr>
            <w:r>
              <w:rPr>
                <w:rFonts w:ascii="Open Sans" w:hAnsi="Open Sans"/>
                <w:b/>
                <w:i w:val="false"/>
                <w:caps w:val="false"/>
                <w:smallCaps w:val="false"/>
                <w:color w:val="002060"/>
                <w:sz w:val="16"/>
              </w:rPr>
              <w:t>INVITED</w:t>
            </w:r>
          </w:p>
          <w:p>
            <w:pPr>
              <w:pStyle w:val="TableContents"/>
              <w:spacing w:before="0" w:after="0"/>
              <w:ind w:left="0" w:right="0" w:hanging="0"/>
              <w:jc w:val="center"/>
              <w:rPr>
                <w:rFonts w:ascii="Open Sans" w:hAnsi="Open Sans"/>
                <w:b/>
                <w:i w:val="false"/>
                <w:caps w:val="false"/>
                <w:smallCaps w:val="false"/>
                <w:color w:val="C0504D"/>
                <w:sz w:val="28"/>
              </w:rPr>
            </w:pPr>
            <w:r>
              <w:rPr>
                <w:rFonts w:ascii="Open Sans" w:hAnsi="Open Sans"/>
                <w:b/>
                <w:i w:val="false"/>
                <w:caps w:val="false"/>
                <w:smallCaps w:val="false"/>
                <w:color w:val="C0504D"/>
                <w:sz w:val="28"/>
              </w:rPr>
              <w:t>11</w:t>
            </w:r>
            <w:r>
              <w:rPr>
                <w:rFonts w:ascii="Open Sans" w:hAnsi="Open Sans"/>
                <w:b/>
                <w:i w:val="false"/>
                <w:caps w:val="false"/>
                <w:smallCaps w:val="false"/>
                <w:color w:val="000000"/>
                <w:sz w:val="28"/>
              </w:rPr>
              <w:t xml:space="preserve"> </w:t>
            </w:r>
            <w:r>
              <w:rPr>
                <w:rFonts w:ascii="Open Sans" w:hAnsi="Open Sans"/>
                <w:b/>
                <w:i w:val="false"/>
                <w:caps w:val="false"/>
                <w:smallCaps w:val="false"/>
                <w:color w:val="002060"/>
                <w:sz w:val="16"/>
              </w:rPr>
              <w:t>shareholders representing approximately</w:t>
            </w:r>
          </w:p>
          <w:p>
            <w:pPr>
              <w:pStyle w:val="TableContents"/>
              <w:spacing w:before="0" w:after="0"/>
              <w:ind w:left="0" w:right="0" w:hanging="0"/>
              <w:jc w:val="center"/>
              <w:rPr>
                <w:rFonts w:ascii="Open Sans" w:hAnsi="Open Sans"/>
                <w:b/>
                <w:i w:val="false"/>
                <w:caps w:val="false"/>
                <w:smallCaps w:val="false"/>
                <w:color w:val="C0504D"/>
                <w:sz w:val="28"/>
              </w:rPr>
            </w:pPr>
            <w:r>
              <w:rPr>
                <w:rFonts w:ascii="Open Sans" w:hAnsi="Open Sans"/>
                <w:b/>
                <w:i w:val="false"/>
                <w:caps w:val="false"/>
                <w:smallCaps w:val="false"/>
                <w:color w:val="C0504D"/>
                <w:sz w:val="28"/>
              </w:rPr>
              <w:t xml:space="preserve">61% </w:t>
            </w:r>
            <w:r>
              <w:rPr>
                <w:rFonts w:ascii="Open Sans" w:hAnsi="Open Sans"/>
                <w:b/>
                <w:i w:val="false"/>
                <w:caps w:val="false"/>
                <w:smallCaps w:val="false"/>
                <w:color w:val="002060"/>
                <w:sz w:val="16"/>
              </w:rPr>
              <w:t>of our outstanding stock</w:t>
            </w:r>
          </w:p>
          <w:p>
            <w:pPr>
              <w:pStyle w:val="TableContents"/>
              <w:spacing w:before="0" w:after="0"/>
              <w:ind w:left="115" w:right="0" w:hanging="0"/>
              <w:jc w:val="center"/>
              <w:rPr/>
            </w:pPr>
            <w:r>
              <w:rPr/>
              <w:t> </w:t>
            </w:r>
          </w:p>
        </w:tc>
        <w:tc>
          <w:tcPr>
            <w:tcW w:w="60" w:type="dxa"/>
            <w:tcBorders>
              <w:left w:val="single" w:sz="12" w:space="0" w:color="1F497D"/>
              <w:right w:val="single" w:sz="12" w:space="0" w:color="1F497D"/>
            </w:tcBorders>
            <w:shd w:fill="auto" w:val="clear"/>
            <w:tcMar>
              <w:left w:w="28" w:type="dxa"/>
              <w:right w:w="28" w:type="dxa"/>
            </w:tcMar>
          </w:tcPr>
          <w:p>
            <w:pPr>
              <w:pStyle w:val="TableContents"/>
              <w:spacing w:before="0" w:after="0"/>
              <w:ind w:left="115" w:right="0" w:hanging="0"/>
              <w:jc w:val="center"/>
              <w:rPr/>
            </w:pPr>
            <w:r>
              <w:rPr/>
              <w:t> </w:t>
            </w:r>
          </w:p>
        </w:tc>
        <w:tc>
          <w:tcPr>
            <w:tcW w:w="4160" w:type="dxa"/>
            <w:tcBorders>
              <w:left w:val="single" w:sz="12" w:space="0" w:color="1F497D"/>
              <w:right w:val="single" w:sz="6" w:space="0" w:color="1F497D"/>
            </w:tcBorders>
            <w:shd w:fill="D8E1E9" w:val="clear"/>
            <w:tcMar>
              <w:left w:w="28" w:type="dxa"/>
              <w:right w:w="28" w:type="dxa"/>
            </w:tcMar>
          </w:tcPr>
          <w:p>
            <w:pPr>
              <w:pStyle w:val="TableContents"/>
              <w:spacing w:before="0" w:after="0"/>
              <w:ind w:left="0" w:right="0" w:hanging="0"/>
              <w:jc w:val="center"/>
              <w:rPr>
                <w:rFonts w:ascii="Open Sans" w:hAnsi="Open Sans"/>
                <w:b/>
                <w:i w:val="false"/>
                <w:caps w:val="false"/>
                <w:smallCaps w:val="false"/>
                <w:sz w:val="16"/>
              </w:rPr>
            </w:pPr>
            <w:r>
              <w:rPr>
                <w:rFonts w:ascii="Open Sans" w:hAnsi="Open Sans"/>
                <w:b/>
                <w:i w:val="false"/>
                <w:caps w:val="false"/>
                <w:smallCaps w:val="false"/>
                <w:sz w:val="16"/>
              </w:rPr>
              <w:t>MET</w:t>
            </w:r>
          </w:p>
          <w:p>
            <w:pPr>
              <w:pStyle w:val="TableContents"/>
              <w:spacing w:before="0" w:after="0"/>
              <w:ind w:left="0" w:right="0" w:hanging="0"/>
              <w:jc w:val="center"/>
              <w:rPr>
                <w:rFonts w:ascii="Open Sans" w:hAnsi="Open Sans"/>
                <w:b/>
                <w:i w:val="false"/>
                <w:caps w:val="false"/>
                <w:smallCaps w:val="false"/>
                <w:color w:val="C0504D"/>
                <w:sz w:val="28"/>
              </w:rPr>
            </w:pPr>
            <w:r>
              <w:rPr>
                <w:rFonts w:ascii="Open Sans" w:hAnsi="Open Sans"/>
                <w:b/>
                <w:i w:val="false"/>
                <w:caps w:val="false"/>
                <w:smallCaps w:val="false"/>
                <w:color w:val="C0504D"/>
                <w:sz w:val="28"/>
              </w:rPr>
              <w:t>8</w:t>
            </w:r>
            <w:r>
              <w:rPr>
                <w:rFonts w:ascii="Open Sans" w:hAnsi="Open Sans"/>
                <w:b/>
                <w:i w:val="false"/>
                <w:caps w:val="false"/>
                <w:smallCaps w:val="false"/>
                <w:color w:val="000000"/>
                <w:sz w:val="28"/>
              </w:rPr>
              <w:t xml:space="preserve"> </w:t>
            </w:r>
            <w:r>
              <w:rPr>
                <w:rFonts w:ascii="Open Sans" w:hAnsi="Open Sans"/>
                <w:b/>
                <w:i w:val="false"/>
                <w:caps w:val="false"/>
                <w:smallCaps w:val="false"/>
                <w:color w:val="002060"/>
                <w:sz w:val="16"/>
              </w:rPr>
              <w:t>shareholders representing approximately</w:t>
            </w:r>
          </w:p>
          <w:p>
            <w:pPr>
              <w:pStyle w:val="TableContents"/>
              <w:spacing w:before="0" w:after="0"/>
              <w:ind w:left="0" w:right="0" w:hanging="0"/>
              <w:jc w:val="center"/>
              <w:rPr>
                <w:rFonts w:ascii="Open Sans" w:hAnsi="Open Sans"/>
                <w:b/>
                <w:i w:val="false"/>
                <w:caps w:val="false"/>
                <w:smallCaps w:val="false"/>
                <w:color w:val="C0504D"/>
                <w:sz w:val="28"/>
              </w:rPr>
            </w:pPr>
            <w:r>
              <w:rPr>
                <w:rFonts w:ascii="Open Sans" w:hAnsi="Open Sans"/>
                <w:b/>
                <w:i w:val="false"/>
                <w:caps w:val="false"/>
                <w:smallCaps w:val="false"/>
                <w:color w:val="C0504D"/>
                <w:sz w:val="28"/>
              </w:rPr>
              <w:t xml:space="preserve">55% </w:t>
            </w:r>
            <w:r>
              <w:rPr>
                <w:rFonts w:ascii="Open Sans" w:hAnsi="Open Sans"/>
                <w:b/>
                <w:i w:val="false"/>
                <w:caps w:val="false"/>
                <w:smallCaps w:val="false"/>
                <w:color w:val="002060"/>
                <w:sz w:val="16"/>
              </w:rPr>
              <w:t>of our outstanding stock</w:t>
            </w:r>
          </w:p>
          <w:p>
            <w:pPr>
              <w:pStyle w:val="TableContents"/>
              <w:spacing w:before="0" w:after="0"/>
              <w:ind w:left="115" w:right="0" w:hanging="0"/>
              <w:jc w:val="center"/>
              <w:rPr/>
            </w:pPr>
            <w:r>
              <w:rPr/>
              <w:t> </w:t>
            </w:r>
          </w:p>
        </w:tc>
      </w:tr>
      <w:tr>
        <w:trPr/>
        <w:tc>
          <w:tcPr>
            <w:tcW w:w="4355" w:type="dxa"/>
            <w:tcBorders>
              <w:left w:val="single" w:sz="6" w:space="0" w:color="1F497D"/>
              <w:bottom w:val="single" w:sz="12" w:space="0" w:color="1F497D"/>
              <w:right w:val="single" w:sz="12" w:space="0" w:color="1F497D"/>
            </w:tcBorders>
            <w:shd w:fill="D8E1E9" w:val="clear"/>
            <w:tcMar>
              <w:left w:w="28" w:type="dxa"/>
              <w:bottom w:w="28" w:type="dxa"/>
              <w:right w:w="28" w:type="dxa"/>
            </w:tcMar>
          </w:tcPr>
          <w:p>
            <w:pPr>
              <w:pStyle w:val="TableContents"/>
              <w:spacing w:before="0" w:after="0"/>
              <w:ind w:left="0" w:right="0" w:hanging="0"/>
              <w:rPr/>
            </w:pPr>
            <w:r>
              <w:rPr/>
              <w:t> </w:t>
            </w:r>
          </w:p>
        </w:tc>
        <w:tc>
          <w:tcPr>
            <w:tcW w:w="60" w:type="dxa"/>
            <w:tcBorders>
              <w:left w:val="single" w:sz="12" w:space="0" w:color="1F497D"/>
              <w:bottom w:val="single" w:sz="12" w:space="0" w:color="1F497D"/>
              <w:right w:val="single" w:sz="12" w:space="0" w:color="1F497D"/>
            </w:tcBorders>
            <w:shd w:fill="auto" w:val="clear"/>
            <w:tcMar>
              <w:left w:w="28" w:type="dxa"/>
              <w:bottom w:w="28" w:type="dxa"/>
              <w:right w:w="28" w:type="dxa"/>
            </w:tcMar>
          </w:tcPr>
          <w:p>
            <w:pPr>
              <w:pStyle w:val="TableContents"/>
              <w:spacing w:before="0" w:after="0"/>
              <w:ind w:left="0" w:right="0" w:hanging="0"/>
              <w:rPr/>
            </w:pPr>
            <w:r>
              <w:rPr/>
              <w:t> </w:t>
            </w:r>
          </w:p>
        </w:tc>
        <w:tc>
          <w:tcPr>
            <w:tcW w:w="4160" w:type="dxa"/>
            <w:tcBorders>
              <w:left w:val="single" w:sz="12" w:space="0" w:color="1F497D"/>
              <w:bottom w:val="single" w:sz="12" w:space="0" w:color="1F497D"/>
              <w:right w:val="single" w:sz="6" w:space="0" w:color="1F497D"/>
            </w:tcBorders>
            <w:shd w:fill="D8E1E9" w:val="clear"/>
            <w:tcMar>
              <w:left w:w="28" w:type="dxa"/>
              <w:bottom w:w="28" w:type="dxa"/>
              <w:right w:w="28" w:type="dxa"/>
            </w:tcM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individual engagements with our shareholders allow us insight into their views on our corporate governance practices, our sustainability journey, our differentiated operating model, and our compensation program, among other topics. Overall, shareholders were positive in their feedback, specifically regarding:</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369" w:type="dxa"/>
            <w:tcBorders/>
            <w:shd w:fill="auto" w:val="clear"/>
          </w:tcPr>
          <w:p>
            <w:pPr>
              <w:pStyle w:val="TableContents"/>
              <w:spacing w:before="120" w:after="0"/>
              <w:jc w:val="left"/>
              <w:rPr>
                <w:b w:val="false"/>
                <w:i w:val="false"/>
                <w:caps w:val="false"/>
                <w:smallCaps w:val="false"/>
              </w:rPr>
            </w:pPr>
            <w:r>
              <w:rPr>
                <w:rFonts w:ascii="Open Sans" w:hAnsi="Open Sans"/>
                <w:b/>
                <w:i w:val="false"/>
                <w:caps w:val="false"/>
                <w:smallCaps w:val="false"/>
                <w:color w:val="000000"/>
                <w:sz w:val="16"/>
              </w:rPr>
              <w:t>Sustainability</w:t>
            </w:r>
            <w:r>
              <w:rPr>
                <w:b w:val="false"/>
                <w:i w:val="false"/>
                <w:caps w:val="false"/>
                <w:smallCaps w:val="false"/>
                <w:color w:val="000000"/>
              </w:rPr>
              <w:t xml:space="preserve"> – </w:t>
            </w:r>
            <w:r>
              <w:rPr>
                <w:rFonts w:ascii="Open Sans" w:hAnsi="Open Sans"/>
                <w:b w:val="false"/>
                <w:i w:val="false"/>
                <w:caps w:val="false"/>
                <w:smallCaps w:val="false"/>
                <w:color w:val="000000"/>
                <w:sz w:val="16"/>
              </w:rPr>
              <w:t xml:space="preserve">Shareholders are encouraged by the progress we have made in our sustainability strategy, including our joint venture with Archaea Energy (recently acquired by bp) to develop 40 landfill RNG projects and our creation of the Republic Services Polymer Center, the nation’s first integrated plastics recycling facility. Shareholders also continue to recognize our commitment to greenhouse gas reductions as the only environmental services provider with a goal approved by the Science Based Targets initiative (SBTi). Please see our most recent Sustainability Report for more information.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369" w:type="dxa"/>
            <w:tcBorders/>
            <w:shd w:fill="auto" w:val="clear"/>
          </w:tcPr>
          <w:p>
            <w:pPr>
              <w:pStyle w:val="TableContents"/>
              <w:spacing w:before="120" w:after="0"/>
              <w:jc w:val="left"/>
              <w:rPr>
                <w:b w:val="false"/>
                <w:i w:val="false"/>
                <w:caps w:val="false"/>
                <w:smallCaps w:val="false"/>
              </w:rPr>
            </w:pPr>
            <w:r>
              <w:rPr>
                <w:rFonts w:ascii="Open Sans" w:hAnsi="Open Sans"/>
                <w:b/>
                <w:i w:val="false"/>
                <w:caps w:val="false"/>
                <w:smallCaps w:val="false"/>
                <w:color w:val="000000"/>
                <w:sz w:val="16"/>
              </w:rPr>
              <w:t>Inclusion and Diversity</w:t>
            </w:r>
            <w:r>
              <w:rPr>
                <w:b w:val="false"/>
                <w:i w:val="false"/>
                <w:caps w:val="false"/>
                <w:smallCaps w:val="false"/>
                <w:color w:val="000000"/>
              </w:rPr>
              <w:t xml:space="preserve"> – </w:t>
            </w:r>
            <w:r>
              <w:rPr>
                <w:rFonts w:ascii="Open Sans" w:hAnsi="Open Sans"/>
                <w:b w:val="false"/>
                <w:i w:val="false"/>
                <w:caps w:val="false"/>
                <w:smallCaps w:val="false"/>
                <w:color w:val="000000"/>
                <w:sz w:val="16"/>
              </w:rPr>
              <w:t>Shareholders were pleased that we committed to undertake a civil rights assessment. Shareholders also expressed appreciation of our programs and publicly disclosed EEO-1 report. Please see our most recent EEO-1 and Sustainability Report found under Sustainability within our Investor section of our website.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369" w:type="dxa"/>
            <w:tcBorders/>
            <w:shd w:fill="auto" w:val="clear"/>
          </w:tcPr>
          <w:p>
            <w:pPr>
              <w:pStyle w:val="TableContents"/>
              <w:spacing w:before="120" w:after="0"/>
              <w:jc w:val="left"/>
              <w:rPr>
                <w:b w:val="false"/>
                <w:i w:val="false"/>
                <w:caps w:val="false"/>
                <w:smallCaps w:val="false"/>
              </w:rPr>
            </w:pPr>
            <w:r>
              <w:rPr>
                <w:rFonts w:ascii="Open Sans" w:hAnsi="Open Sans"/>
                <w:b/>
                <w:i w:val="false"/>
                <w:caps w:val="false"/>
                <w:smallCaps w:val="false"/>
                <w:color w:val="000000"/>
                <w:sz w:val="16"/>
              </w:rPr>
              <w:t xml:space="preserve">Executive Compensation </w:t>
            </w:r>
            <w:r>
              <w:rPr>
                <w:b w:val="false"/>
                <w:i w:val="false"/>
                <w:caps w:val="false"/>
                <w:smallCaps w:val="false"/>
                <w:color w:val="000000"/>
              </w:rPr>
              <w:t xml:space="preserve">– </w:t>
            </w:r>
            <w:r>
              <w:rPr>
                <w:rFonts w:ascii="Open Sans" w:hAnsi="Open Sans"/>
                <w:b w:val="false"/>
                <w:i w:val="false"/>
                <w:caps w:val="false"/>
                <w:smallCaps w:val="false"/>
                <w:color w:val="000000"/>
                <w:sz w:val="16"/>
              </w:rPr>
              <w:t xml:space="preserve">Shareholders were pleased that Republic included a sustainability modifier into executive compensation last year. Shareholders expressed interest in understanding how we assess sustainability performance in terms of executive compensation. Please see the Compensation Discussion and Analysis section for more information on this topic.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369" w:type="dxa"/>
            <w:tcBorders/>
            <w:shd w:fill="auto" w:val="clear"/>
          </w:tcPr>
          <w:p>
            <w:pPr>
              <w:pStyle w:val="TableContents"/>
              <w:spacing w:before="120" w:after="0"/>
              <w:jc w:val="left"/>
              <w:rPr>
                <w:b w:val="false"/>
                <w:i w:val="false"/>
                <w:caps w:val="false"/>
                <w:smallCaps w:val="false"/>
              </w:rPr>
            </w:pPr>
            <w:r>
              <w:rPr>
                <w:rFonts w:ascii="Open Sans" w:hAnsi="Open Sans"/>
                <w:b/>
                <w:i w:val="false"/>
                <w:caps w:val="false"/>
                <w:smallCaps w:val="false"/>
                <w:color w:val="000000"/>
                <w:sz w:val="16"/>
              </w:rPr>
              <w:t xml:space="preserve">Environmental Justice </w:t>
            </w:r>
            <w:r>
              <w:rPr>
                <w:b w:val="false"/>
                <w:i w:val="false"/>
                <w:caps w:val="false"/>
                <w:smallCaps w:val="false"/>
                <w:color w:val="000000"/>
              </w:rPr>
              <w:t xml:space="preserve">– </w:t>
            </w:r>
            <w:r>
              <w:rPr>
                <w:rFonts w:ascii="Open Sans" w:hAnsi="Open Sans"/>
                <w:b w:val="false"/>
                <w:i w:val="false"/>
                <w:caps w:val="false"/>
                <w:smallCaps w:val="false"/>
                <w:color w:val="000000"/>
                <w:sz w:val="16"/>
              </w:rPr>
              <w:t xml:space="preserve">Many shareholders expressed an appreciation of our latest environmental justice disclosure which included an analysis of both a one kilometer and five kilometer radius around our facilities, including our recent US Ecology acquisition. To further enhance transparency, we also created a map of individual facilities and their socioeconomic data using the EPA’s Environmental Justice Screening and Mapping Tool (EJScreen), which can be accessed through the Sustainability section of our website. </w:t>
            </w:r>
          </w:p>
        </w:tc>
      </w:tr>
    </w:tbl>
    <w:p>
      <w:pPr>
        <w:pStyle w:val="TextBody"/>
        <w:spacing w:before="0" w:after="0"/>
        <w:jc w:val="center"/>
        <w:rPr>
          <w:bdr w:val="single" w:sz="6" w:space="1" w:color="00497C"/>
        </w:rPr>
      </w:pPr>
      <w:r>
        <w:rPr>
          <w:bdr w:val="single" w:sz="6" w:space="1" w:color="00497C"/>
        </w:rPr>
        <w:t> </w:t>
      </w:r>
    </w:p>
    <w:p>
      <w:pPr>
        <w:pStyle w:val="TextBody"/>
        <w:spacing w:before="0" w:after="0"/>
        <w:jc w:val="center"/>
        <w:rPr>
          <w:caps w:val="false"/>
          <w:smallCaps w:val="false"/>
          <w:bdr w:val="single" w:sz="6" w:space="1" w:color="00497C"/>
        </w:rPr>
      </w:pPr>
      <w:r>
        <w:rPr>
          <w:caps w:val="false"/>
          <w:smallCaps w:val="false"/>
          <w:bdr w:val="single" w:sz="6" w:space="1" w:color="00497C"/>
        </w:rPr>
        <w:drawing>
          <wp:inline distT="0" distB="0" distL="0" distR="0">
            <wp:extent cx="5943600" cy="23812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5943600" cy="2381250"/>
                    </a:xfrm>
                    <a:prstGeom prst="rect">
                      <a:avLst/>
                    </a:prstGeom>
                  </pic:spPr>
                </pic:pic>
              </a:graphicData>
            </a:graphic>
          </wp:inline>
        </w:drawing>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33</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i w:val="false"/>
          <w:caps w:val="false"/>
          <w:smallCaps w:val="false"/>
          <w:color w:val="004A7C"/>
          <w:sz w:val="27"/>
          <w:bdr w:val="single" w:sz="6" w:space="1" w:color="00497C"/>
        </w:rPr>
      </w:pPr>
      <w:bookmarkStart w:id="25" w:name="ADDITIONAL_BOARD_POLICIES"/>
      <w:bookmarkEnd w:id="25"/>
      <w:r>
        <w:rPr>
          <w:rFonts w:ascii="Open Sans" w:hAnsi="Open Sans"/>
          <w:b/>
          <w:i w:val="false"/>
          <w:caps w:val="false"/>
          <w:smallCaps w:val="false"/>
          <w:color w:val="004A7C"/>
          <w:sz w:val="27"/>
          <w:bdr w:val="single" w:sz="6" w:space="1" w:color="00497C"/>
        </w:rPr>
        <w:t>Additional Board Policies</w:t>
      </w:r>
      <w:r>
        <w:rPr>
          <w:rFonts w:ascii="Open Sans" w:hAnsi="Open Sans"/>
          <w:b/>
          <w:i w:val="false"/>
          <w:caps/>
          <w:color w:val="00497C"/>
          <w:sz w:val="27"/>
          <w:bdr w:val="single" w:sz="6" w:space="1" w:color="00497C"/>
        </w:rPr>
        <w:t xml:space="preserve">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6" w:name="SHAREHOLDER_DIRECTOR_RECOMMENDATION_POLI"/>
      <w:bookmarkEnd w:id="26"/>
      <w:r>
        <w:rPr>
          <w:rFonts w:ascii="Open Sans SemiBold" w:hAnsi="Open Sans SemiBold"/>
          <w:b w:val="false"/>
          <w:i w:val="false"/>
          <w:caps w:val="false"/>
          <w:smallCaps w:val="false"/>
          <w:color w:val="004A7C"/>
          <w:sz w:val="17"/>
          <w:bdr w:val="single" w:sz="6" w:space="1" w:color="00497C"/>
        </w:rPr>
        <w:t>Shareholder Director Recommendation Policy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Governance Committee will consider director candidates recommended by our shareholders unrelated to a recommendation under our proxy access bylaw provision, described below. A shareholder may propose a nominee to serve as a director before a meeting of shareholders by giving timely written notice and meeting the other requirements set forth in Section 2.12 of our Amended and Restated Bylaws (“Bylaws”) and complying with applicable SEC regulations.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Governance Committee determines the eligibility of a proposed nominee to serve as a director, and may require additional information to determine such eligibility. Director candidates proposed by shareholders are evaluated on the same basis as all other director candidates. See “Director Nomination Procedures and Diversity Relating to Board Candidacy” on page 32. The Governance Committee may, in its discretion, interview any director candidate proposed by a shareholder.</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Shareholders wishing to recommend director candidates for consideration by the Governance Committee may do so by sending the required information in writing to: Attention: Office of the Corporate Secretary, Republic Services, Inc., 18500 North Allied Way, Phoenix, Arizona 85054. To consider a candidate for nomination at the 2024 annual meeting of shareholders, we must receive the shareholder’s written notice no earlier than January 13, 2024 and no later than February 12, 2024. Refer to our Bylaws for additional information and notice requirements.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In addition to satisfying the requirements of our Bylaws, to comply with the universal proxy rules, shareholders who intend to solicit proxies in support of director nominees other than the Board's nominees must also provide notice that sets forth the information required by Rule 14a-19 under Securities Exchange Act of 1934, as amended (the “Exchange Act”) and comply with the additional requirements of Rule 14a-19 under the Exchange Act.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7" w:name="PROXY_ACCESS_DIRECTOR_NOMINATIONS"/>
      <w:bookmarkEnd w:id="27"/>
      <w:r>
        <w:rPr>
          <w:rFonts w:ascii="Open Sans SemiBold" w:hAnsi="Open Sans SemiBold"/>
          <w:b w:val="false"/>
          <w:i w:val="false"/>
          <w:caps w:val="false"/>
          <w:smallCaps w:val="false"/>
          <w:color w:val="004A7C"/>
          <w:sz w:val="17"/>
          <w:bdr w:val="single" w:sz="6" w:space="1" w:color="00497C"/>
        </w:rPr>
        <w:t>Proxy Access Director Nominations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In addition to the right to recommend directors to the Governance Committee, qualifying shareholders also have the right to nominate and include director candidates in our proxy materials by giving adequate and timely notice to the Corporate Secretary pursuant to the procedures and requirements contained in our proxy access bylaw. Any shareholder or group of up to 20 shareholders who have maintained continuous qualifying ownership of at least 3% of the shares of our outstanding common stock for at least the previous three years are permitted to include up to 25% of the number of director nominees in our proxy materials for our annual meeting of shareholders, provided that the shareholders and nominees satisfy the requirements specified in our Bylaws. In order for such nominees to be included in our proxy statement and form of proxy, shareholders and nominees must submit a notice of proxy access nomination together with certain related information required by our Bylaws.</w:t>
      </w:r>
    </w:p>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Shareholders wishing to recommend director candidates using our proxy access bylaw may do so by sending the required information in writing to: Attention: Office of the Corporate Secretary, Republic Services, Inc., 18500 North Allied Way, Phoenix, Arizona 85054. To provide adequate time to assess shareholder-nominated candidates, requests to include these candidates in our proxy materials for our 2024 annual meeting of shareholders must be delivered or mailed and received at our principal executive offices no earlier than October 31, 2023 and no later than November 30, 2023.</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8" w:name="DIRECTOR_RESIGNATION_POLICY"/>
      <w:bookmarkEnd w:id="28"/>
      <w:r>
        <w:rPr>
          <w:rFonts w:ascii="Open Sans SemiBold" w:hAnsi="Open Sans SemiBold"/>
          <w:b w:val="false"/>
          <w:i w:val="false"/>
          <w:caps w:val="false"/>
          <w:smallCaps w:val="false"/>
          <w:color w:val="004A7C"/>
          <w:sz w:val="17"/>
          <w:bdr w:val="single" w:sz="6" w:space="1" w:color="00497C"/>
        </w:rPr>
        <w:t>Director Resignation Policy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Republic is a Delaware corporation. </w:t>
      </w:r>
      <w:r>
        <w:rPr>
          <w:rFonts w:ascii="Open Sans" w:hAnsi="Open Sans"/>
          <w:b w:val="false"/>
          <w:i w:val="false"/>
          <w:caps w:val="false"/>
          <w:smallCaps w:val="false"/>
          <w:spacing w:val="-3"/>
          <w:sz w:val="16"/>
          <w:bdr w:val="single" w:sz="6" w:space="1" w:color="00497C"/>
        </w:rPr>
        <w:t>Th</w:t>
      </w:r>
      <w:r>
        <w:rPr>
          <w:rFonts w:ascii="Open Sans" w:hAnsi="Open Sans"/>
          <w:b w:val="false"/>
          <w:i w:val="false"/>
          <w:caps w:val="false"/>
          <w:smallCaps w:val="false"/>
          <w:sz w:val="16"/>
          <w:bdr w:val="single" w:sz="6" w:space="1" w:color="00497C"/>
        </w:rPr>
        <w:t>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affirmativ</w:t>
      </w:r>
      <w:r>
        <w:rPr>
          <w:rFonts w:ascii="Open Sans" w:hAnsi="Open Sans"/>
          <w:b w:val="false"/>
          <w:i w:val="false"/>
          <w:caps w:val="false"/>
          <w:smallCaps w:val="false"/>
          <w:sz w:val="16"/>
          <w:bdr w:val="single" w:sz="6" w:space="1" w:color="00497C"/>
        </w:rPr>
        <w:t>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vot</w:t>
      </w:r>
      <w:r>
        <w:rPr>
          <w:rFonts w:ascii="Open Sans" w:hAnsi="Open Sans"/>
          <w:b w:val="false"/>
          <w:i w:val="false"/>
          <w:caps w:val="false"/>
          <w:smallCaps w:val="false"/>
          <w:sz w:val="16"/>
          <w:bdr w:val="single" w:sz="6" w:space="1" w:color="00497C"/>
        </w:rPr>
        <w:t>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w:t>
      </w:r>
      <w:r>
        <w:rPr>
          <w:rFonts w:ascii="Open Sans" w:hAnsi="Open Sans"/>
          <w:b w:val="false"/>
          <w:i w:val="false"/>
          <w:caps w:val="false"/>
          <w:smallCaps w:val="false"/>
          <w:sz w:val="16"/>
          <w:bdr w:val="single" w:sz="6" w:space="1" w:color="00497C"/>
        </w:rPr>
        <w:t>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w:t>
      </w:r>
      <w:r>
        <w:rPr>
          <w:rFonts w:ascii="Open Sans" w:hAnsi="Open Sans"/>
          <w:b w:val="false"/>
          <w:i w:val="false"/>
          <w:caps w:val="false"/>
          <w:smallCaps w:val="false"/>
          <w:sz w:val="16"/>
          <w:bdr w:val="single" w:sz="6" w:space="1" w:color="00497C"/>
        </w:rPr>
        <w:t>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majorit</w:t>
      </w:r>
      <w:r>
        <w:rPr>
          <w:rFonts w:ascii="Open Sans" w:hAnsi="Open Sans"/>
          <w:b w:val="false"/>
          <w:i w:val="false"/>
          <w:caps w:val="false"/>
          <w:smallCaps w:val="false"/>
          <w:sz w:val="16"/>
          <w:bdr w:val="single" w:sz="6" w:space="1" w:color="00497C"/>
        </w:rPr>
        <w:t>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w:t>
      </w:r>
      <w:r>
        <w:rPr>
          <w:rFonts w:ascii="Open Sans" w:hAnsi="Open Sans"/>
          <w:b w:val="false"/>
          <w:i w:val="false"/>
          <w:caps w:val="false"/>
          <w:smallCaps w:val="false"/>
          <w:sz w:val="16"/>
          <w:bdr w:val="single" w:sz="6" w:space="1" w:color="00497C"/>
        </w:rPr>
        <w:t>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vote</w:t>
      </w:r>
      <w:r>
        <w:rPr>
          <w:rFonts w:ascii="Open Sans" w:hAnsi="Open Sans"/>
          <w:b w:val="false"/>
          <w:i w:val="false"/>
          <w:caps w:val="false"/>
          <w:smallCaps w:val="false"/>
          <w:sz w:val="16"/>
          <w:bdr w:val="single" w:sz="6" w:space="1" w:color="00497C"/>
        </w:rPr>
        <w: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cas</w:t>
      </w:r>
      <w:r>
        <w:rPr>
          <w:rFonts w:ascii="Open Sans" w:hAnsi="Open Sans"/>
          <w:b w:val="false"/>
          <w:i w:val="false"/>
          <w:caps w:val="false"/>
          <w:smallCaps w:val="false"/>
          <w:sz w:val="16"/>
          <w:bdr w:val="single" w:sz="6" w:space="1" w:color="00497C"/>
        </w:rPr>
        <w:t>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w:t>
      </w:r>
      <w:r>
        <w:rPr>
          <w:rFonts w:ascii="Open Sans" w:hAnsi="Open Sans"/>
          <w:b w:val="false"/>
          <w:i w:val="false"/>
          <w:caps w:val="false"/>
          <w:smallCaps w:val="false"/>
          <w:sz w:val="16"/>
          <w:bdr w:val="single" w:sz="6" w:space="1" w:color="00497C"/>
        </w:rPr>
        <w: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respec</w:t>
      </w:r>
      <w:r>
        <w:rPr>
          <w:rFonts w:ascii="Open Sans" w:hAnsi="Open Sans"/>
          <w:b w:val="false"/>
          <w:i w:val="false"/>
          <w:caps w:val="false"/>
          <w:smallCaps w:val="false"/>
          <w:sz w:val="16"/>
          <w:bdr w:val="single" w:sz="6" w:space="1" w:color="00497C"/>
        </w:rPr>
        <w:t>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w:t>
      </w:r>
      <w:r>
        <w:rPr>
          <w:rFonts w:ascii="Open Sans" w:hAnsi="Open Sans"/>
          <w:b w:val="false"/>
          <w:i w:val="false"/>
          <w:caps w:val="false"/>
          <w:smallCaps w:val="false"/>
          <w:sz w:val="16"/>
          <w:bdr w:val="single" w:sz="6" w:space="1" w:color="00497C"/>
        </w:rPr>
        <w: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w:t>
      </w:r>
      <w:r>
        <w:rPr>
          <w:rFonts w:ascii="Open Sans" w:hAnsi="Open Sans"/>
          <w:b w:val="false"/>
          <w:i w:val="false"/>
          <w:caps w:val="false"/>
          <w:smallCaps w:val="false"/>
          <w:sz w:val="16"/>
          <w:bdr w:val="single" w:sz="6" w:space="1" w:color="00497C"/>
        </w:rPr>
        <w:t>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director’</w:t>
      </w:r>
      <w:r>
        <w:rPr>
          <w:rFonts w:ascii="Open Sans" w:hAnsi="Open Sans"/>
          <w:b w:val="false"/>
          <w:i w:val="false"/>
          <w:caps w:val="false"/>
          <w:smallCaps w:val="false"/>
          <w:sz w:val="16"/>
          <w:bdr w:val="single" w:sz="6" w:space="1" w:color="00497C"/>
        </w:rPr>
        <w: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electio</w:t>
      </w:r>
      <w:r>
        <w:rPr>
          <w:rFonts w:ascii="Open Sans" w:hAnsi="Open Sans"/>
          <w:b w:val="false"/>
          <w:i w:val="false"/>
          <w:caps w:val="false"/>
          <w:smallCaps w:val="false"/>
          <w:sz w:val="16"/>
          <w:bdr w:val="single" w:sz="6" w:space="1" w:color="00497C"/>
        </w:rPr>
        <w:t>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w:t>
      </w:r>
      <w:r>
        <w:rPr>
          <w:rFonts w:ascii="Open Sans" w:hAnsi="Open Sans"/>
          <w:b w:val="false"/>
          <w:i w:val="false"/>
          <w:caps w:val="false"/>
          <w:smallCaps w:val="false"/>
          <w:sz w:val="16"/>
          <w:bdr w:val="single" w:sz="6" w:space="1" w:color="00497C"/>
        </w:rPr>
        <w:t>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 stockholder meeting i</w:t>
      </w:r>
      <w:r>
        <w:rPr>
          <w:rFonts w:ascii="Open Sans" w:hAnsi="Open Sans"/>
          <w:b w:val="false"/>
          <w:i w:val="false"/>
          <w:caps w:val="false"/>
          <w:smallCaps w:val="false"/>
          <w:sz w:val="16"/>
          <w:bdr w:val="single" w:sz="6" w:space="1" w:color="00497C"/>
        </w:rPr>
        <w: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require</w:t>
      </w:r>
      <w:r>
        <w:rPr>
          <w:rFonts w:ascii="Open Sans" w:hAnsi="Open Sans"/>
          <w:b w:val="false"/>
          <w:i w:val="false"/>
          <w:caps w:val="false"/>
          <w:smallCaps w:val="false"/>
          <w:sz w:val="16"/>
          <w:bdr w:val="single" w:sz="6" w:space="1" w:color="00497C"/>
        </w:rPr>
        <w:t>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w:t>
      </w:r>
      <w:r>
        <w:rPr>
          <w:rFonts w:ascii="Open Sans" w:hAnsi="Open Sans"/>
          <w:b w:val="false"/>
          <w:i w:val="false"/>
          <w:caps w:val="false"/>
          <w:smallCaps w:val="false"/>
          <w:sz w:val="16"/>
          <w:bdr w:val="single" w:sz="6" w:space="1" w:color="00497C"/>
        </w:rPr>
        <w:t>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w:t>
      </w:r>
      <w:r>
        <w:rPr>
          <w:rFonts w:ascii="Open Sans" w:hAnsi="Open Sans"/>
          <w:b w:val="false"/>
          <w:i w:val="false"/>
          <w:caps w:val="false"/>
          <w:smallCaps w:val="false"/>
          <w:sz w:val="16"/>
          <w:bdr w:val="single" w:sz="6" w:space="1" w:color="00497C"/>
        </w:rPr>
        <w:t>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electio</w:t>
      </w:r>
      <w:r>
        <w:rPr>
          <w:rFonts w:ascii="Open Sans" w:hAnsi="Open Sans"/>
          <w:b w:val="false"/>
          <w:i w:val="false"/>
          <w:caps w:val="false"/>
          <w:smallCaps w:val="false"/>
          <w:sz w:val="16"/>
          <w:bdr w:val="single" w:sz="6" w:space="1" w:color="00497C"/>
        </w:rPr>
        <w:t>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w:t>
      </w:r>
      <w:r>
        <w:rPr>
          <w:rFonts w:ascii="Open Sans" w:hAnsi="Open Sans"/>
          <w:b w:val="false"/>
          <w:i w:val="false"/>
          <w:caps w:val="false"/>
          <w:smallCaps w:val="false"/>
          <w:sz w:val="16"/>
          <w:bdr w:val="single" w:sz="6" w:space="1" w:color="00497C"/>
        </w:rPr>
        <w:t>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each</w:t>
      </w:r>
      <w:r>
        <w:rPr>
          <w:rFonts w:ascii="Open Sans" w:hAnsi="Open Sans"/>
          <w:b w:val="false"/>
          <w:i w:val="false"/>
          <w:caps w:val="false"/>
          <w:smallCaps w:val="false"/>
          <w:sz w:val="16"/>
          <w:bdr w:val="single" w:sz="6" w:space="1" w:color="00497C"/>
        </w:rPr>
        <w:t xml:space="preserve"> </w:t>
      </w:r>
      <w:r>
        <w:rPr>
          <w:rFonts w:ascii="Open Sans" w:hAnsi="Open Sans"/>
          <w:b w:val="false"/>
          <w:i w:val="false"/>
          <w:caps w:val="false"/>
          <w:smallCaps w:val="false"/>
          <w:spacing w:val="-2"/>
          <w:sz w:val="16"/>
          <w:bdr w:val="single" w:sz="6" w:space="1" w:color="00497C"/>
        </w:rPr>
        <w:t>directo</w:t>
      </w:r>
      <w:r>
        <w:rPr>
          <w:rFonts w:ascii="Open Sans" w:hAnsi="Open Sans"/>
          <w:b w:val="false"/>
          <w:i w:val="false"/>
          <w:caps w:val="false"/>
          <w:smallCaps w:val="false"/>
          <w:sz w:val="16"/>
          <w:bdr w:val="single" w:sz="6" w:space="1" w:color="00497C"/>
        </w:rPr>
        <w:t>r. Under Delaware law, if an incumbent director is not elected, that director remains in office until the director’s successor is duly elected and qualified or until the director’s death, resignation or retirement. To address this potential outcome, we have a director resignation policy in our Bylaws. Under this policy, the Board will nominate for further service on the Board only those incumbent candidates who tender, in advance, irrevocable resignations. Each irrevocable resignation is contingent on the failure to receive the required vote at any annual meeting at which the nominee is nominated for re-election and on Board acceptance of the resignation. The Governance Committee will recommend to the Board whether to accept or reject the tendered resignation. The Board will publicly disclose its decision within 90 days after certification of the election results. If the Board does not accept the resignation, the director will continue to serve until the next annual meeting and until his or her successor is duly elected, or until his or her earlier resignation or removal. If the Board accepts the resignation, then the Board, in its sole discretion, may fill any resulting vacancy or reduce the size of the Board.</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34</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29" w:name="COMMUNICATIONS_WITH_BOARD_DIRECTORS"/>
      <w:bookmarkEnd w:id="29"/>
      <w:r>
        <w:rPr>
          <w:rFonts w:ascii="Open Sans SemiBold" w:hAnsi="Open Sans SemiBold"/>
          <w:b w:val="false"/>
          <w:i w:val="false"/>
          <w:caps w:val="false"/>
          <w:smallCaps w:val="false"/>
          <w:color w:val="004A7C"/>
          <w:sz w:val="17"/>
          <w:bdr w:val="single" w:sz="6" w:space="1" w:color="00497C"/>
        </w:rPr>
        <w:t>Communications with the Board of Directors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Any shareholder or other interested party who wishes to communicate with the Board, a Board committee, the Chairman of the Board or the non-management directors (as a group or individually) may send correspondence to: Attention: Office of the Corporate Secretary, Republic Services, Inc., 18500 North Allied Way, Phoenix, Arizona 85054. The Corporate Secretary will compile and submit such correspondence on a periodic basis to the entire Board or, if designated in the communication, to the appropriate Board committee, the Chairman of the Board or the non-management directors (as a group or the appropriate individual member(s)). The independent directors have approved this process.</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30" w:name="ATTENDANCE_AT_ANNUAL_MEETINGS_POLICY"/>
      <w:bookmarkEnd w:id="30"/>
      <w:r>
        <w:rPr>
          <w:rFonts w:ascii="Open Sans SemiBold" w:hAnsi="Open Sans SemiBold"/>
          <w:b w:val="false"/>
          <w:i w:val="false"/>
          <w:caps w:val="false"/>
          <w:smallCaps w:val="false"/>
          <w:color w:val="004A7C"/>
          <w:sz w:val="17"/>
          <w:bdr w:val="single" w:sz="6" w:space="1" w:color="00497C"/>
        </w:rPr>
        <w:t>Attendance at Annual Meetings Policy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We do not have a formal policy requiring our directors to attend the Annual Meeting. Mr. Vander Ark attended and chaired our 2022 annual meeting of shareholders.</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31" w:name="ADDITIONAL_INFORMATION_REGARDING_CORPORA"/>
      <w:bookmarkEnd w:id="31"/>
      <w:r>
        <w:rPr>
          <w:rFonts w:ascii="Open Sans SemiBold" w:hAnsi="Open Sans SemiBold"/>
          <w:b w:val="false"/>
          <w:i w:val="false"/>
          <w:caps w:val="false"/>
          <w:smallCaps w:val="false"/>
          <w:color w:val="004A7C"/>
          <w:sz w:val="17"/>
          <w:bdr w:val="single" w:sz="6" w:space="1" w:color="00497C"/>
        </w:rPr>
        <w:t>Additional Information Regarding Corporate Governance</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Shareholders may obtain, free of charge, the current charters for the Audit Committee, Finance Committee, Talent &amp; Compensation Committee, Governance Committee, and Sustainability &amp; Corporate Responsibility Committee, as well as our Certificate of Incorporation, Bylaws, Corporate Governance Guidelines, Code of Ethics, Political Contributions Policy and Clawback Policy by written request to: Attention: Office of the Corporate Secretary, Republic Services, Inc., 18500 North Allied Way, Phoenix, Arizona 85054. These documents also are available on the “Investors” section of our website at www.RepublicServices.com.</w:t>
      </w:r>
    </w:p>
    <w:p>
      <w:pPr>
        <w:pStyle w:val="TextBody"/>
        <w:spacing w:before="120" w:after="0"/>
        <w:rPr>
          <w:rFonts w:ascii="Open Sans" w:hAnsi="Open Sans"/>
          <w:b/>
          <w:i w:val="false"/>
          <w:caps w:val="false"/>
          <w:smallCaps w:val="false"/>
          <w:color w:val="004A7C"/>
          <w:sz w:val="27"/>
          <w:bdr w:val="single" w:sz="6" w:space="1" w:color="00497C"/>
        </w:rPr>
      </w:pPr>
      <w:bookmarkStart w:id="32" w:name="RISK_OVERSIGHT"/>
      <w:bookmarkEnd w:id="32"/>
      <w:r>
        <w:rPr>
          <w:rFonts w:ascii="Open Sans" w:hAnsi="Open Sans"/>
          <w:b/>
          <w:i w:val="false"/>
          <w:caps w:val="false"/>
          <w:smallCaps w:val="false"/>
          <w:color w:val="004A7C"/>
          <w:sz w:val="27"/>
          <w:bdr w:val="single" w:sz="6" w:space="1" w:color="00497C"/>
        </w:rPr>
        <w:t>Risk Oversight</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face a variety of risks, including credit and liquidity, operational, environmental, litigation, compliance, compensation and cyber security risks. Management, the Board and its committees, work together to manage these risks and the opportunities they create. Our management annually reports to the Board the results of its internal survey and analysis of enterprise risk management, and regularly discusses with the Board, and its committees, various operational and compliance risks, including pricing, recycled commodity prices, safety, talent, environmental, fleet and cyber risks. While management is responsible for the day-to-day risk management processes, the role of the Board, either acting as the full Board or through its committees, is to ensure that: </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943600" cy="36671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5943600" cy="3667125"/>
                    </a:xfrm>
                    <a:prstGeom prst="rect">
                      <a:avLst/>
                    </a:prstGeom>
                  </pic:spPr>
                </pic:pic>
              </a:graphicData>
            </a:graphic>
          </wp:inline>
        </w:drawing>
      </w:r>
    </w:p>
    <w:p>
      <w:pPr>
        <w:pStyle w:val="TextBody"/>
        <w:spacing w:before="120" w:after="0"/>
        <w:rPr>
          <w:bdr w:val="single" w:sz="6" w:space="1" w:color="00497C"/>
        </w:rPr>
      </w:pPr>
      <w:r>
        <w:rPr>
          <w:bdr w:val="single" w:sz="6" w:space="1" w:color="00497C"/>
        </w:rPr>
        <w:t> </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35</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943600" cy="19335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5943600" cy="1933575"/>
                    </a:xfrm>
                    <a:prstGeom prst="rect">
                      <a:avLst/>
                    </a:prstGeom>
                  </pic:spPr>
                </pic:pic>
              </a:graphicData>
            </a:graphic>
          </wp:inline>
        </w:drawing>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943600" cy="21812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5943600" cy="2181225"/>
                    </a:xfrm>
                    <a:prstGeom prst="rect">
                      <a:avLst/>
                    </a:prstGeom>
                  </pic:spPr>
                </pic:pic>
              </a:graphicData>
            </a:graphic>
          </wp:inline>
        </w:drawing>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33" w:name="BOARD_OVERSIGHT_SUSTAINABILITY"/>
      <w:bookmarkEnd w:id="33"/>
      <w:r>
        <w:rPr>
          <w:rFonts w:ascii="Open Sans SemiBold" w:hAnsi="Open Sans SemiBold"/>
          <w:b w:val="false"/>
          <w:i w:val="false"/>
          <w:caps w:val="false"/>
          <w:smallCaps w:val="false"/>
          <w:color w:val="004A7C"/>
          <w:sz w:val="17"/>
          <w:bdr w:val="single" w:sz="6" w:space="1" w:color="00497C"/>
        </w:rPr>
        <w:t>Board Oversight of SUSTAINABILITY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Sustainability &amp; Corporate Responsibility Committee meets at least quarterly and takes various steps to assist the Board in fulfilling its oversight responsibility with respect to risks and opportunities, including climate change, safety, environmental and reputational risks, and the practices by which these risks are managed and mitigated.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Board is directly involved in the oversight of Republic’s environmental and sustainability initiatives and conducts a comprehensive review of the Company’s sustainability performance on an annual basis. Republic’s commitment to corporate sustainability also led to the formation of a dedicated Sustainability &amp; Corporate Responsibility Committee of the Board in 2015. This committee has oversight responsibility with respect to our sustainability performance, our corporate responsibilities, our role as a socially responsible organization, and risks and opportunities related to climate change, safety, community engagement, environmental, and reputation. The Sustainability &amp; Corporate Responsibility Committee is focused on reviewing the Company’s sustainability performance and progress toward sustainability strategic goals and objectives as well as providing guidance to management with respect to significant sustainability and corporate responsibility initiatives. </w:t>
      </w:r>
    </w:p>
    <w:p>
      <w:pPr>
        <w:pStyle w:val="TextBody"/>
        <w:spacing w:before="0" w:after="0"/>
        <w:rPr>
          <w:bdr w:val="single" w:sz="6" w:space="1" w:color="00497C"/>
        </w:rPr>
      </w:pPr>
      <w:r>
        <w:rPr>
          <w:bdr w:val="single" w:sz="6" w:space="1" w:color="00497C"/>
        </w:rPr>
        <w:t> </w:t>
      </w:r>
    </w:p>
    <w:p>
      <w:pPr>
        <w:pStyle w:val="TextBody"/>
        <w:spacing w:before="0" w:after="0"/>
        <w:rPr>
          <w:rFonts w:ascii="Open Sans SemiBold" w:hAnsi="Open Sans SemiBold"/>
          <w:b w:val="false"/>
          <w:i w:val="false"/>
          <w:caps w:val="false"/>
          <w:smallCaps w:val="false"/>
          <w:color w:val="004A7C"/>
          <w:sz w:val="17"/>
          <w:bdr w:val="single" w:sz="6" w:space="1" w:color="00497C"/>
        </w:rPr>
      </w:pPr>
      <w:bookmarkStart w:id="34" w:name="BOARD_OVERSIGHT_TALENT"/>
      <w:bookmarkEnd w:id="34"/>
      <w:r>
        <w:rPr>
          <w:rFonts w:ascii="Open Sans SemiBold" w:hAnsi="Open Sans SemiBold"/>
          <w:b w:val="false"/>
          <w:i w:val="false"/>
          <w:caps w:val="false"/>
          <w:smallCaps w:val="false"/>
          <w:color w:val="004A7C"/>
          <w:sz w:val="17"/>
          <w:bdr w:val="single" w:sz="6" w:space="1" w:color="00497C"/>
        </w:rPr>
        <w:t xml:space="preserve">Board Oversight of talent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believe our comprehensive talent program adds long-term value to our business, differentiates us from our peers, and ensures an inclusive and diverse culture for our employees. Building an engaged workforce starts at the top, and we have demonstrated a commitment to diversity through the people who guide our Company – five of the eleven director nominees are women or racially or ethnically diverse. Our Board, our Talent &amp; Compensation Committee and our other committees play a role in the active oversight of the Company’s talent program. </w:t>
      </w:r>
    </w:p>
    <w:p>
      <w:pPr>
        <w:pStyle w:val="TextBody"/>
        <w:spacing w:before="0" w:after="0"/>
        <w:rPr>
          <w:rFonts w:ascii="Open Sans" w:hAnsi="Open Sans"/>
          <w:b w:val="false"/>
          <w:i w:val="false"/>
          <w:caps w:val="false"/>
          <w:smallCaps w:val="false"/>
          <w:color w:val="FFFFFF"/>
          <w:sz w:val="2"/>
          <w:bdr w:val="single" w:sz="6" w:space="1" w:color="00497C"/>
        </w:rPr>
      </w:pPr>
      <w:r>
        <w:rPr>
          <w:rFonts w:ascii="Open Sans" w:hAnsi="Open Sans"/>
          <w:b w:val="false"/>
          <w:i w:val="false"/>
          <w:caps w:val="false"/>
          <w:smallCaps w:val="false"/>
          <w:color w:val="FFFFFF"/>
          <w:sz w:val="2"/>
          <w:bdr w:val="single" w:sz="6" w:space="1" w:color="00497C"/>
        </w:rPr>
        <w:t xml:space="preserve">Board Oversight of Talent our bord and committees are activity involves overseeing the Company,s talent management program. Inclusion and Diversity talent Development Employee well-being Ethics and Compliance safety Employee Engagement Talent Acquisition and Onboarding Compensation and Benefits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This is accomplished by focusing on eight key areas: safety, talent development, inclusion and diversity, employee engagement, ethics and compliance, talent acquisition and onboarding, employee wellness and compensation and benefits. </w:t>
      </w:r>
    </w:p>
    <w:tbl>
      <w:tblPr>
        <w:tblW w:w="9340" w:type="dxa"/>
        <w:jc w:val="left"/>
        <w:tblInd w:w="0" w:type="dxa"/>
        <w:tblCellMar>
          <w:top w:w="0" w:type="dxa"/>
          <w:left w:w="0" w:type="dxa"/>
          <w:bottom w:w="0" w:type="dxa"/>
          <w:right w:w="0" w:type="dxa"/>
        </w:tblCellMar>
      </w:tblPr>
      <w:tblGrid>
        <w:gridCol w:w="60"/>
        <w:gridCol w:w="110"/>
        <w:gridCol w:w="9170"/>
      </w:tblGrid>
      <w:tr>
        <w:trPr/>
        <w:tc>
          <w:tcPr>
            <w:tcW w:w="60" w:type="dxa"/>
            <w:tcBorders/>
            <w:shd w:fill="auto" w:val="clear"/>
          </w:tcPr>
          <w:p>
            <w:pPr>
              <w:pStyle w:val="TableContents"/>
              <w:spacing w:before="120" w:after="0"/>
              <w:rPr>
                <w:caps w:val="false"/>
                <w:smallCaps w:val="false"/>
                <w:color w:val="004A86"/>
              </w:rPr>
            </w:pPr>
            <w:r>
              <w:rPr>
                <w:caps w:val="false"/>
                <w:smallCaps w:val="false"/>
                <w:color w:val="004A86"/>
              </w:rPr>
              <w:t> </w:t>
            </w:r>
          </w:p>
        </w:tc>
        <w:tc>
          <w:tcPr>
            <w:tcW w:w="110" w:type="dxa"/>
            <w:tcBorders/>
            <w:shd w:fill="auto" w:val="clear"/>
          </w:tcPr>
          <w:p>
            <w:pPr>
              <w:pStyle w:val="TableContents"/>
              <w:spacing w:before="120" w:after="0"/>
              <w:rPr>
                <w:caps w:val="false"/>
                <w:smallCaps w:val="false"/>
                <w:color w:val="004A86"/>
              </w:rPr>
            </w:pPr>
            <w:r>
              <w:rPr>
                <w:caps w:val="false"/>
                <w:smallCaps w:val="false"/>
                <w:color w:val="004A86"/>
              </w:rPr>
              <w:t>•</w:t>
            </w:r>
          </w:p>
        </w:tc>
        <w:tc>
          <w:tcPr>
            <w:tcW w:w="9170" w:type="dxa"/>
            <w:tcBorders/>
            <w:shd w:fill="auto" w:val="clear"/>
          </w:tcPr>
          <w:p>
            <w:pPr>
              <w:pStyle w:val="TableContents"/>
              <w:spacing w:before="120" w:after="0"/>
              <w:rPr>
                <w:rFonts w:ascii="Open Sans" w:hAnsi="Open Sans"/>
                <w:b w:val="false"/>
                <w:i w:val="false"/>
                <w:caps w:val="false"/>
                <w:smallCaps w:val="false"/>
                <w:color w:val="004A86"/>
                <w:sz w:val="16"/>
              </w:rPr>
            </w:pPr>
            <w:r>
              <w:rPr>
                <w:rFonts w:ascii="Open Sans" w:hAnsi="Open Sans"/>
                <w:b w:val="false"/>
                <w:i w:val="false"/>
                <w:caps w:val="false"/>
                <w:smallCaps w:val="false"/>
                <w:color w:val="000000"/>
                <w:sz w:val="16"/>
              </w:rPr>
              <w:t xml:space="preserve">Our </w:t>
            </w:r>
            <w:r>
              <w:rPr>
                <w:rFonts w:ascii="Open Sans" w:hAnsi="Open Sans"/>
                <w:b/>
                <w:i w:val="false"/>
                <w:caps w:val="false"/>
                <w:smallCaps w:val="false"/>
                <w:color w:val="000000"/>
                <w:sz w:val="16"/>
              </w:rPr>
              <w:t>Board</w:t>
            </w:r>
            <w:r>
              <w:rPr>
                <w:rFonts w:ascii="Open Sans" w:hAnsi="Open Sans"/>
                <w:b w:val="false"/>
                <w:i w:val="false"/>
                <w:caps w:val="false"/>
                <w:smallCaps w:val="false"/>
                <w:color w:val="000000"/>
                <w:sz w:val="16"/>
              </w:rPr>
              <w:t xml:space="preserve"> receives annual updates and provides guidance on the Company’s talent development programs.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A86"/>
              </w:rPr>
            </w:pPr>
            <w:r>
              <w:rPr>
                <w:caps w:val="false"/>
                <w:smallCaps w:val="false"/>
                <w:color w:val="004A86"/>
              </w:rPr>
              <w:t> </w:t>
            </w:r>
          </w:p>
        </w:tc>
        <w:tc>
          <w:tcPr>
            <w:tcW w:w="110" w:type="dxa"/>
            <w:tcBorders/>
            <w:shd w:fill="auto" w:val="clear"/>
          </w:tcPr>
          <w:p>
            <w:pPr>
              <w:pStyle w:val="TableContents"/>
              <w:spacing w:before="0" w:after="0"/>
              <w:rPr>
                <w:caps w:val="false"/>
                <w:smallCaps w:val="false"/>
                <w:color w:val="004A86"/>
              </w:rPr>
            </w:pPr>
            <w:r>
              <w:rPr>
                <w:caps w:val="false"/>
                <w:smallCaps w:val="false"/>
                <w:color w:val="004A86"/>
              </w:rPr>
              <w:t>•</w:t>
            </w:r>
          </w:p>
        </w:tc>
        <w:tc>
          <w:tcPr>
            <w:tcW w:w="10369" w:type="dxa"/>
            <w:tcBorders/>
            <w:shd w:fill="auto" w:val="clear"/>
          </w:tcPr>
          <w:p>
            <w:pPr>
              <w:pStyle w:val="TableContents"/>
              <w:spacing w:before="0" w:after="0"/>
              <w:rPr>
                <w:rFonts w:ascii="Open Sans" w:hAnsi="Open Sans"/>
                <w:b w:val="false"/>
                <w:i w:val="false"/>
                <w:caps w:val="false"/>
                <w:smallCaps w:val="false"/>
                <w:color w:val="004A86"/>
                <w:sz w:val="16"/>
              </w:rPr>
            </w:pPr>
            <w:r>
              <w:rPr>
                <w:rFonts w:ascii="Open Sans" w:hAnsi="Open Sans"/>
                <w:b w:val="false"/>
                <w:i w:val="false"/>
                <w:caps w:val="false"/>
                <w:smallCaps w:val="false"/>
                <w:color w:val="000000"/>
                <w:sz w:val="16"/>
              </w:rPr>
              <w:t xml:space="preserve">Our </w:t>
            </w:r>
            <w:r>
              <w:rPr>
                <w:rFonts w:ascii="Open Sans" w:hAnsi="Open Sans"/>
                <w:b/>
                <w:i w:val="false"/>
                <w:caps w:val="false"/>
                <w:smallCaps w:val="false"/>
                <w:color w:val="000000"/>
                <w:sz w:val="16"/>
              </w:rPr>
              <w:t>Talent &amp; Compensation Committee</w:t>
            </w:r>
            <w:r>
              <w:rPr>
                <w:rFonts w:ascii="Open Sans" w:hAnsi="Open Sans"/>
                <w:b w:val="false"/>
                <w:i w:val="false"/>
                <w:caps w:val="false"/>
                <w:smallCaps w:val="false"/>
                <w:color w:val="000000"/>
                <w:sz w:val="16"/>
              </w:rPr>
              <w:t xml:space="preserve"> engages with management each quarter on critical elements of our talent program, including talent acquisition, onboarding and retention, inclusion and diversity, employee engagement, employee compensation and benefits, employee wellness, talent development and assessment and diverse pipelines for management. </w:t>
            </w:r>
          </w:p>
        </w:tc>
      </w:tr>
    </w:tbl>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36</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A86"/>
              </w:rPr>
            </w:pPr>
            <w:r>
              <w:rPr>
                <w:caps w:val="false"/>
                <w:smallCaps w:val="false"/>
                <w:color w:val="004A86"/>
              </w:rPr>
              <w:t> </w:t>
            </w:r>
          </w:p>
        </w:tc>
        <w:tc>
          <w:tcPr>
            <w:tcW w:w="110" w:type="dxa"/>
            <w:tcBorders/>
            <w:shd w:fill="auto" w:val="clear"/>
          </w:tcPr>
          <w:p>
            <w:pPr>
              <w:pStyle w:val="TableContents"/>
              <w:spacing w:before="0" w:after="0"/>
              <w:rPr>
                <w:caps w:val="false"/>
                <w:smallCaps w:val="false"/>
                <w:color w:val="004A86"/>
              </w:rPr>
            </w:pPr>
            <w:r>
              <w:rPr>
                <w:caps w:val="false"/>
                <w:smallCaps w:val="false"/>
                <w:color w:val="004A86"/>
              </w:rPr>
              <w:t>•</w:t>
            </w:r>
          </w:p>
        </w:tc>
        <w:tc>
          <w:tcPr>
            <w:tcW w:w="10369" w:type="dxa"/>
            <w:tcBorders/>
            <w:shd w:fill="auto" w:val="clear"/>
          </w:tcPr>
          <w:p>
            <w:pPr>
              <w:pStyle w:val="TableContents"/>
              <w:spacing w:before="0" w:after="0"/>
              <w:rPr>
                <w:rFonts w:ascii="Open Sans" w:hAnsi="Open Sans"/>
                <w:b w:val="false"/>
                <w:i w:val="false"/>
                <w:caps w:val="false"/>
                <w:smallCaps w:val="false"/>
                <w:color w:val="004A86"/>
                <w:sz w:val="16"/>
              </w:rPr>
            </w:pPr>
            <w:r>
              <w:rPr>
                <w:rFonts w:ascii="Open Sans" w:hAnsi="Open Sans"/>
                <w:b w:val="false"/>
                <w:i w:val="false"/>
                <w:caps w:val="false"/>
                <w:smallCaps w:val="false"/>
                <w:color w:val="000000"/>
                <w:sz w:val="16"/>
              </w:rPr>
              <w:t xml:space="preserve">Our </w:t>
            </w:r>
            <w:r>
              <w:rPr>
                <w:rFonts w:ascii="Open Sans" w:hAnsi="Open Sans"/>
                <w:b/>
                <w:i w:val="false"/>
                <w:caps w:val="false"/>
                <w:smallCaps w:val="false"/>
                <w:color w:val="000000"/>
                <w:sz w:val="16"/>
              </w:rPr>
              <w:t>Sustainability &amp; Corporate Responsibility Committee</w:t>
            </w:r>
            <w:r>
              <w:rPr>
                <w:rFonts w:ascii="Open Sans" w:hAnsi="Open Sans"/>
                <w:b w:val="false"/>
                <w:i w:val="false"/>
                <w:caps w:val="false"/>
                <w:smallCaps w:val="false"/>
                <w:color w:val="000000"/>
                <w:sz w:val="16"/>
              </w:rPr>
              <w:t xml:space="preserve"> engages in quarterly deep dives related to safety and security, and community engagement. </w:t>
            </w:r>
          </w:p>
        </w:tc>
      </w:tr>
    </w:tbl>
    <w:tbl>
      <w:tblPr>
        <w:tblW w:w="7870" w:type="dxa"/>
        <w:jc w:val="left"/>
        <w:tblInd w:w="0" w:type="dxa"/>
        <w:tblCellMar>
          <w:top w:w="0" w:type="dxa"/>
          <w:left w:w="0" w:type="dxa"/>
          <w:bottom w:w="0" w:type="dxa"/>
          <w:right w:w="0" w:type="dxa"/>
        </w:tblCellMar>
      </w:tblPr>
      <w:tblGrid>
        <w:gridCol w:w="60"/>
        <w:gridCol w:w="110"/>
        <w:gridCol w:w="7700"/>
      </w:tblGrid>
      <w:tr>
        <w:trPr/>
        <w:tc>
          <w:tcPr>
            <w:tcW w:w="60" w:type="dxa"/>
            <w:tcBorders/>
            <w:shd w:fill="auto" w:val="clear"/>
          </w:tcPr>
          <w:p>
            <w:pPr>
              <w:pStyle w:val="TableContents"/>
              <w:spacing w:before="0" w:after="0"/>
              <w:rPr>
                <w:caps w:val="false"/>
                <w:smallCaps w:val="false"/>
                <w:color w:val="004A86"/>
              </w:rPr>
            </w:pPr>
            <w:r>
              <w:rPr>
                <w:caps w:val="false"/>
                <w:smallCaps w:val="false"/>
                <w:color w:val="004A86"/>
              </w:rPr>
              <w:t> </w:t>
            </w:r>
          </w:p>
        </w:tc>
        <w:tc>
          <w:tcPr>
            <w:tcW w:w="110" w:type="dxa"/>
            <w:tcBorders/>
            <w:shd w:fill="auto" w:val="clear"/>
          </w:tcPr>
          <w:p>
            <w:pPr>
              <w:pStyle w:val="TableContents"/>
              <w:spacing w:before="0" w:after="0"/>
              <w:rPr>
                <w:caps w:val="false"/>
                <w:smallCaps w:val="false"/>
                <w:color w:val="004A86"/>
              </w:rPr>
            </w:pPr>
            <w:r>
              <w:rPr>
                <w:caps w:val="false"/>
                <w:smallCaps w:val="false"/>
                <w:color w:val="004A86"/>
              </w:rPr>
              <w:t>•</w:t>
            </w:r>
          </w:p>
        </w:tc>
        <w:tc>
          <w:tcPr>
            <w:tcW w:w="7700" w:type="dxa"/>
            <w:tcBorders/>
            <w:shd w:fill="auto" w:val="clear"/>
          </w:tcPr>
          <w:p>
            <w:pPr>
              <w:pStyle w:val="TableContents"/>
              <w:spacing w:before="0" w:after="0"/>
              <w:rPr>
                <w:rFonts w:ascii="Open Sans" w:hAnsi="Open Sans"/>
                <w:b w:val="false"/>
                <w:i w:val="false"/>
                <w:caps w:val="false"/>
                <w:smallCaps w:val="false"/>
                <w:color w:val="004A86"/>
                <w:sz w:val="16"/>
              </w:rPr>
            </w:pPr>
            <w:r>
              <w:rPr>
                <w:rFonts w:ascii="Open Sans" w:hAnsi="Open Sans"/>
                <w:b w:val="false"/>
                <w:i w:val="false"/>
                <w:caps w:val="false"/>
                <w:smallCaps w:val="false"/>
                <w:color w:val="000000"/>
                <w:sz w:val="16"/>
              </w:rPr>
              <w:t xml:space="preserve">Our </w:t>
            </w:r>
            <w:r>
              <w:rPr>
                <w:rFonts w:ascii="Open Sans" w:hAnsi="Open Sans"/>
                <w:b/>
                <w:i w:val="false"/>
                <w:caps w:val="false"/>
                <w:smallCaps w:val="false"/>
                <w:color w:val="000000"/>
                <w:sz w:val="16"/>
              </w:rPr>
              <w:t>Audit Committee</w:t>
            </w:r>
            <w:r>
              <w:rPr>
                <w:rFonts w:ascii="Open Sans" w:hAnsi="Open Sans"/>
                <w:b w:val="false"/>
                <w:i w:val="false"/>
                <w:caps w:val="false"/>
                <w:smallCaps w:val="false"/>
                <w:color w:val="000000"/>
                <w:sz w:val="16"/>
              </w:rPr>
              <w:t xml:space="preserve"> receives quarterly updates on our ethics and compliance programs.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A86"/>
              </w:rPr>
            </w:pPr>
            <w:r>
              <w:rPr>
                <w:caps w:val="false"/>
                <w:smallCaps w:val="false"/>
                <w:color w:val="004A86"/>
              </w:rPr>
              <w:t> </w:t>
            </w:r>
          </w:p>
        </w:tc>
        <w:tc>
          <w:tcPr>
            <w:tcW w:w="110" w:type="dxa"/>
            <w:tcBorders/>
            <w:shd w:fill="auto" w:val="clear"/>
          </w:tcPr>
          <w:p>
            <w:pPr>
              <w:pStyle w:val="TableContents"/>
              <w:spacing w:before="0" w:after="0"/>
              <w:rPr>
                <w:caps w:val="false"/>
                <w:smallCaps w:val="false"/>
                <w:color w:val="004A86"/>
              </w:rPr>
            </w:pPr>
            <w:r>
              <w:rPr>
                <w:caps w:val="false"/>
                <w:smallCaps w:val="false"/>
                <w:color w:val="004A86"/>
              </w:rPr>
              <w:t>•</w:t>
            </w:r>
          </w:p>
        </w:tc>
        <w:tc>
          <w:tcPr>
            <w:tcW w:w="10369" w:type="dxa"/>
            <w:tcBorders/>
            <w:shd w:fill="auto" w:val="clear"/>
          </w:tcPr>
          <w:p>
            <w:pPr>
              <w:pStyle w:val="TableContents"/>
              <w:spacing w:before="0" w:after="0"/>
              <w:rPr>
                <w:rFonts w:ascii="Open Sans" w:hAnsi="Open Sans"/>
                <w:b w:val="false"/>
                <w:i w:val="false"/>
                <w:caps w:val="false"/>
                <w:smallCaps w:val="false"/>
                <w:color w:val="004A86"/>
                <w:sz w:val="16"/>
              </w:rPr>
            </w:pPr>
            <w:r>
              <w:rPr>
                <w:rFonts w:ascii="Open Sans" w:hAnsi="Open Sans"/>
                <w:b w:val="false"/>
                <w:i w:val="false"/>
                <w:caps w:val="false"/>
                <w:smallCaps w:val="false"/>
                <w:color w:val="000000"/>
                <w:sz w:val="16"/>
              </w:rPr>
              <w:t xml:space="preserve">Our </w:t>
            </w:r>
            <w:r>
              <w:rPr>
                <w:rFonts w:ascii="Open Sans" w:hAnsi="Open Sans"/>
                <w:b/>
                <w:i w:val="false"/>
                <w:caps w:val="false"/>
                <w:smallCaps w:val="false"/>
                <w:color w:val="000000"/>
                <w:sz w:val="16"/>
              </w:rPr>
              <w:t>Nominating &amp; Corporate Governance Committee</w:t>
            </w:r>
            <w:r>
              <w:rPr>
                <w:rFonts w:ascii="Open Sans" w:hAnsi="Open Sans"/>
                <w:b w:val="false"/>
                <w:i w:val="false"/>
                <w:caps w:val="false"/>
                <w:smallCaps w:val="false"/>
                <w:color w:val="000000"/>
                <w:sz w:val="16"/>
              </w:rPr>
              <w:t xml:space="preserve"> ensures that we are seeking director candidates who will bring a diversity of background, experience and viewpoints to our Board and reviews the composition of the current executive officers and potential successors to ensure that there is appropriate focus on maintaining a diverse team.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A86"/>
              </w:rPr>
            </w:pPr>
            <w:r>
              <w:rPr>
                <w:caps w:val="false"/>
                <w:smallCaps w:val="false"/>
                <w:color w:val="004A86"/>
              </w:rPr>
              <w:t> </w:t>
            </w:r>
          </w:p>
        </w:tc>
        <w:tc>
          <w:tcPr>
            <w:tcW w:w="110" w:type="dxa"/>
            <w:tcBorders/>
            <w:shd w:fill="auto" w:val="clear"/>
          </w:tcPr>
          <w:p>
            <w:pPr>
              <w:pStyle w:val="TableContents"/>
              <w:spacing w:before="0" w:after="0"/>
              <w:rPr>
                <w:caps w:val="false"/>
                <w:smallCaps w:val="false"/>
                <w:color w:val="004A86"/>
              </w:rPr>
            </w:pPr>
            <w:r>
              <w:rPr>
                <w:caps w:val="false"/>
                <w:smallCaps w:val="false"/>
                <w:color w:val="004A86"/>
              </w:rPr>
              <w:t>•</w:t>
            </w:r>
          </w:p>
        </w:tc>
        <w:tc>
          <w:tcPr>
            <w:tcW w:w="10369" w:type="dxa"/>
            <w:tcBorders/>
            <w:shd w:fill="auto" w:val="clear"/>
          </w:tcPr>
          <w:p>
            <w:pPr>
              <w:pStyle w:val="TableContents"/>
              <w:spacing w:before="0" w:after="0"/>
              <w:rPr>
                <w:rFonts w:ascii="Open Sans" w:hAnsi="Open Sans"/>
                <w:b w:val="false"/>
                <w:i w:val="false"/>
                <w:caps w:val="false"/>
                <w:smallCaps w:val="false"/>
                <w:color w:val="004A86"/>
                <w:sz w:val="16"/>
              </w:rPr>
            </w:pPr>
            <w:r>
              <w:rPr>
                <w:rFonts w:ascii="Open Sans" w:hAnsi="Open Sans"/>
                <w:b w:val="false"/>
                <w:i w:val="false"/>
                <w:caps w:val="false"/>
                <w:smallCaps w:val="false"/>
                <w:color w:val="000000"/>
                <w:sz w:val="16"/>
              </w:rPr>
              <w:t xml:space="preserve">Our </w:t>
            </w:r>
            <w:r>
              <w:rPr>
                <w:rFonts w:ascii="Open Sans" w:hAnsi="Open Sans"/>
                <w:b/>
                <w:i w:val="false"/>
                <w:caps w:val="false"/>
                <w:smallCaps w:val="false"/>
                <w:color w:val="000000"/>
                <w:sz w:val="16"/>
              </w:rPr>
              <w:t>Finance Committee</w:t>
            </w:r>
            <w:r>
              <w:rPr>
                <w:rFonts w:ascii="Open Sans" w:hAnsi="Open Sans"/>
                <w:b w:val="false"/>
                <w:i w:val="false"/>
                <w:caps w:val="false"/>
                <w:smallCaps w:val="false"/>
                <w:color w:val="000000"/>
                <w:sz w:val="16"/>
              </w:rPr>
              <w:t xml:space="preserve"> receives an annual update on the financial condition of the Company’s retirement benefit programs.</w:t>
            </w:r>
          </w:p>
        </w:tc>
      </w:tr>
    </w:tbl>
    <w:p>
      <w:pPr>
        <w:pStyle w:val="TextBody"/>
        <w:spacing w:before="0" w:after="0"/>
        <w:rPr>
          <w:bdr w:val="single" w:sz="6" w:space="1" w:color="00497C"/>
        </w:rPr>
      </w:pPr>
      <w:r>
        <w:rPr>
          <w:bdr w:val="single" w:sz="6" w:space="1" w:color="00497C"/>
        </w:rPr>
        <w:t> </w:t>
      </w:r>
    </w:p>
    <w:p>
      <w:pPr>
        <w:pStyle w:val="TextBody"/>
        <w:spacing w:before="120" w:after="120"/>
        <w:jc w:val="center"/>
        <w:rPr>
          <w:caps w:val="false"/>
          <w:smallCaps w:val="false"/>
          <w:bdr w:val="single" w:sz="6" w:space="1" w:color="00497C"/>
        </w:rPr>
      </w:pPr>
      <w:r>
        <w:rPr>
          <w:caps w:val="false"/>
          <w:smallCaps w:val="false"/>
          <w:bdr w:val="single" w:sz="6" w:space="1" w:color="00497C"/>
        </w:rPr>
        <w:drawing>
          <wp:inline distT="0" distB="0" distL="0" distR="0">
            <wp:extent cx="5667375" cy="18669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5667375" cy="1866900"/>
                    </a:xfrm>
                    <a:prstGeom prst="rect">
                      <a:avLst/>
                    </a:prstGeom>
                  </pic:spPr>
                </pic:pic>
              </a:graphicData>
            </a:graphic>
          </wp:inline>
        </w:drawing>
      </w:r>
    </w:p>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10539"/>
      </w:tblGrid>
      <w:tr>
        <w:trPr/>
        <w:tc>
          <w:tcPr>
            <w:tcW w:w="10539" w:type="dxa"/>
            <w:tcBorders/>
            <w:shd w:fill="004A7C" w:val="clear"/>
          </w:tcPr>
          <w:p>
            <w:pPr>
              <w:pStyle w:val="TableContents"/>
              <w:spacing w:before="0" w:after="0"/>
              <w:ind w:left="0" w:right="0" w:hanging="0"/>
              <w:rPr/>
            </w:pPr>
            <w:r>
              <w:rPr/>
              <w:t> </w:t>
            </w:r>
          </w:p>
        </w:tc>
      </w:tr>
      <w:tr>
        <w:trPr/>
        <w:tc>
          <w:tcPr>
            <w:tcW w:w="10539" w:type="dxa"/>
            <w:tcBorders/>
            <w:shd w:fill="004A7C" w:val="clear"/>
          </w:tcPr>
          <w:p>
            <w:pPr>
              <w:pStyle w:val="TableContents"/>
              <w:spacing w:before="0" w:after="0"/>
              <w:ind w:left="118" w:right="0" w:hanging="0"/>
              <w:rPr>
                <w:rFonts w:ascii="Open Sans SemiBold" w:hAnsi="Open Sans SemiBold"/>
                <w:b w:val="false"/>
                <w:i w:val="false"/>
                <w:caps w:val="false"/>
                <w:smallCaps w:val="false"/>
                <w:color w:val="FFFFFF"/>
                <w:sz w:val="18"/>
              </w:rPr>
            </w:pPr>
            <w:r>
              <w:rPr>
                <w:rFonts w:ascii="Open Sans SemiBold" w:hAnsi="Open Sans SemiBold"/>
                <w:b w:val="false"/>
                <w:i w:val="false"/>
                <w:caps w:val="false"/>
                <w:smallCaps w:val="false"/>
                <w:color w:val="FFFFFF"/>
                <w:sz w:val="18"/>
              </w:rPr>
              <w:t>We believe that the Board and committee leadership structure we have implemented and the division of responsibilities between the Board, committees and management described in this Proxy Statement constitute the most effective approach to address the risks we face.</w:t>
            </w:r>
          </w:p>
        </w:tc>
      </w:tr>
      <w:tr>
        <w:trPr/>
        <w:tc>
          <w:tcPr>
            <w:tcW w:w="10539" w:type="dxa"/>
            <w:tcBorders/>
            <w:shd w:fill="004A7C" w:val="clear"/>
          </w:tcPr>
          <w:p>
            <w:pPr>
              <w:pStyle w:val="TableContents"/>
              <w:spacing w:before="0" w:after="0"/>
              <w:ind w:left="0" w:right="0" w:hanging="0"/>
              <w:rPr/>
            </w:pPr>
            <w:r>
              <w:rPr/>
              <w:t> </w:t>
            </w:r>
          </w:p>
        </w:tc>
      </w:tr>
    </w:tbl>
    <w:p>
      <w:pPr>
        <w:pStyle w:val="TextBody"/>
        <w:spacing w:before="240" w:after="0"/>
        <w:rPr>
          <w:rFonts w:ascii="Open Sans" w:hAnsi="Open Sans"/>
          <w:b/>
          <w:i w:val="false"/>
          <w:caps w:val="false"/>
          <w:smallCaps w:val="false"/>
          <w:color w:val="004A7C"/>
          <w:sz w:val="27"/>
          <w:bdr w:val="single" w:sz="6" w:space="1" w:color="00497C"/>
        </w:rPr>
      </w:pPr>
      <w:bookmarkStart w:id="35" w:name="ETHICS_COMPLIANCE"/>
      <w:bookmarkEnd w:id="35"/>
      <w:r>
        <w:rPr>
          <w:rFonts w:ascii="Open Sans" w:hAnsi="Open Sans"/>
          <w:b/>
          <w:i w:val="false"/>
          <w:caps w:val="false"/>
          <w:smallCaps w:val="false"/>
          <w:color w:val="004A7C"/>
          <w:sz w:val="27"/>
          <w:bdr w:val="single" w:sz="6" w:space="1" w:color="00497C"/>
        </w:rPr>
        <w:t xml:space="preserve">Ethics and Compliance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At Republic, it is our responsibility to deliver results in the right way. This means every employee is expected to act with integrity and make the right choice in every situation. We lead by example and hold ourselves to the highest ethical standards and practices in all that we do. Our Code of Ethics applies to all of our directors, officers and employees and is an integral part of Republic’s ethics and compliance program. It serves as the cornerstone of our commitment to conduct business with the highest ethical and legal standards.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commitment to a strong ethical and compliant culture was recently acknowledged by being named to the 2023 World’s Most Ethical Companies® List by Ethisphere, a global leader in defining and advancing the standards of ethical business practices. This is the fifth year that Republic Services has received this honor. The World’s Most Ethical Companies’ assessment is based upon the Ethisphere Institute’s Ethics Quotient (EQ) framework which offers a quantitative way to assess a company’s performance in an objective, consistent, and standardized manner. Scores are generated in five key categories: ethics and compliance program (35%), culture of ethics (20%), environmental and societal impact (20%), governance (15%), and leadership and reputation (10%), and provided to all companies who participate in the process.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If we make any substantive amendments to the Code of Ethics or grant any waiver from a provision of the Code of Ethics that applies to our CEO, Chief Financial Officer, Controller or Chief Accounting Officer, we will disclose the nature of such amendment or waiver in a Current Report on Form 8-K filed with the SEC. The Code of Ethics can be viewed on the “Investors” section of our website at www.RepublicServices.com. The information contained on our website, and in all references to our website within this Proxy Statement, shall not be deemed incorporated by reference in this Proxy Statement or in any other filing we make under Exchange Act.</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We also have a standalone Supplier Code of Business Ethics and Conduct ("Supplier Code"), which is applicable to our vendors, contractors, consultants, agents, representatives, brokers, and any other third party that provides us with goods and services. Our Supplier Code outlines our expectations with respect to our suppliers' conduct when they are doing business with, or on behalf of, Republic, with an emphasis on ethical, lawful conduct in every circumstance. Our Supplier Code underscores our commitment to conducting business ethically and lawfully across our entire supply chain.</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37</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240" w:after="0"/>
        <w:rPr>
          <w:rFonts w:ascii="Open Sans" w:hAnsi="Open Sans"/>
          <w:b/>
          <w:i w:val="false"/>
          <w:caps w:val="false"/>
          <w:smallCaps w:val="false"/>
          <w:color w:val="004A7C"/>
          <w:sz w:val="27"/>
          <w:bdr w:val="single" w:sz="6" w:space="1" w:color="00497C"/>
        </w:rPr>
      </w:pPr>
      <w:bookmarkStart w:id="36" w:name="SUSTAINABILITY_CORPORATE_RESPONSIBILITY"/>
      <w:bookmarkEnd w:id="36"/>
      <w:r>
        <w:rPr>
          <w:rFonts w:ascii="Open Sans" w:hAnsi="Open Sans"/>
          <w:b/>
          <w:i w:val="false"/>
          <w:caps w:val="false"/>
          <w:smallCaps w:val="false"/>
          <w:color w:val="004A7C"/>
          <w:sz w:val="27"/>
          <w:bdr w:val="single" w:sz="6" w:space="1" w:color="00497C"/>
        </w:rPr>
        <w:t>Sustainability and Corporate Responsibility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In addition to being committed to our customers, employees, and shareholders, we are committed to the communities we serve and to the environment. We are partnering with our customers to create a more sustainable world.</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37" w:name="OUR_COMMITMENT_TO_SAFETY"/>
      <w:bookmarkEnd w:id="37"/>
      <w:r>
        <w:rPr>
          <w:rFonts w:ascii="Open Sans SemiBold" w:hAnsi="Open Sans SemiBold"/>
          <w:b w:val="false"/>
          <w:i w:val="false"/>
          <w:caps w:val="false"/>
          <w:smallCaps w:val="false"/>
          <w:color w:val="004A7C"/>
          <w:sz w:val="17"/>
          <w:bdr w:val="single" w:sz="6" w:space="1" w:color="00497C"/>
        </w:rPr>
        <w:t>Our Commitment to Safety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Safety always tops our list of Company priorities, and we believe the success of our safety program is directly dependent on our people: employees with strong operational know-how, attention to detail, leadership accountability and a consistent focus. We reinforce our Company’s safety culture through comprehensive safety management programs, which include our Focus Together foundational safety training program, new driver training programs, our non-negotiable absolutes and standards, as well as many other programs. To solidify our commitment to the safety of our employees and communities, we have two related 2030 sustainability goals, “Safety Amplified” and “Incident Reduction.” For more information on these goals and our plans for how we will achieve them, please see our sustainability reporting available at RepublicServices.com/Sustainability. Our sustainability reporting shall not be deemed incorporated by reference into any filing under the Securities Act of 1933, as amended (the “Securities Act”) or the Exchange Act unless expressly incorporated by reference.</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38" w:name="SUSTAINABILITY_FOCUS"/>
      <w:bookmarkEnd w:id="38"/>
      <w:r>
        <w:rPr>
          <w:rFonts w:ascii="Open Sans SemiBold" w:hAnsi="Open Sans SemiBold"/>
          <w:b w:val="false"/>
          <w:i w:val="false"/>
          <w:caps w:val="false"/>
          <w:smallCaps w:val="false"/>
          <w:color w:val="004A7C"/>
          <w:sz w:val="17"/>
          <w:bdr w:val="single" w:sz="6" w:space="1" w:color="00497C"/>
        </w:rPr>
        <w:t>Sustainability Focus</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are passionate about our role as responsible stewards of our customers’ waste, and we have been steadily building on our sustainability performance for several years. Our 2030 sustainability goals are designed to significantly benefit the environment and society while enhancing the foundation and profitability of our business for the long term. These goals reaffirm our commitment to the elements of our sustainability platform: Safety, Talent, Climate Leadership and Communities. These elements support and enable our business strategy designed to generate profitable growth by sustainably managing our customers’ needs. When we manage these elements of our sustainability program, we believe we strengthen the foundation of our business for the long term and create value for all stakeholders. </w:t>
      </w:r>
    </w:p>
    <w:p>
      <w:pPr>
        <w:pStyle w:val="TextBody"/>
        <w:spacing w:before="0" w:after="0"/>
        <w:jc w:val="center"/>
        <w:rPr>
          <w:bdr w:val="single" w:sz="6" w:space="1" w:color="00497C"/>
        </w:rPr>
      </w:pPr>
      <w:r>
        <w:rPr>
          <w:bdr w:val="single" w:sz="6" w:space="1" w:color="00497C"/>
        </w:rPr>
        <w: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developed our 2030 sustainability goals through a comprehensive assessment that included an analysis of global trends, identification of business model dependencies and engagement with key stakeholders, including shareholders. In 2022, we concluded our third sustainability materiality assessment, continuing our ongoing engagement with stakeholders and realigning our strategy in this ever-evolving world. Our sustainability materiality assessment is one of several processes through which we engage with our employees, communities, investors and other key stakeholder groups to ensure we continue to address the environmental, social, and governance topics most important to our stakeholders, the planet, and society. We align the topics considered in these processes with internationally recognized frameworks which address critical global macrotrends, such as the United Nations’ Sustainable Development Goals. We continue on the pathway toward achieving our greenhouse gas reduction goal approved by the Science Based Targets Initiative (“SBTi”). Our 2022 sustainability report will be released later this year.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38</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848350" cy="427672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5848350" cy="4276725"/>
                    </a:xfrm>
                    <a:prstGeom prst="rect">
                      <a:avLst/>
                    </a:prstGeom>
                  </pic:spPr>
                </pic:pic>
              </a:graphicData>
            </a:graphic>
          </wp:inline>
        </w:drawing>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To further our progress toward our climate leadership goals, we have taken a leadership position in electric technology innovation for our fleet. In 2022, we partnered with manufacturers to pilot electric-powered recycling and solid waste trucks. This is a critical step toward reducing our environmental impact through lower fleet emissions. As part of this multi-supplier vendor strategy, we also partnered with Oshkosh Corporation to roll out fully integrated automated side-load prototypes in 2023. By 2028, we expect electric vehicles to make up half of our new truck purchases. Our investment in these innovations will benefit the environment through reduced emissions, offer cleaner and quieter operations in the neighborhoods we serve, and help our customers meet their own sustainability goals.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Republic is also advancing circularity for plastics. The Polymer Center, the nation’s first integrated plastics recycling facility, will enable us to manage the plastics stream from curbside collection to delivery of high-quality recycled content for consumer packaging.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Additionally, in 2022 Republic announced a joint venture with Archaea Energy, Inc. (recently acquired by bp) to develop 40 renewable natural gas (“RNG”) projects across the county. The partnership, the country’s largest RNG portfolio build-out to date, will convert landfill gas into pipeline-quality RNG that can be used for a variety of applications to displace gas from fossil fuels.  The initiative is expected to generate substantial progress toward Republic’s long-term sustainability goal to beneficially reuse 50% more biogas by 2030.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39" w:name="INDUSTRY_LEADERSHIP"/>
      <w:bookmarkEnd w:id="39"/>
      <w:r>
        <w:rPr>
          <w:rFonts w:ascii="Open Sans SemiBold" w:hAnsi="Open Sans SemiBold"/>
          <w:b w:val="false"/>
          <w:i w:val="false"/>
          <w:caps w:val="false"/>
          <w:smallCaps w:val="false"/>
          <w:color w:val="004A7C"/>
          <w:sz w:val="17"/>
          <w:bdr w:val="single" w:sz="6" w:space="1" w:color="00497C"/>
        </w:rPr>
        <w:t>Industry Leadership</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regularly review our environmental and social progress and performance to continue advancing our work. We were named to the North American Dow Jones Sustainability Index (“DJSI”) for a seventh consecutive year in 2022. The assessment that leads to placement on the DJSI is one of the world’s most rigorous and renowned corporate sustainability assessments. In addition, we earned a CDP Climate Leadership score, the only one of our industry peers to do so, and we were the first industry peer to advance to an “A” rating under MSCI. Our performance on these sustainability ratings is in recognition of the Company’s commitment to sustainability, including our 2030 goals, increased disclosures and achievements. These achievements demonstrate our ability to connect financial performance with environmental and social performance, including addressing various risks and opportunities posed by climate change. Our sustainability rankings also highlight Republic’s leadership in corporate governance, environmental, social and financial aspects of sustainability. We strive to </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39</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remain at the forefront in our approach to sustainability issues, including climate change and have aligned our reporting to Task Force on Climate-related Financial Disclosures (“TCFD”) recommendations, which we expanded in 2022 with additional physical and transition risk disclosures as we prepare to satisfy the SEC’s upcoming climate disclosure requirements. In 2022, we released our eighth Sustainability and GRI reports, and published our fifth annual SASB report. We continue to publish our EEO-1 workforce diversity data, key information related to environmental justice and our CDP Climate Change response to make critical disclosures more accessible to the public. All of our latest reports are available on our website at RepublicServices.com/sustainability. </w:t>
      </w:r>
    </w:p>
    <w:p>
      <w:pPr>
        <w:pStyle w:val="TextBody"/>
        <w:spacing w:before="240" w:after="0"/>
        <w:rPr>
          <w:rFonts w:ascii="Open Sans" w:hAnsi="Open Sans"/>
          <w:b/>
          <w:i w:val="false"/>
          <w:caps w:val="false"/>
          <w:smallCaps w:val="false"/>
          <w:color w:val="004A7C"/>
          <w:sz w:val="27"/>
          <w:bdr w:val="single" w:sz="6" w:space="1" w:color="00497C"/>
        </w:rPr>
      </w:pPr>
      <w:bookmarkStart w:id="40" w:name="TALENT"/>
      <w:bookmarkEnd w:id="40"/>
      <w:r>
        <w:rPr>
          <w:rFonts w:ascii="Open Sans" w:hAnsi="Open Sans"/>
          <w:b/>
          <w:i w:val="false"/>
          <w:caps w:val="false"/>
          <w:smallCaps w:val="false"/>
          <w:color w:val="004A7C"/>
          <w:sz w:val="27"/>
          <w:bdr w:val="single" w:sz="6" w:space="1" w:color="00497C"/>
        </w:rPr>
        <w:t>Talent</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We hold ourselves to the highest standards to ensure we are the company where the best people come to work and are engaged every day. We do this by combining meaningful experiences and programs that develop and motivate employees with attractive total rewards packages and maintaining a highly inclusive and diverse work environment. Our engagement and retention programs are designed to sustain our high engagement levels. Through learning and talent development programs, we focus on ensuring our employees have the skills necessary to be successful in their current roles through targeted onboarding and experiential learning. We also provide our employees the opportunity to learn new skills and advance within the organization through our Technical Institute, leadership training and other development programs. Finally, we continually monitor and regularly measure the progress we have made in increasing the diversity of our workforce and creating an even more inclusive culture for our employees.</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5943600" cy="2428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5943600" cy="2428875"/>
                    </a:xfrm>
                    <a:prstGeom prst="rect">
                      <a:avLst/>
                    </a:prstGeom>
                  </pic:spPr>
                </pic:pic>
              </a:graphicData>
            </a:graphic>
          </wp:inline>
        </w:drawing>
      </w:r>
      <w:r>
        <w:rPr>
          <w:caps w:val="false"/>
          <w:smallCaps w:val="false"/>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41" w:name="EMPLOYEE_ENGAGEMENT"/>
      <w:bookmarkEnd w:id="41"/>
      <w:r>
        <w:rPr>
          <w:rFonts w:ascii="Open Sans SemiBold" w:hAnsi="Open Sans SemiBold"/>
          <w:b w:val="false"/>
          <w:i w:val="false"/>
          <w:caps w:val="false"/>
          <w:smallCaps w:val="false"/>
          <w:color w:val="004A7C"/>
          <w:sz w:val="17"/>
          <w:bdr w:val="single" w:sz="6" w:space="1" w:color="00497C"/>
        </w:rPr>
        <w:t xml:space="preserve">Employee Engagement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believe an engaged workforce is key to our success. We measure employee engagement through third-party surveys, assessing employee sentiment on a variety of topics such as pride for the Company, job satisfaction and intention to stay. We have found that business units with a highly engaged workforce experience less turnover. We have also found that employees whose leaders are highly inclusive are more likely to speak up and share their perspective. In addition, we believe that engaged employees deliver better customer service and are more productive, which is directly tied to the success of our business. Our goal is to achieve and maintain employee engagement scores at or above 88 by 2030. Our employees completed two surveys in 2022. As of September 2022, our engagement score was 85, reinforcing our commitment to ensuring every voice is heard. Employee engagement is a core part of our business strategy. This helps to ensure that our leaders are held accountable and rewarded for their efforts to drive a more engaged workforce. </w:t>
      </w:r>
    </w:p>
    <w:p>
      <w:pPr>
        <w:pStyle w:val="TextBody"/>
        <w:spacing w:before="120" w:after="0"/>
        <w:rPr>
          <w:rFonts w:ascii="Open Sans SemiBold" w:hAnsi="Open Sans SemiBold"/>
          <w:b w:val="false"/>
          <w:i w:val="false"/>
          <w:caps w:val="false"/>
          <w:smallCaps w:val="false"/>
          <w:color w:val="004A7C"/>
          <w:sz w:val="17"/>
          <w:bdr w:val="single" w:sz="6" w:space="1" w:color="00497C"/>
        </w:rPr>
      </w:pPr>
      <w:bookmarkStart w:id="42" w:name="INCLUSION_DIVERSITY"/>
      <w:bookmarkEnd w:id="42"/>
      <w:r>
        <w:rPr>
          <w:rFonts w:ascii="Open Sans SemiBold" w:hAnsi="Open Sans SemiBold"/>
          <w:b w:val="false"/>
          <w:i w:val="false"/>
          <w:caps w:val="false"/>
          <w:smallCaps w:val="false"/>
          <w:color w:val="004A7C"/>
          <w:sz w:val="17"/>
          <w:bdr w:val="single" w:sz="6" w:space="1" w:color="00497C"/>
        </w:rPr>
        <w:t>Inclusion and Diversity</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We are proud of the diversity of our frontline workforce, as it closely represents the demographics of the communities we serve. We are committed to improving diverse representation across all levels of the Company. Our commitment to inclusion and diversity starts at the top of our organization with our Board, and is outlined in our Mission of Supporting an Inclusive Culture (MOSAIC), established in 2013, and supported by the MOSAIC Council. The MOSAIC Council consists of leaders from across the Company who serve as ambassadors and thought partners for inclusion and diversity. This enables us to continue to develop new strategies and activities that are tied to the needs of our employees, customers and business with the goal of maintaining an even more inclusive work environment and diverse workforce.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40</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Our values reinforce who we are today, and serve as an anchor for who we aspire to be. As an employer of people from all backgrounds, our core value of “human-centered” represents our commitment to embrace the unique potential and dignity of every person at Republic Services. We believe strongly that shared values unify us as a company and help to establish expectations for how our employees treat one another and should expect to be treated. We continue to focus on developing and maintaining leadership behaviors that drive mutual understanding, connectivity and empathy within our workforce, which we know helps drive inclusion in the workplace for our existing employees, and attract diverse talent to choose Republic as their future employer. Finally, we create opportunities for our employees to be part of communities that support their needs, and we offer this connectivity through our business resource groups, including Women of Republic, VALOR (Veterans, Advocacy, Learning, Outreach and Recruiting), the Black Employee Network and UNIDOS.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We continue to receive national awards for our accomplishments in these areas and we aim to raise the bar even higher.</w:t>
      </w:r>
    </w:p>
    <w:p>
      <w:pPr>
        <w:pStyle w:val="TextBody"/>
        <w:spacing w:before="120" w:after="0"/>
        <w:jc w:val="center"/>
        <w:rPr>
          <w:caps w:val="false"/>
          <w:smallCaps w:val="false"/>
          <w:bdr w:val="single" w:sz="6" w:space="1" w:color="00497C"/>
        </w:rPr>
      </w:pPr>
      <w:r>
        <w:rPr>
          <w:caps w:val="false"/>
          <w:smallCaps w:val="false"/>
          <w:bdr w:val="single" w:sz="6" w:space="1" w:color="00497C"/>
        </w:rPr>
        <w:drawing>
          <wp:inline distT="0" distB="0" distL="0" distR="0">
            <wp:extent cx="6029325" cy="17716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6029325" cy="1771650"/>
                    </a:xfrm>
                    <a:prstGeom prst="rect">
                      <a:avLst/>
                    </a:prstGeom>
                  </pic:spPr>
                </pic:pic>
              </a:graphicData>
            </a:graphic>
          </wp:inline>
        </w:drawing>
      </w:r>
    </w:p>
    <w:p>
      <w:pPr>
        <w:pStyle w:val="TextBody"/>
        <w:spacing w:before="240" w:after="0"/>
        <w:rPr>
          <w:rFonts w:ascii="Open Sans SemiBold" w:hAnsi="Open Sans SemiBold"/>
          <w:b w:val="false"/>
          <w:i w:val="false"/>
          <w:caps w:val="false"/>
          <w:smallCaps w:val="false"/>
          <w:color w:val="004A7C"/>
          <w:sz w:val="17"/>
          <w:bdr w:val="single" w:sz="6" w:space="1" w:color="00497C"/>
        </w:rPr>
      </w:pPr>
      <w:bookmarkStart w:id="43" w:name="COMMITTED_TO_SERVE"/>
      <w:bookmarkEnd w:id="43"/>
      <w:r>
        <w:rPr>
          <w:rFonts w:ascii="Open Sans SemiBold" w:hAnsi="Open Sans SemiBold"/>
          <w:b w:val="false"/>
          <w:i w:val="false"/>
          <w:caps w:val="false"/>
          <w:smallCaps w:val="false"/>
          <w:color w:val="004A7C"/>
          <w:sz w:val="17"/>
          <w:bdr w:val="single" w:sz="6" w:space="1" w:color="00497C"/>
        </w:rPr>
        <w:t>Committed to Serve</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COVID-19 pandemic pressure tested the resiliency of our business model and our roles as providers of an essential service. The majority of our workforce remained in the field throughout the pandemic and the Company took swift and comprehensive action to help protect our employees and communities. At the height of the pandemic, we launched our Committed to Serve Initiative, which we continued throughout 2022. Through Committed to Serve, we directed over $69 million to recognize the contributions of our frontline employees, including $3 million donated to the Republic Services Charitable Foundation, more than $11 million in gift cards given to employees to support them and the local economy, $6 million spent at local restaurants to provide two weekly meals for employees and their families, and $49 million in Committed to Serve awards to our frontline employees.</w:t>
      </w:r>
      <w:r>
        <w:rPr>
          <w:rFonts w:ascii="Open Sans" w:hAnsi="Open Sans"/>
          <w:b w:val="false"/>
          <w:i w:val="false"/>
          <w:caps w:val="false"/>
          <w:smallCaps w:val="false"/>
          <w:color w:val="FFFFFF"/>
          <w:sz w:val="2"/>
          <w:bdr w:val="single" w:sz="6" w:space="1" w:color="00497C"/>
        </w:rPr>
        <w:t>ompany whose goal</w:t>
      </w:r>
      <w:r>
        <w:rPr>
          <w:rFonts w:ascii="Open Sans" w:hAnsi="Open Sans"/>
          <w:b w:val="false"/>
          <w:i w:val="false"/>
          <w:caps w:val="false"/>
          <w:smallCaps w:val="false"/>
          <w:color w:val="FFFFFF"/>
          <w:sz w:val="16"/>
          <w:bdr w:val="single" w:sz="6" w:space="1" w:color="00497C"/>
        </w:rPr>
        <w:t xml:space="preserve"> </w:t>
      </w:r>
      <w:r>
        <w:rPr>
          <w:rFonts w:ascii="Times New Roman" w:hAnsi="Times New Roman"/>
          <w:b w:val="false"/>
          <w:i w:val="false"/>
          <w:caps w:val="false"/>
          <w:smallCaps w:val="false"/>
          <w:color w:val="FFFFFF"/>
          <w:sz w:val="2"/>
          <w:bdr w:val="single" w:sz="6" w:space="1" w:color="00497C"/>
        </w:rPr>
        <w:t xml:space="preserve">is to be a leader in sustainable living, helping the environment is at the heart of our mission. Jessica P. and employees link her understand this connection and volunteer t make their community a better place to live through volunteering. Jessica, along with other Republic Service employees helped remove illegally dumped material at tule springs Fossil Beds National Monument in boulder City, Nevada, clearing the way for a new trail through the national park Republic services has been a longtime supporter of tule spring and has been able to make a difference thanks to Jessica and employees link her. </w:t>
      </w:r>
    </w:p>
    <w:p>
      <w:pPr>
        <w:pStyle w:val="TextBody"/>
        <w:spacing w:before="0" w:after="0"/>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41</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240" w:after="0"/>
        <w:rPr>
          <w:rFonts w:ascii="Open Sans" w:hAnsi="Open Sans"/>
          <w:b/>
          <w:i w:val="false"/>
          <w:caps w:val="false"/>
          <w:smallCaps w:val="false"/>
          <w:color w:val="004A7C"/>
          <w:sz w:val="27"/>
          <w:bdr w:val="single" w:sz="6" w:space="1" w:color="00497C"/>
        </w:rPr>
      </w:pPr>
      <w:bookmarkStart w:id="44" w:name="AUDIT_COMMITTEE_MATTERS"/>
      <w:bookmarkEnd w:id="44"/>
      <w:r>
        <w:rPr>
          <w:rFonts w:ascii="Open Sans" w:hAnsi="Open Sans"/>
          <w:b/>
          <w:i w:val="false"/>
          <w:caps w:val="false"/>
          <w:smallCaps w:val="false"/>
          <w:color w:val="004A7C"/>
          <w:sz w:val="27"/>
          <w:bdr w:val="single" w:sz="6" w:space="1" w:color="00497C"/>
        </w:rPr>
        <w:t>Audit Committee Matters</w:t>
      </w:r>
    </w:p>
    <w:p>
      <w:pPr>
        <w:pStyle w:val="TextBody"/>
        <w:spacing w:before="240" w:after="0"/>
        <w:rPr>
          <w:rFonts w:ascii="Open Sans SemiBold" w:hAnsi="Open Sans SemiBold"/>
          <w:b w:val="false"/>
          <w:i w:val="false"/>
          <w:caps w:val="false"/>
          <w:smallCaps w:val="false"/>
          <w:color w:val="004A7C"/>
          <w:sz w:val="17"/>
          <w:bdr w:val="single" w:sz="6" w:space="1" w:color="00497C"/>
        </w:rPr>
      </w:pPr>
      <w:bookmarkStart w:id="45" w:name="AUDIT_COMMITTEE_REPORT"/>
      <w:bookmarkEnd w:id="45"/>
      <w:r>
        <w:rPr>
          <w:rFonts w:ascii="Open Sans SemiBold" w:hAnsi="Open Sans SemiBold"/>
          <w:b w:val="false"/>
          <w:i w:val="false"/>
          <w:caps w:val="false"/>
          <w:smallCaps w:val="false"/>
          <w:color w:val="004A7C"/>
          <w:sz w:val="17"/>
          <w:bdr w:val="single" w:sz="6" w:space="1" w:color="00497C"/>
        </w:rPr>
        <w:t>Audit Committee Report</w:t>
      </w:r>
    </w:p>
    <w:p>
      <w:pPr>
        <w:pStyle w:val="TextBody"/>
        <w:spacing w:before="120" w:after="0"/>
        <w:rPr>
          <w:rFonts w:ascii="Open Sans" w:hAnsi="Open Sans"/>
          <w:b w:val="false"/>
          <w:i w:val="false"/>
          <w:caps w:val="false"/>
          <w:smallCaps w:val="false"/>
          <w:spacing w:val="-2"/>
          <w:sz w:val="16"/>
          <w:bdr w:val="single" w:sz="6" w:space="1" w:color="00497C"/>
        </w:rPr>
      </w:pPr>
      <w:r>
        <w:rPr>
          <w:rFonts w:ascii="Open Sans" w:hAnsi="Open Sans"/>
          <w:b w:val="false"/>
          <w:i w:val="false"/>
          <w:caps w:val="false"/>
          <w:smallCaps w:val="false"/>
          <w:spacing w:val="-2"/>
          <w:sz w:val="16"/>
          <w:bdr w:val="single" w:sz="6" w:space="1" w:color="00497C"/>
        </w:rPr>
        <w:t>The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following</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statement</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made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by</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the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Audit</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Committee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shall</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not</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be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deemed</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incorporated</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by</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reference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into</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any</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filing</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under</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the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Securities</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Act</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or the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Exchange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Act</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and</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shall</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not</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otherwise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be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deemed</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filed</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under</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either</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of</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these</w:t>
      </w:r>
      <w:r>
        <w:rPr>
          <w:rFonts w:ascii="Open Sans" w:hAnsi="Open Sans"/>
          <w:b w:val="false"/>
          <w:i w:val="false"/>
          <w:caps w:val="false"/>
          <w:smallCaps w:val="false"/>
          <w:spacing w:val="-4"/>
          <w:sz w:val="16"/>
          <w:bdr w:val="single" w:sz="6" w:space="1" w:color="00497C"/>
        </w:rPr>
        <w:t xml:space="preserve"> </w:t>
      </w:r>
      <w:r>
        <w:rPr>
          <w:rFonts w:ascii="Open Sans" w:hAnsi="Open Sans"/>
          <w:b w:val="false"/>
          <w:i w:val="false"/>
          <w:caps w:val="false"/>
          <w:smallCaps w:val="false"/>
          <w:spacing w:val="-2"/>
          <w:sz w:val="16"/>
          <w:bdr w:val="single" w:sz="6" w:space="1" w:color="00497C"/>
        </w:rPr>
        <w:t>Acts.</w:t>
      </w:r>
    </w:p>
    <w:p>
      <w:pPr>
        <w:pStyle w:val="TextBody"/>
        <w:spacing w:before="24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Management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responsible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our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internal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controls,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financial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reporting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processes,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compliance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laws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regulations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ethical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business standards.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Our independent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registered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firm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responsible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expressing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opinion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conformity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consolidated financial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statements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principles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generally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accepted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United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States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America</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issuing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opinion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effectiveness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 our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internal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controls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over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financial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reporting.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responsibility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monitor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oversee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these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processes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Board’s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behalf.</w:t>
      </w:r>
    </w:p>
    <w:p>
      <w:pPr>
        <w:pStyle w:val="TextBody"/>
        <w:spacing w:before="24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this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context,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has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reviewed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discussed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financial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statements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management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our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independent registered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firm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has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discussed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matters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required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 discussed</w:t>
      </w:r>
      <w:r>
        <w:rPr>
          <w:rFonts w:ascii="Open Sans" w:hAnsi="Open Sans"/>
          <w:b w:val="false"/>
          <w:i w:val="false"/>
          <w:caps w:val="false"/>
          <w:smallCaps w:val="false"/>
          <w:spacing w:val="-8"/>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Auditing</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Standard</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No.</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16,</w:t>
      </w:r>
      <w:r>
        <w:rPr>
          <w:rFonts w:ascii="Open Sans" w:hAnsi="Open Sans"/>
          <w:b w:val="false"/>
          <w:i w:val="false"/>
          <w:caps w:val="false"/>
          <w:smallCaps w:val="false"/>
          <w:spacing w:val="-8"/>
          <w:sz w:val="16"/>
          <w:bdr w:val="single" w:sz="6" w:space="1" w:color="00497C"/>
        </w:rPr>
        <w:t xml:space="preserve"> </w:t>
      </w:r>
      <w:r>
        <w:rPr>
          <w:rFonts w:ascii="Open Sans" w:hAnsi="Open Sans"/>
          <w:b w:val="false"/>
          <w:i/>
          <w:caps w:val="false"/>
          <w:smallCaps w:val="false"/>
          <w:spacing w:val="-3"/>
          <w:sz w:val="16"/>
          <w:bdr w:val="single" w:sz="6" w:space="1" w:color="00497C"/>
        </w:rPr>
        <w:t>Communications</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caps w:val="false"/>
          <w:smallCaps w:val="false"/>
          <w:spacing w:val="-3"/>
          <w:sz w:val="16"/>
          <w:bdr w:val="single" w:sz="6" w:space="1" w:color="00497C"/>
        </w:rPr>
        <w:t>with</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caps w:val="false"/>
          <w:smallCaps w:val="false"/>
          <w:spacing w:val="-3"/>
          <w:sz w:val="16"/>
          <w:bdr w:val="single" w:sz="6" w:space="1" w:color="00497C"/>
        </w:rPr>
        <w:t>Audit</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caps w:val="false"/>
          <w:smallCaps w:val="false"/>
          <w:spacing w:val="-3"/>
          <w:sz w:val="16"/>
          <w:bdr w:val="single" w:sz="6" w:space="1" w:color="00497C"/>
        </w:rPr>
        <w:t>Committees</w:t>
      </w:r>
      <w:r>
        <w:rPr>
          <w:rFonts w:ascii="Open Sans" w:hAnsi="Open Sans"/>
          <w:b w:val="false"/>
          <w:i w:val="false"/>
          <w:caps w:val="false"/>
          <w:smallCaps w:val="false"/>
          <w:spacing w:val="-3"/>
          <w:sz w:val="16"/>
          <w:bdr w:val="single" w:sz="6" w:space="1" w:color="00497C"/>
        </w:rPr>
        <w:t>,</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as</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adopted</w:t>
      </w:r>
      <w:r>
        <w:rPr>
          <w:rFonts w:ascii="Open Sans" w:hAnsi="Open Sans"/>
          <w:b w:val="false"/>
          <w:i w:val="false"/>
          <w:caps w:val="false"/>
          <w:smallCaps w:val="false"/>
          <w:spacing w:val="-8"/>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Company</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Oversight</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Board.</w:t>
      </w:r>
    </w:p>
    <w:p>
      <w:pPr>
        <w:pStyle w:val="TextBody"/>
        <w:spacing w:before="24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addition,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has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received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from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written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disclosures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required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Company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 Oversight</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Board</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Ethics</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Independence</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Rule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3526,</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caps w:val="false"/>
          <w:smallCaps w:val="false"/>
          <w:spacing w:val="-3"/>
          <w:sz w:val="16"/>
          <w:bdr w:val="single" w:sz="6" w:space="1" w:color="00497C"/>
        </w:rPr>
        <w:t>Communication</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caps w:val="false"/>
          <w:smallCaps w:val="false"/>
          <w:spacing w:val="-3"/>
          <w:sz w:val="16"/>
          <w:bdr w:val="single" w:sz="6" w:space="1" w:color="00497C"/>
        </w:rPr>
        <w:t>with</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caps w:val="false"/>
          <w:smallCaps w:val="false"/>
          <w:spacing w:val="-3"/>
          <w:sz w:val="16"/>
          <w:bdr w:val="single" w:sz="6" w:space="1" w:color="00497C"/>
        </w:rPr>
        <w:t>Audit</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caps w:val="false"/>
          <w:smallCaps w:val="false"/>
          <w:spacing w:val="-3"/>
          <w:sz w:val="16"/>
          <w:bdr w:val="single" w:sz="6" w:space="1" w:color="00497C"/>
        </w:rPr>
        <w:t>Committees</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caps w:val="false"/>
          <w:smallCaps w:val="false"/>
          <w:spacing w:val="-3"/>
          <w:sz w:val="16"/>
          <w:bdr w:val="single" w:sz="6" w:space="1" w:color="00497C"/>
        </w:rPr>
        <w:t>Concerning</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caps w:val="false"/>
          <w:smallCaps w:val="false"/>
          <w:spacing w:val="-3"/>
          <w:sz w:val="16"/>
          <w:bdr w:val="single" w:sz="6" w:space="1" w:color="00497C"/>
        </w:rPr>
        <w:t>Independence</w:t>
      </w:r>
      <w:r>
        <w:rPr>
          <w:rFonts w:ascii="Open Sans" w:hAnsi="Open Sans"/>
          <w:b w:val="false"/>
          <w:i w:val="false"/>
          <w:caps w:val="false"/>
          <w:smallCaps w:val="false"/>
          <w:spacing w:val="-3"/>
          <w:sz w:val="16"/>
          <w:bdr w:val="single" w:sz="6" w:space="1" w:color="00497C"/>
        </w:rPr>
        <w:t>,</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regarding</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Company’s independent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registered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firm’s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independence,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discussed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their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independence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from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Company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management. 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has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also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discussed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matters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required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discussed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Statement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Standards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No.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61, 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amended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(AICPA,</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Professional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Standards,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Vol.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1,</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section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380),</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adopted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Company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Oversight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Board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Rule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3200T.</w:t>
      </w:r>
    </w:p>
    <w:p>
      <w:pPr>
        <w:pStyle w:val="TextBody"/>
        <w:spacing w:before="24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Based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review</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matters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noted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above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discussions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our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management,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 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recommended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Board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financial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statements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included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our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Annual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Report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10-K</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year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ended December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31,</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2022</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filing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SEC.</w:t>
      </w:r>
    </w:p>
    <w:p>
      <w:pPr>
        <w:pStyle w:val="TextBody"/>
        <w:spacing w:before="360" w:after="0"/>
        <w:rPr>
          <w:rFonts w:ascii="Open Sans" w:hAnsi="Open Sans"/>
          <w:b w:val="false"/>
          <w:i w:val="false"/>
          <w:caps w:val="false"/>
          <w:smallCaps w:val="false"/>
          <w:color w:val="004A7C"/>
          <w:spacing w:val="-3"/>
          <w:sz w:val="16"/>
          <w:bdr w:val="single" w:sz="6" w:space="1" w:color="00497C"/>
        </w:rPr>
      </w:pPr>
      <w:r>
        <w:rPr>
          <w:rFonts w:ascii="Open Sans" w:hAnsi="Open Sans"/>
          <w:b w:val="false"/>
          <w:i w:val="false"/>
          <w:caps w:val="false"/>
          <w:smallCaps w:val="false"/>
          <w:color w:val="004A7C"/>
          <w:spacing w:val="-3"/>
          <w:sz w:val="16"/>
          <w:bdr w:val="single" w:sz="6" w:space="1" w:color="00497C"/>
        </w:rPr>
        <w:t>Submitted</w:t>
      </w:r>
      <w:r>
        <w:rPr>
          <w:rFonts w:ascii="Open Sans" w:hAnsi="Open Sans"/>
          <w:b w:val="false"/>
          <w:i w:val="false"/>
          <w:caps w:val="false"/>
          <w:smallCaps w:val="false"/>
          <w:color w:val="004A7C"/>
          <w:spacing w:val="-5"/>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by</w:t>
      </w:r>
      <w:r>
        <w:rPr>
          <w:rFonts w:ascii="Open Sans" w:hAnsi="Open Sans"/>
          <w:b w:val="false"/>
          <w:i w:val="false"/>
          <w:caps w:val="false"/>
          <w:smallCaps w:val="false"/>
          <w:color w:val="004A7C"/>
          <w:spacing w:val="-5"/>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the</w:t>
      </w:r>
      <w:r>
        <w:rPr>
          <w:rFonts w:ascii="Open Sans" w:hAnsi="Open Sans"/>
          <w:b w:val="false"/>
          <w:i w:val="false"/>
          <w:caps w:val="false"/>
          <w:smallCaps w:val="false"/>
          <w:color w:val="004A7C"/>
          <w:spacing w:val="-5"/>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Audit</w:t>
      </w:r>
      <w:r>
        <w:rPr>
          <w:rFonts w:ascii="Open Sans" w:hAnsi="Open Sans"/>
          <w:b w:val="false"/>
          <w:i w:val="false"/>
          <w:caps w:val="false"/>
          <w:smallCaps w:val="false"/>
          <w:color w:val="004A7C"/>
          <w:spacing w:val="-5"/>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Committee</w:t>
      </w:r>
      <w:r>
        <w:rPr>
          <w:rFonts w:ascii="Open Sans" w:hAnsi="Open Sans"/>
          <w:b w:val="false"/>
          <w:i w:val="false"/>
          <w:caps w:val="false"/>
          <w:smallCaps w:val="false"/>
          <w:color w:val="004A7C"/>
          <w:spacing w:val="-5"/>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as</w:t>
      </w:r>
      <w:r>
        <w:rPr>
          <w:rFonts w:ascii="Open Sans" w:hAnsi="Open Sans"/>
          <w:b w:val="false"/>
          <w:i w:val="false"/>
          <w:caps w:val="false"/>
          <w:smallCaps w:val="false"/>
          <w:color w:val="004A7C"/>
          <w:spacing w:val="-5"/>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of March 26, 2023:</w:t>
      </w:r>
    </w:p>
    <w:p>
      <w:pPr>
        <w:pStyle w:val="TextBody"/>
        <w:spacing w:before="0" w:after="0"/>
        <w:rPr>
          <w:rFonts w:ascii="Open Sans" w:hAnsi="Open Sans"/>
          <w:b w:val="false"/>
          <w:i w:val="false"/>
          <w:caps w:val="false"/>
          <w:smallCaps w:val="false"/>
          <w:color w:val="004A7C"/>
          <w:spacing w:val="-3"/>
          <w:sz w:val="16"/>
          <w:bdr w:val="single" w:sz="6" w:space="1" w:color="00497C"/>
        </w:rPr>
      </w:pPr>
      <w:r>
        <w:rPr>
          <w:rFonts w:ascii="Open Sans" w:hAnsi="Open Sans"/>
          <w:b w:val="false"/>
          <w:i w:val="false"/>
          <w:caps w:val="false"/>
          <w:smallCaps w:val="false"/>
          <w:color w:val="004A7C"/>
          <w:spacing w:val="-3"/>
          <w:sz w:val="16"/>
          <w:bdr w:val="single" w:sz="6" w:space="1" w:color="00497C"/>
        </w:rPr>
        <w:t>Jennifer</w:t>
      </w:r>
      <w:r>
        <w:rPr>
          <w:rFonts w:ascii="Open Sans" w:hAnsi="Open Sans"/>
          <w:b w:val="false"/>
          <w:i w:val="false"/>
          <w:caps w:val="false"/>
          <w:smallCaps w:val="false"/>
          <w:color w:val="004A7C"/>
          <w:spacing w:val="-11"/>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M.</w:t>
      </w:r>
      <w:r>
        <w:rPr>
          <w:rFonts w:ascii="Open Sans" w:hAnsi="Open Sans"/>
          <w:b w:val="false"/>
          <w:i w:val="false"/>
          <w:caps w:val="false"/>
          <w:smallCaps w:val="false"/>
          <w:color w:val="004A7C"/>
          <w:spacing w:val="-10"/>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Kirk</w:t>
      </w:r>
      <w:r>
        <w:rPr>
          <w:rFonts w:ascii="Open Sans" w:hAnsi="Open Sans"/>
          <w:b w:val="false"/>
          <w:i w:val="false"/>
          <w:caps w:val="false"/>
          <w:smallCaps w:val="false"/>
          <w:color w:val="004A7C"/>
          <w:spacing w:val="-10"/>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(Chair)</w:t>
      </w:r>
    </w:p>
    <w:p>
      <w:pPr>
        <w:pStyle w:val="TextBody"/>
        <w:spacing w:before="0" w:after="0"/>
        <w:rPr>
          <w:rFonts w:ascii="Open Sans" w:hAnsi="Open Sans"/>
          <w:b w:val="false"/>
          <w:i w:val="false"/>
          <w:caps w:val="false"/>
          <w:smallCaps w:val="false"/>
          <w:color w:val="004A7C"/>
          <w:spacing w:val="-3"/>
          <w:sz w:val="16"/>
          <w:bdr w:val="single" w:sz="6" w:space="1" w:color="00497C"/>
        </w:rPr>
      </w:pPr>
      <w:r>
        <w:rPr>
          <w:rFonts w:ascii="Open Sans" w:hAnsi="Open Sans"/>
          <w:b w:val="false"/>
          <w:i w:val="false"/>
          <w:caps w:val="false"/>
          <w:smallCaps w:val="false"/>
          <w:color w:val="004A7C"/>
          <w:spacing w:val="-3"/>
          <w:sz w:val="16"/>
          <w:bdr w:val="single" w:sz="6" w:space="1" w:color="00497C"/>
        </w:rPr>
        <w:t>Tomago</w:t>
      </w:r>
      <w:r>
        <w:rPr>
          <w:rFonts w:ascii="Open Sans" w:hAnsi="Open Sans"/>
          <w:b w:val="false"/>
          <w:i w:val="false"/>
          <w:caps w:val="false"/>
          <w:smallCaps w:val="false"/>
          <w:color w:val="004A7C"/>
          <w:spacing w:val="-10"/>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Collins</w:t>
      </w:r>
    </w:p>
    <w:p>
      <w:pPr>
        <w:pStyle w:val="TextBody"/>
        <w:spacing w:before="0" w:after="0"/>
        <w:rPr>
          <w:rFonts w:ascii="Open Sans" w:hAnsi="Open Sans"/>
          <w:b w:val="false"/>
          <w:i w:val="false"/>
          <w:caps w:val="false"/>
          <w:smallCaps w:val="false"/>
          <w:color w:val="004A7C"/>
          <w:spacing w:val="-3"/>
          <w:sz w:val="16"/>
          <w:bdr w:val="single" w:sz="6" w:space="1" w:color="00497C"/>
        </w:rPr>
      </w:pPr>
      <w:r>
        <w:rPr>
          <w:rFonts w:ascii="Open Sans" w:hAnsi="Open Sans"/>
          <w:b w:val="false"/>
          <w:i w:val="false"/>
          <w:caps w:val="false"/>
          <w:smallCaps w:val="false"/>
          <w:color w:val="004A7C"/>
          <w:spacing w:val="-3"/>
          <w:sz w:val="16"/>
          <w:bdr w:val="single" w:sz="6" w:space="1" w:color="00497C"/>
        </w:rPr>
        <w:t>Michael A. Duffy</w:t>
      </w:r>
    </w:p>
    <w:p>
      <w:pPr>
        <w:pStyle w:val="TextBody"/>
        <w:spacing w:before="0" w:after="0"/>
        <w:rPr>
          <w:rFonts w:ascii="Open Sans" w:hAnsi="Open Sans"/>
          <w:b w:val="false"/>
          <w:i w:val="false"/>
          <w:caps w:val="false"/>
          <w:smallCaps w:val="false"/>
          <w:color w:val="004A7C"/>
          <w:spacing w:val="-3"/>
          <w:sz w:val="16"/>
          <w:bdr w:val="single" w:sz="6" w:space="1" w:color="00497C"/>
        </w:rPr>
      </w:pPr>
      <w:r>
        <w:rPr>
          <w:rFonts w:ascii="Open Sans" w:hAnsi="Open Sans"/>
          <w:b w:val="false"/>
          <w:i w:val="false"/>
          <w:caps w:val="false"/>
          <w:smallCaps w:val="false"/>
          <w:color w:val="004A7C"/>
          <w:spacing w:val="-3"/>
          <w:sz w:val="16"/>
          <w:bdr w:val="single" w:sz="6" w:space="1" w:color="00497C"/>
        </w:rPr>
        <w:t>Brian S. Tyler</w:t>
      </w:r>
    </w:p>
    <w:p>
      <w:pPr>
        <w:pStyle w:val="TextBody"/>
        <w:spacing w:before="0" w:after="0"/>
        <w:rPr>
          <w:rFonts w:ascii="Open Sans" w:hAnsi="Open Sans"/>
          <w:b w:val="false"/>
          <w:i w:val="false"/>
          <w:caps w:val="false"/>
          <w:smallCaps w:val="false"/>
          <w:color w:val="004A7C"/>
          <w:spacing w:val="-3"/>
          <w:sz w:val="16"/>
          <w:bdr w:val="single" w:sz="6" w:space="1" w:color="00497C"/>
        </w:rPr>
      </w:pPr>
      <w:r>
        <w:rPr>
          <w:rFonts w:ascii="Open Sans" w:hAnsi="Open Sans"/>
          <w:b w:val="false"/>
          <w:i w:val="false"/>
          <w:caps w:val="false"/>
          <w:smallCaps w:val="false"/>
          <w:color w:val="004A7C"/>
          <w:spacing w:val="-3"/>
          <w:sz w:val="16"/>
          <w:bdr w:val="single" w:sz="6" w:space="1" w:color="00497C"/>
        </w:rPr>
        <w:t>Katharine</w:t>
      </w:r>
      <w:r>
        <w:rPr>
          <w:rFonts w:ascii="Open Sans" w:hAnsi="Open Sans"/>
          <w:b w:val="false"/>
          <w:i w:val="false"/>
          <w:caps w:val="false"/>
          <w:smallCaps w:val="false"/>
          <w:color w:val="004A7C"/>
          <w:spacing w:val="-13"/>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B.</w:t>
      </w:r>
      <w:r>
        <w:rPr>
          <w:rFonts w:ascii="Open Sans" w:hAnsi="Open Sans"/>
          <w:b w:val="false"/>
          <w:i w:val="false"/>
          <w:caps w:val="false"/>
          <w:smallCaps w:val="false"/>
          <w:color w:val="004A7C"/>
          <w:spacing w:val="-13"/>
          <w:sz w:val="16"/>
          <w:bdr w:val="single" w:sz="6" w:space="1" w:color="00497C"/>
        </w:rPr>
        <w:t xml:space="preserve"> </w:t>
      </w:r>
      <w:r>
        <w:rPr>
          <w:rFonts w:ascii="Open Sans" w:hAnsi="Open Sans"/>
          <w:b w:val="false"/>
          <w:i w:val="false"/>
          <w:caps w:val="false"/>
          <w:smallCaps w:val="false"/>
          <w:color w:val="004A7C"/>
          <w:spacing w:val="-3"/>
          <w:sz w:val="16"/>
          <w:bdr w:val="single" w:sz="6" w:space="1" w:color="00497C"/>
        </w:rPr>
        <w:t>Weymouth</w:t>
      </w:r>
    </w:p>
    <w:p>
      <w:pPr>
        <w:pStyle w:val="TextBody"/>
        <w:spacing w:before="0" w:after="0"/>
        <w:rPr>
          <w:bdr w:val="single" w:sz="6" w:space="1" w:color="00497C"/>
        </w:rPr>
      </w:pPr>
      <w:r>
        <w:rPr>
          <w:bdr w:val="single" w:sz="6" w:space="1" w:color="00497C"/>
        </w:rPr>
        <w:t> </w:t>
      </w:r>
    </w:p>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42</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240" w:after="0"/>
        <w:rPr>
          <w:rFonts w:ascii="Open Sans" w:hAnsi="Open Sans"/>
          <w:b/>
          <w:i w:val="false"/>
          <w:caps w:val="false"/>
          <w:smallCaps w:val="false"/>
          <w:color w:val="004A7C"/>
          <w:sz w:val="27"/>
          <w:bdr w:val="single" w:sz="6" w:space="1" w:color="00497C"/>
        </w:rPr>
      </w:pPr>
      <w:bookmarkStart w:id="46" w:name="AUDIT_RELATED_FEES"/>
      <w:bookmarkEnd w:id="46"/>
      <w:r>
        <w:rPr>
          <w:rFonts w:ascii="Open Sans" w:hAnsi="Open Sans"/>
          <w:b/>
          <w:i w:val="false"/>
          <w:caps w:val="false"/>
          <w:smallCaps w:val="false"/>
          <w:color w:val="004A7C"/>
          <w:sz w:val="27"/>
          <w:bdr w:val="single" w:sz="6" w:space="1" w:color="00497C"/>
        </w:rPr>
        <w:t xml:space="preserve">Audit and Related Fees </w:t>
      </w:r>
    </w:p>
    <w:p>
      <w:pPr>
        <w:pStyle w:val="TextBody"/>
        <w:spacing w:before="120" w:after="0"/>
        <w:rPr>
          <w:rFonts w:ascii="Open Sans SemiBold" w:hAnsi="Open Sans SemiBold"/>
          <w:b w:val="false"/>
          <w:i w:val="false"/>
          <w:caps w:val="false"/>
          <w:smallCaps w:val="false"/>
          <w:color w:val="004A7C"/>
          <w:spacing w:val="2"/>
          <w:sz w:val="17"/>
          <w:bdr w:val="single" w:sz="6" w:space="1" w:color="00497C"/>
        </w:rPr>
      </w:pPr>
      <w:bookmarkStart w:id="47" w:name="INDEPENDENT_REGISTERED_PUBLIC_ACCOUNTING"/>
      <w:bookmarkEnd w:id="47"/>
      <w:r>
        <w:rPr>
          <w:rFonts w:ascii="Open Sans SemiBold" w:hAnsi="Open Sans SemiBold"/>
          <w:b w:val="false"/>
          <w:i w:val="false"/>
          <w:caps w:val="false"/>
          <w:smallCaps w:val="false"/>
          <w:color w:val="004A7C"/>
          <w:spacing w:val="2"/>
          <w:sz w:val="17"/>
          <w:bdr w:val="single" w:sz="6" w:space="1" w:color="00497C"/>
        </w:rPr>
        <w:t>Independent</w:t>
      </w:r>
      <w:r>
        <w:rPr>
          <w:rFonts w:ascii="Open Sans SemiBold" w:hAnsi="Open Sans SemiBold"/>
          <w:b w:val="false"/>
          <w:i w:val="false"/>
          <w:caps w:val="false"/>
          <w:smallCaps w:val="false"/>
          <w:color w:val="004A7C"/>
          <w:spacing w:val="33"/>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Registered</w:t>
      </w:r>
      <w:r>
        <w:rPr>
          <w:rFonts w:ascii="Open Sans SemiBold" w:hAnsi="Open Sans SemiBold"/>
          <w:b w:val="false"/>
          <w:i w:val="false"/>
          <w:caps w:val="false"/>
          <w:smallCaps w:val="false"/>
          <w:color w:val="004A7C"/>
          <w:spacing w:val="34"/>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Public</w:t>
      </w:r>
      <w:r>
        <w:rPr>
          <w:rFonts w:ascii="Open Sans SemiBold" w:hAnsi="Open Sans SemiBold"/>
          <w:b w:val="false"/>
          <w:i w:val="false"/>
          <w:caps w:val="false"/>
          <w:smallCaps w:val="false"/>
          <w:color w:val="004A7C"/>
          <w:spacing w:val="33"/>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Accounting</w:t>
      </w:r>
      <w:r>
        <w:rPr>
          <w:rFonts w:ascii="Open Sans SemiBold" w:hAnsi="Open Sans SemiBold"/>
          <w:b w:val="false"/>
          <w:i w:val="false"/>
          <w:caps w:val="false"/>
          <w:smallCaps w:val="false"/>
          <w:color w:val="004A7C"/>
          <w:spacing w:val="32"/>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Firm</w:t>
      </w:r>
      <w:r>
        <w:rPr>
          <w:rFonts w:ascii="Open Sans SemiBold" w:hAnsi="Open Sans SemiBold"/>
          <w:b w:val="false"/>
          <w:i w:val="false"/>
          <w:caps w:val="false"/>
          <w:smallCaps w:val="false"/>
          <w:color w:val="004A7C"/>
          <w:spacing w:val="34"/>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Fee</w:t>
      </w:r>
      <w:r>
        <w:rPr>
          <w:rFonts w:ascii="Open Sans SemiBold" w:hAnsi="Open Sans SemiBold"/>
          <w:b w:val="false"/>
          <w:i w:val="false"/>
          <w:caps w:val="false"/>
          <w:smallCaps w:val="false"/>
          <w:color w:val="004A7C"/>
          <w:spacing w:val="33"/>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Information</w:t>
      </w:r>
    </w:p>
    <w:p>
      <w:pPr>
        <w:pStyle w:val="TextBody"/>
        <w:spacing w:before="12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following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table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discloses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professional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provided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fiscal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years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ended December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31,</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2022</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2021:</w:t>
      </w:r>
    </w:p>
    <w:p>
      <w:pPr>
        <w:pStyle w:val="TextBody"/>
        <w:spacing w:before="0" w:after="0"/>
        <w:rPr>
          <w:bdr w:val="single" w:sz="6" w:space="1" w:color="00497C"/>
        </w:rPr>
      </w:pPr>
      <w:r>
        <w:rPr>
          <w:bdr w:val="single" w:sz="6" w:space="1" w:color="00497C"/>
        </w:rPr>
        <w:t> </w:t>
      </w:r>
    </w:p>
    <w:tbl>
      <w:tblPr>
        <w:tblW w:w="3900" w:type="dxa"/>
        <w:jc w:val="left"/>
        <w:tblInd w:w="0" w:type="dxa"/>
        <w:tblCellMar>
          <w:top w:w="0" w:type="dxa"/>
          <w:left w:w="0" w:type="dxa"/>
          <w:bottom w:w="28" w:type="dxa"/>
          <w:right w:w="0" w:type="dxa"/>
        </w:tblCellMar>
      </w:tblPr>
      <w:tblGrid>
        <w:gridCol w:w="1820"/>
        <w:gridCol w:w="60"/>
        <w:gridCol w:w="950"/>
        <w:gridCol w:w="60"/>
        <w:gridCol w:w="950"/>
        <w:gridCol w:w="60"/>
      </w:tblGrid>
      <w:tr>
        <w:trPr/>
        <w:tc>
          <w:tcPr>
            <w:tcW w:w="182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2022</w:t>
            </w:r>
          </w:p>
        </w:tc>
        <w:tc>
          <w:tcPr>
            <w:tcW w:w="60" w:type="dxa"/>
            <w:tcBorders>
              <w:bottom w:val="single" w:sz="6" w:space="0" w:color="D8E1E9"/>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2021</w:t>
            </w:r>
          </w:p>
        </w:tc>
        <w:tc>
          <w:tcPr>
            <w:tcW w:w="60" w:type="dxa"/>
            <w:tcBorders>
              <w:bottom w:val="single" w:sz="6" w:space="0" w:color="D8E1E9"/>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20"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Audit Fees (1)</w:t>
            </w:r>
          </w:p>
        </w:tc>
        <w:tc>
          <w:tcPr>
            <w:tcW w:w="60" w:type="dxa"/>
            <w:tcBorders>
              <w:top w:val="single" w:sz="6" w:space="0" w:color="FFFFFF"/>
              <w:bottom w:val="single" w:sz="6" w:space="0" w:color="FFFFFF"/>
            </w:tcBorders>
            <w:shd w:fill="D8E1E9"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$4,439,811</w:t>
            </w:r>
          </w:p>
        </w:tc>
        <w:tc>
          <w:tcPr>
            <w:tcW w:w="6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$3,419,305</w:t>
            </w:r>
          </w:p>
        </w:tc>
        <w:tc>
          <w:tcPr>
            <w:tcW w:w="60" w:type="dxa"/>
            <w:tcBorders>
              <w:top w:val="single" w:sz="6" w:space="0" w:color="D8E1E9"/>
              <w:bottom w:val="single" w:sz="6" w:space="0" w:color="D8E1E9"/>
              <w:right w:val="single" w:sz="6" w:space="0" w:color="D8E1E9"/>
            </w:tcBorders>
            <w:shd w:fill="D8E1E9" w:val="clear"/>
            <w:tcMar>
              <w:top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20" w:type="dxa"/>
            <w:tcBorders>
              <w:top w:val="single" w:sz="6" w:space="0" w:color="FFFFFF"/>
              <w:bottom w:val="single" w:sz="6" w:space="0" w:color="FFFFFF"/>
            </w:tcBorders>
            <w:shd w:fill="auto" w:val="clear"/>
            <w:tcMar>
              <w:top w:w="28" w:type="dxa"/>
            </w:tcMar>
            <w:vAlign w:val="center"/>
          </w:tcPr>
          <w:p>
            <w:pPr>
              <w:pStyle w:val="TableContents"/>
              <w:spacing w:lineRule="auto" w:line="288"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Audit-Related Fees(2)</w:t>
            </w:r>
          </w:p>
        </w:tc>
        <w:tc>
          <w:tcPr>
            <w:tcW w:w="60" w:type="dxa"/>
            <w:tcBorders>
              <w:top w:val="single" w:sz="6" w:space="0" w:color="FFFFFF"/>
              <w:bottom w:val="single" w:sz="6" w:space="0" w:color="FFFFFF"/>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auto"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$290,000</w:t>
            </w:r>
          </w:p>
        </w:tc>
        <w:tc>
          <w:tcPr>
            <w:tcW w:w="60" w:type="dxa"/>
            <w:tcBorders>
              <w:top w:val="single" w:sz="6" w:space="0" w:color="D8E1E9"/>
              <w:bottom w:val="single" w:sz="6" w:space="0" w:color="D8E1E9"/>
            </w:tcBorders>
            <w:shd w:fill="auto"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auto"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$540,000</w:t>
            </w:r>
          </w:p>
        </w:tc>
        <w:tc>
          <w:tcPr>
            <w:tcW w:w="60" w:type="dxa"/>
            <w:tcBorders>
              <w:top w:val="single" w:sz="6" w:space="0" w:color="D8E1E9"/>
              <w:bottom w:val="single" w:sz="6" w:space="0" w:color="D8E1E9"/>
              <w:right w:val="single" w:sz="6" w:space="0" w:color="D8E1E9"/>
            </w:tcBorders>
            <w:shd w:fill="auto" w:val="clear"/>
            <w:tcMar>
              <w:top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20"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Tax Fees (3)</w:t>
            </w:r>
          </w:p>
        </w:tc>
        <w:tc>
          <w:tcPr>
            <w:tcW w:w="60" w:type="dxa"/>
            <w:tcBorders>
              <w:top w:val="single" w:sz="6" w:space="0" w:color="FFFFFF"/>
              <w:bottom w:val="single" w:sz="6" w:space="0" w:color="FFFFFF"/>
            </w:tcBorders>
            <w:shd w:fill="D8E1E9"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$569,821</w:t>
            </w:r>
          </w:p>
        </w:tc>
        <w:tc>
          <w:tcPr>
            <w:tcW w:w="6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$684,912</w:t>
            </w:r>
          </w:p>
        </w:tc>
        <w:tc>
          <w:tcPr>
            <w:tcW w:w="60" w:type="dxa"/>
            <w:tcBorders>
              <w:top w:val="single" w:sz="6" w:space="0" w:color="D8E1E9"/>
              <w:bottom w:val="single" w:sz="6" w:space="0" w:color="D8E1E9"/>
              <w:right w:val="single" w:sz="6" w:space="0" w:color="D8E1E9"/>
            </w:tcBorders>
            <w:shd w:fill="D8E1E9" w:val="clear"/>
            <w:tcMar>
              <w:top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20" w:type="dxa"/>
            <w:tcBorders>
              <w:top w:val="single" w:sz="6" w:space="0" w:color="FFFFFF"/>
              <w:bottom w:val="single" w:sz="6" w:space="0" w:color="F2F2F2"/>
            </w:tcBorders>
            <w:shd w:fill="auto" w:val="clear"/>
            <w:tcMar>
              <w:top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All Other Fees</w:t>
            </w:r>
          </w:p>
        </w:tc>
        <w:tc>
          <w:tcPr>
            <w:tcW w:w="60" w:type="dxa"/>
            <w:tcBorders>
              <w:top w:val="single" w:sz="6" w:space="0" w:color="FFFFFF"/>
              <w:bottom w:val="single" w:sz="6" w:space="0" w:color="F2F2F2"/>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auto"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tcBorders>
            <w:shd w:fill="auto"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auto"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20" w:type="dxa"/>
            <w:tcBorders>
              <w:top w:val="single" w:sz="6" w:space="0" w:color="F2F2F2"/>
              <w:bottom w:val="single" w:sz="6" w:space="0" w:color="F2F2F2"/>
            </w:tcBorders>
            <w:shd w:fill="D8E1E9" w:val="clear"/>
            <w:tcMar>
              <w:top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Total Fees</w:t>
            </w:r>
          </w:p>
        </w:tc>
        <w:tc>
          <w:tcPr>
            <w:tcW w:w="60" w:type="dxa"/>
            <w:tcBorders>
              <w:top w:val="single" w:sz="6" w:space="0" w:color="F2F2F2"/>
              <w:bottom w:val="single" w:sz="6" w:space="0" w:color="F2F2F2"/>
            </w:tcBorders>
            <w:shd w:fill="D8E1E9"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$5,299,632</w:t>
            </w:r>
          </w:p>
        </w:tc>
        <w:tc>
          <w:tcPr>
            <w:tcW w:w="6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950" w:type="dxa"/>
            <w:tcBorders>
              <w:top w:val="single" w:sz="6" w:space="0" w:color="D8E1E9"/>
              <w:bottom w:val="single" w:sz="6" w:space="0" w:color="D8E1E9"/>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$4,644,217</w:t>
            </w:r>
          </w:p>
        </w:tc>
        <w:tc>
          <w:tcPr>
            <w:tcW w:w="60" w:type="dxa"/>
            <w:tcBorders>
              <w:top w:val="single" w:sz="6" w:space="0" w:color="D8E1E9"/>
              <w:bottom w:val="single" w:sz="6" w:space="0" w:color="D8E1E9"/>
              <w:right w:val="single" w:sz="6" w:space="0" w:color="D8E1E9"/>
            </w:tcBorders>
            <w:shd w:fill="D8E1E9" w:val="clear"/>
            <w:tcMar>
              <w:top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bl>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201"/>
        <w:gridCol w:w="10338"/>
      </w:tblGrid>
      <w:tr>
        <w:trPr/>
        <w:tc>
          <w:tcPr>
            <w:tcW w:w="201"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3"/>
                <w:sz w:val="16"/>
                <w:u w:val="none"/>
                <w:effect w:val="none"/>
              </w:rPr>
            </w:pPr>
            <w:r>
              <w:rPr>
                <w:rFonts w:ascii="Open Sans" w:hAnsi="Open Sans"/>
                <w:b w:val="false"/>
                <w:i w:val="false"/>
                <w:caps w:val="false"/>
                <w:smallCaps w:val="false"/>
                <w:strike w:val="false"/>
                <w:dstrike w:val="false"/>
                <w:color w:val="323031"/>
                <w:spacing w:val="-3"/>
                <w:sz w:val="16"/>
                <w:u w:val="none"/>
                <w:effect w:val="none"/>
              </w:rPr>
              <w:t>(1)</w:t>
            </w:r>
          </w:p>
        </w:tc>
        <w:tc>
          <w:tcPr>
            <w:tcW w:w="10338" w:type="dxa"/>
            <w:tcBorders/>
            <w:shd w:fill="auto" w:val="clear"/>
          </w:tcPr>
          <w:p>
            <w:pPr>
              <w:pStyle w:val="TableContents"/>
              <w:spacing w:before="0" w:after="0"/>
              <w:jc w:val="left"/>
              <w:rPr>
                <w:rFonts w:ascii="Open Sans" w:hAnsi="Open Sans"/>
                <w:b w:val="false"/>
                <w:i w:val="false"/>
                <w:caps w:val="false"/>
                <w:smallCaps w:val="false"/>
                <w:color w:val="000000"/>
                <w:spacing w:val="-3"/>
                <w:sz w:val="16"/>
              </w:rPr>
            </w:pPr>
            <w:r>
              <w:rPr>
                <w:rFonts w:ascii="Open Sans" w:hAnsi="Open Sans"/>
                <w:b w:val="false"/>
                <w:i w:val="false"/>
                <w:caps w:val="false"/>
                <w:smallCaps w:val="false"/>
                <w:color w:val="000000"/>
                <w:spacing w:val="-3"/>
                <w:sz w:val="16"/>
              </w:rPr>
              <w:t>Audit Fees were primarily for professional services rendered for the audits of the consolidated financial statements and internal controls over financial reporting in compliance with Section 404 of the Sarbanes-Oxley Act of 2002, the review of documents filed with the SEC, consents, comfort letters and financial accounting and reporting consultations.</w:t>
            </w:r>
          </w:p>
        </w:tc>
      </w:tr>
    </w:tbl>
    <w:tbl>
      <w:tblPr>
        <w:tblW w:w="10539" w:type="dxa"/>
        <w:jc w:val="left"/>
        <w:tblInd w:w="0" w:type="dxa"/>
        <w:tblCellMar>
          <w:top w:w="0" w:type="dxa"/>
          <w:left w:w="0" w:type="dxa"/>
          <w:bottom w:w="0" w:type="dxa"/>
          <w:right w:w="0" w:type="dxa"/>
        </w:tblCellMar>
      </w:tblPr>
      <w:tblGrid>
        <w:gridCol w:w="238"/>
        <w:gridCol w:w="10301"/>
      </w:tblGrid>
      <w:tr>
        <w:trPr/>
        <w:tc>
          <w:tcPr>
            <w:tcW w:w="238"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3"/>
                <w:sz w:val="16"/>
                <w:u w:val="none"/>
                <w:effect w:val="none"/>
              </w:rPr>
            </w:pPr>
            <w:r>
              <w:rPr>
                <w:rFonts w:ascii="Open Sans" w:hAnsi="Open Sans"/>
                <w:b w:val="false"/>
                <w:i w:val="false"/>
                <w:caps w:val="false"/>
                <w:smallCaps w:val="false"/>
                <w:strike w:val="false"/>
                <w:dstrike w:val="false"/>
                <w:color w:val="323031"/>
                <w:spacing w:val="-3"/>
                <w:sz w:val="16"/>
                <w:u w:val="none"/>
                <w:effect w:val="none"/>
              </w:rPr>
              <w:t>(2)</w:t>
            </w:r>
          </w:p>
        </w:tc>
        <w:tc>
          <w:tcPr>
            <w:tcW w:w="10301" w:type="dxa"/>
            <w:tcBorders/>
            <w:shd w:fill="auto" w:val="clear"/>
          </w:tcPr>
          <w:p>
            <w:pPr>
              <w:pStyle w:val="TableContents"/>
              <w:spacing w:before="0" w:after="0"/>
              <w:jc w:val="left"/>
              <w:rPr>
                <w:rFonts w:ascii="Open Sans" w:hAnsi="Open Sans"/>
                <w:b w:val="false"/>
                <w:i w:val="false"/>
                <w:caps w:val="false"/>
                <w:smallCaps w:val="false"/>
                <w:color w:val="000000"/>
                <w:spacing w:val="-3"/>
                <w:sz w:val="16"/>
              </w:rPr>
            </w:pPr>
            <w:r>
              <w:rPr>
                <w:rFonts w:ascii="Open Sans" w:hAnsi="Open Sans"/>
                <w:b w:val="false"/>
                <w:i w:val="false"/>
                <w:caps w:val="false"/>
                <w:smallCaps w:val="false"/>
                <w:color w:val="000000"/>
                <w:spacing w:val="-3"/>
                <w:sz w:val="16"/>
              </w:rPr>
              <w:t>Audit-related fees were primarily related to pre-implementation services around the redesign of certain back-office software systems.</w:t>
            </w:r>
          </w:p>
        </w:tc>
      </w:tr>
    </w:tbl>
    <w:tbl>
      <w:tblPr>
        <w:tblW w:w="10539" w:type="dxa"/>
        <w:jc w:val="left"/>
        <w:tblInd w:w="0" w:type="dxa"/>
        <w:tblCellMar>
          <w:top w:w="0" w:type="dxa"/>
          <w:left w:w="0" w:type="dxa"/>
          <w:bottom w:w="0" w:type="dxa"/>
          <w:right w:w="0" w:type="dxa"/>
        </w:tblCellMar>
      </w:tblPr>
      <w:tblGrid>
        <w:gridCol w:w="236"/>
        <w:gridCol w:w="10303"/>
      </w:tblGrid>
      <w:tr>
        <w:trPr/>
        <w:tc>
          <w:tcPr>
            <w:tcW w:w="236"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3"/>
                <w:sz w:val="16"/>
                <w:u w:val="none"/>
                <w:effect w:val="none"/>
              </w:rPr>
            </w:pPr>
            <w:r>
              <w:rPr>
                <w:rFonts w:ascii="Open Sans" w:hAnsi="Open Sans"/>
                <w:b w:val="false"/>
                <w:i w:val="false"/>
                <w:caps w:val="false"/>
                <w:smallCaps w:val="false"/>
                <w:strike w:val="false"/>
                <w:dstrike w:val="false"/>
                <w:color w:val="323031"/>
                <w:spacing w:val="-3"/>
                <w:sz w:val="16"/>
                <w:u w:val="none"/>
                <w:effect w:val="none"/>
              </w:rPr>
              <w:t>(3)</w:t>
            </w:r>
          </w:p>
        </w:tc>
        <w:tc>
          <w:tcPr>
            <w:tcW w:w="10303" w:type="dxa"/>
            <w:tcBorders/>
            <w:shd w:fill="auto" w:val="clear"/>
          </w:tcPr>
          <w:p>
            <w:pPr>
              <w:pStyle w:val="TableContents"/>
              <w:spacing w:before="0" w:after="0"/>
              <w:jc w:val="left"/>
              <w:rPr>
                <w:rFonts w:ascii="Open Sans" w:hAnsi="Open Sans"/>
                <w:b w:val="false"/>
                <w:i w:val="false"/>
                <w:caps w:val="false"/>
                <w:smallCaps w:val="false"/>
                <w:color w:val="323031"/>
                <w:spacing w:val="-3"/>
                <w:sz w:val="16"/>
              </w:rPr>
            </w:pPr>
            <w:r>
              <w:rPr>
                <w:rFonts w:ascii="Open Sans" w:hAnsi="Open Sans"/>
                <w:b w:val="false"/>
                <w:i w:val="false"/>
                <w:caps w:val="false"/>
                <w:smallCaps w:val="false"/>
                <w:color w:val="000000"/>
                <w:spacing w:val="-3"/>
                <w:sz w:val="16"/>
              </w:rPr>
              <w:t>Tax</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Fees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were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professional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services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related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general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tax</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consultation,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federal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state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tax</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planning,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state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local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tax</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matters.</w:t>
            </w:r>
          </w:p>
        </w:tc>
      </w:tr>
    </w:tbl>
    <w:p>
      <w:pPr>
        <w:pStyle w:val="TextBody"/>
        <w:spacing w:before="120" w:after="0"/>
        <w:rPr>
          <w:rFonts w:ascii="Open Sans SemiBold" w:hAnsi="Open Sans SemiBold"/>
          <w:b w:val="false"/>
          <w:i w:val="false"/>
          <w:caps w:val="false"/>
          <w:smallCaps w:val="false"/>
          <w:color w:val="004A7C"/>
          <w:spacing w:val="2"/>
          <w:sz w:val="17"/>
          <w:bdr w:val="single" w:sz="6" w:space="1" w:color="00497C"/>
        </w:rPr>
      </w:pPr>
      <w:bookmarkStart w:id="48" w:name="PREAPPROVAL_POLICIES_PROCEDURES"/>
      <w:bookmarkEnd w:id="48"/>
      <w:r>
        <w:rPr>
          <w:rFonts w:ascii="Open Sans SemiBold" w:hAnsi="Open Sans SemiBold"/>
          <w:b w:val="false"/>
          <w:i w:val="false"/>
          <w:caps w:val="false"/>
          <w:smallCaps w:val="false"/>
          <w:color w:val="004A7C"/>
          <w:spacing w:val="2"/>
          <w:sz w:val="17"/>
          <w:bdr w:val="single" w:sz="6" w:space="1" w:color="00497C"/>
        </w:rPr>
        <w:t>Pre-Approval</w:t>
      </w:r>
      <w:r>
        <w:rPr>
          <w:rFonts w:ascii="Open Sans SemiBold" w:hAnsi="Open Sans SemiBold"/>
          <w:b w:val="false"/>
          <w:i w:val="false"/>
          <w:caps w:val="false"/>
          <w:smallCaps w:val="false"/>
          <w:color w:val="004A7C"/>
          <w:spacing w:val="38"/>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Policies</w:t>
      </w:r>
      <w:r>
        <w:rPr>
          <w:rFonts w:ascii="Open Sans SemiBold" w:hAnsi="Open Sans SemiBold"/>
          <w:b w:val="false"/>
          <w:i w:val="false"/>
          <w:caps w:val="false"/>
          <w:smallCaps w:val="false"/>
          <w:color w:val="004A7C"/>
          <w:spacing w:val="38"/>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and</w:t>
      </w:r>
      <w:r>
        <w:rPr>
          <w:rFonts w:ascii="Open Sans SemiBold" w:hAnsi="Open Sans SemiBold"/>
          <w:b w:val="false"/>
          <w:i w:val="false"/>
          <w:caps w:val="false"/>
          <w:smallCaps w:val="false"/>
          <w:color w:val="004A7C"/>
          <w:spacing w:val="38"/>
          <w:sz w:val="17"/>
          <w:bdr w:val="single" w:sz="6" w:space="1" w:color="00497C"/>
        </w:rPr>
        <w:t xml:space="preserve"> </w:t>
      </w:r>
      <w:r>
        <w:rPr>
          <w:rFonts w:ascii="Open Sans SemiBold" w:hAnsi="Open Sans SemiBold"/>
          <w:b w:val="false"/>
          <w:i w:val="false"/>
          <w:caps w:val="false"/>
          <w:smallCaps w:val="false"/>
          <w:color w:val="004A7C"/>
          <w:spacing w:val="2"/>
          <w:sz w:val="17"/>
          <w:bdr w:val="single" w:sz="6" w:space="1" w:color="00497C"/>
        </w:rPr>
        <w:t>Procedures</w:t>
      </w:r>
    </w:p>
    <w:p>
      <w:pPr>
        <w:pStyle w:val="TextBody"/>
        <w:spacing w:before="12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policy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all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audit-related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other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permitted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law</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provided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our independent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registered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firm.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accordance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policy,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annually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list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specific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 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categories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including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audit-related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other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upcoming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current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fiscal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year,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subject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specified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levels. Any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not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included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list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must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separately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approved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addition,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 any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exceed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amount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has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been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payment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additional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such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must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specifically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approved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 the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before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performance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service.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From</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time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6"/>
          <w:sz w:val="16"/>
          <w:bdr w:val="single" w:sz="6" w:space="1" w:color="00497C"/>
        </w:rPr>
        <w:t xml:space="preserve"> </w:t>
      </w:r>
      <w:r>
        <w:rPr>
          <w:rFonts w:ascii="Open Sans" w:hAnsi="Open Sans"/>
          <w:b w:val="false"/>
          <w:i w:val="false"/>
          <w:caps w:val="false"/>
          <w:smallCaps w:val="false"/>
          <w:spacing w:val="-3"/>
          <w:sz w:val="16"/>
          <w:bdr w:val="single" w:sz="6" w:space="1" w:color="00497C"/>
        </w:rPr>
        <w:t>time,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may</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delegate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fee</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approval</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authority</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to</w:t>
      </w:r>
      <w:r>
        <w:rPr>
          <w:rFonts w:ascii="Open Sans" w:hAnsi="Open Sans"/>
          <w:b w:val="false"/>
          <w:i w:val="false"/>
          <w:caps w:val="false"/>
          <w:smallCaps w:val="false"/>
          <w:spacing w:val="-7"/>
          <w:sz w:val="16"/>
          <w:bdr w:val="single" w:sz="6" w:space="1" w:color="00497C"/>
        </w:rPr>
        <w:t xml:space="preserve"> </w:t>
      </w:r>
      <w:r>
        <w:rPr>
          <w:rFonts w:ascii="Open Sans" w:hAnsi="Open Sans"/>
          <w:b w:val="false"/>
          <w:i w:val="false"/>
          <w:caps w:val="false"/>
          <w:smallCaps w:val="false"/>
          <w:spacing w:val="-3"/>
          <w:sz w:val="16"/>
          <w:bdr w:val="single" w:sz="6" w:space="1" w:color="00497C"/>
        </w:rPr>
        <w:t>the 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chair.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All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performed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Ernst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Young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LLP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2022</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were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accordance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with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pre-approval</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policy adopted</w:t>
      </w:r>
      <w:r>
        <w:rPr>
          <w:rFonts w:ascii="Open Sans" w:hAnsi="Open Sans"/>
          <w:b w:val="false"/>
          <w:i w:val="false"/>
          <w:caps w:val="false"/>
          <w:smallCaps w:val="false"/>
          <w:spacing w:val="-9"/>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9"/>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8"/>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9"/>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p>
    <w:p>
      <w:pPr>
        <w:pStyle w:val="TextBody"/>
        <w:spacing w:before="24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each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regularly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scheduled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Audit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meeting,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management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updates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scope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anticipated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p>
    <w:p>
      <w:pPr>
        <w:pStyle w:val="TextBody"/>
        <w:spacing w:before="0" w:after="0"/>
        <w:rPr>
          <w:rFonts w:ascii="Open Sans" w:hAnsi="Open Sans"/>
          <w:b w:val="false"/>
          <w:i w:val="false"/>
          <w:caps w:val="false"/>
          <w:smallCaps w:val="false"/>
          <w:spacing w:val="-3"/>
          <w:sz w:val="16"/>
          <w:bdr w:val="single" w:sz="6" w:space="1" w:color="00497C"/>
        </w:rPr>
      </w:pPr>
      <w:r>
        <w:rPr>
          <w:rFonts w:ascii="Open Sans" w:hAnsi="Open Sans"/>
          <w:b w:val="false"/>
          <w:i w:val="false"/>
          <w:caps w:val="false"/>
          <w:smallCaps w:val="false"/>
          <w:spacing w:val="-3"/>
          <w:sz w:val="16"/>
          <w:bdr w:val="single" w:sz="6" w:space="1" w:color="00497C"/>
        </w:rPr>
        <w:t>(1)</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 pre-approved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chair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since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last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committee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meeting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and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(2)</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projected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fees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each</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group</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of</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services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provided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by our</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independent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registered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public</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accounting</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firm</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exceed</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the</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amount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that</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has</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been</w:t>
      </w:r>
      <w:r>
        <w:rPr>
          <w:rFonts w:ascii="Open Sans" w:hAnsi="Open Sans"/>
          <w:b w:val="false"/>
          <w:i w:val="false"/>
          <w:caps w:val="false"/>
          <w:smallCaps w:val="false"/>
          <w:spacing w:val="-5"/>
          <w:sz w:val="16"/>
          <w:bdr w:val="single" w:sz="6" w:space="1" w:color="00497C"/>
        </w:rPr>
        <w:t xml:space="preserve"> </w:t>
      </w:r>
      <w:r>
        <w:rPr>
          <w:rFonts w:ascii="Open Sans" w:hAnsi="Open Sans"/>
          <w:b w:val="false"/>
          <w:i w:val="false"/>
          <w:caps w:val="false"/>
          <w:smallCaps w:val="false"/>
          <w:spacing w:val="-3"/>
          <w:sz w:val="16"/>
          <w:bdr w:val="single" w:sz="6" w:space="1" w:color="00497C"/>
        </w:rPr>
        <w:t>pre-approved.</w:t>
      </w:r>
    </w:p>
    <w:p>
      <w:pPr>
        <w:pStyle w:val="TextBody"/>
        <w:spacing w:before="0" w:after="0"/>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43</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p>
      <w:pPr>
        <w:pStyle w:val="TextBody"/>
        <w:spacing w:before="240" w:after="0"/>
        <w:rPr>
          <w:rFonts w:ascii="Open Sans" w:hAnsi="Open Sans"/>
          <w:b/>
          <w:i w:val="false"/>
          <w:caps w:val="false"/>
          <w:smallCaps w:val="false"/>
          <w:color w:val="004A7C"/>
          <w:sz w:val="27"/>
          <w:bdr w:val="single" w:sz="6" w:space="1" w:color="00497C"/>
        </w:rPr>
      </w:pPr>
      <w:bookmarkStart w:id="49" w:name="DIRECTOR_COMPENSATION"/>
      <w:bookmarkEnd w:id="49"/>
      <w:r>
        <w:rPr>
          <w:rFonts w:ascii="Open Sans" w:hAnsi="Open Sans"/>
          <w:b/>
          <w:i w:val="false"/>
          <w:caps w:val="false"/>
          <w:smallCaps w:val="false"/>
          <w:color w:val="004A7C"/>
          <w:sz w:val="27"/>
          <w:bdr w:val="single" w:sz="6" w:space="1" w:color="00497C"/>
        </w:rPr>
        <w:t>Director Compensation</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When establishing and reviewing our directors’ compensation, we consider the level of work and involvement the directors have with our business. We also consider compensation paid to directors in the marketplace generally and at our peer group companies (“Peer Group”). In 2022, we compensated our directors as follows:</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6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6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6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we paid each non-employee director an annual retainer of $100,000, plus an additional $165,000 in the case of our Chairman of the Board;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6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6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6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 xml:space="preserve">we paid an annual retainer of $20,000 to each of the chairs of the Talent &amp; Compensation Committee, the Governance Committee, the Sustainability &amp; Corporate Responsibility Committee and the Finance Committee;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6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6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6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effective October 2022, the Audit Committee chair annual retainer was increased from $20,000 to $25,000, which was prorated for the remainder of the year, resulting in a 2022 Audit Committee chair annual retainer of $21,250; and</w:t>
            </w:r>
          </w:p>
        </w:tc>
      </w:tr>
    </w:tbl>
    <w:tbl>
      <w:tblPr>
        <w:tblW w:w="9445" w:type="dxa"/>
        <w:jc w:val="left"/>
        <w:tblInd w:w="0" w:type="dxa"/>
        <w:tblCellMar>
          <w:top w:w="0" w:type="dxa"/>
          <w:left w:w="0" w:type="dxa"/>
          <w:bottom w:w="0" w:type="dxa"/>
          <w:right w:w="0" w:type="dxa"/>
        </w:tblCellMar>
      </w:tblPr>
      <w:tblGrid>
        <w:gridCol w:w="60"/>
        <w:gridCol w:w="110"/>
        <w:gridCol w:w="9275"/>
      </w:tblGrid>
      <w:tr>
        <w:trPr/>
        <w:tc>
          <w:tcPr>
            <w:tcW w:w="60" w:type="dxa"/>
            <w:tcBorders/>
            <w:shd w:fill="auto" w:val="clear"/>
          </w:tcPr>
          <w:p>
            <w:pPr>
              <w:pStyle w:val="TableContents"/>
              <w:spacing w:before="6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6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9275" w:type="dxa"/>
            <w:tcBorders/>
            <w:shd w:fill="auto" w:val="clear"/>
          </w:tcPr>
          <w:p>
            <w:pPr>
              <w:pStyle w:val="TableContents"/>
              <w:spacing w:before="6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we granted each non-employee director RSUs based on a fair market value of $230,000 as of the date of grant.</w:t>
            </w:r>
          </w:p>
        </w:tc>
      </w:tr>
    </w:tbl>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Cash retainers are prorated if a director serves less than a full year in the applicable position. The annual grant of RSUs to a newly appointed, non-employee director is prorated to the number of days remaining in the year. We do not pay meeting fees for our Board or committee meetings but we reimburse our non-employee directors for their reasonable out-of-pocket costs and travel expenses in connection with their attendance at Board and committee meetings.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All RSUs granted to non-employee directors are fully vested upon grant. RSUs granted before 2012 will be settled upon the director’s termination of service from the Board. Beginning with grants in 2012, the RSUs are settled upon the earlier of the director’s termination of service from the Board or three years after the RSUs are granted, unless they are deferred into our Deferred Compensation Plan (DCP). RSUs are settled through the issuance of shares of our common stock. After any quarter in which dividends are distributed to shareholders, the non-employee directors receive additional RSUs with a value equal to the value of dividends they would have received had they owned the shares of stock underlying the RSUs on the dividend record date. The number of additional RSUs to be received by directors due to the declaration of dividends is based on the closing price of our stock on the dividend payment date. </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 xml:space="preserve">All compensation paid by us during 2022 to our non-employee directors is detailed below. Mr. Vander Ark’s compensation is reflected in the executive compensation tables contained in this Proxy Statement, and he did not receive any additional compensation from us for his duties as a director. </w:t>
      </w:r>
    </w:p>
    <w:p>
      <w:pPr>
        <w:pStyle w:val="TextBody"/>
        <w:spacing w:before="0" w:after="0"/>
        <w:rPr>
          <w:bdr w:val="single" w:sz="6" w:space="1" w:color="00497C"/>
        </w:rPr>
      </w:pPr>
      <w:r>
        <w:rPr>
          <w:bdr w:val="single" w:sz="6" w:space="1" w:color="00497C"/>
        </w:rPr>
        <w:t> </w:t>
      </w:r>
    </w:p>
    <w:p>
      <w:pPr>
        <w:pStyle w:val="TextBody"/>
        <w:spacing w:before="12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Director Compensation in 2022</w:t>
      </w:r>
    </w:p>
    <w:p>
      <w:pPr>
        <w:pStyle w:val="TextBody"/>
        <w:spacing w:before="0" w:after="0"/>
        <w:rPr>
          <w:bdr w:val="single" w:sz="6" w:space="1" w:color="00497C"/>
        </w:rPr>
      </w:pPr>
      <w:r>
        <w:rPr>
          <w:bdr w:val="single" w:sz="6" w:space="1" w:color="00497C"/>
        </w:rPr>
        <w:t> </w:t>
      </w:r>
    </w:p>
    <w:tbl>
      <w:tblPr>
        <w:tblW w:w="6856" w:type="dxa"/>
        <w:jc w:val="left"/>
        <w:tblInd w:w="0" w:type="dxa"/>
        <w:tblCellMar>
          <w:top w:w="0" w:type="dxa"/>
          <w:left w:w="0" w:type="dxa"/>
          <w:bottom w:w="28" w:type="dxa"/>
          <w:right w:w="0" w:type="dxa"/>
        </w:tblCellMar>
      </w:tblPr>
      <w:tblGrid>
        <w:gridCol w:w="2150"/>
        <w:gridCol w:w="60"/>
        <w:gridCol w:w="128"/>
        <w:gridCol w:w="1492"/>
        <w:gridCol w:w="128"/>
        <w:gridCol w:w="400"/>
        <w:gridCol w:w="105"/>
        <w:gridCol w:w="1219"/>
        <w:gridCol w:w="105"/>
        <w:gridCol w:w="105"/>
        <w:gridCol w:w="66"/>
        <w:gridCol w:w="766"/>
        <w:gridCol w:w="66"/>
        <w:gridCol w:w="66"/>
      </w:tblGrid>
      <w:tr>
        <w:trPr/>
        <w:tc>
          <w:tcPr>
            <w:tcW w:w="2150" w:type="dxa"/>
            <w:tcBorders>
              <w:bottom w:val="single" w:sz="6" w:space="0" w:color="000000"/>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DIRECTOR NAME</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2148" w:type="dxa"/>
            <w:gridSpan w:val="4"/>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FEES EARNED OR PAID</w:t>
            </w:r>
          </w:p>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IN CASH ($)(1)</w:t>
            </w:r>
          </w:p>
        </w:tc>
        <w:tc>
          <w:tcPr>
            <w:tcW w:w="1534" w:type="dxa"/>
            <w:gridSpan w:val="4"/>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STOCK AWARDS</w:t>
            </w:r>
          </w:p>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w:t>
            </w:r>
          </w:p>
        </w:tc>
        <w:tc>
          <w:tcPr>
            <w:tcW w:w="964" w:type="dxa"/>
            <w:gridSpan w:val="4"/>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TOTAL ($)</w:t>
            </w:r>
          </w:p>
        </w:tc>
      </w:tr>
      <w:tr>
        <w:trPr/>
        <w:tc>
          <w:tcPr>
            <w:tcW w:w="2150" w:type="dxa"/>
            <w:tcBorders>
              <w:bottom w:val="single" w:sz="6" w:space="0" w:color="FFFFFF"/>
            </w:tcBorders>
            <w:shd w:fill="D8E1E9" w:val="cle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Tomago Collins</w:t>
            </w:r>
          </w:p>
        </w:tc>
        <w:tc>
          <w:tcPr>
            <w:tcW w:w="60" w:type="dxa"/>
            <w:tcBorders>
              <w:bottom w:val="single" w:sz="6" w:space="0" w:color="FFFFFF"/>
            </w:tcBorders>
            <w:shd w:fill="D8E1E9" w:val="cle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120,000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350,062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Michael A. Duffy</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100,000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330,062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Thomas W. Handley</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120,000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350,062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Manuel Kadre (Chairman)</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265,000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lineRule="auto" w:line="288" w:before="0" w:after="0"/>
              <w:ind w:left="0" w:right="0" w:hanging="0"/>
              <w:rPr>
                <w:rFonts w:ascii="Open Sans Semi bold" w:hAnsi="Open Sans Semi bold"/>
                <w:b w:val="false"/>
                <w:i w:val="false"/>
                <w:caps w:val="false"/>
                <w:smallCaps w:val="false"/>
                <w:color w:val="00497C"/>
                <w:sz w:val="16"/>
              </w:rPr>
            </w:pPr>
            <w:r>
              <w:rPr>
                <w:rFonts w:ascii="Open Sans Semi bold" w:hAnsi="Open Sans Semi bold"/>
                <w:b w:val="false"/>
                <w:i w:val="false"/>
                <w:caps w:val="false"/>
                <w:smallCaps w:val="false"/>
                <w:color w:val="00497C"/>
                <w:sz w:val="16"/>
              </w:rPr>
              <w:t>(3)</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495,062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Jennifer M. Kirk</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121,250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lineRule="auto" w:line="288" w:before="0" w:after="0"/>
              <w:ind w:left="0" w:right="0" w:hanging="0"/>
              <w:rPr>
                <w:rFonts w:ascii="Open Sans Semi bold" w:hAnsi="Open Sans Semi bold"/>
                <w:b w:val="false"/>
                <w:i w:val="false"/>
                <w:caps w:val="false"/>
                <w:smallCaps w:val="false"/>
                <w:color w:val="00497C"/>
                <w:sz w:val="16"/>
              </w:rPr>
            </w:pPr>
            <w:r>
              <w:rPr>
                <w:rFonts w:ascii="Open Sans Semi bold" w:hAnsi="Open Sans Semi bold"/>
                <w:b w:val="false"/>
                <w:i w:val="false"/>
                <w:caps w:val="false"/>
                <w:smallCaps w:val="false"/>
                <w:color w:val="00497C"/>
                <w:sz w:val="16"/>
              </w:rPr>
              <w:t>(4)</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351,312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Michael Larson</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120,000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350,062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Kim S. Pegula</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100,000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330,062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James P. Snee</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120,000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350,062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Brian S. Tyler</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100,000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330,062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Sandra M. Volpe</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100,000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330,062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r>
        <w:trPr/>
        <w:tc>
          <w:tcPr>
            <w:tcW w:w="2150" w:type="dxa"/>
            <w:tcBorders>
              <w:top w:val="single" w:sz="6" w:space="0" w:color="FFFFFF"/>
              <w:bottom w:val="single" w:sz="6" w:space="0" w:color="000000"/>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Katharine B. Weymouth</w:t>
            </w:r>
          </w:p>
        </w:tc>
        <w:tc>
          <w:tcPr>
            <w:tcW w:w="60" w:type="dxa"/>
            <w:tcBorders>
              <w:top w:val="single" w:sz="6" w:space="0" w:color="FFFFFF"/>
              <w:bottom w:val="single" w:sz="6" w:space="0" w:color="000000"/>
            </w:tcBorders>
            <w:shd w:fill="D8E1E9"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92"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100,000</w:t>
            </w:r>
          </w:p>
        </w:tc>
        <w:tc>
          <w:tcPr>
            <w:tcW w:w="128"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400"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105"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230,062</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330,062</w:t>
            </w:r>
          </w:p>
        </w:tc>
        <w:tc>
          <w:tcPr>
            <w:tcW w:w="66"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bottom w:val="single" w:sz="6" w:space="0" w:color="D8E1E9"/>
              <w:right w:val="single" w:sz="6" w:space="0" w:color="D8E1E9"/>
            </w:tcBorders>
            <w:shd w:fill="FFFFFF" w:val="clear"/>
            <w:tcMar>
              <w:top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r>
    </w:tbl>
    <w:p>
      <w:pPr>
        <w:pStyle w:val="TextBody"/>
        <w:spacing w:before="0" w:after="0"/>
        <w:rPr>
          <w:bdr w:val="single" w:sz="6" w:space="1" w:color="00497C"/>
        </w:rPr>
      </w:pPr>
      <w:r>
        <w:rPr>
          <w:bdr w:val="single" w:sz="6" w:space="1" w:color="00497C"/>
        </w:rPr>
        <w:t> </w:t>
      </w:r>
    </w:p>
    <w:tbl>
      <w:tblPr>
        <w:tblW w:w="7120" w:type="dxa"/>
        <w:jc w:val="left"/>
        <w:tblInd w:w="0" w:type="dxa"/>
        <w:tblCellMar>
          <w:top w:w="0" w:type="dxa"/>
          <w:left w:w="0" w:type="dxa"/>
          <w:bottom w:w="0" w:type="dxa"/>
          <w:right w:w="0" w:type="dxa"/>
        </w:tblCellMar>
      </w:tblPr>
      <w:tblGrid>
        <w:gridCol w:w="245"/>
        <w:gridCol w:w="6875"/>
      </w:tblGrid>
      <w:tr>
        <w:trPr/>
        <w:tc>
          <w:tcPr>
            <w:tcW w:w="245" w:type="dxa"/>
            <w:tcBorders/>
            <w:shd w:fill="auto" w:val="clear"/>
          </w:tcPr>
          <w:p>
            <w:pPr>
              <w:pStyle w:val="TableContents"/>
              <w:spacing w:lineRule="auto" w:line="288" w:before="0" w:after="0"/>
              <w:rPr>
                <w:rFonts w:ascii="Open Sans" w:hAnsi="Open Sans"/>
                <w:b w:val="false"/>
                <w:i w:val="false"/>
                <w:caps w:val="false"/>
                <w:smallCaps w:val="false"/>
                <w:sz w:val="16"/>
              </w:rPr>
            </w:pPr>
            <w:r>
              <w:rPr>
                <w:rFonts w:ascii="Open Sans" w:hAnsi="Open Sans"/>
                <w:b w:val="false"/>
                <w:i w:val="false"/>
                <w:caps w:val="false"/>
                <w:smallCaps w:val="false"/>
                <w:sz w:val="16"/>
              </w:rPr>
              <w:t>(1)</w:t>
            </w:r>
          </w:p>
        </w:tc>
        <w:tc>
          <w:tcPr>
            <w:tcW w:w="6875" w:type="dxa"/>
            <w:tcBorders/>
            <w:shd w:fill="auto" w:val="clear"/>
          </w:tcPr>
          <w:p>
            <w:pPr>
              <w:pStyle w:val="TableContents"/>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Includes annual cash retainers and Board and committee chairmanship retainers. </w:t>
            </w:r>
          </w:p>
        </w:tc>
      </w:tr>
    </w:tbl>
    <w:tbl>
      <w:tblPr>
        <w:tblW w:w="10539" w:type="dxa"/>
        <w:jc w:val="left"/>
        <w:tblInd w:w="0" w:type="dxa"/>
        <w:tblCellMar>
          <w:top w:w="0" w:type="dxa"/>
          <w:left w:w="0" w:type="dxa"/>
          <w:bottom w:w="0" w:type="dxa"/>
          <w:right w:w="0" w:type="dxa"/>
        </w:tblCellMar>
      </w:tblPr>
      <w:tblGrid>
        <w:gridCol w:w="195"/>
        <w:gridCol w:w="10344"/>
      </w:tblGrid>
      <w:tr>
        <w:trPr/>
        <w:tc>
          <w:tcPr>
            <w:tcW w:w="195" w:type="dxa"/>
            <w:tcBorders/>
            <w:shd w:fill="auto" w:val="clear"/>
          </w:tcPr>
          <w:p>
            <w:pPr>
              <w:pStyle w:val="TableContents"/>
              <w:spacing w:lineRule="auto" w:line="288" w:before="0" w:after="0"/>
              <w:rPr>
                <w:rFonts w:ascii="Open Sans" w:hAnsi="Open Sans"/>
                <w:b w:val="false"/>
                <w:i w:val="false"/>
                <w:caps w:val="false"/>
                <w:smallCaps w:val="false"/>
                <w:sz w:val="16"/>
              </w:rPr>
            </w:pPr>
            <w:r>
              <w:rPr>
                <w:rFonts w:ascii="Open Sans" w:hAnsi="Open Sans"/>
                <w:b w:val="false"/>
                <w:i w:val="false"/>
                <w:caps w:val="false"/>
                <w:smallCaps w:val="false"/>
                <w:sz w:val="16"/>
              </w:rPr>
              <w:t>(2)</w:t>
            </w:r>
          </w:p>
        </w:tc>
        <w:tc>
          <w:tcPr>
            <w:tcW w:w="10344" w:type="dxa"/>
            <w:tcBorders/>
            <w:shd w:fill="auto" w:val="clear"/>
          </w:tcPr>
          <w:p>
            <w:pPr>
              <w:pStyle w:val="TableContents"/>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The amounts shown in this column represent the grant-date fair value of RSUs granted in 2022 calculated in accordance with FASB ASC Topic 718. See Note 12 to our Consolidated Financial Statements included in our Form 10-K for the year ended December 31, 2022 for a discussion of the relevant assumptions used in making such calculations. This does not include the value of additional RSUs received in lieu of dividends. Each non-employee director received an annual grant of 1,699 RSUs on January 3, 2022 with a grant date fair value of $135.41 per share, which was the closing price of our stock on the date of grant. </w:t>
            </w:r>
          </w:p>
        </w:tc>
      </w:tr>
    </w:tbl>
    <w:tbl>
      <w:tblPr>
        <w:tblW w:w="7735" w:type="dxa"/>
        <w:jc w:val="left"/>
        <w:tblInd w:w="0" w:type="dxa"/>
        <w:tblCellMar>
          <w:top w:w="0" w:type="dxa"/>
          <w:left w:w="0" w:type="dxa"/>
          <w:bottom w:w="0" w:type="dxa"/>
          <w:right w:w="0" w:type="dxa"/>
        </w:tblCellMar>
      </w:tblPr>
      <w:tblGrid>
        <w:gridCol w:w="245"/>
        <w:gridCol w:w="7490"/>
      </w:tblGrid>
      <w:tr>
        <w:trPr/>
        <w:tc>
          <w:tcPr>
            <w:tcW w:w="245" w:type="dxa"/>
            <w:tcBorders/>
            <w:shd w:fill="auto" w:val="clear"/>
          </w:tcPr>
          <w:p>
            <w:pPr>
              <w:pStyle w:val="TableContents"/>
              <w:spacing w:lineRule="auto" w:line="288" w:before="0" w:after="0"/>
              <w:rPr>
                <w:rFonts w:ascii="Open Sans" w:hAnsi="Open Sans"/>
                <w:b w:val="false"/>
                <w:i w:val="false"/>
                <w:caps w:val="false"/>
                <w:smallCaps w:val="false"/>
                <w:sz w:val="16"/>
              </w:rPr>
            </w:pPr>
            <w:r>
              <w:rPr>
                <w:rFonts w:ascii="Open Sans" w:hAnsi="Open Sans"/>
                <w:b w:val="false"/>
                <w:i w:val="false"/>
                <w:caps w:val="false"/>
                <w:smallCaps w:val="false"/>
                <w:sz w:val="16"/>
              </w:rPr>
              <w:t>(3)</w:t>
            </w:r>
          </w:p>
        </w:tc>
        <w:tc>
          <w:tcPr>
            <w:tcW w:w="7490" w:type="dxa"/>
            <w:tcBorders/>
            <w:shd w:fill="auto" w:val="clear"/>
          </w:tcPr>
          <w:p>
            <w:pPr>
              <w:pStyle w:val="TableContents"/>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Mr. Kadre elected to defer a portion of his cash compensation in accordance with the DCP.</w:t>
            </w:r>
          </w:p>
        </w:tc>
      </w:tr>
    </w:tbl>
    <w:tbl>
      <w:tblPr>
        <w:tblW w:w="10539" w:type="dxa"/>
        <w:jc w:val="left"/>
        <w:tblInd w:w="0" w:type="dxa"/>
        <w:tblCellMar>
          <w:top w:w="0" w:type="dxa"/>
          <w:left w:w="0" w:type="dxa"/>
          <w:bottom w:w="0" w:type="dxa"/>
          <w:right w:w="0" w:type="dxa"/>
        </w:tblCellMar>
      </w:tblPr>
      <w:tblGrid>
        <w:gridCol w:w="217"/>
        <w:gridCol w:w="10322"/>
      </w:tblGrid>
      <w:tr>
        <w:trPr/>
        <w:tc>
          <w:tcPr>
            <w:tcW w:w="217" w:type="dxa"/>
            <w:tcBorders/>
            <w:shd w:fill="auto" w:val="clear"/>
          </w:tcPr>
          <w:p>
            <w:pPr>
              <w:pStyle w:val="TableContents"/>
              <w:spacing w:lineRule="auto" w:line="288" w:before="0" w:after="0"/>
              <w:rPr>
                <w:rFonts w:ascii="Open Sans" w:hAnsi="Open Sans"/>
                <w:b w:val="false"/>
                <w:i w:val="false"/>
                <w:caps w:val="false"/>
                <w:smallCaps w:val="false"/>
                <w:sz w:val="16"/>
              </w:rPr>
            </w:pPr>
            <w:r>
              <w:rPr>
                <w:rFonts w:ascii="Open Sans" w:hAnsi="Open Sans"/>
                <w:b w:val="false"/>
                <w:i w:val="false"/>
                <w:caps w:val="false"/>
                <w:smallCaps w:val="false"/>
                <w:sz w:val="16"/>
              </w:rPr>
              <w:t>(4)</w:t>
            </w:r>
          </w:p>
        </w:tc>
        <w:tc>
          <w:tcPr>
            <w:tcW w:w="10322" w:type="dxa"/>
            <w:tcBorders/>
            <w:shd w:fill="auto" w:val="clear"/>
          </w:tcPr>
          <w:p>
            <w:pPr>
              <w:pStyle w:val="TableContents"/>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In October 2022, the Audit Committee chair annual retainer was increased from $20,000 to $25,000, prorated for the remainder of the year. This resulted in an Audit Committee chair annual retainer of $21,250 for Ms. Kirk. </w:t>
            </w:r>
          </w:p>
        </w:tc>
      </w:tr>
    </w:tbl>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44</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240" w:after="0"/>
        <w:rPr>
          <w:rFonts w:ascii="Open Sans" w:hAnsi="Open Sans"/>
          <w:b/>
          <w:i w:val="false"/>
          <w:caps w:val="false"/>
          <w:smallCaps w:val="false"/>
          <w:color w:val="004A7C"/>
          <w:sz w:val="27"/>
          <w:bdr w:val="single" w:sz="6" w:space="1" w:color="00497C"/>
        </w:rPr>
      </w:pPr>
      <w:bookmarkStart w:id="50" w:name="CERTAIN_RELATIONSHIPS_RELATED_PARTY_TRAN"/>
      <w:bookmarkEnd w:id="50"/>
      <w:r>
        <w:rPr>
          <w:rFonts w:ascii="Open Sans" w:hAnsi="Open Sans"/>
          <w:b/>
          <w:i w:val="false"/>
          <w:caps w:val="false"/>
          <w:smallCaps w:val="false"/>
          <w:color w:val="004A7C"/>
          <w:sz w:val="27"/>
          <w:bdr w:val="single" w:sz="6" w:space="1" w:color="00497C"/>
        </w:rPr>
        <w:t>Certain Relationships and Related Party Transactions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Our Related Party Transactions Policy stipulates that any transaction for which disclosure is required under Item 404 of Regulation S-K (an “S-K Transaction”) be approved by both our CEO and the Audit Committee. Generally speaking, an S-K Transaction is any transaction, arrangement or relationship (including any indebtedness or guarantee of indebtedness) in which Republic is a participant, the amount involved exceeds $120,000 in the aggregate, and a director, director nominee, executive officer, 5% shareholder, or immediate family member of any of the foregoing has a material interest in the transaction. The related party must disclose in writing to the Chief Legal Officer the material facts of the proposed S-K Transaction and the Chief Legal Officer (or designee) will then submit the written disclosure to the CEO and the Audit Committee for approval. If the proposed S-K Transaction involves the Chief Legal Officer, the written disclosure must be provided to the CEO. As part of its due diligence, the Audit Committee will review and determine, with the advice and assistance of such advisors as it deems appropriate, whether the S-K Transaction would present an improper conflict of interest. In making this determination, the Audit Committee may consider the following factors, among others: (1) whether the transaction terms are at least as favorable to us as those that could be obtained in a transaction between us and an unrelated party; (2) whether there are any compelling business reasons for us to enter into the transaction; and (3) whether the transaction would impair the independence of an otherwise independent director.</w:t>
      </w:r>
    </w:p>
    <w:p>
      <w:pPr>
        <w:pStyle w:val="TextBody"/>
        <w:spacing w:before="120" w:after="0"/>
        <w:rPr>
          <w:rFonts w:ascii="Open Sans SemiBold" w:hAnsi="Open Sans SemiBold"/>
          <w:b w:val="false"/>
          <w:i w:val="false"/>
          <w:caps w:val="false"/>
          <w:smallCaps w:val="false"/>
          <w:color w:val="004A7C"/>
          <w:sz w:val="17"/>
          <w:bdr w:val="single" w:sz="6" w:space="1" w:color="00497C"/>
        </w:rPr>
      </w:pPr>
      <w:r>
        <w:rPr>
          <w:rFonts w:ascii="Open Sans SemiBold" w:hAnsi="Open Sans SemiBold"/>
          <w:b w:val="false"/>
          <w:i w:val="false"/>
          <w:caps w:val="false"/>
          <w:smallCaps w:val="false"/>
          <w:color w:val="004A7C"/>
          <w:sz w:val="17"/>
          <w:bdr w:val="single" w:sz="6" w:space="1" w:color="00497C"/>
        </w:rPr>
        <w:t>Entities Affiliated with Kim S. Pegula</w:t>
      </w:r>
    </w:p>
    <w:p>
      <w:pPr>
        <w:pStyle w:val="TextBody"/>
        <w:spacing w:before="6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Through several of the Company’s subsidiaries, the Company provides waste and/or recycling collection services to six facilities in which Ms. Pegula or her immediate family members have an ownership interest. In 2022, the Company received an aggregate of approximately $165,880 for services provided to these facilities. Ms. Pegula did not initiate or negotiate any of the arrangements we have with the affiliated entities, all of the business dealings were entered into in the ordinary course of business prior to Ms. Pegula assuming her role on our Board, and our arrangements with such entities are on terms no more favorable to them than terms that would be available to unaffiliated third parties under the same or similar circumstances.</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45</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0" w:after="0"/>
        <w:rPr>
          <w:rFonts w:ascii="Open Sans" w:hAnsi="Open Sans"/>
          <w:b/>
          <w:i w:val="false"/>
          <w:caps w:val="false"/>
          <w:smallCaps w:val="false"/>
          <w:color w:val="004A7C"/>
          <w:sz w:val="27"/>
          <w:bdr w:val="single" w:sz="6" w:space="1" w:color="00497C"/>
        </w:rPr>
      </w:pPr>
      <w:bookmarkStart w:id="51" w:name="SECURITY_OWNERSHIP__BOARD_DIRECTORS_MANA"/>
      <w:bookmarkEnd w:id="51"/>
      <w:r>
        <w:rPr>
          <w:rFonts w:ascii="Open Sans" w:hAnsi="Open Sans"/>
          <w:b/>
          <w:i w:val="false"/>
          <w:caps w:val="false"/>
          <w:smallCaps w:val="false"/>
          <w:color w:val="004A7C"/>
          <w:sz w:val="27"/>
          <w:bdr w:val="single" w:sz="6" w:space="1" w:color="00497C"/>
        </w:rPr>
        <w:t>Security Ownership of the Board of Directors and Management</w:t>
      </w:r>
    </w:p>
    <w:p>
      <w:pPr>
        <w:pStyle w:val="TextBody"/>
        <w:spacing w:before="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following table shows certain information as of March 15, 2023, with respect to the beneficial ownership of common stock and RSUs by (1) our current directors, (2) each of the named executive officers, and (3) all of our current directors and all executive officers as a group. We have adjusted share amounts and percentages shown for each individual in the table to give effect to shares of common stock that are not outstanding but which the individual may acquire upon exercise of options exercisable within 60 days after March 15, 2023. However, we do not deem these shares to be outstanding for the purpose of computing the percentage of outstanding shares beneficially owned by any other individual listed on the table.</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RSUs and PSUs are not considered common stock that is beneficially owned for SEC disclosure purposes. We have included RSUs in this table because they are similar to or track our common stock, they represent an investment risk in the performance of our common stock, they are settled through the issuance of shares of our common stock, and they receive dividend equivalents in the form of additional RSUs each time a dividend is paid on our common stock. The Board has considered the use of RSUs as opposed to common stock for directors and believes that RSUs align the directors with our shareholders’ long-term interests as much as common stock would.</w:t>
      </w:r>
    </w:p>
    <w:p>
      <w:pPr>
        <w:pStyle w:val="TextBody"/>
        <w:spacing w:before="0" w:after="0"/>
        <w:rPr>
          <w:bdr w:val="single" w:sz="6" w:space="1" w:color="00497C"/>
        </w:rPr>
      </w:pPr>
      <w:r>
        <w:rPr>
          <w:bdr w:val="single" w:sz="6" w:space="1" w:color="00497C"/>
        </w:rPr>
        <w:t> </w:t>
      </w:r>
    </w:p>
    <w:tbl>
      <w:tblPr>
        <w:tblW w:w="10049" w:type="dxa"/>
        <w:jc w:val="left"/>
        <w:tblInd w:w="0" w:type="dxa"/>
        <w:tblCellMar>
          <w:top w:w="0" w:type="dxa"/>
          <w:left w:w="0" w:type="dxa"/>
          <w:bottom w:w="0" w:type="dxa"/>
          <w:right w:w="0" w:type="dxa"/>
        </w:tblCellMar>
      </w:tblPr>
      <w:tblGrid>
        <w:gridCol w:w="3545"/>
        <w:gridCol w:w="60"/>
        <w:gridCol w:w="126"/>
        <w:gridCol w:w="1468"/>
        <w:gridCol w:w="126"/>
        <w:gridCol w:w="517"/>
        <w:gridCol w:w="153"/>
        <w:gridCol w:w="976"/>
        <w:gridCol w:w="60"/>
        <w:gridCol w:w="205"/>
        <w:gridCol w:w="2398"/>
        <w:gridCol w:w="205"/>
        <w:gridCol w:w="210"/>
      </w:tblGrid>
      <w:tr>
        <w:trPr/>
        <w:tc>
          <w:tcPr>
            <w:tcW w:w="35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366" w:type="dxa"/>
            <w:gridSpan w:val="6"/>
            <w:tcBorders/>
            <w:shd w:fill="FFFFFF" w:val="cle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SHARES BENEFICIALLY OWNED(a)</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05"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 OF BENEFICIAL OWNER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237" w:type="dxa"/>
            <w:gridSpan w:val="4"/>
            <w:tcBorders>
              <w:bottom w:val="single" w:sz="6" w:space="0" w:color="D8E1E9"/>
            </w:tcBorders>
            <w:shd w:fill="FFFFFF" w:val="clear"/>
            <w:tcMar>
              <w:bottom w:w="28"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NUMBER(b)</w:t>
            </w:r>
          </w:p>
        </w:tc>
        <w:tc>
          <w:tcPr>
            <w:tcW w:w="1129" w:type="dxa"/>
            <w:gridSpan w:val="2"/>
            <w:tcBorders>
              <w:bottom w:val="single" w:sz="6" w:space="0" w:color="D8E1E9"/>
            </w:tcBorders>
            <w:shd w:fill="FFFFFF" w:val="clear"/>
            <w:tcMar>
              <w:bottom w:w="28"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PERCENT(c)</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18" w:type="dxa"/>
            <w:gridSpan w:val="4"/>
            <w:tcBorders>
              <w:bottom w:val="single" w:sz="6" w:space="0" w:color="D8E1E9"/>
            </w:tcBorders>
            <w:shd w:fill="FFFFFF" w:val="clear"/>
            <w:tcMar>
              <w:bottom w:w="28"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RESTRICTED STOCK UNITS(d)(e)</w:t>
            </w:r>
          </w:p>
        </w:tc>
      </w:tr>
      <w:tr>
        <w:trPr/>
        <w:tc>
          <w:tcPr>
            <w:tcW w:w="3545" w:type="dxa"/>
            <w:tcBorders>
              <w:bottom w:val="single" w:sz="6" w:space="0" w:color="FFFFFF"/>
            </w:tcBorders>
            <w:shd w:fill="D8E1E9"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Manuel Kadre</w:t>
            </w:r>
          </w:p>
        </w:tc>
        <w:tc>
          <w:tcPr>
            <w:tcW w:w="60" w:type="dxa"/>
            <w:tcBorders>
              <w:bottom w:val="single" w:sz="6" w:space="0" w:color="FFFFFF"/>
              <w:right w:val="single" w:sz="6" w:space="0" w:color="D8E1E9"/>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4,245</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35,073</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Tomago Collins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12,149</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16,019</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Michael A. Duffy</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385</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7,276</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Thomas W. Handley</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1,949</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20,353</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Jennifer M. Kirk</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4,449</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20,353</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Michael Larson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52,215</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41,051</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Kim S. Pegula</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11,362</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6,071</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James P. Snee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7,727</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6,071</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Brian S. Tyler</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5,315</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Sandra M. Volpe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100</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20,353</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Katharine B. Weymouth</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4,304</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8,771</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Jon Vander Ark</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65,628</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52,644</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Brian A. Bales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20,284</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87,336</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Brian M. DelGhiaccio</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13,910</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lineRule="auto" w:line="288" w:before="0" w:after="0"/>
              <w:ind w:left="0" w:right="0" w:hanging="0"/>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(1)</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39,623</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Catharine D. Ellingsen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36,029</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16,164</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Amanda Hodges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7,522</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9,340</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Katrina Liddell</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3,662</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8,290</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35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Timothy E. Stuart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30,071</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lineRule="auto" w:line="288" w:before="0" w:after="0"/>
              <w:ind w:left="0" w:right="0" w:hanging="0"/>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(2)</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603"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32,605</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top w:val="single" w:sz="6" w:space="0" w:color="D8E1E9"/>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top w:val="single" w:sz="6" w:space="0" w:color="FFFFFF"/>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All current directors and all current</w:t>
            </w:r>
          </w:p>
          <w:p>
            <w:pPr>
              <w:pStyle w:val="TableContents"/>
              <w:spacing w:before="0" w:after="0"/>
              <w:ind w:left="0" w:right="0" w:hanging="0"/>
              <w:jc w:val="center"/>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executive officers as a group (18 persons)</w:t>
            </w:r>
          </w:p>
        </w:tc>
        <w:tc>
          <w:tcPr>
            <w:tcW w:w="60" w:type="dxa"/>
            <w:tcBorders>
              <w:top w:val="single" w:sz="6" w:space="0" w:color="FFFFFF"/>
              <w:bottom w:val="single" w:sz="6" w:space="0" w:color="000000"/>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275,996</w:t>
            </w:r>
          </w:p>
        </w:tc>
        <w:tc>
          <w:tcPr>
            <w:tcW w:w="12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1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lineRule="auto" w:line="288" w:before="0" w:after="0"/>
              <w:ind w:left="0" w:right="0" w:hanging="0"/>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(3)</w:t>
            </w:r>
          </w:p>
        </w:tc>
        <w:tc>
          <w:tcPr>
            <w:tcW w:w="153"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7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0.09</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0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9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432,708</w:t>
            </w:r>
          </w:p>
        </w:tc>
        <w:tc>
          <w:tcPr>
            <w:tcW w:w="2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10539" w:type="dxa"/>
        <w:jc w:val="left"/>
        <w:tblInd w:w="0" w:type="dxa"/>
        <w:tblCellMar>
          <w:top w:w="0" w:type="dxa"/>
          <w:left w:w="0" w:type="dxa"/>
          <w:bottom w:w="0" w:type="dxa"/>
          <w:right w:w="0" w:type="dxa"/>
        </w:tblCellMar>
      </w:tblPr>
      <w:tblGrid>
        <w:gridCol w:w="223"/>
        <w:gridCol w:w="10316"/>
      </w:tblGrid>
      <w:tr>
        <w:trPr/>
        <w:tc>
          <w:tcPr>
            <w:tcW w:w="223" w:type="dxa"/>
            <w:tcBorders/>
            <w:shd w:fill="auto" w:val="clear"/>
          </w:tcPr>
          <w:p>
            <w:pPr>
              <w:pStyle w:val="TableContents"/>
              <w:spacing w:lineRule="auto" w:line="288" w:before="12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(a)</w:t>
            </w:r>
          </w:p>
        </w:tc>
        <w:tc>
          <w:tcPr>
            <w:tcW w:w="10316" w:type="dxa"/>
            <w:tcBorders/>
            <w:shd w:fill="auto" w:val="clear"/>
          </w:tcPr>
          <w:p>
            <w:pPr>
              <w:pStyle w:val="TableContents"/>
              <w:spacing w:before="12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Excludes the units in the last column of this table. Unless otherwise noted, each of our directors and executive officers has sole voting power and sole dispositive power with respect to the shares listed.</w:t>
            </w:r>
          </w:p>
        </w:tc>
      </w:tr>
    </w:tbl>
    <w:tbl>
      <w:tblPr>
        <w:tblW w:w="7897" w:type="dxa"/>
        <w:jc w:val="left"/>
        <w:tblInd w:w="0" w:type="dxa"/>
        <w:tblCellMar>
          <w:top w:w="0" w:type="dxa"/>
          <w:left w:w="0" w:type="dxa"/>
          <w:bottom w:w="0" w:type="dxa"/>
          <w:right w:w="0" w:type="dxa"/>
        </w:tblCellMar>
      </w:tblPr>
      <w:tblGrid>
        <w:gridCol w:w="226"/>
        <w:gridCol w:w="7671"/>
      </w:tblGrid>
      <w:tr>
        <w:trPr/>
        <w:tc>
          <w:tcPr>
            <w:tcW w:w="226"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(b)</w:t>
            </w:r>
          </w:p>
        </w:tc>
        <w:tc>
          <w:tcPr>
            <w:tcW w:w="7671"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All share numbers have been rounded to the nearest whole share number and include any restricted shares.</w:t>
            </w:r>
          </w:p>
        </w:tc>
      </w:tr>
    </w:tbl>
    <w:tbl>
      <w:tblPr>
        <w:tblW w:w="10539" w:type="dxa"/>
        <w:jc w:val="left"/>
        <w:tblInd w:w="0" w:type="dxa"/>
        <w:tblCellMar>
          <w:top w:w="0" w:type="dxa"/>
          <w:left w:w="0" w:type="dxa"/>
          <w:bottom w:w="0" w:type="dxa"/>
          <w:right w:w="0" w:type="dxa"/>
        </w:tblCellMar>
      </w:tblPr>
      <w:tblGrid>
        <w:gridCol w:w="178"/>
        <w:gridCol w:w="10361"/>
      </w:tblGrid>
      <w:tr>
        <w:trPr/>
        <w:tc>
          <w:tcPr>
            <w:tcW w:w="178"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(c)</w:t>
            </w:r>
          </w:p>
        </w:tc>
        <w:tc>
          <w:tcPr>
            <w:tcW w:w="10361"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Calculated in accordance with Rule 13d-3 under the Exchange Act, and based on 316,243,575 shares of common stock issued and outstanding at the close of business on March 15, 2023. Each of our directors and named executive officers beneficially owns less than 1% of our outstanding common stock.</w:t>
            </w:r>
          </w:p>
        </w:tc>
      </w:tr>
    </w:tbl>
    <w:tbl>
      <w:tblPr>
        <w:tblW w:w="10539" w:type="dxa"/>
        <w:jc w:val="left"/>
        <w:tblInd w:w="0" w:type="dxa"/>
        <w:tblCellMar>
          <w:top w:w="0" w:type="dxa"/>
          <w:left w:w="0" w:type="dxa"/>
          <w:bottom w:w="0" w:type="dxa"/>
          <w:right w:w="0" w:type="dxa"/>
        </w:tblCellMar>
      </w:tblPr>
      <w:tblGrid>
        <w:gridCol w:w="190"/>
        <w:gridCol w:w="10349"/>
      </w:tblGrid>
      <w:tr>
        <w:trPr/>
        <w:tc>
          <w:tcPr>
            <w:tcW w:w="190"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(d)</w:t>
            </w:r>
          </w:p>
        </w:tc>
        <w:tc>
          <w:tcPr>
            <w:tcW w:w="10349"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 xml:space="preserve">The numbers in this column represent outstanding RSUs, both vested and unvested, including RSUs represented as units in the DCP’s Stock Unit Fund, and earned PSUs held in the DCP. For further discussion of RSUs and PSUs refer to “Director Compensation” and “Executive Compensation — Components of Executive Compensation.” </w:t>
            </w:r>
          </w:p>
        </w:tc>
      </w:tr>
    </w:tbl>
    <w:tbl>
      <w:tblPr>
        <w:tblW w:w="10539" w:type="dxa"/>
        <w:jc w:val="left"/>
        <w:tblInd w:w="0" w:type="dxa"/>
        <w:tblCellMar>
          <w:top w:w="0" w:type="dxa"/>
          <w:left w:w="0" w:type="dxa"/>
          <w:bottom w:w="0" w:type="dxa"/>
          <w:right w:w="0" w:type="dxa"/>
        </w:tblCellMar>
      </w:tblPr>
      <w:tblGrid>
        <w:gridCol w:w="187"/>
        <w:gridCol w:w="10352"/>
      </w:tblGrid>
      <w:tr>
        <w:trPr/>
        <w:tc>
          <w:tcPr>
            <w:tcW w:w="187"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(e)</w:t>
            </w:r>
          </w:p>
        </w:tc>
        <w:tc>
          <w:tcPr>
            <w:tcW w:w="10352"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Excluded from this column are units in the DCP’s stock investment fund, a measurement fund under which units are equal in value to shares of the Company’s common stock and are settled in cash. These units apply for purposes of our stock ownership guidelines, and Ms. Ellingsen and Messrs. Bales and Stuart hold 20,162 units, 27,463 units and 14,084 units, respectively.</w:t>
            </w:r>
          </w:p>
        </w:tc>
      </w:tr>
    </w:tbl>
    <w:tbl>
      <w:tblPr>
        <w:tblW w:w="10539" w:type="dxa"/>
        <w:jc w:val="left"/>
        <w:tblInd w:w="0" w:type="dxa"/>
        <w:tblCellMar>
          <w:top w:w="0" w:type="dxa"/>
          <w:left w:w="0" w:type="dxa"/>
          <w:bottom w:w="0" w:type="dxa"/>
          <w:right w:w="0" w:type="dxa"/>
        </w:tblCellMar>
      </w:tblPr>
      <w:tblGrid>
        <w:gridCol w:w="207"/>
        <w:gridCol w:w="10332"/>
      </w:tblGrid>
      <w:tr>
        <w:trPr/>
        <w:tc>
          <w:tcPr>
            <w:tcW w:w="207"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(1)</w:t>
            </w:r>
          </w:p>
        </w:tc>
        <w:tc>
          <w:tcPr>
            <w:tcW w:w="10332"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The aggregate amount of common stock beneficially owned by Mr. DelGhiaccio consists of 10,065 shares owned directly by him and 3,845 shares owned through our Employee Stock Purchase Plan (“ESPP”).</w:t>
            </w:r>
          </w:p>
        </w:tc>
      </w:tr>
    </w:tbl>
    <w:tbl>
      <w:tblPr>
        <w:tblW w:w="10539" w:type="dxa"/>
        <w:jc w:val="left"/>
        <w:tblInd w:w="0" w:type="dxa"/>
        <w:tblCellMar>
          <w:top w:w="0" w:type="dxa"/>
          <w:left w:w="0" w:type="dxa"/>
          <w:bottom w:w="0" w:type="dxa"/>
          <w:right w:w="0" w:type="dxa"/>
        </w:tblCellMar>
      </w:tblPr>
      <w:tblGrid>
        <w:gridCol w:w="218"/>
        <w:gridCol w:w="10321"/>
      </w:tblGrid>
      <w:tr>
        <w:trPr/>
        <w:tc>
          <w:tcPr>
            <w:tcW w:w="218"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(2)</w:t>
            </w:r>
          </w:p>
        </w:tc>
        <w:tc>
          <w:tcPr>
            <w:tcW w:w="10321"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The aggregate amount of common stock beneficially owned by Mr. Stuart consists of 29,396 shares owned directly by him and 675 shares owned through our ESPP.</w:t>
            </w:r>
          </w:p>
        </w:tc>
      </w:tr>
    </w:tbl>
    <w:tbl>
      <w:tblPr>
        <w:tblW w:w="10539" w:type="dxa"/>
        <w:jc w:val="left"/>
        <w:tblInd w:w="0" w:type="dxa"/>
        <w:tblCellMar>
          <w:top w:w="0" w:type="dxa"/>
          <w:left w:w="0" w:type="dxa"/>
          <w:bottom w:w="0" w:type="dxa"/>
          <w:right w:w="0" w:type="dxa"/>
        </w:tblCellMar>
      </w:tblPr>
      <w:tblGrid>
        <w:gridCol w:w="205"/>
        <w:gridCol w:w="10334"/>
      </w:tblGrid>
      <w:tr>
        <w:trPr/>
        <w:tc>
          <w:tcPr>
            <w:tcW w:w="205"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(3)</w:t>
            </w:r>
          </w:p>
        </w:tc>
        <w:tc>
          <w:tcPr>
            <w:tcW w:w="10334"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The aggregate amount of common stock beneficially owned by all current directors and all executive officers as a group consists of (a) 271,476 shares owned directly, and (b) 4,520 shares owned through our ESPP.</w:t>
            </w:r>
          </w:p>
        </w:tc>
      </w:tr>
    </w:tbl>
    <w:p>
      <w:pPr>
        <w:pStyle w:val="TextBody"/>
        <w:spacing w:before="240" w:after="0"/>
        <w:rPr>
          <w:bdr w:val="single" w:sz="6" w:space="1" w:color="00497C"/>
        </w:rPr>
      </w:pPr>
      <w:r>
        <w:rPr>
          <w:bdr w:val="single" w:sz="6" w:space="1" w:color="00497C"/>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46</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bdr w:val="single" w:sz="6" w:space="1" w:color="00497C"/>
        </w:rPr>
      </w:pPr>
      <w:r>
        <w:rPr>
          <w:bdr w:val="single" w:sz="6" w:space="1" w:color="00497C"/>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bdr w:val="single" w:sz="6" w:space="1" w:color="00497C"/>
        </w:rPr>
      </w:pPr>
      <w:r>
        <w:rPr>
          <w:bdr w:val="single" w:sz="6" w:space="1" w:color="00497C"/>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bdr w:val="single" w:sz="6" w:space="1" w:color="00497C"/>
        </w:rPr>
      </w:pPr>
      <w:r>
        <w:rPr>
          <w:bdr w:val="single" w:sz="6" w:space="1" w:color="00497C"/>
        </w:rPr>
        <w:t> </w:t>
      </w:r>
    </w:p>
    <w:p>
      <w:pPr>
        <w:pStyle w:val="TextBody"/>
        <w:spacing w:before="240" w:after="0"/>
        <w:rPr>
          <w:rFonts w:ascii="Open Sans" w:hAnsi="Open Sans"/>
          <w:b/>
          <w:i w:val="false"/>
          <w:caps w:val="false"/>
          <w:smallCaps w:val="false"/>
          <w:color w:val="004A7C"/>
          <w:sz w:val="27"/>
          <w:bdr w:val="single" w:sz="6" w:space="1" w:color="00497C"/>
        </w:rPr>
      </w:pPr>
      <w:bookmarkStart w:id="52" w:name="SECURITY_OWNERSHIP_FIVE_PERCENT_SHAREHOL"/>
      <w:bookmarkEnd w:id="52"/>
      <w:r>
        <w:rPr>
          <w:rFonts w:ascii="Open Sans" w:hAnsi="Open Sans"/>
          <w:b/>
          <w:i w:val="false"/>
          <w:caps w:val="false"/>
          <w:smallCaps w:val="false"/>
          <w:color w:val="004A7C"/>
          <w:sz w:val="27"/>
          <w:bdr w:val="single" w:sz="6" w:space="1" w:color="00497C"/>
        </w:rPr>
        <w:t>Security Ownership of Five Percent Shareholders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The following table shows certain information as of March 15, 2023, with respect to the beneficial ownership of common stock by each of our shareholders who we know is a beneficial owner of more than 5% of our outstanding common stock.</w:t>
      </w:r>
    </w:p>
    <w:p>
      <w:pPr>
        <w:pStyle w:val="TextBody"/>
        <w:spacing w:before="0" w:after="0"/>
        <w:rPr>
          <w:bdr w:val="single" w:sz="6" w:space="1" w:color="00497C"/>
        </w:rPr>
      </w:pPr>
      <w:r>
        <w:rPr>
          <w:bdr w:val="single" w:sz="6" w:space="1" w:color="00497C"/>
        </w:rPr>
        <w:t> </w:t>
      </w:r>
    </w:p>
    <w:tbl>
      <w:tblPr>
        <w:tblW w:w="7014" w:type="dxa"/>
        <w:jc w:val="left"/>
        <w:tblInd w:w="0" w:type="dxa"/>
        <w:tblCellMar>
          <w:top w:w="0" w:type="dxa"/>
          <w:left w:w="0" w:type="dxa"/>
          <w:bottom w:w="0" w:type="dxa"/>
          <w:right w:w="0" w:type="dxa"/>
        </w:tblCellMar>
      </w:tblPr>
      <w:tblGrid>
        <w:gridCol w:w="4040"/>
        <w:gridCol w:w="60"/>
        <w:gridCol w:w="1397"/>
        <w:gridCol w:w="1517"/>
      </w:tblGrid>
      <w:tr>
        <w:trPr/>
        <w:tc>
          <w:tcPr>
            <w:tcW w:w="4040"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914" w:type="dxa"/>
            <w:gridSpan w:val="2"/>
            <w:tcBorders/>
            <w:shd w:fill="FFFFFF" w:val="cle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SHARES BENEFICIALLY OWNED</w:t>
            </w:r>
          </w:p>
        </w:tc>
      </w:tr>
      <w:tr>
        <w:trPr/>
        <w:tc>
          <w:tcPr>
            <w:tcW w:w="4040"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 OF BENEFICIAL OWNER</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97" w:type="dxa"/>
            <w:tcBorders>
              <w:bottom w:val="single" w:sz="6" w:space="0" w:color="D8E1E9"/>
            </w:tcBorders>
            <w:shd w:fill="FFFFFF" w:val="clear"/>
            <w:tcMar>
              <w:bottom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NUMBER</w:t>
            </w:r>
          </w:p>
        </w:tc>
        <w:tc>
          <w:tcPr>
            <w:tcW w:w="1517" w:type="dxa"/>
            <w:tcBorders>
              <w:bottom w:val="single" w:sz="6" w:space="0" w:color="D8E1E9"/>
            </w:tcBorders>
            <w:shd w:fill="FFFFFF" w:val="clear"/>
            <w:tcMar>
              <w:bottom w:w="28" w:type="dxa"/>
            </w:tcMar>
            <w:vAlign w:val="center"/>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PERCENT(1)</w:t>
            </w:r>
          </w:p>
        </w:tc>
      </w:tr>
      <w:tr>
        <w:trPr/>
        <w:tc>
          <w:tcPr>
            <w:tcW w:w="4040" w:type="dxa"/>
            <w:tcBorders>
              <w:bottom w:val="single" w:sz="6" w:space="0" w:color="FFFFFF"/>
            </w:tcBorders>
            <w:shd w:fill="D8E1E9"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William H. Gates III</w:t>
            </w:r>
          </w:p>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Cascade Investment, L.L.C.</w:t>
            </w:r>
          </w:p>
          <w:p>
            <w:pPr>
              <w:pStyle w:val="TableContents"/>
              <w:spacing w:lineRule="auto" w:line="288"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2365 Carillon Point, Kirkland, WA 98033 (2)</w:t>
            </w:r>
          </w:p>
        </w:tc>
        <w:tc>
          <w:tcPr>
            <w:tcW w:w="60" w:type="dxa"/>
            <w:tcBorders>
              <w:bottom w:val="single" w:sz="6" w:space="0" w:color="FFFFFF"/>
              <w:right w:val="single" w:sz="6" w:space="0" w:color="D8E1E9"/>
            </w:tcBorders>
            <w:shd w:fill="D8E1E9" w:val="clear"/>
            <w:tcMar>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97"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109,812,574</w:t>
            </w:r>
          </w:p>
        </w:tc>
        <w:tc>
          <w:tcPr>
            <w:tcW w:w="1517"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34.7</w:t>
            </w:r>
          </w:p>
        </w:tc>
      </w:tr>
      <w:tr>
        <w:trPr/>
        <w:tc>
          <w:tcPr>
            <w:tcW w:w="40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BlackRock, Inc.</w:t>
            </w:r>
          </w:p>
          <w:p>
            <w:pPr>
              <w:pStyle w:val="TableContents"/>
              <w:spacing w:lineRule="auto" w:line="288"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55 East 52nd Street, New York, NY 10055 (3)</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97"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20,818,874</w:t>
            </w:r>
          </w:p>
        </w:tc>
        <w:tc>
          <w:tcPr>
            <w:tcW w:w="1517"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6.6</w:t>
            </w:r>
          </w:p>
        </w:tc>
      </w:tr>
      <w:tr>
        <w:trPr/>
        <w:tc>
          <w:tcPr>
            <w:tcW w:w="4040" w:type="dxa"/>
            <w:tcBorders>
              <w:top w:val="single" w:sz="6" w:space="0" w:color="FFFFFF"/>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The Vanguard Group</w:t>
            </w:r>
          </w:p>
          <w:p>
            <w:pPr>
              <w:pStyle w:val="TableContents"/>
              <w:spacing w:lineRule="auto" w:line="288"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100 Vanguard Boulevard, Malvern, PA 19355 (4)</w:t>
            </w:r>
          </w:p>
        </w:tc>
        <w:tc>
          <w:tcPr>
            <w:tcW w:w="60" w:type="dxa"/>
            <w:tcBorders>
              <w:top w:val="single" w:sz="6" w:space="0" w:color="FFFFFF"/>
              <w:bottom w:val="single" w:sz="6" w:space="0" w:color="000000"/>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97"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18,272,564</w:t>
            </w:r>
          </w:p>
        </w:tc>
        <w:tc>
          <w:tcPr>
            <w:tcW w:w="1517"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5.8</w:t>
            </w:r>
          </w:p>
        </w:tc>
      </w:tr>
    </w:tbl>
    <w:p>
      <w:pPr>
        <w:pStyle w:val="TextBody"/>
        <w:spacing w:before="0" w:after="0"/>
        <w:rPr>
          <w:bdr w:val="single" w:sz="6" w:space="1" w:color="00497C"/>
        </w:rPr>
      </w:pPr>
      <w:r>
        <w:rPr>
          <w:bdr w:val="single" w:sz="6" w:space="1" w:color="00497C"/>
        </w:rPr>
        <w:t> </w:t>
      </w:r>
    </w:p>
    <w:tbl>
      <w:tblPr>
        <w:tblW w:w="10539" w:type="dxa"/>
        <w:jc w:val="left"/>
        <w:tblInd w:w="0" w:type="dxa"/>
        <w:tblCellMar>
          <w:top w:w="0" w:type="dxa"/>
          <w:left w:w="0" w:type="dxa"/>
          <w:bottom w:w="0" w:type="dxa"/>
          <w:right w:w="0" w:type="dxa"/>
        </w:tblCellMar>
      </w:tblPr>
      <w:tblGrid>
        <w:gridCol w:w="224"/>
        <w:gridCol w:w="10315"/>
      </w:tblGrid>
      <w:tr>
        <w:trPr/>
        <w:tc>
          <w:tcPr>
            <w:tcW w:w="224"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(1)</w:t>
            </w:r>
          </w:p>
        </w:tc>
        <w:tc>
          <w:tcPr>
            <w:tcW w:w="10315"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Calculated in accordance with Rule 13d-3 under the Exchange Act, based on 316,243,575 shares of common stock outstanding at the close of business on March 15, 2023.</w:t>
            </w:r>
          </w:p>
        </w:tc>
      </w:tr>
    </w:tbl>
    <w:tbl>
      <w:tblPr>
        <w:tblW w:w="10539" w:type="dxa"/>
        <w:jc w:val="left"/>
        <w:tblInd w:w="0" w:type="dxa"/>
        <w:tblCellMar>
          <w:top w:w="0" w:type="dxa"/>
          <w:left w:w="0" w:type="dxa"/>
          <w:bottom w:w="0" w:type="dxa"/>
          <w:right w:w="0" w:type="dxa"/>
        </w:tblCellMar>
      </w:tblPr>
      <w:tblGrid>
        <w:gridCol w:w="192"/>
        <w:gridCol w:w="10347"/>
      </w:tblGrid>
      <w:tr>
        <w:trPr/>
        <w:tc>
          <w:tcPr>
            <w:tcW w:w="192"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(2)</w:t>
            </w:r>
          </w:p>
        </w:tc>
        <w:tc>
          <w:tcPr>
            <w:tcW w:w="10347"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Based on the Form 4, Statement of Changes in Beneficial Ownership, dated February 24, 2022, filed by Mr. Gates and Cascade Investment, L.L.C. (“Cascade”). The Schedule 13D/A filed with the SEC by Mr. Gates and Cascade on February 18, 2022, discloses that all shares of our common stock held by Cascade may be deemed to be beneficially owned by Mr. Gates as the sole member of Cascade. Mr. Gates’ address is 2365 Carillon Point, Kirkland, WA 98033. The Schedule 13D/A  also discloses that, as the sole member of Cascade, Mr. Gates has sole voting power and sole dispositive power with respect to 109,175,321 shares.</w:t>
            </w:r>
          </w:p>
        </w:tc>
      </w:tr>
    </w:tbl>
    <w:tbl>
      <w:tblPr>
        <w:tblW w:w="10539" w:type="dxa"/>
        <w:jc w:val="left"/>
        <w:tblInd w:w="0" w:type="dxa"/>
        <w:tblCellMar>
          <w:top w:w="0" w:type="dxa"/>
          <w:left w:w="0" w:type="dxa"/>
          <w:bottom w:w="0" w:type="dxa"/>
          <w:right w:w="0" w:type="dxa"/>
        </w:tblCellMar>
      </w:tblPr>
      <w:tblGrid>
        <w:gridCol w:w="196"/>
        <w:gridCol w:w="10343"/>
      </w:tblGrid>
      <w:tr>
        <w:trPr/>
        <w:tc>
          <w:tcPr>
            <w:tcW w:w="196"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(3)</w:t>
            </w:r>
          </w:p>
        </w:tc>
        <w:tc>
          <w:tcPr>
            <w:tcW w:w="10343"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Based on a Schedule 13G/A filed with the SEC on February 1, 2023, BlackRock, Inc. (“BlackRock”), 55 East 52nd Street, New York, NY 10055, is the beneficial owner of 20,818,874 shares. BlackRock reports that it has sole voting power with respect to 19,169,327 shares, shared voting power with respect to 0 shares, sole dispositive power with respect to 20,818,874 shares and shared dispositive power with respect to 0 shares, as of December 31, 2022.</w:t>
            </w:r>
          </w:p>
        </w:tc>
      </w:tr>
    </w:tbl>
    <w:tbl>
      <w:tblPr>
        <w:tblW w:w="10539" w:type="dxa"/>
        <w:jc w:val="left"/>
        <w:tblInd w:w="0" w:type="dxa"/>
        <w:tblCellMar>
          <w:top w:w="0" w:type="dxa"/>
          <w:left w:w="0" w:type="dxa"/>
          <w:bottom w:w="0" w:type="dxa"/>
          <w:right w:w="0" w:type="dxa"/>
        </w:tblCellMar>
      </w:tblPr>
      <w:tblGrid>
        <w:gridCol w:w="196"/>
        <w:gridCol w:w="10343"/>
      </w:tblGrid>
      <w:tr>
        <w:trPr/>
        <w:tc>
          <w:tcPr>
            <w:tcW w:w="196"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(4)</w:t>
            </w:r>
          </w:p>
        </w:tc>
        <w:tc>
          <w:tcPr>
            <w:tcW w:w="10343"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Based on a Schedule 13G/A filed with the SEC on February 9, 2023, The Vanguard Group, 100 Vanguard Boulevard, Malvern, PA 19355, is the beneficial owner of 18,272,564 shares. The Vanguard Group reports that it has sole voting power with respect to 0 shares, shared voting power with respect to 296,893 shares, sole dispositive power with respect to 17,418,217 shares and shared dispositive power with respect to 854,347 shares, as of December 31, 2022.</w:t>
            </w:r>
          </w:p>
        </w:tc>
      </w:tr>
    </w:tbl>
    <w:p>
      <w:pPr>
        <w:pStyle w:val="TextBody"/>
        <w:spacing w:before="240" w:after="0"/>
        <w:rPr>
          <w:rFonts w:ascii="Open Sans" w:hAnsi="Open Sans"/>
          <w:b/>
          <w:i w:val="false"/>
          <w:caps w:val="false"/>
          <w:smallCaps w:val="false"/>
          <w:color w:val="004A7C"/>
          <w:sz w:val="27"/>
          <w:bdr w:val="single" w:sz="6" w:space="1" w:color="00497C"/>
        </w:rPr>
      </w:pPr>
      <w:bookmarkStart w:id="53" w:name="DELINQUENT_SECTION_16A_REPORTS"/>
      <w:bookmarkEnd w:id="53"/>
      <w:r>
        <w:rPr>
          <w:rFonts w:ascii="Open Sans" w:hAnsi="Open Sans"/>
          <w:b/>
          <w:i w:val="false"/>
          <w:caps w:val="false"/>
          <w:smallCaps w:val="false"/>
          <w:color w:val="004A7C"/>
          <w:sz w:val="27"/>
          <w:bdr w:val="single" w:sz="6" w:space="1" w:color="00497C"/>
        </w:rPr>
        <w:t>Delinquent Section 16(a) Reports</w:t>
      </w:r>
    </w:p>
    <w:p>
      <w:pPr>
        <w:pStyle w:val="TextBody"/>
        <w:spacing w:before="120" w:after="0"/>
        <w:rPr>
          <w:rFonts w:ascii="Open Sans" w:hAnsi="Open Sans"/>
          <w:b w:val="false"/>
          <w:i w:val="false"/>
          <w:caps w:val="false"/>
          <w:smallCaps w:val="false"/>
          <w:sz w:val="16"/>
          <w:bdr w:val="single" w:sz="6" w:space="1" w:color="00497C"/>
        </w:rPr>
      </w:pPr>
      <w:r>
        <w:rPr>
          <w:rFonts w:ascii="Open Sans" w:hAnsi="Open Sans"/>
          <w:b w:val="false"/>
          <w:i w:val="false"/>
          <w:caps w:val="false"/>
          <w:smallCaps w:val="false"/>
          <w:sz w:val="16"/>
          <w:bdr w:val="single" w:sz="6" w:space="1" w:color="00497C"/>
        </w:rPr>
        <w:t>Based solely upon a review of (1) Forms 3 and 4 and amendments to each form furnished to us pursuant to Rule 16a-3(e) under the Exchange Act, during our fiscal year ended December 31, 2022, (2) any Form 5’s and amendments to each form furnished to us with respect to such fiscal year, and (3) any written representations referred to us under subparagraph (b)(1) of Item 405 of Regulation S-K under the Exchange Act with respect to such fiscal year, no person who at any time during such fiscal year was a director, Section 16(a) officer or, to our knowledge, a beneficial owner of more than 10% of our common stock failed to file on a timely basis reports required by Section 16(a) of the Exchange Act during such fiscal year</w:t>
      </w:r>
      <w:r>
        <w:rPr>
          <w:rFonts w:ascii="Calibri" w:hAnsi="Calibri"/>
          <w:b w:val="false"/>
          <w:i w:val="false"/>
          <w:caps w:val="false"/>
          <w:smallCaps w:val="false"/>
          <w:sz w:val="22"/>
          <w:bdr w:val="single" w:sz="6" w:space="1" w:color="00497C"/>
        </w:rPr>
        <w:t xml:space="preserve">, </w:t>
      </w:r>
      <w:r>
        <w:rPr>
          <w:rFonts w:ascii="Calibri" w:hAnsi="Calibri"/>
          <w:b w:val="false"/>
          <w:i w:val="false"/>
          <w:caps w:val="false"/>
          <w:smallCaps w:val="false"/>
          <w:sz w:val="16"/>
          <w:bdr w:val="single" w:sz="6" w:space="1" w:color="00497C"/>
        </w:rPr>
        <w:t xml:space="preserve">except that Mr. Collins had one late Form 4 filing due to an administrative error in the reporting of dividend equivalents that were accrued on January 14, 2022. </w:t>
      </w:r>
    </w:p>
    <w:p>
      <w:pPr>
        <w:pStyle w:val="TextBody"/>
        <w:spacing w:before="0" w:after="0"/>
        <w:rPr>
          <w:bdr w:val="single" w:sz="6" w:space="1" w:color="00497C"/>
        </w:rPr>
      </w:pPr>
      <w:r>
        <w:rPr>
          <w:bdr w:val="single" w:sz="6" w:space="1" w:color="00497C"/>
        </w:rPr>
        <w:t> </w:t>
      </w:r>
    </w:p>
    <w:p>
      <w:pPr>
        <w:pStyle w:val="TextBody"/>
        <w:spacing w:before="120" w:after="0"/>
        <w:jc w:val="center"/>
        <w:rPr>
          <w:bdr w:val="single" w:sz="6" w:space="1" w:color="00497C"/>
        </w:rPr>
      </w:pPr>
      <w:r>
        <w:rPr>
          <w:bdr w:val="single" w:sz="6" w:space="1" w:color="00497C"/>
        </w:rPr>
        <w:t> </w:t>
      </w:r>
    </w:p>
    <w:p>
      <w:pPr>
        <w:pStyle w:val="TextBody"/>
        <w:spacing w:before="0" w:after="0"/>
        <w:rPr/>
      </w:pPr>
      <w:r>
        <w:rPr/>
        <w:t> </w:t>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24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47</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72400" cy="100584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7772400" cy="10058400"/>
                    </a:xfrm>
                    <a:prstGeom prst="rect">
                      <a:avLst/>
                    </a:prstGeom>
                  </pic:spPr>
                </pic:pic>
              </a:graphicData>
            </a:graphic>
          </wp:inline>
        </w:drawing>
      </w:r>
    </w:p>
    <w:p>
      <w:pPr>
        <w:pStyle w:val="TextBody"/>
        <w:spacing w:before="0" w:after="0"/>
        <w:jc w:val="center"/>
        <w:rPr/>
      </w:pPr>
      <w:r>
        <w:rPr/>
        <w:t> </w:t>
      </w:r>
    </w:p>
    <w:p>
      <w:pPr>
        <w:pStyle w:val="TextBody"/>
        <w:spacing w:before="0" w:after="0"/>
        <w:rPr/>
      </w:pPr>
      <w:r>
        <w:rPr/>
        <w:t> </w:t>
      </w:r>
    </w:p>
    <w:p>
      <w:pPr>
        <w:pStyle w:val="TextBody"/>
        <w:spacing w:lineRule="atLeast" w:line="200"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24775" cy="95059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7724775" cy="9505950"/>
                    </a:xfrm>
                    <a:prstGeom prst="rect">
                      <a:avLst/>
                    </a:prstGeom>
                  </pic:spPr>
                </pic:pic>
              </a:graphicData>
            </a:graphic>
          </wp:inline>
        </w:drawing>
      </w:r>
    </w:p>
    <w:p>
      <w:pPr>
        <w:pStyle w:val="TextBody"/>
        <w:spacing w:before="24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Calibri" w:hAnsi="Calibri"/>
          <w:b w:val="false"/>
          <w:i w:val="false"/>
          <w:caps w:val="false"/>
          <w:smallCaps w:val="false"/>
          <w:sz w:val="22"/>
        </w:rPr>
      </w:pPr>
      <w:bookmarkStart w:id="54" w:name="CDA_TABLE_CONTENTS"/>
      <w:bookmarkEnd w:id="54"/>
      <w:r>
        <w:rPr>
          <w:rFonts w:ascii="Open Sans Light" w:hAnsi="Open Sans Light"/>
          <w:b w:val="false"/>
          <w:i w:val="false"/>
          <w:caps w:val="false"/>
          <w:smallCaps w:val="false"/>
          <w:color w:val="00497C"/>
          <w:sz w:val="35"/>
        </w:rPr>
        <w:t>CD&amp;A</w:t>
      </w:r>
      <w:r>
        <w:rPr>
          <w:rFonts w:ascii="Calibri" w:hAnsi="Calibri"/>
          <w:b w:val="false"/>
          <w:i w:val="false"/>
          <w:caps w:val="false"/>
          <w:smallCaps w:val="false"/>
          <w:color w:val="00497C"/>
          <w:spacing w:val="-13"/>
          <w:sz w:val="22"/>
        </w:rPr>
        <w:t xml:space="preserve"> </w:t>
      </w:r>
      <w:r>
        <w:rPr>
          <w:rFonts w:ascii="Open Sans Light" w:hAnsi="Open Sans Light"/>
          <w:b w:val="false"/>
          <w:i w:val="false"/>
          <w:caps w:val="false"/>
          <w:smallCaps w:val="false"/>
          <w:color w:val="00497C"/>
          <w:sz w:val="35"/>
        </w:rPr>
        <w:t>Table</w:t>
      </w:r>
      <w:r>
        <w:rPr>
          <w:rFonts w:ascii="Calibri" w:hAnsi="Calibri"/>
          <w:b w:val="false"/>
          <w:i w:val="false"/>
          <w:caps w:val="false"/>
          <w:smallCaps w:val="false"/>
          <w:color w:val="00497C"/>
          <w:spacing w:val="-13"/>
          <w:sz w:val="22"/>
        </w:rPr>
        <w:t xml:space="preserve"> </w:t>
      </w:r>
      <w:r>
        <w:rPr>
          <w:rFonts w:ascii="Open Sans Light" w:hAnsi="Open Sans Light"/>
          <w:b w:val="false"/>
          <w:i w:val="false"/>
          <w:caps w:val="false"/>
          <w:smallCaps w:val="false"/>
          <w:color w:val="00497C"/>
          <w:sz w:val="35"/>
        </w:rPr>
        <w:t>of</w:t>
      </w:r>
      <w:r>
        <w:rPr>
          <w:rFonts w:ascii="Calibri" w:hAnsi="Calibri"/>
          <w:b w:val="false"/>
          <w:i w:val="false"/>
          <w:caps w:val="false"/>
          <w:smallCaps w:val="false"/>
          <w:color w:val="00497C"/>
          <w:spacing w:val="-13"/>
          <w:sz w:val="22"/>
        </w:rPr>
        <w:t xml:space="preserve"> </w:t>
      </w:r>
      <w:r>
        <w:rPr>
          <w:rFonts w:ascii="Open Sans Light" w:hAnsi="Open Sans Light"/>
          <w:b w:val="false"/>
          <w:i w:val="false"/>
          <w:caps w:val="false"/>
          <w:smallCaps w:val="false"/>
          <w:color w:val="00497C"/>
          <w:sz w:val="35"/>
        </w:rPr>
        <w:t>Contents</w:t>
      </w:r>
    </w:p>
    <w:p>
      <w:pPr>
        <w:pStyle w:val="TextBody"/>
        <w:spacing w:lineRule="atLeast" w:line="220" w:before="0" w:after="0"/>
        <w:rPr/>
      </w:pPr>
      <w:r>
        <w:rPr/>
        <w:t> </w:t>
      </w:r>
    </w:p>
    <w:tbl>
      <w:tblPr>
        <w:tblW w:w="9504" w:type="dxa"/>
        <w:jc w:val="left"/>
        <w:tblInd w:w="0" w:type="dxa"/>
        <w:tblCellMar>
          <w:top w:w="0" w:type="dxa"/>
          <w:left w:w="0" w:type="dxa"/>
          <w:bottom w:w="0" w:type="dxa"/>
          <w:right w:w="0" w:type="dxa"/>
        </w:tblCellMar>
      </w:tblPr>
      <w:tblGrid>
        <w:gridCol w:w="70"/>
        <w:gridCol w:w="8799"/>
        <w:gridCol w:w="60"/>
        <w:gridCol w:w="575"/>
      </w:tblGrid>
      <w:tr>
        <w:trPr/>
        <w:tc>
          <w:tcPr>
            <w:tcW w:w="8869" w:type="dxa"/>
            <w:gridSpan w:val="2"/>
            <w:tcBorders/>
            <w:shd w:fill="auto" w:val="clear"/>
            <w:vAlign w:val="bottom"/>
          </w:tcPr>
          <w:p>
            <w:pPr>
              <w:pStyle w:val="TableContents"/>
              <w:spacing w:before="40" w:after="40"/>
              <w:ind w:left="0" w:right="0" w:hanging="0"/>
              <w:rPr/>
            </w:pPr>
            <w:hyperlink w:anchor="EXECUTIVE_FICERS">
              <w:r>
                <w:rPr>
                  <w:rStyle w:val="InternetLink"/>
                  <w:rFonts w:ascii="Open Sans" w:hAnsi="Open Sans"/>
                  <w:b/>
                  <w:i w:val="false"/>
                  <w:caps w:val="false"/>
                  <w:smallCaps w:val="false"/>
                  <w:strike w:val="false"/>
                  <w:dstrike w:val="false"/>
                  <w:color w:val="00497C"/>
                  <w:sz w:val="16"/>
                  <w:u w:val="none"/>
                  <w:effect w:val="none"/>
                </w:rPr>
                <w:t>Executive Officers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97C"/>
                <w:sz w:val="16"/>
              </w:rPr>
            </w:pPr>
            <w:r>
              <w:rPr>
                <w:rFonts w:ascii="Open Sans" w:hAnsi="Open Sans"/>
                <w:b/>
                <w:i w:val="false"/>
                <w:caps w:val="false"/>
                <w:smallCaps w:val="false"/>
                <w:color w:val="00497C"/>
                <w:sz w:val="16"/>
              </w:rPr>
              <w:t>51-52</w:t>
            </w:r>
          </w:p>
        </w:tc>
      </w:tr>
      <w:tr>
        <w:trPr/>
        <w:tc>
          <w:tcPr>
            <w:tcW w:w="8869" w:type="dxa"/>
            <w:gridSpan w:val="2"/>
            <w:tcBorders/>
            <w:shd w:fill="auto" w:val="clear"/>
            <w:vAlign w:val="bottom"/>
          </w:tcPr>
          <w:p>
            <w:pPr>
              <w:pStyle w:val="TableContents"/>
              <w:spacing w:before="40" w:after="40"/>
              <w:ind w:left="0" w:right="0" w:hanging="0"/>
              <w:rPr/>
            </w:pPr>
            <w:hyperlink w:anchor="EXECUTIVE_SUMMARY_BUSINESS_STRATEGY">
              <w:r>
                <w:rPr>
                  <w:rStyle w:val="InternetLink"/>
                  <w:rFonts w:ascii="Open Sans" w:hAnsi="Open Sans"/>
                  <w:b/>
                  <w:i w:val="false"/>
                  <w:caps w:val="false"/>
                  <w:smallCaps w:val="false"/>
                  <w:strike w:val="false"/>
                  <w:dstrike w:val="false"/>
                  <w:color w:val="004A7C"/>
                  <w:sz w:val="16"/>
                  <w:u w:val="none"/>
                  <w:effect w:val="none"/>
                </w:rPr>
                <w:t>Executive Summary</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97C"/>
                <w:sz w:val="16"/>
              </w:rPr>
            </w:pPr>
            <w:r>
              <w:rPr>
                <w:rFonts w:ascii="Open Sans" w:hAnsi="Open Sans"/>
                <w:b/>
                <w:i w:val="false"/>
                <w:caps w:val="false"/>
                <w:smallCaps w:val="false"/>
                <w:color w:val="00497C"/>
                <w:sz w:val="16"/>
              </w:rPr>
              <w:t>53-59</w:t>
            </w:r>
          </w:p>
        </w:tc>
      </w:tr>
      <w:tr>
        <w:trPr/>
        <w:tc>
          <w:tcPr>
            <w:tcW w:w="8869" w:type="dxa"/>
            <w:gridSpan w:val="2"/>
            <w:tcBorders/>
            <w:shd w:fill="auto" w:val="clear"/>
            <w:vAlign w:val="bottom"/>
          </w:tcPr>
          <w:p>
            <w:pPr>
              <w:pStyle w:val="TableContents"/>
              <w:spacing w:before="40" w:after="40"/>
              <w:ind w:left="0" w:right="0" w:hanging="0"/>
              <w:rPr/>
            </w:pPr>
            <w:hyperlink w:anchor="BUSINESS_STRATEGY">
              <w:r>
                <w:rPr>
                  <w:rStyle w:val="InternetLink"/>
                  <w:rFonts w:ascii="Open Sans" w:hAnsi="Open Sans"/>
                  <w:b w:val="false"/>
                  <w:i w:val="false"/>
                  <w:caps w:val="false"/>
                  <w:smallCaps w:val="false"/>
                  <w:strike w:val="false"/>
                  <w:dstrike w:val="false"/>
                  <w:color w:val="004A7C"/>
                  <w:sz w:val="16"/>
                  <w:u w:val="none"/>
                  <w:effect w:val="none"/>
                </w:rPr>
                <w:t>Business and Strategy Overview</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53</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BUSINESS_STRATEGY">
              <w:r>
                <w:rPr>
                  <w:rStyle w:val="InternetLink"/>
                  <w:rFonts w:ascii="Open Sans" w:hAnsi="Open Sans"/>
                  <w:b w:val="false"/>
                  <w:i w:val="false"/>
                  <w:caps w:val="false"/>
                  <w:smallCaps w:val="false"/>
                  <w:strike w:val="false"/>
                  <w:dstrike w:val="false"/>
                  <w:color w:val="00497C"/>
                  <w:sz w:val="16"/>
                  <w:u w:val="none"/>
                  <w:effect w:val="none"/>
                </w:rPr>
                <w:t>Business Strategy</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53</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FOUNDATIONAL_ELEMENTS">
              <w:r>
                <w:rPr>
                  <w:rStyle w:val="InternetLink"/>
                  <w:rFonts w:ascii="Open Sans" w:hAnsi="Open Sans"/>
                  <w:b w:val="false"/>
                  <w:i w:val="false"/>
                  <w:caps w:val="false"/>
                  <w:smallCaps w:val="false"/>
                  <w:strike w:val="false"/>
                  <w:dstrike w:val="false"/>
                  <w:color w:val="00497C"/>
                  <w:sz w:val="16"/>
                  <w:u w:val="none"/>
                  <w:effect w:val="none"/>
                </w:rPr>
                <w:t>Foundational Elements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53</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N2018_BUSINESS_PERFORMANCE_HIGHLIGHTS">
              <w:r>
                <w:rPr>
                  <w:rStyle w:val="InternetLink"/>
                  <w:rFonts w:ascii="Open Sans" w:hAnsi="Open Sans"/>
                  <w:b w:val="false"/>
                  <w:i w:val="false"/>
                  <w:caps w:val="false"/>
                  <w:smallCaps w:val="false"/>
                  <w:strike w:val="false"/>
                  <w:dstrike w:val="false"/>
                  <w:color w:val="004A7C"/>
                  <w:sz w:val="16"/>
                  <w:u w:val="none"/>
                  <w:effect w:val="none"/>
                </w:rPr>
                <w:t>2022 Business and Performance Highlights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54</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FOCUSED_CAPITAL_ALLOCATION_STRATEGY_TO_I">
              <w:r>
                <w:rPr>
                  <w:rStyle w:val="InternetLink"/>
                  <w:rFonts w:ascii="Open Sans" w:hAnsi="Open Sans"/>
                  <w:b w:val="false"/>
                  <w:i w:val="false"/>
                  <w:caps w:val="false"/>
                  <w:smallCaps w:val="false"/>
                  <w:strike w:val="false"/>
                  <w:dstrike w:val="false"/>
                  <w:color w:val="00497C"/>
                  <w:sz w:val="16"/>
                  <w:u w:val="none"/>
                  <w:effect w:val="none"/>
                </w:rPr>
                <w:t>Focused Capital Allocation Strategy to Increase Shareholder Value Creation</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54</w:t>
            </w:r>
          </w:p>
        </w:tc>
      </w:tr>
      <w:tr>
        <w:trPr/>
        <w:tc>
          <w:tcPr>
            <w:tcW w:w="8869" w:type="dxa"/>
            <w:gridSpan w:val="2"/>
            <w:tcBorders/>
            <w:shd w:fill="auto" w:val="clear"/>
            <w:vAlign w:val="bottom"/>
          </w:tcPr>
          <w:p>
            <w:pPr>
              <w:pStyle w:val="TableContents"/>
              <w:spacing w:before="0" w:after="0"/>
              <w:ind w:left="0" w:right="0" w:hanging="0"/>
              <w:rPr/>
            </w:pPr>
            <w:hyperlink w:anchor="PERFORMANCE_METRICS">
              <w:r>
                <w:rPr>
                  <w:rStyle w:val="InternetLink"/>
                  <w:rFonts w:ascii="Open Sans" w:hAnsi="Open Sans"/>
                  <w:b w:val="false"/>
                  <w:i w:val="false"/>
                  <w:caps w:val="false"/>
                  <w:smallCaps w:val="false"/>
                  <w:strike w:val="false"/>
                  <w:dstrike w:val="false"/>
                  <w:color w:val="00497C"/>
                  <w:sz w:val="16"/>
                  <w:u w:val="none"/>
                  <w:effect w:val="none"/>
                </w:rPr>
                <w:t xml:space="preserve">Performance Metrics </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55</w:t>
            </w:r>
          </w:p>
        </w:tc>
      </w:tr>
      <w:tr>
        <w:trPr/>
        <w:tc>
          <w:tcPr>
            <w:tcW w:w="8869" w:type="dxa"/>
            <w:gridSpan w:val="2"/>
            <w:tcBorders/>
            <w:shd w:fill="auto" w:val="clear"/>
            <w:vAlign w:val="bottom"/>
          </w:tcPr>
          <w:p>
            <w:pPr>
              <w:pStyle w:val="TableContents"/>
              <w:spacing w:before="0" w:after="0"/>
              <w:ind w:left="0" w:right="0" w:hanging="0"/>
              <w:rPr/>
            </w:pPr>
            <w:hyperlink w:anchor="SETTING_ROBUST_PERFORMANCE_TRGTS">
              <w:r>
                <w:rPr>
                  <w:rStyle w:val="InternetLink"/>
                  <w:rFonts w:ascii="Open Sans" w:hAnsi="Open Sans"/>
                  <w:b w:val="false"/>
                  <w:i w:val="false"/>
                  <w:caps w:val="false"/>
                  <w:smallCaps w:val="false"/>
                  <w:strike w:val="false"/>
                  <w:dstrike w:val="false"/>
                  <w:color w:val="00497C"/>
                  <w:sz w:val="16"/>
                  <w:u w:val="none"/>
                  <w:effect w:val="none"/>
                </w:rPr>
                <w:t>Setting Robust Performance Targets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56</w:t>
            </w:r>
          </w:p>
        </w:tc>
      </w:tr>
      <w:tr>
        <w:trPr/>
        <w:tc>
          <w:tcPr>
            <w:tcW w:w="8869" w:type="dxa"/>
            <w:gridSpan w:val="2"/>
            <w:tcBorders/>
            <w:shd w:fill="auto" w:val="clear"/>
            <w:vAlign w:val="bottom"/>
          </w:tcPr>
          <w:p>
            <w:pPr>
              <w:pStyle w:val="TableContents"/>
              <w:spacing w:before="0" w:after="0"/>
              <w:ind w:left="0" w:right="0" w:hanging="0"/>
              <w:rPr/>
            </w:pPr>
            <w:hyperlink w:anchor="Shareholder_Engagement_Board_Consider">
              <w:r>
                <w:rPr>
                  <w:rStyle w:val="InternetLink"/>
                  <w:rFonts w:ascii="Open Sans" w:hAnsi="Open Sans"/>
                  <w:b w:val="false"/>
                  <w:i w:val="false"/>
                  <w:caps w:val="false"/>
                  <w:smallCaps w:val="false"/>
                  <w:strike w:val="false"/>
                  <w:dstrike w:val="false"/>
                  <w:color w:val="00497C"/>
                  <w:sz w:val="16"/>
                  <w:u w:val="none"/>
                  <w:effect w:val="none"/>
                </w:rPr>
                <w:t>Shareholder Engagement and Board Consideration of 2022 Shareholder Vote on Executive Compensation</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57</w:t>
            </w:r>
          </w:p>
        </w:tc>
      </w:tr>
      <w:tr>
        <w:trPr/>
        <w:tc>
          <w:tcPr>
            <w:tcW w:w="8869" w:type="dxa"/>
            <w:gridSpan w:val="2"/>
            <w:tcBorders/>
            <w:shd w:fill="auto" w:val="clear"/>
            <w:vAlign w:val="bottom"/>
          </w:tcPr>
          <w:p>
            <w:pPr>
              <w:pStyle w:val="TableContents"/>
              <w:spacing w:before="0" w:after="0"/>
              <w:ind w:left="0" w:right="0" w:hanging="0"/>
              <w:rPr/>
            </w:pPr>
            <w:hyperlink w:anchor="EXECUTIVE_COMPENSATION_GOALS_OBJECTIVES">
              <w:r>
                <w:rPr>
                  <w:rStyle w:val="InternetLink"/>
                  <w:rFonts w:ascii="Open Sans" w:hAnsi="Open Sans"/>
                  <w:b w:val="false"/>
                  <w:i w:val="false"/>
                  <w:caps w:val="false"/>
                  <w:smallCaps w:val="false"/>
                  <w:strike w:val="false"/>
                  <w:dstrike w:val="false"/>
                  <w:color w:val="00497C"/>
                  <w:sz w:val="16"/>
                  <w:u w:val="none"/>
                  <w:effect w:val="none"/>
                </w:rPr>
                <w:t>Executive Compensation Goals and Objectives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58</w:t>
            </w:r>
          </w:p>
        </w:tc>
      </w:tr>
      <w:tr>
        <w:trPr/>
        <w:tc>
          <w:tcPr>
            <w:tcW w:w="8869" w:type="dxa"/>
            <w:gridSpan w:val="2"/>
            <w:tcBorders/>
            <w:shd w:fill="auto" w:val="clear"/>
            <w:vAlign w:val="bottom"/>
          </w:tcPr>
          <w:p>
            <w:pPr>
              <w:pStyle w:val="TableContents"/>
              <w:spacing w:before="0" w:after="0"/>
              <w:ind w:left="0" w:right="0" w:hanging="0"/>
              <w:rPr/>
            </w:pPr>
            <w:hyperlink w:anchor="KEY_COMPENSATION_GOVERNANCE_PRACTICES">
              <w:r>
                <w:rPr>
                  <w:rStyle w:val="InternetLink"/>
                  <w:rFonts w:ascii="Open Sans" w:hAnsi="Open Sans"/>
                  <w:b w:val="false"/>
                  <w:i w:val="false"/>
                  <w:caps w:val="false"/>
                  <w:smallCaps w:val="false"/>
                  <w:strike w:val="false"/>
                  <w:dstrike w:val="false"/>
                  <w:color w:val="00497C"/>
                  <w:sz w:val="16"/>
                  <w:u w:val="none"/>
                  <w:effect w:val="none"/>
                </w:rPr>
                <w:t>Key Compensation Governance Practices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59</w:t>
            </w:r>
          </w:p>
        </w:tc>
      </w:tr>
      <w:tr>
        <w:trPr/>
        <w:tc>
          <w:tcPr>
            <w:tcW w:w="8869" w:type="dxa"/>
            <w:gridSpan w:val="2"/>
            <w:tcBorders/>
            <w:shd w:fill="auto" w:val="clear"/>
            <w:vAlign w:val="bottom"/>
          </w:tcPr>
          <w:p>
            <w:pPr>
              <w:pStyle w:val="TableContents"/>
              <w:spacing w:before="40" w:after="40"/>
              <w:ind w:left="0" w:right="0" w:hanging="0"/>
              <w:rPr/>
            </w:pPr>
            <w:hyperlink w:anchor="COMPONENTS_EXECUTIVE_COMPENSATION">
              <w:r>
                <w:rPr>
                  <w:rStyle w:val="InternetLink"/>
                  <w:rFonts w:ascii="Open Sans" w:hAnsi="Open Sans"/>
                  <w:b/>
                  <w:i w:val="false"/>
                  <w:caps w:val="false"/>
                  <w:smallCaps w:val="false"/>
                  <w:strike w:val="false"/>
                  <w:dstrike w:val="false"/>
                  <w:color w:val="00497C"/>
                  <w:sz w:val="16"/>
                  <w:u w:val="none"/>
                  <w:effect w:val="none"/>
                </w:rPr>
                <w:t>Components of Executive Compensation</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97C"/>
                <w:sz w:val="16"/>
              </w:rPr>
            </w:pPr>
            <w:r>
              <w:rPr>
                <w:rFonts w:ascii="Open Sans" w:hAnsi="Open Sans"/>
                <w:b/>
                <w:i w:val="false"/>
                <w:caps w:val="false"/>
                <w:smallCaps w:val="false"/>
                <w:color w:val="00497C"/>
                <w:sz w:val="16"/>
              </w:rPr>
              <w:t>59-67</w:t>
            </w:r>
          </w:p>
        </w:tc>
      </w:tr>
      <w:tr>
        <w:trPr/>
        <w:tc>
          <w:tcPr>
            <w:tcW w:w="8869" w:type="dxa"/>
            <w:gridSpan w:val="2"/>
            <w:tcBorders/>
            <w:shd w:fill="auto" w:val="clear"/>
            <w:vAlign w:val="bottom"/>
          </w:tcPr>
          <w:p>
            <w:pPr>
              <w:pStyle w:val="TableContents"/>
              <w:spacing w:before="0" w:after="0"/>
              <w:ind w:left="780" w:right="0" w:hanging="780"/>
              <w:rPr/>
            </w:pPr>
            <w:hyperlink w:anchor="BASE_SALARY">
              <w:r>
                <w:rPr>
                  <w:rStyle w:val="InternetLink"/>
                  <w:rFonts w:ascii="Open Sans" w:hAnsi="Open Sans"/>
                  <w:b w:val="false"/>
                  <w:i w:val="false"/>
                  <w:caps w:val="false"/>
                  <w:smallCaps w:val="false"/>
                  <w:strike w:val="false"/>
                  <w:dstrike w:val="false"/>
                  <w:color w:val="00497C"/>
                  <w:sz w:val="16"/>
                  <w:u w:val="none"/>
                  <w:effect w:val="none"/>
                </w:rPr>
                <w:t>Base Salary</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60</w:t>
            </w:r>
          </w:p>
        </w:tc>
      </w:tr>
      <w:tr>
        <w:trPr/>
        <w:tc>
          <w:tcPr>
            <w:tcW w:w="8869" w:type="dxa"/>
            <w:gridSpan w:val="2"/>
            <w:tcBorders/>
            <w:shd w:fill="auto" w:val="clear"/>
            <w:vAlign w:val="bottom"/>
          </w:tcPr>
          <w:p>
            <w:pPr>
              <w:pStyle w:val="TableContents"/>
              <w:spacing w:before="0" w:after="0"/>
              <w:ind w:left="0" w:right="0" w:hanging="0"/>
              <w:rPr/>
            </w:pPr>
            <w:hyperlink w:anchor="VARIABLE_PERFORMANCEBASED_COMPENSATION_O">
              <w:r>
                <w:rPr>
                  <w:rStyle w:val="InternetLink"/>
                  <w:rFonts w:ascii="Open Sans" w:hAnsi="Open Sans"/>
                  <w:b w:val="false"/>
                  <w:i w:val="false"/>
                  <w:caps w:val="false"/>
                  <w:smallCaps w:val="false"/>
                  <w:strike w:val="false"/>
                  <w:dstrike w:val="false"/>
                  <w:color w:val="00497C"/>
                  <w:sz w:val="16"/>
                  <w:u w:val="none"/>
                  <w:effect w:val="none"/>
                </w:rPr>
                <w:t>Variable and Performance-Based Compensation Overview</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60</w:t>
            </w:r>
          </w:p>
        </w:tc>
      </w:tr>
      <w:tr>
        <w:trPr/>
        <w:tc>
          <w:tcPr>
            <w:tcW w:w="8869" w:type="dxa"/>
            <w:gridSpan w:val="2"/>
            <w:tcBorders/>
            <w:shd w:fill="auto" w:val="clear"/>
            <w:vAlign w:val="bottom"/>
          </w:tcPr>
          <w:p>
            <w:pPr>
              <w:pStyle w:val="TableContents"/>
              <w:spacing w:before="0" w:after="0"/>
              <w:ind w:left="0" w:right="0" w:hanging="0"/>
              <w:rPr/>
            </w:pPr>
            <w:hyperlink w:anchor="ANNUAL_CASH_BONUS">
              <w:r>
                <w:rPr>
                  <w:rStyle w:val="InternetLink"/>
                  <w:rFonts w:ascii="Open Sans" w:hAnsi="Open Sans"/>
                  <w:b w:val="false"/>
                  <w:i w:val="false"/>
                  <w:caps w:val="false"/>
                  <w:smallCaps w:val="false"/>
                  <w:strike w:val="false"/>
                  <w:dstrike w:val="false"/>
                  <w:color w:val="00497C"/>
                  <w:sz w:val="16"/>
                  <w:u w:val="none"/>
                  <w:effect w:val="none"/>
                </w:rPr>
                <w:t>Annual Cash Incentive</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60</w:t>
            </w:r>
          </w:p>
        </w:tc>
      </w:tr>
      <w:tr>
        <w:trPr/>
        <w:tc>
          <w:tcPr>
            <w:tcW w:w="8869" w:type="dxa"/>
            <w:gridSpan w:val="2"/>
            <w:tcBorders/>
            <w:shd w:fill="auto" w:val="clear"/>
            <w:vAlign w:val="bottom"/>
          </w:tcPr>
          <w:p>
            <w:pPr>
              <w:pStyle w:val="TableContents"/>
              <w:spacing w:before="0" w:after="0"/>
              <w:ind w:left="0" w:right="0" w:hanging="0"/>
              <w:rPr/>
            </w:pPr>
            <w:hyperlink w:anchor="LONGTERM_INCENTIVE_AWARDS">
              <w:r>
                <w:rPr>
                  <w:rStyle w:val="InternetLink"/>
                  <w:rFonts w:ascii="Open Sans" w:hAnsi="Open Sans"/>
                  <w:b w:val="false"/>
                  <w:i w:val="false"/>
                  <w:caps w:val="false"/>
                  <w:smallCaps w:val="false"/>
                  <w:strike w:val="false"/>
                  <w:dstrike w:val="false"/>
                  <w:color w:val="004A7C"/>
                  <w:sz w:val="16"/>
                  <w:u w:val="none"/>
                  <w:effect w:val="none"/>
                </w:rPr>
                <w:t>Long-Term Incentive (Performance-Based and Equity) Awards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63</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RESTRICTED_STOCK_UNITS">
              <w:r>
                <w:rPr>
                  <w:rStyle w:val="InternetLink"/>
                  <w:rFonts w:ascii="Open Sans" w:hAnsi="Open Sans"/>
                  <w:b w:val="false"/>
                  <w:i w:val="false"/>
                  <w:caps w:val="false"/>
                  <w:smallCaps w:val="false"/>
                  <w:strike w:val="false"/>
                  <w:dstrike w:val="false"/>
                  <w:color w:val="00497C"/>
                  <w:sz w:val="16"/>
                  <w:u w:val="none"/>
                  <w:effect w:val="none"/>
                </w:rPr>
                <w:t>Restricted Stock Units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63</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PERFORMANCE_SHARES">
              <w:r>
                <w:rPr>
                  <w:rStyle w:val="InternetLink"/>
                  <w:rFonts w:ascii="Open Sans" w:hAnsi="Open Sans"/>
                  <w:b w:val="false"/>
                  <w:i w:val="false"/>
                  <w:caps w:val="false"/>
                  <w:smallCaps w:val="false"/>
                  <w:strike w:val="false"/>
                  <w:dstrike w:val="false"/>
                  <w:color w:val="00497C"/>
                  <w:sz w:val="16"/>
                  <w:u w:val="none"/>
                  <w:effect w:val="none"/>
                </w:rPr>
                <w:t>Performance Shares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64</w:t>
            </w:r>
          </w:p>
        </w:tc>
      </w:tr>
      <w:tr>
        <w:trPr/>
        <w:tc>
          <w:tcPr>
            <w:tcW w:w="8869" w:type="dxa"/>
            <w:gridSpan w:val="2"/>
            <w:tcBorders/>
            <w:shd w:fill="auto" w:val="clear"/>
            <w:vAlign w:val="bottom"/>
          </w:tcPr>
          <w:p>
            <w:pPr>
              <w:pStyle w:val="TableContents"/>
              <w:spacing w:before="0" w:after="0"/>
              <w:ind w:left="0" w:right="0" w:hanging="0"/>
              <w:rPr/>
            </w:pPr>
            <w:hyperlink w:anchor="OR_BENEFITS">
              <w:r>
                <w:rPr>
                  <w:rStyle w:val="InternetLink"/>
                  <w:rFonts w:ascii="Open Sans" w:hAnsi="Open Sans"/>
                  <w:b w:val="false"/>
                  <w:i w:val="false"/>
                  <w:caps w:val="false"/>
                  <w:smallCaps w:val="false"/>
                  <w:strike w:val="false"/>
                  <w:dstrike w:val="false"/>
                  <w:color w:val="004A7C"/>
                  <w:sz w:val="16"/>
                  <w:u w:val="none"/>
                  <w:effect w:val="none"/>
                </w:rPr>
                <w:t>Other Benefits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66</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DEFERRED_COMPENSATION_PLAN_DEFERRED_COMP">
              <w:r>
                <w:rPr>
                  <w:rStyle w:val="InternetLink"/>
                  <w:rFonts w:ascii="Open Sans" w:hAnsi="Open Sans"/>
                  <w:b w:val="false"/>
                  <w:i w:val="false"/>
                  <w:caps w:val="false"/>
                  <w:smallCaps w:val="false"/>
                  <w:strike w:val="false"/>
                  <w:dstrike w:val="false"/>
                  <w:color w:val="00497C"/>
                  <w:sz w:val="16"/>
                  <w:u w:val="none"/>
                  <w:effect w:val="none"/>
                </w:rPr>
                <w:t>Deferred Compensation Plan and Deferred Compensation Savings Program Contributions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66</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MODEST_PERQUISITES">
              <w:r>
                <w:rPr>
                  <w:rStyle w:val="InternetLink"/>
                  <w:rFonts w:ascii="Open Sans" w:hAnsi="Open Sans"/>
                  <w:b w:val="false"/>
                  <w:i w:val="false"/>
                  <w:caps w:val="false"/>
                  <w:smallCaps w:val="false"/>
                  <w:strike w:val="false"/>
                  <w:dstrike w:val="false"/>
                  <w:color w:val="00497C"/>
                  <w:sz w:val="16"/>
                  <w:u w:val="none"/>
                  <w:effect w:val="none"/>
                </w:rPr>
                <w:t>Modest Perquisites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66</w:t>
            </w:r>
          </w:p>
        </w:tc>
      </w:tr>
      <w:tr>
        <w:trPr/>
        <w:tc>
          <w:tcPr>
            <w:tcW w:w="8869" w:type="dxa"/>
            <w:gridSpan w:val="2"/>
            <w:tcBorders/>
            <w:shd w:fill="auto" w:val="clear"/>
            <w:vAlign w:val="bottom"/>
          </w:tcPr>
          <w:p>
            <w:pPr>
              <w:pStyle w:val="TableContents"/>
              <w:spacing w:before="0" w:after="0"/>
              <w:ind w:left="0" w:right="0" w:hanging="0"/>
              <w:rPr/>
            </w:pPr>
            <w:hyperlink w:anchor="OR_COMPENSATION_POLICIES">
              <w:r>
                <w:rPr>
                  <w:rStyle w:val="InternetLink"/>
                  <w:rFonts w:ascii="Open Sans" w:hAnsi="Open Sans"/>
                  <w:b w:val="false"/>
                  <w:i w:val="false"/>
                  <w:caps w:val="false"/>
                  <w:smallCaps w:val="false"/>
                  <w:strike w:val="false"/>
                  <w:dstrike w:val="false"/>
                  <w:color w:val="00497C"/>
                  <w:sz w:val="16"/>
                  <w:u w:val="none"/>
                  <w:effect w:val="none"/>
                </w:rPr>
                <w:t>Other Compensation Policies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67</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STOCK_OWNERSHIP_GUIDELINES">
              <w:r>
                <w:rPr>
                  <w:rStyle w:val="InternetLink"/>
                  <w:rFonts w:ascii="Open Sans" w:hAnsi="Open Sans"/>
                  <w:b w:val="false"/>
                  <w:i w:val="false"/>
                  <w:caps w:val="false"/>
                  <w:smallCaps w:val="false"/>
                  <w:strike w:val="false"/>
                  <w:dstrike w:val="false"/>
                  <w:color w:val="00497C"/>
                  <w:sz w:val="16"/>
                  <w:u w:val="none"/>
                  <w:effect w:val="none"/>
                </w:rPr>
                <w:t>Stock Ownership Guidelines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67</w:t>
            </w:r>
          </w:p>
        </w:tc>
      </w:tr>
      <w:tr>
        <w:trPr/>
        <w:tc>
          <w:tcPr>
            <w:tcW w:w="70" w:type="dxa"/>
            <w:tcBorders/>
            <w:shd w:fill="auto" w:val="clear"/>
            <w:vAlign w:val="bottom"/>
          </w:tcPr>
          <w:p>
            <w:pPr>
              <w:pStyle w:val="TableContents"/>
              <w:spacing w:before="0" w:after="0"/>
              <w:ind w:left="863" w:right="0" w:hanging="0"/>
              <w:rPr/>
            </w:pPr>
            <w:r>
              <w:rPr/>
              <w:t> </w:t>
            </w:r>
          </w:p>
        </w:tc>
        <w:tc>
          <w:tcPr>
            <w:tcW w:w="8799" w:type="dxa"/>
            <w:tcBorders/>
            <w:shd w:fill="auto" w:val="clear"/>
            <w:vAlign w:val="bottom"/>
          </w:tcPr>
          <w:p>
            <w:pPr>
              <w:pStyle w:val="TableContents"/>
              <w:spacing w:before="0" w:after="0"/>
              <w:ind w:left="0" w:right="0" w:hanging="0"/>
              <w:rPr/>
            </w:pPr>
            <w:hyperlink w:anchor="SECURITIES_TRADES_BY_EMPLOYEES">
              <w:r>
                <w:rPr>
                  <w:rStyle w:val="InternetLink"/>
                  <w:rFonts w:ascii="Open Sans" w:hAnsi="Open Sans"/>
                  <w:b w:val="false"/>
                  <w:i w:val="false"/>
                  <w:caps w:val="false"/>
                  <w:smallCaps w:val="false"/>
                  <w:strike w:val="false"/>
                  <w:dstrike w:val="false"/>
                  <w:color w:val="00497C"/>
                  <w:sz w:val="16"/>
                  <w:u w:val="none"/>
                  <w:effect w:val="none"/>
                </w:rPr>
                <w:t>Securities Trades by Employees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67</w:t>
            </w:r>
          </w:p>
        </w:tc>
      </w:tr>
      <w:tr>
        <w:trPr/>
        <w:tc>
          <w:tcPr>
            <w:tcW w:w="70" w:type="dxa"/>
            <w:tcBorders/>
            <w:shd w:fill="auto" w:val="clear"/>
            <w:vAlign w:val="bottom"/>
          </w:tcPr>
          <w:p>
            <w:pPr>
              <w:pStyle w:val="TableContents"/>
              <w:spacing w:before="0" w:after="0"/>
              <w:ind w:left="853" w:right="0" w:hanging="0"/>
              <w:rPr/>
            </w:pPr>
            <w:r>
              <w:rPr/>
              <w:t> </w:t>
            </w:r>
          </w:p>
        </w:tc>
        <w:tc>
          <w:tcPr>
            <w:tcW w:w="8799" w:type="dxa"/>
            <w:tcBorders/>
            <w:shd w:fill="auto" w:val="clear"/>
            <w:vAlign w:val="bottom"/>
          </w:tcPr>
          <w:p>
            <w:pPr>
              <w:pStyle w:val="TableContents"/>
              <w:spacing w:before="0" w:after="0"/>
              <w:ind w:left="0" w:right="0" w:hanging="0"/>
              <w:rPr/>
            </w:pPr>
            <w:hyperlink w:anchor="COMPENSATION_RECOUPMENT_CLAWBACK_POLICY">
              <w:r>
                <w:rPr>
                  <w:rStyle w:val="InternetLink"/>
                  <w:rFonts w:ascii="Open Sans" w:hAnsi="Open Sans"/>
                  <w:b w:val="false"/>
                  <w:i w:val="false"/>
                  <w:caps w:val="false"/>
                  <w:smallCaps w:val="false"/>
                  <w:strike w:val="false"/>
                  <w:dstrike w:val="false"/>
                  <w:color w:val="00497C"/>
                  <w:sz w:val="16"/>
                  <w:u w:val="none"/>
                  <w:effect w:val="none"/>
                </w:rPr>
                <w:t>Revised Compensation Recoupment (Clawback) Policy</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67</w:t>
            </w:r>
          </w:p>
        </w:tc>
      </w:tr>
      <w:tr>
        <w:trPr/>
        <w:tc>
          <w:tcPr>
            <w:tcW w:w="8869" w:type="dxa"/>
            <w:gridSpan w:val="2"/>
            <w:tcBorders/>
            <w:shd w:fill="auto" w:val="clear"/>
            <w:vAlign w:val="bottom"/>
          </w:tcPr>
          <w:p>
            <w:pPr>
              <w:pStyle w:val="TableContents"/>
              <w:spacing w:before="40" w:after="40"/>
              <w:ind w:left="0" w:right="0" w:hanging="0"/>
              <w:rPr/>
            </w:pPr>
            <w:hyperlink w:anchor="COMPENSATION_PROCESS">
              <w:r>
                <w:rPr>
                  <w:rStyle w:val="InternetLink"/>
                  <w:rFonts w:ascii="Open Sans" w:hAnsi="Open Sans"/>
                  <w:b/>
                  <w:i w:val="false"/>
                  <w:caps w:val="false"/>
                  <w:smallCaps w:val="false"/>
                  <w:strike w:val="false"/>
                  <w:dstrike w:val="false"/>
                  <w:color w:val="00497C"/>
                  <w:sz w:val="16"/>
                  <w:u w:val="none"/>
                  <w:effect w:val="none"/>
                </w:rPr>
                <w:t>Compensation Process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97C"/>
                <w:sz w:val="16"/>
              </w:rPr>
            </w:pPr>
            <w:r>
              <w:rPr>
                <w:rFonts w:ascii="Open Sans" w:hAnsi="Open Sans"/>
                <w:b/>
                <w:i w:val="false"/>
                <w:caps w:val="false"/>
                <w:smallCaps w:val="false"/>
                <w:color w:val="00497C"/>
                <w:sz w:val="16"/>
              </w:rPr>
              <w:t>68-69</w:t>
            </w:r>
          </w:p>
        </w:tc>
      </w:tr>
      <w:tr>
        <w:trPr/>
        <w:tc>
          <w:tcPr>
            <w:tcW w:w="8869" w:type="dxa"/>
            <w:gridSpan w:val="2"/>
            <w:tcBorders/>
            <w:shd w:fill="auto" w:val="clear"/>
            <w:vAlign w:val="bottom"/>
          </w:tcPr>
          <w:p>
            <w:pPr>
              <w:pStyle w:val="TableContents"/>
              <w:spacing w:before="0" w:after="0"/>
              <w:ind w:left="0" w:right="0" w:hanging="0"/>
              <w:rPr/>
            </w:pPr>
            <w:hyperlink w:anchor="PEER_GROUP_COMPETITIVE_BENCHMARKING">
              <w:r>
                <w:rPr>
                  <w:rStyle w:val="InternetLink"/>
                  <w:rFonts w:ascii="Open Sans" w:hAnsi="Open Sans"/>
                  <w:b w:val="false"/>
                  <w:i w:val="false"/>
                  <w:caps w:val="false"/>
                  <w:smallCaps w:val="false"/>
                  <w:strike w:val="false"/>
                  <w:dstrike w:val="false"/>
                  <w:color w:val="00497C"/>
                  <w:sz w:val="16"/>
                  <w:u w:val="none"/>
                  <w:effect w:val="none"/>
                </w:rPr>
                <w:t>Peer Group and Competitive Benchmarking</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68</w:t>
            </w:r>
          </w:p>
        </w:tc>
      </w:tr>
      <w:tr>
        <w:trPr/>
        <w:tc>
          <w:tcPr>
            <w:tcW w:w="8869" w:type="dxa"/>
            <w:gridSpan w:val="2"/>
            <w:tcBorders/>
            <w:shd w:fill="auto" w:val="clear"/>
            <w:vAlign w:val="bottom"/>
          </w:tcPr>
          <w:p>
            <w:pPr>
              <w:pStyle w:val="TableContents"/>
              <w:spacing w:before="0" w:after="0"/>
              <w:ind w:left="0" w:right="0" w:hanging="0"/>
              <w:rPr/>
            </w:pPr>
            <w:hyperlink w:anchor="EVALUATING_COMPANY_EXECUTIVE_PERFORMANCE">
              <w:r>
                <w:rPr>
                  <w:rStyle w:val="InternetLink"/>
                  <w:rFonts w:ascii="Open Sans" w:hAnsi="Open Sans"/>
                  <w:b w:val="false"/>
                  <w:i w:val="false"/>
                  <w:caps w:val="false"/>
                  <w:smallCaps w:val="false"/>
                  <w:strike w:val="false"/>
                  <w:dstrike w:val="false"/>
                  <w:color w:val="00497C"/>
                  <w:sz w:val="16"/>
                  <w:u w:val="none"/>
                  <w:effect w:val="none"/>
                </w:rPr>
                <w:t>Evaluating Company and Executive Performance</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68</w:t>
            </w:r>
          </w:p>
        </w:tc>
      </w:tr>
      <w:tr>
        <w:trPr/>
        <w:tc>
          <w:tcPr>
            <w:tcW w:w="8869" w:type="dxa"/>
            <w:gridSpan w:val="2"/>
            <w:tcBorders/>
            <w:shd w:fill="auto" w:val="clear"/>
            <w:vAlign w:val="bottom"/>
          </w:tcPr>
          <w:p>
            <w:pPr>
              <w:pStyle w:val="TableContents"/>
              <w:spacing w:before="0" w:after="0"/>
              <w:ind w:left="0" w:right="0" w:hanging="0"/>
              <w:rPr/>
            </w:pPr>
            <w:hyperlink w:anchor="ROLE__INDEPENDENT_COMPENSATION_CONSULTAN">
              <w:r>
                <w:rPr>
                  <w:rStyle w:val="InternetLink"/>
                  <w:rFonts w:ascii="Open Sans" w:hAnsi="Open Sans"/>
                  <w:b w:val="false"/>
                  <w:i w:val="false"/>
                  <w:caps w:val="false"/>
                  <w:smallCaps w:val="false"/>
                  <w:strike w:val="false"/>
                  <w:dstrike w:val="false"/>
                  <w:color w:val="00497C"/>
                  <w:sz w:val="16"/>
                  <w:u w:val="none"/>
                  <w:effect w:val="none"/>
                </w:rPr>
                <w:t>Role of the Independent Compensation Consultant and Other Advisors</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69</w:t>
            </w:r>
          </w:p>
        </w:tc>
      </w:tr>
      <w:tr>
        <w:trPr/>
        <w:tc>
          <w:tcPr>
            <w:tcW w:w="8869" w:type="dxa"/>
            <w:gridSpan w:val="2"/>
            <w:tcBorders/>
            <w:shd w:fill="auto" w:val="clear"/>
            <w:vAlign w:val="bottom"/>
          </w:tcPr>
          <w:p>
            <w:pPr>
              <w:pStyle w:val="TableContents"/>
              <w:spacing w:before="40" w:after="40"/>
              <w:ind w:left="0" w:right="0" w:hanging="0"/>
              <w:rPr/>
            </w:pPr>
            <w:hyperlink w:anchor="OR_CONSIDERATIONS">
              <w:r>
                <w:rPr>
                  <w:rStyle w:val="InternetLink"/>
                  <w:rFonts w:ascii="Open Sans" w:hAnsi="Open Sans"/>
                  <w:b/>
                  <w:i w:val="false"/>
                  <w:caps w:val="false"/>
                  <w:smallCaps w:val="false"/>
                  <w:strike w:val="false"/>
                  <w:dstrike w:val="false"/>
                  <w:color w:val="00497C"/>
                  <w:sz w:val="16"/>
                  <w:u w:val="none"/>
                  <w:effect w:val="none"/>
                </w:rPr>
                <w:t>Other Considerations</w:t>
              </w:r>
            </w:hyperlink>
          </w:p>
        </w:tc>
        <w:tc>
          <w:tcPr>
            <w:tcW w:w="60" w:type="dxa"/>
            <w:tcBorders/>
            <w:shd w:fill="auto" w:val="clear"/>
          </w:tcPr>
          <w:p>
            <w:pPr>
              <w:pStyle w:val="TableContents"/>
              <w:spacing w:before="40" w:after="4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i w:val="false"/>
                <w:caps w:val="false"/>
                <w:smallCaps w:val="false"/>
                <w:color w:val="00497C"/>
                <w:sz w:val="16"/>
              </w:rPr>
            </w:pPr>
            <w:r>
              <w:rPr>
                <w:rFonts w:ascii="Open Sans" w:hAnsi="Open Sans"/>
                <w:b/>
                <w:i w:val="false"/>
                <w:caps w:val="false"/>
                <w:smallCaps w:val="false"/>
                <w:color w:val="00497C"/>
                <w:sz w:val="16"/>
              </w:rPr>
              <w:t>69-70</w:t>
            </w:r>
          </w:p>
        </w:tc>
      </w:tr>
      <w:tr>
        <w:trPr/>
        <w:tc>
          <w:tcPr>
            <w:tcW w:w="8869" w:type="dxa"/>
            <w:gridSpan w:val="2"/>
            <w:tcBorders/>
            <w:shd w:fill="auto" w:val="clear"/>
            <w:vAlign w:val="bottom"/>
          </w:tcPr>
          <w:p>
            <w:pPr>
              <w:pStyle w:val="TableContents"/>
              <w:spacing w:before="0" w:after="0"/>
              <w:ind w:left="0" w:right="0" w:firstLine="720"/>
              <w:rPr/>
            </w:pPr>
            <w:hyperlink w:anchor="EMPLOYMENT_AGREEMENTS_EXECUTIVE_SEPARATI">
              <w:r>
                <w:rPr>
                  <w:rStyle w:val="InternetLink"/>
                  <w:rFonts w:ascii="Open Sans" w:hAnsi="Open Sans"/>
                  <w:b w:val="false"/>
                  <w:i w:val="false"/>
                  <w:caps w:val="false"/>
                  <w:smallCaps w:val="false"/>
                  <w:strike w:val="false"/>
                  <w:dstrike w:val="false"/>
                  <w:color w:val="00497C"/>
                  <w:sz w:val="16"/>
                  <w:u w:val="none"/>
                  <w:effect w:val="none"/>
                </w:rPr>
                <w:t>Employment Agreements and Executive Separation Policy</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69</w:t>
            </w:r>
          </w:p>
        </w:tc>
      </w:tr>
      <w:tr>
        <w:trPr/>
        <w:tc>
          <w:tcPr>
            <w:tcW w:w="8869" w:type="dxa"/>
            <w:gridSpan w:val="2"/>
            <w:tcBorders/>
            <w:shd w:fill="auto" w:val="clear"/>
            <w:vAlign w:val="bottom"/>
          </w:tcPr>
          <w:p>
            <w:pPr>
              <w:pStyle w:val="TableContents"/>
              <w:spacing w:before="0" w:after="0"/>
              <w:ind w:left="0" w:right="0" w:firstLine="720"/>
              <w:rPr/>
            </w:pPr>
            <w:hyperlink w:anchor="ANNUAL_RISK_ASSESSMENT">
              <w:r>
                <w:rPr>
                  <w:rStyle w:val="InternetLink"/>
                  <w:rFonts w:ascii="Open Sans" w:hAnsi="Open Sans"/>
                  <w:b w:val="false"/>
                  <w:i w:val="false"/>
                  <w:caps w:val="false"/>
                  <w:smallCaps w:val="false"/>
                  <w:strike w:val="false"/>
                  <w:dstrike w:val="false"/>
                  <w:color w:val="00497C"/>
                  <w:sz w:val="16"/>
                  <w:u w:val="none"/>
                  <w:effect w:val="none"/>
                </w:rPr>
                <w:t>Annual Risk Assessment</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69</w:t>
            </w:r>
          </w:p>
        </w:tc>
      </w:tr>
      <w:tr>
        <w:trPr/>
        <w:tc>
          <w:tcPr>
            <w:tcW w:w="8869" w:type="dxa"/>
            <w:gridSpan w:val="2"/>
            <w:tcBorders/>
            <w:shd w:fill="auto" w:val="clear"/>
            <w:vAlign w:val="bottom"/>
          </w:tcPr>
          <w:p>
            <w:pPr>
              <w:pStyle w:val="TableContents"/>
              <w:spacing w:before="0" w:after="0"/>
              <w:ind w:left="0" w:right="0" w:firstLine="720"/>
              <w:rPr/>
            </w:pPr>
            <w:hyperlink w:anchor="EQUITY_USAGE_BURN_RATE_DILUTION">
              <w:r>
                <w:rPr>
                  <w:rStyle w:val="InternetLink"/>
                  <w:rFonts w:ascii="Open Sans" w:hAnsi="Open Sans"/>
                  <w:b w:val="false"/>
                  <w:i w:val="false"/>
                  <w:caps w:val="false"/>
                  <w:smallCaps w:val="false"/>
                  <w:strike w:val="false"/>
                  <w:dstrike w:val="false"/>
                  <w:color w:val="00497C"/>
                  <w:sz w:val="16"/>
                  <w:u w:val="none"/>
                  <w:effect w:val="none"/>
                </w:rPr>
                <w:t>Equity Usage (Burn Rate and Dilution)</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69</w:t>
            </w:r>
          </w:p>
        </w:tc>
      </w:tr>
      <w:tr>
        <w:trPr/>
        <w:tc>
          <w:tcPr>
            <w:tcW w:w="8869" w:type="dxa"/>
            <w:gridSpan w:val="2"/>
            <w:tcBorders/>
            <w:shd w:fill="auto" w:val="clear"/>
            <w:vAlign w:val="bottom"/>
          </w:tcPr>
          <w:p>
            <w:pPr>
              <w:pStyle w:val="TableContents"/>
              <w:spacing w:before="0" w:after="0"/>
              <w:ind w:left="0" w:right="0" w:hanging="0"/>
              <w:rPr/>
            </w:pPr>
            <w:hyperlink w:anchor="COMPENSATION_COMMITTEE_INTERLOCKS_INSIDE">
              <w:r>
                <w:rPr>
                  <w:rStyle w:val="InternetLink"/>
                  <w:rFonts w:ascii="Open Sans" w:hAnsi="Open Sans"/>
                  <w:b w:val="false"/>
                  <w:i w:val="false"/>
                  <w:caps w:val="false"/>
                  <w:smallCaps w:val="false"/>
                  <w:strike w:val="false"/>
                  <w:dstrike w:val="false"/>
                  <w:color w:val="00497C"/>
                  <w:sz w:val="16"/>
                  <w:u w:val="none"/>
                  <w:effect w:val="none"/>
                </w:rPr>
                <w:t>Talent &amp; Compensation Committee Interlocks and Insider Participation</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70</w:t>
            </w:r>
          </w:p>
        </w:tc>
      </w:tr>
      <w:tr>
        <w:trPr/>
        <w:tc>
          <w:tcPr>
            <w:tcW w:w="8869" w:type="dxa"/>
            <w:gridSpan w:val="2"/>
            <w:tcBorders/>
            <w:shd w:fill="auto" w:val="clear"/>
            <w:vAlign w:val="bottom"/>
          </w:tcPr>
          <w:p>
            <w:pPr>
              <w:pStyle w:val="TableContents"/>
              <w:spacing w:before="0" w:after="0"/>
              <w:ind w:left="0" w:right="0" w:hanging="0"/>
              <w:rPr/>
            </w:pPr>
            <w:hyperlink w:anchor="COMPENSATION_COMMITTEE_REPORT">
              <w:r>
                <w:rPr>
                  <w:rStyle w:val="InternetLink"/>
                  <w:rFonts w:ascii="Open Sans" w:hAnsi="Open Sans"/>
                  <w:b w:val="false"/>
                  <w:i w:val="false"/>
                  <w:caps w:val="false"/>
                  <w:smallCaps w:val="false"/>
                  <w:strike w:val="false"/>
                  <w:dstrike w:val="false"/>
                  <w:color w:val="00497C"/>
                  <w:sz w:val="16"/>
                  <w:u w:val="none"/>
                  <w:effect w:val="none"/>
                </w:rPr>
                <w:t>Talent &amp; Compensation Committee Report</w:t>
              </w:r>
            </w:hyperlink>
          </w:p>
        </w:tc>
        <w:tc>
          <w:tcPr>
            <w:tcW w:w="60" w:type="dxa"/>
            <w:tcBorders/>
            <w:shd w:fill="auto" w:val="clear"/>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70</w:t>
            </w:r>
          </w:p>
        </w:tc>
      </w:tr>
    </w:tbl>
    <w:p>
      <w:pPr>
        <w:pStyle w:val="TextBody"/>
        <w:spacing w:before="0" w:after="0"/>
        <w:rPr/>
      </w:pPr>
      <w:r>
        <w:rPr/>
        <w:t> </w:t>
      </w:r>
    </w:p>
    <w:p>
      <w:pPr>
        <w:pStyle w:val="TextBody"/>
        <w:spacing w:before="0" w:after="0"/>
        <w:rPr/>
      </w:pPr>
      <w:r>
        <w:rPr/>
        <w:t> </w:t>
      </w:r>
    </w:p>
    <w:p>
      <w:pPr>
        <w:pStyle w:val="TextBody"/>
        <w:spacing w:before="0" w:after="0"/>
        <w:jc w:val="right"/>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50</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17"/>
        </w:rPr>
      </w:pPr>
      <w:r>
        <w:rPr>
          <w:rFonts w:ascii="Open Sans" w:hAnsi="Open Sans"/>
          <w:b/>
          <w:i w:val="false"/>
          <w:caps w:val="false"/>
          <w:smallCaps w:val="false"/>
          <w:color w:val="004A7C"/>
          <w:sz w:val="17"/>
        </w:rPr>
        <w:t>This Compensation Discussion and Analysis (“CD&amp;A”) provides a detailed description of our executive compensation program for 2022. This CD&amp;A focuses on the compensation of the named executive officers listed in the Summary Compensation Table.</w:t>
      </w:r>
    </w:p>
    <w:p>
      <w:pPr>
        <w:pStyle w:val="TextBody"/>
        <w:spacing w:before="120" w:after="0"/>
        <w:rPr>
          <w:rFonts w:ascii="Open Sans" w:hAnsi="Open Sans"/>
          <w:b/>
          <w:i w:val="false"/>
          <w:caps w:val="false"/>
          <w:smallCaps w:val="false"/>
          <w:color w:val="004A7C"/>
          <w:sz w:val="31"/>
        </w:rPr>
      </w:pPr>
      <w:bookmarkStart w:id="55" w:name="EXECUTIVE_FICERS"/>
      <w:bookmarkEnd w:id="55"/>
      <w:r>
        <w:rPr>
          <w:rFonts w:ascii="Open Sans" w:hAnsi="Open Sans"/>
          <w:b/>
          <w:i w:val="false"/>
          <w:caps w:val="false"/>
          <w:smallCaps w:val="false"/>
          <w:color w:val="004A7C"/>
          <w:sz w:val="31"/>
        </w:rPr>
        <w:t>Executive Officers</w:t>
      </w:r>
    </w:p>
    <w:p>
      <w:pPr>
        <w:pStyle w:val="TextBody"/>
        <w:spacing w:before="120" w:after="0"/>
        <w:rPr>
          <w:rFonts w:ascii="Open Sans" w:hAnsi="Open Sans"/>
          <w:b w:val="false"/>
          <w:i w:val="false"/>
          <w:caps w:val="false"/>
          <w:smallCaps w:val="false"/>
          <w:color w:val="004A7C"/>
          <w:sz w:val="23"/>
        </w:rPr>
      </w:pPr>
      <w:r>
        <w:rPr>
          <w:rFonts w:ascii="Open Sans" w:hAnsi="Open Sans"/>
          <w:b w:val="false"/>
          <w:i w:val="false"/>
          <w:caps w:val="false"/>
          <w:smallCaps w:val="false"/>
          <w:color w:val="004A7C"/>
          <w:sz w:val="23"/>
        </w:rPr>
        <w:t>Our</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executive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officers</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serve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at</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the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Board’s</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pleasure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and</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are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subject</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to</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annual</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appointment by</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the</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Board.</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Our</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current</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executive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officers</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are</w:t>
      </w:r>
      <w:r>
        <w:rPr>
          <w:rFonts w:ascii="Open Sans" w:hAnsi="Open Sans"/>
          <w:b w:val="false"/>
          <w:i w:val="false"/>
          <w:caps w:val="false"/>
          <w:smallCaps w:val="false"/>
          <w:color w:val="004A7C"/>
          <w:spacing w:val="7"/>
          <w:sz w:val="23"/>
        </w:rPr>
        <w:t xml:space="preserve"> </w:t>
      </w:r>
      <w:r>
        <w:rPr>
          <w:rFonts w:ascii="Open Sans" w:hAnsi="Open Sans"/>
          <w:b w:val="false"/>
          <w:i w:val="false"/>
          <w:caps w:val="false"/>
          <w:smallCaps w:val="false"/>
          <w:color w:val="004A7C"/>
          <w:sz w:val="23"/>
        </w:rPr>
        <w:t>as</w:t>
      </w:r>
      <w:r>
        <w:rPr>
          <w:rFonts w:ascii="Open Sans" w:hAnsi="Open Sans"/>
          <w:b w:val="false"/>
          <w:i w:val="false"/>
          <w:caps w:val="false"/>
          <w:smallCaps w:val="false"/>
          <w:color w:val="004A7C"/>
          <w:spacing w:val="6"/>
          <w:sz w:val="23"/>
        </w:rPr>
        <w:t xml:space="preserve"> </w:t>
      </w:r>
      <w:r>
        <w:rPr>
          <w:rFonts w:ascii="Open Sans" w:hAnsi="Open Sans"/>
          <w:b w:val="false"/>
          <w:i w:val="false"/>
          <w:caps w:val="false"/>
          <w:smallCaps w:val="false"/>
          <w:color w:val="004A7C"/>
          <w:sz w:val="23"/>
        </w:rPr>
        <w:t>follows:</w:t>
      </w:r>
    </w:p>
    <w:p>
      <w:pPr>
        <w:pStyle w:val="TextBody"/>
        <w:spacing w:before="0" w:after="0"/>
        <w:rPr/>
      </w:pPr>
      <w:r>
        <w:rPr/>
        <w:t> </w:t>
      </w:r>
    </w:p>
    <w:tbl>
      <w:tblPr>
        <w:tblW w:w="7272" w:type="dxa"/>
        <w:jc w:val="left"/>
        <w:tblInd w:w="0" w:type="dxa"/>
        <w:tblCellMar>
          <w:top w:w="0" w:type="dxa"/>
          <w:left w:w="0" w:type="dxa"/>
          <w:bottom w:w="0" w:type="dxa"/>
          <w:right w:w="0" w:type="dxa"/>
        </w:tblCellMar>
      </w:tblPr>
      <w:tblGrid>
        <w:gridCol w:w="1850"/>
        <w:gridCol w:w="422"/>
        <w:gridCol w:w="5000"/>
      </w:tblGrid>
      <w:tr>
        <w:trPr/>
        <w:tc>
          <w:tcPr>
            <w:tcW w:w="185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000" w:type="dxa"/>
            <w:tcBorders/>
            <w:shd w:fill="auto" w:val="clear"/>
            <w:vAlign w:val="center"/>
          </w:tcPr>
          <w:p>
            <w:pPr>
              <w:pStyle w:val="TableContents"/>
              <w:spacing w:before="0" w:after="283"/>
              <w:rPr>
                <w:sz w:val="4"/>
                <w:szCs w:val="4"/>
              </w:rPr>
            </w:pPr>
            <w:r>
              <w:rPr>
                <w:sz w:val="4"/>
                <w:szCs w:val="4"/>
              </w:rPr>
            </w:r>
          </w:p>
        </w:tc>
      </w:tr>
      <w:tr>
        <w:trPr/>
        <w:tc>
          <w:tcPr>
            <w:tcW w:w="1850" w:type="dxa"/>
            <w:tcBorders>
              <w:bottom w:val="single" w:sz="6" w:space="0" w:color="D8E1E9"/>
            </w:tcBorders>
            <w:shd w:fill="auto" w:val="clear"/>
            <w:tcMar>
              <w:bottom w:w="28" w:type="dxa"/>
            </w:tcMar>
          </w:tcPr>
          <w:p>
            <w:pPr>
              <w:pStyle w:val="TableContents"/>
              <w:spacing w:before="0" w:after="80"/>
              <w:ind w:left="0" w:right="0" w:hanging="0"/>
              <w:jc w:val="center"/>
              <w:rPr>
                <w:rFonts w:ascii="Open Sans" w:hAnsi="Open Sans"/>
                <w:b/>
                <w:i w:val="false"/>
                <w:caps w:val="false"/>
                <w:smallCaps w:val="false"/>
                <w:color w:val="004A7C"/>
                <w:spacing w:val="6"/>
                <w:sz w:val="16"/>
              </w:rPr>
            </w:pPr>
            <w:r>
              <w:rPr>
                <w:rFonts w:ascii="Open Sans" w:hAnsi="Open Sans"/>
                <w:b/>
                <w:i w:val="false"/>
                <w:caps w:val="false"/>
                <w:smallCaps w:val="false"/>
                <w:color w:val="004A7C"/>
                <w:spacing w:val="6"/>
                <w:sz w:val="16"/>
              </w:rPr>
              <w:t>EXECUTIVE</w:t>
            </w:r>
            <w:r>
              <w:rPr>
                <w:rFonts w:ascii="Open Sans" w:hAnsi="Open Sans"/>
                <w:b/>
                <w:i w:val="false"/>
                <w:caps w:val="false"/>
                <w:smallCaps w:val="false"/>
                <w:color w:val="004A7C"/>
                <w:spacing w:val="12"/>
                <w:sz w:val="16"/>
              </w:rPr>
              <w:t xml:space="preserve"> </w:t>
            </w:r>
            <w:r>
              <w:rPr>
                <w:rFonts w:ascii="Open Sans" w:hAnsi="Open Sans"/>
                <w:b/>
                <w:i w:val="false"/>
                <w:caps w:val="false"/>
                <w:smallCaps w:val="false"/>
                <w:color w:val="004A7C"/>
                <w:spacing w:val="6"/>
                <w:sz w:val="16"/>
              </w:rPr>
              <w:t>NAME</w:t>
            </w:r>
          </w:p>
        </w:tc>
        <w:tc>
          <w:tcPr>
            <w:tcW w:w="422" w:type="dxa"/>
            <w:tcBorders>
              <w:bottom w:val="single" w:sz="6" w:space="0" w:color="D8E1E9"/>
            </w:tcBorders>
            <w:shd w:fill="auto" w:val="clear"/>
            <w:tcMar>
              <w:bottom w:w="28" w:type="dxa"/>
            </w:tcMar>
          </w:tcPr>
          <w:p>
            <w:pPr>
              <w:pStyle w:val="TableContents"/>
              <w:spacing w:before="0" w:after="80"/>
              <w:ind w:left="0" w:right="0" w:hanging="0"/>
              <w:jc w:val="center"/>
              <w:rPr>
                <w:rFonts w:ascii="Open Sans" w:hAnsi="Open Sans"/>
                <w:b/>
                <w:i w:val="false"/>
                <w:caps w:val="false"/>
                <w:smallCaps w:val="false"/>
                <w:color w:val="004A7C"/>
                <w:spacing w:val="6"/>
                <w:sz w:val="16"/>
              </w:rPr>
            </w:pPr>
            <w:r>
              <w:rPr>
                <w:rFonts w:ascii="Open Sans" w:hAnsi="Open Sans"/>
                <w:b/>
                <w:i w:val="false"/>
                <w:caps w:val="false"/>
                <w:smallCaps w:val="false"/>
                <w:color w:val="004A7C"/>
                <w:spacing w:val="6"/>
                <w:sz w:val="16"/>
              </w:rPr>
              <w:t>AGE</w:t>
            </w:r>
          </w:p>
        </w:tc>
        <w:tc>
          <w:tcPr>
            <w:tcW w:w="5000" w:type="dxa"/>
            <w:tcBorders>
              <w:bottom w:val="single" w:sz="6" w:space="0" w:color="D8E1E9"/>
            </w:tcBorders>
            <w:shd w:fill="auto" w:val="clear"/>
            <w:tcMar>
              <w:bottom w:w="28" w:type="dxa"/>
            </w:tcMar>
          </w:tcPr>
          <w:p>
            <w:pPr>
              <w:pStyle w:val="TableContents"/>
              <w:spacing w:before="0" w:after="80"/>
              <w:ind w:left="0" w:right="0" w:hanging="0"/>
              <w:jc w:val="center"/>
              <w:rPr>
                <w:rFonts w:ascii="Open Sans" w:hAnsi="Open Sans"/>
                <w:b/>
                <w:i w:val="false"/>
                <w:caps w:val="false"/>
                <w:smallCaps w:val="false"/>
                <w:color w:val="004A7C"/>
                <w:spacing w:val="6"/>
                <w:sz w:val="16"/>
              </w:rPr>
            </w:pPr>
            <w:r>
              <w:rPr>
                <w:rFonts w:ascii="Open Sans" w:hAnsi="Open Sans"/>
                <w:b/>
                <w:i w:val="false"/>
                <w:caps w:val="false"/>
                <w:smallCaps w:val="false"/>
                <w:color w:val="004A7C"/>
                <w:spacing w:val="6"/>
                <w:sz w:val="16"/>
              </w:rPr>
              <w:t>POSITION</w:t>
            </w:r>
          </w:p>
        </w:tc>
      </w:tr>
      <w:tr>
        <w:trPr/>
        <w:tc>
          <w:tcPr>
            <w:tcW w:w="1850" w:type="dxa"/>
            <w:tcBorders>
              <w:top w:val="single" w:sz="6" w:space="0" w:color="D8E1E9"/>
              <w:left w:val="single" w:sz="6" w:space="0" w:color="D8E1E9"/>
              <w:bottom w:val="single" w:sz="6" w:space="0" w:color="FFFFFF"/>
              <w:right w:val="single" w:sz="6" w:space="0" w:color="D8E1E9"/>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47</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President and Chief Executive Officer</w:t>
            </w:r>
          </w:p>
        </w:tc>
      </w:tr>
      <w:tr>
        <w:trPr/>
        <w:tc>
          <w:tcPr>
            <w:tcW w:w="1850" w:type="dxa"/>
            <w:tcBorders>
              <w:top w:val="single" w:sz="6" w:space="0" w:color="FFFFFF"/>
              <w:left w:val="single" w:sz="6" w:space="0" w:color="D8E1E9"/>
              <w:bottom w:val="single" w:sz="6" w:space="0" w:color="FFFFFF"/>
              <w:right w:val="single" w:sz="6" w:space="0" w:color="D8E1E9"/>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49</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 Vice President, Chief Financial Officer</w:t>
            </w:r>
          </w:p>
        </w:tc>
      </w:tr>
      <w:tr>
        <w:trPr/>
        <w:tc>
          <w:tcPr>
            <w:tcW w:w="1850" w:type="dxa"/>
            <w:tcBorders>
              <w:top w:val="single" w:sz="6" w:space="0" w:color="FFFFFF"/>
              <w:left w:val="single" w:sz="6" w:space="0" w:color="D8E1E9"/>
              <w:bottom w:val="single" w:sz="6" w:space="0" w:color="FFFFFF"/>
              <w:right w:val="single" w:sz="6" w:space="0" w:color="D8E1E9"/>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w:t>
            </w:r>
            <w:r>
              <w:rPr>
                <w:rFonts w:ascii="Open Sans SemiBold" w:hAnsi="Open Sans SemiBold"/>
                <w:b w:val="false"/>
                <w:i w:val="false"/>
                <w:caps w:val="false"/>
                <w:smallCaps w:val="false"/>
                <w:color w:val="004A7C"/>
                <w:spacing w:val="11"/>
                <w:sz w:val="17"/>
              </w:rPr>
              <w:t xml:space="preserve"> </w:t>
            </w:r>
            <w:r>
              <w:rPr>
                <w:rFonts w:ascii="Open Sans SemiBold" w:hAnsi="Open Sans SemiBold"/>
                <w:b w:val="false"/>
                <w:i w:val="false"/>
                <w:caps w:val="false"/>
                <w:smallCaps w:val="false"/>
                <w:color w:val="004A7C"/>
                <w:sz w:val="17"/>
              </w:rPr>
              <w:t>A.</w:t>
            </w:r>
            <w:r>
              <w:rPr>
                <w:rFonts w:ascii="Open Sans SemiBold" w:hAnsi="Open Sans SemiBold"/>
                <w:b w:val="false"/>
                <w:i w:val="false"/>
                <w:caps w:val="false"/>
                <w:smallCaps w:val="false"/>
                <w:color w:val="004A7C"/>
                <w:spacing w:val="11"/>
                <w:sz w:val="17"/>
              </w:rPr>
              <w:t xml:space="preserve"> </w:t>
            </w:r>
            <w:r>
              <w:rPr>
                <w:rFonts w:ascii="Open Sans SemiBold" w:hAnsi="Open Sans SemiBold"/>
                <w:b w:val="false"/>
                <w:i w:val="false"/>
                <w:caps w:val="false"/>
                <w:smallCaps w:val="false"/>
                <w:color w:val="004A7C"/>
                <w:sz w:val="17"/>
              </w:rPr>
              <w:t>Bales</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60</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 Vice President, Chief Development Officer</w:t>
            </w:r>
          </w:p>
        </w:tc>
      </w:tr>
      <w:tr>
        <w:trPr/>
        <w:tc>
          <w:tcPr>
            <w:tcW w:w="1850" w:type="dxa"/>
            <w:tcBorders>
              <w:top w:val="single" w:sz="6" w:space="0" w:color="FFFFFF"/>
              <w:left w:val="single" w:sz="6" w:space="0" w:color="D8E1E9"/>
              <w:bottom w:val="single" w:sz="6" w:space="0" w:color="FFFFFF"/>
              <w:right w:val="single" w:sz="6" w:space="0" w:color="D8E1E9"/>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w:t>
            </w:r>
            <w:r>
              <w:rPr>
                <w:rFonts w:ascii="Open Sans SemiBold" w:hAnsi="Open Sans SemiBold"/>
                <w:b w:val="false"/>
                <w:i w:val="false"/>
                <w:caps w:val="false"/>
                <w:smallCaps w:val="false"/>
                <w:color w:val="004A7C"/>
                <w:spacing w:val="18"/>
                <w:sz w:val="17"/>
              </w:rPr>
              <w:t xml:space="preserve"> </w:t>
            </w:r>
            <w:r>
              <w:rPr>
                <w:rFonts w:ascii="Open Sans SemiBold" w:hAnsi="Open Sans SemiBold"/>
                <w:b w:val="false"/>
                <w:i w:val="false"/>
                <w:caps w:val="false"/>
                <w:smallCaps w:val="false"/>
                <w:color w:val="004A7C"/>
                <w:sz w:val="17"/>
              </w:rPr>
              <w:t>D.</w:t>
            </w:r>
            <w:r>
              <w:rPr>
                <w:rFonts w:ascii="Open Sans SemiBold" w:hAnsi="Open Sans SemiBold"/>
                <w:b w:val="false"/>
                <w:i w:val="false"/>
                <w:caps w:val="false"/>
                <w:smallCaps w:val="false"/>
                <w:color w:val="004A7C"/>
                <w:spacing w:val="18"/>
                <w:sz w:val="17"/>
              </w:rPr>
              <w:t xml:space="preserve"> </w:t>
            </w:r>
            <w:r>
              <w:rPr>
                <w:rFonts w:ascii="Open Sans SemiBold" w:hAnsi="Open Sans SemiBold"/>
                <w:b w:val="false"/>
                <w:i w:val="false"/>
                <w:caps w:val="false"/>
                <w:smallCaps w:val="false"/>
                <w:color w:val="004A7C"/>
                <w:sz w:val="17"/>
              </w:rPr>
              <w:t>Ellingsen</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58</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6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 Vice President, Chief Legal Officer,</w:t>
            </w:r>
          </w:p>
          <w:p>
            <w:pPr>
              <w:pStyle w:val="TableContents"/>
              <w:spacing w:before="0" w:after="8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Chief Ethics &amp; Compliance Officer, and Corporate Secretary</w:t>
            </w:r>
          </w:p>
        </w:tc>
      </w:tr>
      <w:tr>
        <w:trPr/>
        <w:tc>
          <w:tcPr>
            <w:tcW w:w="1850" w:type="dxa"/>
            <w:tcBorders>
              <w:top w:val="single" w:sz="6" w:space="0" w:color="FFFFFF"/>
              <w:left w:val="single" w:sz="6" w:space="0" w:color="D8E1E9"/>
              <w:bottom w:val="single" w:sz="6" w:space="0" w:color="FFFFFF"/>
              <w:right w:val="single" w:sz="6" w:space="0" w:color="D8E1E9"/>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004A7C"/>
                <w:spacing w:val="6"/>
                <w:sz w:val="17"/>
              </w:rPr>
            </w:pPr>
            <w:r>
              <w:rPr>
                <w:rFonts w:ascii="Open Sans SemiBold" w:hAnsi="Open Sans SemiBold"/>
                <w:b w:val="false"/>
                <w:i w:val="false"/>
                <w:caps w:val="false"/>
                <w:smallCaps w:val="false"/>
                <w:color w:val="004A7C"/>
                <w:spacing w:val="6"/>
                <w:sz w:val="17"/>
              </w:rPr>
              <w:t>Amanda Hodges</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50</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 Vice President, Chief Marketing Officer</w:t>
            </w:r>
          </w:p>
        </w:tc>
      </w:tr>
      <w:tr>
        <w:trPr/>
        <w:tc>
          <w:tcPr>
            <w:tcW w:w="1850" w:type="dxa"/>
            <w:tcBorders>
              <w:top w:val="single" w:sz="6" w:space="0" w:color="FFFFFF"/>
              <w:left w:val="single" w:sz="6" w:space="0" w:color="D8E1E9"/>
              <w:bottom w:val="single" w:sz="6" w:space="0" w:color="FFFFFF"/>
              <w:right w:val="single" w:sz="6" w:space="0" w:color="D8E1E9"/>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004A7C"/>
                <w:spacing w:val="6"/>
                <w:sz w:val="17"/>
              </w:rPr>
            </w:pPr>
            <w:r>
              <w:rPr>
                <w:rFonts w:ascii="Open Sans SemiBold" w:hAnsi="Open Sans SemiBold"/>
                <w:b w:val="false"/>
                <w:i w:val="false"/>
                <w:caps w:val="false"/>
                <w:smallCaps w:val="false"/>
                <w:color w:val="004A7C"/>
                <w:spacing w:val="6"/>
                <w:sz w:val="17"/>
              </w:rPr>
              <w:t>Katrina Liddell</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42</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Executive Vice President, Chief Commercial Officer</w:t>
            </w:r>
          </w:p>
        </w:tc>
      </w:tr>
      <w:tr>
        <w:trPr/>
        <w:tc>
          <w:tcPr>
            <w:tcW w:w="1850" w:type="dxa"/>
            <w:tcBorders>
              <w:top w:val="single" w:sz="6" w:space="0" w:color="FFFFFF"/>
              <w:left w:val="single" w:sz="6" w:space="0" w:color="D8E1E9"/>
              <w:bottom w:val="single" w:sz="6" w:space="0" w:color="D8E1E9"/>
              <w:right w:val="single" w:sz="6" w:space="0" w:color="D8E1E9"/>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w:t>
            </w:r>
            <w:r>
              <w:rPr>
                <w:rFonts w:ascii="Open Sans SemiBold" w:hAnsi="Open Sans SemiBold"/>
                <w:b w:val="false"/>
                <w:i w:val="false"/>
                <w:caps w:val="false"/>
                <w:smallCaps w:val="false"/>
                <w:color w:val="004A7C"/>
                <w:spacing w:val="14"/>
                <w:sz w:val="17"/>
              </w:rPr>
              <w:t xml:space="preserve"> </w:t>
            </w:r>
            <w:r>
              <w:rPr>
                <w:rFonts w:ascii="Open Sans SemiBold" w:hAnsi="Open Sans SemiBold"/>
                <w:b w:val="false"/>
                <w:i w:val="false"/>
                <w:caps w:val="false"/>
                <w:smallCaps w:val="false"/>
                <w:color w:val="004A7C"/>
                <w:sz w:val="17"/>
              </w:rPr>
              <w:t>E.</w:t>
            </w:r>
            <w:r>
              <w:rPr>
                <w:rFonts w:ascii="Open Sans SemiBold" w:hAnsi="Open Sans SemiBold"/>
                <w:b w:val="false"/>
                <w:i w:val="false"/>
                <w:caps w:val="false"/>
                <w:smallCaps w:val="false"/>
                <w:color w:val="004A7C"/>
                <w:spacing w:val="14"/>
                <w:sz w:val="17"/>
              </w:rPr>
              <w:t xml:space="preserve"> </w:t>
            </w:r>
            <w:r>
              <w:rPr>
                <w:rFonts w:ascii="Open Sans SemiBold" w:hAnsi="Open Sans SemiBold"/>
                <w:b w:val="false"/>
                <w:i w:val="false"/>
                <w:caps w:val="false"/>
                <w:smallCaps w:val="false"/>
                <w:color w:val="004A7C"/>
                <w:sz w:val="17"/>
              </w:rPr>
              <w:t>Stuart</w:t>
            </w:r>
          </w:p>
        </w:tc>
        <w:tc>
          <w:tcPr>
            <w:tcW w:w="422"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pacing w:val="6"/>
                <w:sz w:val="16"/>
              </w:rPr>
            </w:pPr>
            <w:r>
              <w:rPr>
                <w:rFonts w:ascii="Open Sans" w:hAnsi="Open Sans"/>
                <w:b w:val="false"/>
                <w:i w:val="false"/>
                <w:caps w:val="false"/>
                <w:smallCaps w:val="false"/>
                <w:color w:val="004A7C"/>
                <w:spacing w:val="6"/>
                <w:sz w:val="16"/>
              </w:rPr>
              <w:t>55</w:t>
            </w:r>
          </w:p>
        </w:tc>
        <w:tc>
          <w:tcPr>
            <w:tcW w:w="50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 Vice President, Chief Operating Officer</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800"/>
        <w:gridCol w:w="60"/>
        <w:gridCol w:w="8679"/>
      </w:tblGrid>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z w:val="22"/>
              </w:rPr>
            </w:pPr>
            <w:r>
              <w:rPr>
                <w:rFonts w:ascii="Open Sans" w:hAnsi="Open Sans"/>
                <w:b w:val="false"/>
                <w:i w:val="false"/>
                <w:caps w:val="false"/>
                <w:smallCaps w:val="false"/>
                <w:color w:val="004A7C"/>
                <w:sz w:val="22"/>
              </w:rPr>
              <w:t>Jon Vander Ark</w:t>
            </w:r>
          </w:p>
          <w:p>
            <w:pPr>
              <w:pStyle w:val="TableContents"/>
              <w:spacing w:before="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For biographical information about Mr. Vander Ark, see “Board of Directors and Corporate Governance — Biographical Information Regarding Director Nominees.”</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r>
        <w:trPr/>
        <w:tc>
          <w:tcPr>
            <w:tcW w:w="180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z w:val="22"/>
              </w:rPr>
            </w:pPr>
            <w:r>
              <w:rPr>
                <w:rFonts w:ascii="Open Sans" w:hAnsi="Open Sans"/>
                <w:b w:val="false"/>
                <w:i w:val="false"/>
                <w:caps w:val="false"/>
                <w:smallCaps w:val="false"/>
                <w:color w:val="004A7C"/>
                <w:sz w:val="22"/>
              </w:rPr>
              <w:t>Brian M. DelGhiaccio</w:t>
            </w:r>
          </w:p>
          <w:p>
            <w:pPr>
              <w:pStyle w:val="TableContents"/>
              <w:spacing w:before="0" w:after="0"/>
              <w:ind w:left="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Mr.</w:t>
            </w:r>
            <w:r>
              <w:rPr>
                <w:rFonts w:ascii="Open Sans" w:hAnsi="Open Sans"/>
                <w:b w:val="false"/>
                <w:i w:val="false"/>
                <w:caps w:val="false"/>
                <w:smallCaps w:val="false"/>
                <w:spacing w:val="-5"/>
                <w:sz w:val="16"/>
              </w:rPr>
              <w:t xml:space="preserve"> DelGhiaccio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 June 2020.</w:t>
            </w:r>
            <w:r>
              <w:rPr>
                <w:rFonts w:ascii="Open Sans" w:hAnsi="Open Sans"/>
                <w:b w:val="false"/>
                <w:i w:val="false"/>
                <w:caps w:val="false"/>
                <w:smallCaps w:val="false"/>
                <w:spacing w:val="-5"/>
                <w:sz w:val="16"/>
              </w:rPr>
              <w:t xml:space="preserve"> Mr. DelGhiaccio has over 20 years of experience in a variety of roles of increasing responsibility. He was named Executive Vice President and Chief Transformation Officer in June 2019. Before that, Mr. DelGhiaccio served as Vice President, Investor Relations from 2012 to 2014, progressed to Senior Vice President, Finance from 2014 to 2017 and then to Senior Vice President, Business Transformation in 2017. Prior to his time at Republic Services, Mr. DelGhiaccio was a senior consultant with Arthur Andersen.</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r>
        <w:trPr/>
        <w:tc>
          <w:tcPr>
            <w:tcW w:w="180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z w:val="22"/>
              </w:rPr>
            </w:pPr>
            <w:r>
              <w:rPr>
                <w:rFonts w:ascii="Open Sans" w:hAnsi="Open Sans"/>
                <w:b w:val="false"/>
                <w:i w:val="false"/>
                <w:caps w:val="false"/>
                <w:smallCaps w:val="false"/>
                <w:color w:val="004A7C"/>
                <w:sz w:val="22"/>
              </w:rPr>
              <w:t>Brian</w:t>
            </w:r>
            <w:r>
              <w:rPr>
                <w:rFonts w:ascii="Open Sans" w:hAnsi="Open Sans"/>
                <w:b w:val="false"/>
                <w:i w:val="false"/>
                <w:caps w:val="false"/>
                <w:smallCaps w:val="false"/>
                <w:color w:val="004A7C"/>
                <w:spacing w:val="6"/>
                <w:sz w:val="22"/>
              </w:rPr>
              <w:t xml:space="preserve"> </w:t>
            </w:r>
            <w:r>
              <w:rPr>
                <w:rFonts w:ascii="Open Sans" w:hAnsi="Open Sans"/>
                <w:b w:val="false"/>
                <w:i w:val="false"/>
                <w:caps w:val="false"/>
                <w:smallCaps w:val="false"/>
                <w:color w:val="004A7C"/>
                <w:sz w:val="22"/>
              </w:rPr>
              <w:t>A.</w:t>
            </w:r>
            <w:r>
              <w:rPr>
                <w:rFonts w:ascii="Open Sans" w:hAnsi="Open Sans"/>
                <w:b w:val="false"/>
                <w:i w:val="false"/>
                <w:caps w:val="false"/>
                <w:smallCaps w:val="false"/>
                <w:color w:val="004A7C"/>
                <w:spacing w:val="7"/>
                <w:sz w:val="22"/>
              </w:rPr>
              <w:t xml:space="preserve"> </w:t>
            </w:r>
            <w:r>
              <w:rPr>
                <w:rFonts w:ascii="Open Sans" w:hAnsi="Open Sans"/>
                <w:b w:val="false"/>
                <w:i w:val="false"/>
                <w:caps w:val="false"/>
                <w:smallCaps w:val="false"/>
                <w:color w:val="004A7C"/>
                <w:sz w:val="22"/>
              </w:rPr>
              <w:t>Bales</w:t>
            </w:r>
          </w:p>
          <w:p>
            <w:pPr>
              <w:pStyle w:val="TableContents"/>
              <w:spacing w:before="0" w:after="0"/>
              <w:ind w:left="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Development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February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2015.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 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Development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February 2015,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Development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1998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 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2008.</w:t>
            </w:r>
            <w:r>
              <w:rPr>
                <w:rFonts w:ascii="Open Sans" w:hAnsi="Open Sans"/>
                <w:b w:val="false"/>
                <w:i w:val="false"/>
                <w:caps w:val="false"/>
                <w:smallCaps w:val="false"/>
                <w:spacing w:val="33"/>
                <w:sz w:val="16"/>
              </w:rPr>
              <w:t xml:space="preserve"> </w:t>
            </w:r>
            <w:r>
              <w:rPr>
                <w:rFonts w:ascii="Open Sans" w:hAnsi="Open Sans"/>
                <w:b w:val="false"/>
                <w:i w:val="false"/>
                <w:caps w:val="false"/>
                <w:smallCaps w:val="false"/>
                <w:spacing w:val="-3"/>
                <w:sz w:val="16"/>
              </w:rPr>
              <w:t>Prior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held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roles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increasing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responsibility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development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Ryder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System,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1993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1998,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EDIFEX</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VTA Communications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1988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through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1993.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Prior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PwC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(formerly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Waterhouse) 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1986</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1988. Mr. Bales serves on the Board of Directors of Ritchie Bros. Auctioneers Incorporated.  </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51</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800"/>
        <w:gridCol w:w="60"/>
        <w:gridCol w:w="8679"/>
      </w:tblGrid>
      <w:tr>
        <w:trPr/>
        <w:tc>
          <w:tcPr>
            <w:tcW w:w="180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z w:val="22"/>
              </w:rPr>
            </w:pPr>
            <w:r>
              <w:rPr>
                <w:rFonts w:ascii="Open Sans" w:hAnsi="Open Sans"/>
                <w:b w:val="false"/>
                <w:i w:val="false"/>
                <w:caps w:val="false"/>
                <w:smallCaps w:val="false"/>
                <w:color w:val="004A7C"/>
                <w:sz w:val="22"/>
              </w:rPr>
              <w:t>Catharine</w:t>
            </w:r>
            <w:r>
              <w:rPr>
                <w:rFonts w:ascii="Open Sans" w:hAnsi="Open Sans"/>
                <w:b w:val="false"/>
                <w:i w:val="false"/>
                <w:caps w:val="false"/>
                <w:smallCaps w:val="false"/>
                <w:color w:val="004A7C"/>
                <w:spacing w:val="11"/>
                <w:sz w:val="22"/>
              </w:rPr>
              <w:t xml:space="preserve"> </w:t>
            </w:r>
            <w:r>
              <w:rPr>
                <w:rFonts w:ascii="Open Sans" w:hAnsi="Open Sans"/>
                <w:b w:val="false"/>
                <w:i w:val="false"/>
                <w:caps w:val="false"/>
                <w:smallCaps w:val="false"/>
                <w:color w:val="004A7C"/>
                <w:sz w:val="22"/>
              </w:rPr>
              <w:t>D.</w:t>
            </w:r>
            <w:r>
              <w:rPr>
                <w:rFonts w:ascii="Open Sans" w:hAnsi="Open Sans"/>
                <w:b w:val="false"/>
                <w:i w:val="false"/>
                <w:caps w:val="false"/>
                <w:smallCaps w:val="false"/>
                <w:color w:val="004A7C"/>
                <w:spacing w:val="11"/>
                <w:sz w:val="22"/>
              </w:rPr>
              <w:t xml:space="preserve"> </w:t>
            </w:r>
            <w:r>
              <w:rPr>
                <w:rFonts w:ascii="Open Sans" w:hAnsi="Open Sans"/>
                <w:b w:val="false"/>
                <w:i w:val="false"/>
                <w:caps w:val="false"/>
                <w:smallCaps w:val="false"/>
                <w:color w:val="004A7C"/>
                <w:sz w:val="22"/>
              </w:rPr>
              <w:t>Ellingsen</w:t>
            </w:r>
          </w:p>
          <w:p>
            <w:pPr>
              <w:pStyle w:val="TableContents"/>
              <w:spacing w:before="0" w:after="0"/>
              <w:ind w:left="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Legal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Ethics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Compliance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 Secretary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June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2016.</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joined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Company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Counsel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August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experience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variety 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roles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increasing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responsibility.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Counsel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January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Legal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Associate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General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Counsel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January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Deputy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General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Counsel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June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2007.</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 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Senior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Human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Resources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August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2011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until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June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2016.</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Before joining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Company,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attorney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Steptoe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Johnson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LLP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1996</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Bryan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LLP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1993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 1996.</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Directors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Daseke, Inc., Bunker Hill Group and Nebraska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Distributing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Company.</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r>
        <w:trPr/>
        <w:tc>
          <w:tcPr>
            <w:tcW w:w="1800"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z w:val="22"/>
              </w:rPr>
            </w:pPr>
            <w:r>
              <w:rPr>
                <w:rFonts w:ascii="Open Sans" w:hAnsi="Open Sans"/>
                <w:b w:val="false"/>
                <w:i w:val="false"/>
                <w:caps w:val="false"/>
                <w:smallCaps w:val="false"/>
                <w:color w:val="004A7C"/>
                <w:sz w:val="22"/>
              </w:rPr>
              <w:t>Amanda Hodges</w:t>
            </w:r>
          </w:p>
          <w:p>
            <w:pPr>
              <w:pStyle w:val="TableContents"/>
              <w:spacing w:before="0" w:after="0"/>
              <w:ind w:left="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Ms. Hodges was named Executive Vice President, Chief Marketing Officer in November 2020. In this role, Ms. Hodges oversees marketing, communications, product development, customer engagement, and revenue oversight for the Company. Prior to joining Republic, Ms. Hodges spent 15 years in leadership roles for Dell Technologies, most recently serving as Senior Vice President of North America Marketing and the Global Customer Briefing Program. Before joining Dell, Ms. Hodges worked as a strategy consultant for McKinsey &amp; Company and a chemical engineer for GE Plastics.</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r>
        <w:trPr/>
        <w:tc>
          <w:tcPr>
            <w:tcW w:w="180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z w:val="22"/>
              </w:rPr>
            </w:pPr>
            <w:r>
              <w:rPr>
                <w:rFonts w:ascii="Open Sans" w:hAnsi="Open Sans"/>
                <w:b w:val="false"/>
                <w:i w:val="false"/>
                <w:caps w:val="false"/>
                <w:smallCaps w:val="false"/>
                <w:color w:val="004A7C"/>
                <w:sz w:val="22"/>
              </w:rPr>
              <w:t>Katrina Liddell</w:t>
            </w:r>
          </w:p>
          <w:p>
            <w:pPr>
              <w:pStyle w:val="TableContents"/>
              <w:spacing w:before="0" w:after="0"/>
              <w:ind w:left="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Ms. Liddell was named Executive Vice President, Chief Commercial Officer in June 2021. In this role, she is responsible for leading the Company’s sales organization, which includes Field Sales, National &amp; Strategic Accounts, Manufacturing, Environmental Services, and Municipal Services. She also oversees customer experience. Prior to joining the Company, Ms. Liddell held leadership positions at XPO Logistics Inc. as President, Global Forwarding and Expedite and prior to that, as Senior Vice President, Sales – North American Transportation. Before joining XPO Logistics, Inc., Ms. Liddell spent 14 years with Johnson Controls International, where she held senior leadership roles in enterprise account management, vertical market development, operations, product development and customer relations. Ms. Liddell serves on the Board of Directors of The Kristine Pettoni Foundation.  </w:t>
            </w:r>
          </w:p>
          <w:p>
            <w:pPr>
              <w:pStyle w:val="TableContents"/>
              <w:spacing w:before="0" w:after="0"/>
              <w:ind w:left="0" w:right="0" w:hanging="0"/>
              <w:rPr/>
            </w:pPr>
            <w:r>
              <w:rPr/>
              <w:t> </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r>
        <w:trPr/>
        <w:tc>
          <w:tcPr>
            <w:tcW w:w="180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8679" w:type="dxa"/>
            <w:tcBorders/>
            <w:shd w:fill="auto" w:val="clear"/>
          </w:tcPr>
          <w:p>
            <w:pPr>
              <w:pStyle w:val="TableContents"/>
              <w:spacing w:before="0" w:after="0"/>
              <w:ind w:left="0" w:right="0" w:hanging="0"/>
              <w:rPr/>
            </w:pPr>
            <w:r>
              <w:rPr/>
              <w:t> </w:t>
            </w:r>
          </w:p>
        </w:tc>
      </w:tr>
      <w:tr>
        <w:trPr/>
        <w:tc>
          <w:tcPr>
            <w:tcW w:w="1800" w:type="dxa"/>
            <w:vMerge w:val="restart"/>
            <w:tcBorders/>
            <w:shd w:fill="auto" w:val="cle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1143000" cy="11430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143000" cy="1143000"/>
                          </a:xfrm>
                          <a:prstGeom prst="rect">
                            <a:avLst/>
                          </a:prstGeom>
                        </pic:spPr>
                      </pic:pic>
                    </a:graphicData>
                  </a:graphic>
                </wp:inline>
              </w:drawing>
            </w:r>
          </w:p>
        </w:tc>
        <w:tc>
          <w:tcPr>
            <w:tcW w:w="60" w:type="dxa"/>
            <w:tcBorders/>
            <w:shd w:fill="auto" w:val="clear"/>
          </w:tcPr>
          <w:p>
            <w:pPr>
              <w:pStyle w:val="TableContents"/>
              <w:spacing w:before="0" w:after="0"/>
              <w:ind w:left="0" w:right="0" w:hanging="0"/>
              <w:rPr/>
            </w:pPr>
            <w:r>
              <w:rPr/>
              <w:t> </w:t>
            </w:r>
          </w:p>
        </w:tc>
        <w:tc>
          <w:tcPr>
            <w:tcW w:w="8679" w:type="dxa"/>
            <w:vMerge w:val="restart"/>
            <w:tcBorders/>
            <w:shd w:fill="auto" w:val="clear"/>
          </w:tcPr>
          <w:p>
            <w:pPr>
              <w:pStyle w:val="TableContents"/>
              <w:spacing w:before="0" w:after="0"/>
              <w:ind w:left="0" w:right="0" w:hanging="0"/>
              <w:rPr>
                <w:rFonts w:ascii="Open Sans" w:hAnsi="Open Sans"/>
                <w:b w:val="false"/>
                <w:i w:val="false"/>
                <w:caps w:val="false"/>
                <w:smallCaps w:val="false"/>
                <w:color w:val="004A7C"/>
                <w:spacing w:val="-3"/>
                <w:sz w:val="22"/>
              </w:rPr>
            </w:pPr>
            <w:r>
              <w:rPr>
                <w:rFonts w:ascii="Open Sans" w:hAnsi="Open Sans"/>
                <w:b w:val="false"/>
                <w:i w:val="false"/>
                <w:caps w:val="false"/>
                <w:smallCaps w:val="false"/>
                <w:color w:val="004A7C"/>
                <w:spacing w:val="-3"/>
                <w:sz w:val="22"/>
              </w:rPr>
              <w:t>Timothy E. Stuart</w:t>
            </w:r>
          </w:p>
          <w:p>
            <w:pPr>
              <w:pStyle w:val="TableContents"/>
              <w:spacing w:before="0" w:after="0"/>
              <w:ind w:left="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Stuart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5"/>
                <w:sz w:val="16"/>
              </w:rPr>
              <w:t xml:space="preserve"> Executive Vice President, Chief Operating Officer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 2019.</w:t>
            </w:r>
            <w:r>
              <w:rPr>
                <w:rFonts w:ascii="Open Sans" w:hAnsi="Open Sans"/>
                <w:b w:val="false"/>
                <w:i w:val="false"/>
                <w:caps w:val="false"/>
                <w:smallCaps w:val="false"/>
                <w:spacing w:val="-5"/>
                <w:sz w:val="16"/>
              </w:rPr>
              <w:t xml:space="preserve"> Prior to his current role, Mr. Stuart served as Executive Vice President, Operations from January 2016 to May 2019, where he was responsible for maximizing field performance, executing the operating plan, and achieving financial and operational results across the Company. Mr. Stuart has over 20 years of experience in the waste industry. He previously served as the Company’s East Region President from September 2013 to January 2016. He joined Republic in April 2006 as Director of Operations, and has held a variety of roles with the Company, including Area President, Vice President of Customer Experience, and Region Vice President. </w:t>
            </w:r>
          </w:p>
        </w:tc>
      </w:tr>
      <w:tr>
        <w:trPr/>
        <w:tc>
          <w:tcPr>
            <w:tcW w:w="1800" w:type="dxa"/>
            <w:vMerge w:val="continue"/>
            <w:tcBorders/>
            <w:shd w:fill="auto" w:val="clear"/>
            <w:vAlign w:val="center"/>
          </w:tcPr>
          <w:p>
            <w:pPr>
              <w:pStyle w:val="Normal"/>
              <w:rPr/>
            </w:pPr>
            <w:r>
              <w:rPr/>
            </w:r>
          </w:p>
        </w:tc>
        <w:tc>
          <w:tcPr>
            <w:tcW w:w="60" w:type="dxa"/>
            <w:tcBorders/>
            <w:shd w:fill="auto" w:val="clear"/>
          </w:tcPr>
          <w:p>
            <w:pPr>
              <w:pStyle w:val="TableContents"/>
              <w:spacing w:before="0" w:after="0"/>
              <w:ind w:left="0" w:right="0" w:hanging="0"/>
              <w:rPr/>
            </w:pPr>
            <w:r>
              <w:rPr/>
              <w:t> </w:t>
            </w:r>
          </w:p>
        </w:tc>
        <w:tc>
          <w:tcPr>
            <w:tcW w:w="8679" w:type="dxa"/>
            <w:vMerge w:val="continue"/>
            <w:tcBorders/>
            <w:shd w:fill="auto" w:val="clear"/>
          </w:tcPr>
          <w:p>
            <w:pPr>
              <w:pStyle w:val="Normal"/>
              <w:rPr/>
            </w:pPr>
            <w:r>
              <w:rPr/>
            </w:r>
          </w:p>
        </w:tc>
      </w:tr>
      <w:tr>
        <w:trPr/>
        <w:tc>
          <w:tcPr>
            <w:tcW w:w="1800" w:type="dxa"/>
            <w:tcBorders>
              <w:bottom w:val="single" w:sz="6" w:space="0" w:color="00497C"/>
            </w:tcBorders>
            <w:shd w:fill="auto" w:val="clear"/>
            <w:tcMar>
              <w:bottom w:w="28" w:type="dxa"/>
            </w:tcMar>
          </w:tcPr>
          <w:p>
            <w:pPr>
              <w:pStyle w:val="TableContents"/>
              <w:spacing w:before="0" w:after="0"/>
              <w:ind w:left="0" w:right="0" w:hanging="0"/>
              <w:jc w:val="center"/>
              <w:rPr/>
            </w:pPr>
            <w:r>
              <w:rPr/>
              <w:t> </w:t>
            </w:r>
          </w:p>
        </w:tc>
        <w:tc>
          <w:tcPr>
            <w:tcW w:w="60" w:type="dxa"/>
            <w:tcBorders>
              <w:bottom w:val="single" w:sz="6" w:space="0" w:color="00497C"/>
            </w:tcBorders>
            <w:shd w:fill="auto" w:val="clear"/>
            <w:tcMar>
              <w:bottom w:w="28" w:type="dxa"/>
            </w:tcMar>
          </w:tcPr>
          <w:p>
            <w:pPr>
              <w:pStyle w:val="TableContents"/>
              <w:spacing w:before="0" w:after="0"/>
              <w:ind w:left="0" w:right="0" w:hanging="0"/>
              <w:rPr/>
            </w:pPr>
            <w:r>
              <w:rPr/>
              <w:t> </w:t>
            </w:r>
          </w:p>
        </w:tc>
        <w:tc>
          <w:tcPr>
            <w:tcW w:w="8679" w:type="dxa"/>
            <w:tcBorders>
              <w:bottom w:val="single" w:sz="6" w:space="0" w:color="00497C"/>
            </w:tcBorders>
            <w:shd w:fill="auto" w:val="clear"/>
            <w:tcMar>
              <w:bottom w:w="28" w:type="dxa"/>
            </w:tcMar>
          </w:tcPr>
          <w:p>
            <w:pPr>
              <w:pStyle w:val="TableContents"/>
              <w:spacing w:before="0" w:after="0"/>
              <w:ind w:left="0" w:right="0" w:hanging="0"/>
              <w:rPr/>
            </w:pPr>
            <w:r>
              <w:rPr/>
              <w:t> </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52</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31"/>
        </w:rPr>
      </w:pPr>
      <w:bookmarkStart w:id="56" w:name="EXECUTIVE_SUMMARY_BUSINESS_STRATEGY"/>
      <w:bookmarkEnd w:id="56"/>
      <w:r>
        <w:rPr>
          <w:rFonts w:ascii="Open Sans" w:hAnsi="Open Sans"/>
          <w:b/>
          <w:i w:val="false"/>
          <w:caps w:val="false"/>
          <w:smallCaps w:val="false"/>
          <w:color w:val="004A7C"/>
          <w:sz w:val="31"/>
        </w:rPr>
        <w:t>Executive Summary and Business Strategy</w:t>
      </w:r>
    </w:p>
    <w:p>
      <w:pPr>
        <w:pStyle w:val="TextBody"/>
        <w:spacing w:before="120" w:after="0"/>
        <w:rPr>
          <w:rFonts w:ascii="Open Sans" w:hAnsi="Open Sans"/>
          <w:b w:val="false"/>
          <w:i w:val="false"/>
          <w:caps w:val="false"/>
          <w:smallCaps w:val="false"/>
          <w:color w:val="000000"/>
          <w:sz w:val="16"/>
          <w:highlight w:val="white"/>
        </w:rPr>
      </w:pPr>
      <w:r>
        <w:rPr>
          <w:rFonts w:ascii="Open Sans" w:hAnsi="Open Sans"/>
          <w:b w:val="false"/>
          <w:i w:val="false"/>
          <w:caps w:val="false"/>
          <w:smallCaps w:val="false"/>
          <w:color w:val="000000"/>
          <w:sz w:val="16"/>
          <w:highlight w:val="white"/>
        </w:rPr>
        <w:t>Republic is one of the largest providers of environmental services in the United States, as measured by revenue. We operate across the United States and Canada through 353 collection operations, 233 transfer stations, 71 recycling centers, 206 active landfills, 3 treatment, recovery, and disposal facilities, 20 treatment, storage and disposal facilities (TSDF), 6 saltwater disposal wells and 7 deep injection wells. We are engaged in 73 landfill gas-to-energy and other renewable energy projects and had post-closure responsibility for 128 closed landfills.</w:t>
      </w:r>
    </w:p>
    <w:p>
      <w:pPr>
        <w:pStyle w:val="TextBody"/>
        <w:spacing w:before="200" w:after="0"/>
        <w:rPr>
          <w:rFonts w:ascii="Open Sans SemiBold" w:hAnsi="Open Sans SemiBold"/>
          <w:b w:val="false"/>
          <w:i w:val="false"/>
          <w:caps w:val="false"/>
          <w:smallCaps w:val="false"/>
          <w:color w:val="004A7C"/>
          <w:sz w:val="17"/>
        </w:rPr>
      </w:pPr>
      <w:bookmarkStart w:id="57" w:name="BUSINESS_STRATEGY"/>
      <w:bookmarkEnd w:id="57"/>
      <w:r>
        <w:rPr>
          <w:rFonts w:ascii="Open Sans SemiBold" w:hAnsi="Open Sans SemiBold"/>
          <w:b w:val="false"/>
          <w:i w:val="false"/>
          <w:caps w:val="false"/>
          <w:smallCaps w:val="false"/>
          <w:color w:val="004A7C"/>
          <w:sz w:val="17"/>
        </w:rPr>
        <w:t>Business Strategy</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Our complete set of products and services are valuable to our customers and essential for long-term sustainability. Our focus on and commitment to sustainability allows us to attract and retain the best talent, win more customers, increase loyalty, and ultimately drive increased revenue, profits, and cash flow, creating long-term shareholder value. </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60"/>
        <w:gridCol w:w="10419"/>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104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top w:val="single" w:sz="6" w:space="0" w:color="000000"/>
              <w:left w:val="single" w:sz="6" w:space="0" w:color="000000"/>
              <w:bottom w:val="single" w:sz="6" w:space="0" w:color="000000"/>
            </w:tcBorders>
            <w:shd w:fill="1F497D" w:val="clear"/>
            <w:tcMar>
              <w:top w:w="28" w:type="dxa"/>
              <w:left w:w="28" w:type="dxa"/>
              <w:bottom w:w="28" w:type="dxa"/>
            </w:tcMar>
          </w:tcPr>
          <w:p>
            <w:pPr>
              <w:pStyle w:val="TableContents"/>
              <w:spacing w:before="120" w:after="120"/>
              <w:ind w:left="0" w:right="0" w:hanging="0"/>
              <w:rPr/>
            </w:pPr>
            <w:r>
              <w:rPr/>
              <w:t> </w:t>
            </w:r>
          </w:p>
        </w:tc>
        <w:tc>
          <w:tcPr>
            <w:tcW w:w="10419" w:type="dxa"/>
            <w:tcBorders>
              <w:top w:val="single" w:sz="6" w:space="0" w:color="000000"/>
              <w:bottom w:val="single" w:sz="6" w:space="0" w:color="000000"/>
            </w:tcBorders>
            <w:shd w:fill="1F497D" w:val="clear"/>
            <w:tcMar>
              <w:top w:w="28" w:type="dxa"/>
              <w:bottom w:w="28" w:type="dxa"/>
            </w:tcMar>
          </w:tcPr>
          <w:p>
            <w:pPr>
              <w:pStyle w:val="TableContents"/>
              <w:spacing w:before="120" w:after="120"/>
              <w:ind w:left="0" w:right="0" w:hanging="0"/>
              <w:rPr>
                <w:rFonts w:ascii="Open Sans SemiBold" w:hAnsi="Open Sans SemiBold"/>
                <w:b/>
                <w:i w:val="false"/>
                <w:caps w:val="false"/>
                <w:smallCaps w:val="false"/>
                <w:color w:val="FFFFFF"/>
                <w:sz w:val="20"/>
              </w:rPr>
            </w:pPr>
            <w:r>
              <w:rPr>
                <w:rFonts w:ascii="Open Sans SemiBold" w:hAnsi="Open Sans SemiBold"/>
                <w:b/>
                <w:i w:val="false"/>
                <w:caps w:val="false"/>
                <w:smallCaps w:val="false"/>
                <w:color w:val="FFFFFF"/>
                <w:sz w:val="20"/>
              </w:rPr>
              <w:t>Our strategy is designed to generate profitable growth by partnering with customers to create a more sustainable world.</w:t>
            </w:r>
          </w:p>
        </w:tc>
        <w:tc>
          <w:tcPr>
            <w:tcW w:w="60" w:type="dxa"/>
            <w:tcBorders>
              <w:top w:val="single" w:sz="6" w:space="0" w:color="000000"/>
              <w:bottom w:val="single" w:sz="6" w:space="0" w:color="000000"/>
              <w:right w:val="single" w:sz="6" w:space="0" w:color="000000"/>
            </w:tcBorders>
            <w:shd w:fill="1F497D" w:val="clear"/>
            <w:tcMar>
              <w:top w:w="28" w:type="dxa"/>
              <w:bottom w:w="28" w:type="dxa"/>
              <w:right w:w="28" w:type="dxa"/>
            </w:tcM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Open Sans SemiBold" w:hAnsi="Open Sans SemiBold"/>
          <w:b w:val="false"/>
          <w:i w:val="false"/>
          <w:caps w:val="false"/>
          <w:smallCaps w:val="false"/>
          <w:color w:val="004A7C"/>
          <w:sz w:val="17"/>
        </w:rPr>
      </w:pPr>
      <w:bookmarkStart w:id="58" w:name="FOUNDATIONAL_ELEMENTS"/>
      <w:bookmarkEnd w:id="58"/>
      <w:r>
        <w:rPr>
          <w:rFonts w:ascii="Open Sans SemiBold" w:hAnsi="Open Sans SemiBold"/>
          <w:b w:val="false"/>
          <w:i w:val="false"/>
          <w:caps w:val="false"/>
          <w:smallCaps w:val="false"/>
          <w:color w:val="004A7C"/>
          <w:sz w:val="17"/>
        </w:rPr>
        <w:t xml:space="preserve">Foundational Elements </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Our strategy is designed to generate profitable growth by partnering with customers to create a more sustainable world, and it is underpinned by three foundational elements – (1) market position, (2) operating model, and (3) our people and talent agenda.</w:t>
      </w:r>
    </w:p>
    <w:p>
      <w:pPr>
        <w:pStyle w:val="TextBody"/>
        <w:spacing w:before="12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u w:val="single"/>
        </w:rPr>
        <w:t>Market Position</w:t>
      </w:r>
      <w:r>
        <w:rPr>
          <w:rFonts w:ascii="Open Sans" w:hAnsi="Open Sans"/>
          <w:b w:val="false"/>
          <w:i w:val="false"/>
          <w:caps w:val="false"/>
          <w:smallCaps w:val="false"/>
          <w:color w:val="004A7C"/>
          <w:sz w:val="16"/>
        </w:rPr>
        <w:t xml:space="preserve"> </w:t>
      </w:r>
      <w:r>
        <w:rPr>
          <w:rFonts w:ascii="Open Sans" w:hAnsi="Open Sans"/>
          <w:b w:val="false"/>
          <w:i w:val="false"/>
          <w:caps w:val="false"/>
          <w:smallCaps w:val="false"/>
          <w:color w:val="000000"/>
          <w:sz w:val="16"/>
        </w:rPr>
        <w:t xml:space="preserve">– Our goal is to develop the best vertically integrated market position to enable us to build density and improve returns. We strive to have a leading market position in each of the markets we serve. In addition to organic growth, we grow through acquisition of high-quality assets. </w:t>
      </w:r>
    </w:p>
    <w:p>
      <w:pPr>
        <w:pStyle w:val="TextBody"/>
        <w:spacing w:before="8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u w:val="single"/>
        </w:rPr>
        <w:t>Operating Model</w:t>
      </w:r>
      <w:r>
        <w:rPr>
          <w:rFonts w:ascii="Open Sans" w:hAnsi="Open Sans"/>
          <w:b w:val="false"/>
          <w:i w:val="false"/>
          <w:caps w:val="false"/>
          <w:smallCaps w:val="false"/>
          <w:color w:val="004A7C"/>
          <w:sz w:val="16"/>
        </w:rPr>
        <w:t xml:space="preserve"> </w:t>
      </w:r>
      <w:r>
        <w:rPr>
          <w:rFonts w:ascii="Open Sans" w:hAnsi="Open Sans"/>
          <w:b w:val="false"/>
          <w:i w:val="false"/>
          <w:caps w:val="false"/>
          <w:smallCaps w:val="false"/>
          <w:color w:val="000000"/>
          <w:sz w:val="16"/>
        </w:rPr>
        <w:t xml:space="preserve">– Our operating model allows us to deliver a consistent, high-quality service to all our customers through the Republic Way: One Way. Everywhere. Every day. The Republic Way is the key to harnessing the best of what we do as operators and translating that across all facets of our business. Key elements of our operating model are our matrix organization, safety, fleet automation, compressed natural gas vehicles, fleet electrification and standardized maintenance. </w:t>
      </w:r>
    </w:p>
    <w:p>
      <w:pPr>
        <w:pStyle w:val="TextBody"/>
        <w:spacing w:before="8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u w:val="single"/>
        </w:rPr>
        <w:t>People and Talent Agenda</w:t>
      </w:r>
      <w:r>
        <w:rPr>
          <w:rFonts w:ascii="Open Sans" w:hAnsi="Open Sans"/>
          <w:b w:val="false"/>
          <w:i w:val="false"/>
          <w:caps w:val="false"/>
          <w:smallCaps w:val="false"/>
          <w:color w:val="004A7C"/>
          <w:sz w:val="16"/>
        </w:rPr>
        <w:t xml:space="preserve"> </w:t>
      </w:r>
      <w:r>
        <w:rPr>
          <w:rFonts w:ascii="Open Sans" w:hAnsi="Open Sans"/>
          <w:b w:val="false"/>
          <w:i w:val="false"/>
          <w:caps w:val="false"/>
          <w:smallCaps w:val="false"/>
          <w:color w:val="000000"/>
          <w:sz w:val="16"/>
        </w:rPr>
        <w:t>– Being human-centered is at the core of our robust people and talent agenda. Our approximately 40,000 employees are a critical component in successfully executing our strategy and running our operations. We strive to always be a company where the best people, with exceptional talents and diverse backgrounds, can thrive, and we foster a culture of caring where people feel respected, supported and encouraged to bring their best selves to work. We are dedicated to driving our people and talent agenda, which includes:  </w:t>
      </w:r>
    </w:p>
    <w:p>
      <w:pPr>
        <w:pStyle w:val="TextBody"/>
        <w:spacing w:before="80" w:after="0"/>
        <w:rPr>
          <w:caps w:val="false"/>
          <w:smallCaps w:val="false"/>
        </w:rPr>
      </w:pPr>
      <w:r>
        <w:rPr>
          <w:caps w:val="false"/>
          <w:smallCaps w:val="false"/>
        </w:rPr>
        <w:t>•   </w:t>
      </w:r>
      <w:r>
        <w:rPr>
          <w:rFonts w:ascii="Open Sans" w:hAnsi="Open Sans"/>
          <w:b w:val="false"/>
          <w:i w:val="false"/>
          <w:caps w:val="false"/>
          <w:smallCaps w:val="false"/>
          <w:sz w:val="16"/>
        </w:rPr>
        <w:t xml:space="preserve">representing the diversity of the communities we serve and sustaining a safe, inclusive and ethical culture; </w:t>
      </w:r>
    </w:p>
    <w:p>
      <w:pPr>
        <w:pStyle w:val="TextBody"/>
        <w:spacing w:before="80" w:after="0"/>
        <w:rPr>
          <w:caps w:val="false"/>
          <w:smallCaps w:val="false"/>
        </w:rPr>
      </w:pPr>
      <w:r>
        <w:rPr>
          <w:caps w:val="false"/>
          <w:smallCaps w:val="false"/>
        </w:rPr>
        <w:t>•   </w:t>
      </w:r>
      <w:r>
        <w:rPr>
          <w:rFonts w:ascii="Open Sans" w:hAnsi="Open Sans"/>
          <w:b w:val="false"/>
          <w:i w:val="false"/>
          <w:caps w:val="false"/>
          <w:smallCaps w:val="false"/>
          <w:sz w:val="16"/>
        </w:rPr>
        <w:t>maintaining a highly engaged workforce;</w:t>
      </w:r>
    </w:p>
    <w:p>
      <w:pPr>
        <w:pStyle w:val="TextBody"/>
        <w:spacing w:before="80" w:after="0"/>
        <w:rPr>
          <w:caps w:val="false"/>
          <w:smallCaps w:val="false"/>
        </w:rPr>
      </w:pPr>
      <w:r>
        <w:rPr>
          <w:caps w:val="false"/>
          <w:smallCaps w:val="false"/>
        </w:rPr>
        <w:t>•   </w:t>
      </w:r>
      <w:r>
        <w:rPr>
          <w:rFonts w:ascii="Open Sans" w:hAnsi="Open Sans"/>
          <w:b w:val="false"/>
          <w:i w:val="false"/>
          <w:caps w:val="false"/>
          <w:smallCaps w:val="false"/>
          <w:sz w:val="16"/>
        </w:rPr>
        <w:t>preparing talent through learning and development experiences; and</w:t>
      </w:r>
    </w:p>
    <w:p>
      <w:pPr>
        <w:pStyle w:val="TextBody"/>
        <w:spacing w:before="80" w:after="0"/>
        <w:rPr>
          <w:caps w:val="false"/>
          <w:smallCaps w:val="false"/>
        </w:rPr>
      </w:pPr>
      <w:r>
        <w:rPr>
          <w:caps w:val="false"/>
          <w:smallCaps w:val="false"/>
        </w:rPr>
        <w:t>•   </w:t>
      </w:r>
      <w:r>
        <w:rPr>
          <w:rFonts w:ascii="Open Sans" w:hAnsi="Open Sans"/>
          <w:b w:val="false"/>
          <w:i w:val="false"/>
          <w:caps w:val="false"/>
          <w:smallCaps w:val="false"/>
          <w:sz w:val="16"/>
        </w:rPr>
        <w:t>offering compensation and benefits that attract, retain and motivate the best workforce.</w:t>
      </w:r>
    </w:p>
    <w:p>
      <w:pPr>
        <w:pStyle w:val="TextBody"/>
        <w:spacing w:before="120" w:after="120"/>
        <w:rPr>
          <w:rFonts w:ascii="Open Sans" w:hAnsi="Open Sans"/>
          <w:b w:val="false"/>
          <w:i w:val="false"/>
          <w:caps w:val="false"/>
          <w:smallCaps w:val="false"/>
          <w:sz w:val="16"/>
        </w:rPr>
      </w:pPr>
      <w:r>
        <w:rPr>
          <w:rFonts w:ascii="Open Sans" w:hAnsi="Open Sans"/>
          <w:b w:val="false"/>
          <w:i w:val="false"/>
          <w:caps w:val="false"/>
          <w:smallCaps w:val="false"/>
          <w:sz w:val="16"/>
        </w:rPr>
        <w:t>To effectively execute our strategic plan, we prioritize the development of and investment in capabilities that will differentiate us in the marketplace.</w:t>
      </w:r>
    </w:p>
    <w:p>
      <w:pPr>
        <w:pStyle w:val="TextBody"/>
        <w:spacing w:before="0" w:after="0"/>
        <w:jc w:val="center"/>
        <w:rPr>
          <w:caps w:val="false"/>
          <w:smallCaps w:val="false"/>
        </w:rPr>
      </w:pPr>
      <w:r>
        <w:rPr>
          <w:caps w:val="false"/>
          <w:smallCaps w:val="false"/>
        </w:rPr>
        <w:drawing>
          <wp:inline distT="0" distB="0" distL="0" distR="0">
            <wp:extent cx="5943600" cy="183832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5943600" cy="1838325"/>
                    </a:xfrm>
                    <a:prstGeom prst="rect">
                      <a:avLst/>
                    </a:prstGeom>
                  </pic:spPr>
                </pic:pic>
              </a:graphicData>
            </a:graphic>
          </wp:inline>
        </w:drawing>
      </w:r>
      <w:r>
        <w:rPr>
          <w:rFonts w:ascii="Open Sans" w:hAnsi="Open Sans"/>
          <w:b w:val="false"/>
          <w:i w:val="false"/>
          <w:caps w:val="false"/>
          <w:smallCaps w:val="false"/>
          <w:color w:val="FFFFFF"/>
          <w:sz w:val="2"/>
        </w:rPr>
        <w:t>illion automated customer notifications Ambitios2030 sustainability goals</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53</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jc w:val="center"/>
        <w:rPr>
          <w:rFonts w:ascii="Open Sans SemiBold" w:hAnsi="Open Sans SemiBold"/>
          <w:b w:val="false"/>
          <w:i w:val="false"/>
          <w:caps w:val="false"/>
          <w:smallCaps w:val="false"/>
          <w:color w:val="004A7C"/>
          <w:sz w:val="17"/>
        </w:rPr>
      </w:pPr>
      <w:bookmarkStart w:id="59" w:name="N2018_BUSINESS_PERFORMANCE_HIGHLIGHTS"/>
      <w:bookmarkEnd w:id="59"/>
      <w:r>
        <w:rPr>
          <w:rFonts w:ascii="Open Sans SemiBold" w:hAnsi="Open Sans SemiBold"/>
          <w:b w:val="false"/>
          <w:i w:val="false"/>
          <w:caps w:val="false"/>
          <w:smallCaps w:val="false"/>
          <w:color w:val="004A7C"/>
          <w:sz w:val="17"/>
        </w:rPr>
        <w:t>2022 Business and Performance Highlights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During 2022, we continued to create value for our shareholders. Our performance reflects our continued progress on our strategic priorities. We continue to focus on executing our strategy designed to generate profitable growth by sustainably managing our customers’ needs, managing our cost structure, generating consistent earnings and free cash flow growth, improving return on invested capital, and increasing cash returns to our shareholders. </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Highlights of the year include:</w:t>
      </w:r>
    </w:p>
    <w:tbl>
      <w:tblPr>
        <w:tblW w:w="10360" w:type="dxa"/>
        <w:jc w:val="left"/>
        <w:tblInd w:w="0" w:type="dxa"/>
        <w:tblCellMar>
          <w:top w:w="0" w:type="dxa"/>
          <w:left w:w="0" w:type="dxa"/>
          <w:bottom w:w="0" w:type="dxa"/>
          <w:right w:w="0" w:type="dxa"/>
        </w:tblCellMar>
      </w:tblPr>
      <w:tblGrid>
        <w:gridCol w:w="60"/>
        <w:gridCol w:w="110"/>
        <w:gridCol w:w="1019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0190" w:type="dxa"/>
            <w:tcBorders/>
            <w:shd w:fill="auto" w:val="clear"/>
          </w:tcPr>
          <w:p>
            <w:pPr>
              <w:pStyle w:val="TableContents"/>
              <w:spacing w:lineRule="auto" w:line="288"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Outperformed our upwardly revised adjusted earnings per share (“EPS”) and adjusted free cash flow (“FCF”) guidance(1);</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0369" w:type="dxa"/>
            <w:tcBorders/>
            <w:shd w:fill="auto" w:val="clear"/>
          </w:tcPr>
          <w:p>
            <w:pPr>
              <w:pStyle w:val="TableContents"/>
              <w:spacing w:lineRule="auto" w:line="288"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Full-year diluted EPS was $4.69 per share and full-year adjusted EPS(1) was $4.93 per share. Adjusted EPS increased 18 percent over the prior year;</w:t>
            </w:r>
          </w:p>
        </w:tc>
      </w:tr>
    </w:tbl>
    <w:tbl>
      <w:tblPr>
        <w:tblW w:w="8665" w:type="dxa"/>
        <w:jc w:val="left"/>
        <w:tblInd w:w="0" w:type="dxa"/>
        <w:tblCellMar>
          <w:top w:w="0" w:type="dxa"/>
          <w:left w:w="0" w:type="dxa"/>
          <w:bottom w:w="0" w:type="dxa"/>
          <w:right w:w="0" w:type="dxa"/>
        </w:tblCellMar>
      </w:tblPr>
      <w:tblGrid>
        <w:gridCol w:w="60"/>
        <w:gridCol w:w="110"/>
        <w:gridCol w:w="849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8495" w:type="dxa"/>
            <w:tcBorders/>
            <w:shd w:fill="auto" w:val="clear"/>
          </w:tcPr>
          <w:p>
            <w:pPr>
              <w:pStyle w:val="TableContents"/>
              <w:spacing w:lineRule="auto" w:line="288"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Full-year cash provided by operating activities was $3.19 billion and adjusted FCF(1) was $1.74 billion;</w:t>
            </w:r>
          </w:p>
        </w:tc>
      </w:tr>
    </w:tbl>
    <w:tbl>
      <w:tblPr>
        <w:tblW w:w="7915" w:type="dxa"/>
        <w:jc w:val="left"/>
        <w:tblInd w:w="0" w:type="dxa"/>
        <w:tblCellMar>
          <w:top w:w="0" w:type="dxa"/>
          <w:left w:w="0" w:type="dxa"/>
          <w:bottom w:w="0" w:type="dxa"/>
          <w:right w:w="0" w:type="dxa"/>
        </w:tblCellMar>
      </w:tblPr>
      <w:tblGrid>
        <w:gridCol w:w="60"/>
        <w:gridCol w:w="110"/>
        <w:gridCol w:w="774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774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Invested over $2.7 billion in acquisitions during 2022, including the acquisition of US Ecology;</w:t>
            </w:r>
          </w:p>
        </w:tc>
      </w:tr>
    </w:tbl>
    <w:tbl>
      <w:tblPr>
        <w:tblW w:w="8020" w:type="dxa"/>
        <w:jc w:val="left"/>
        <w:tblInd w:w="0" w:type="dxa"/>
        <w:tblCellMar>
          <w:top w:w="0" w:type="dxa"/>
          <w:left w:w="0" w:type="dxa"/>
          <w:bottom w:w="0" w:type="dxa"/>
          <w:right w:w="0" w:type="dxa"/>
        </w:tblCellMar>
      </w:tblPr>
      <w:tblGrid>
        <w:gridCol w:w="60"/>
        <w:gridCol w:w="110"/>
        <w:gridCol w:w="785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785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Returned $796 million to shareholders in 2022 through dividends and share repurchases; and</w:t>
            </w:r>
          </w:p>
        </w:tc>
      </w:tr>
    </w:tbl>
    <w:tbl>
      <w:tblPr>
        <w:tblW w:w="9295" w:type="dxa"/>
        <w:jc w:val="left"/>
        <w:tblInd w:w="0" w:type="dxa"/>
        <w:tblCellMar>
          <w:top w:w="0" w:type="dxa"/>
          <w:left w:w="0" w:type="dxa"/>
          <w:bottom w:w="0" w:type="dxa"/>
          <w:right w:w="0" w:type="dxa"/>
        </w:tblCellMar>
      </w:tblPr>
      <w:tblGrid>
        <w:gridCol w:w="60"/>
        <w:gridCol w:w="110"/>
        <w:gridCol w:w="912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912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Received many notable awards for our continued leadership in Environmental, Social and Governance (ESG).</w:t>
            </w:r>
          </w:p>
        </w:tc>
      </w:tr>
    </w:tbl>
    <w:tbl>
      <w:tblPr>
        <w:tblW w:w="10539" w:type="dxa"/>
        <w:jc w:val="left"/>
        <w:tblInd w:w="0" w:type="dxa"/>
        <w:tblCellMar>
          <w:top w:w="0" w:type="dxa"/>
          <w:left w:w="0" w:type="dxa"/>
          <w:bottom w:w="0" w:type="dxa"/>
          <w:right w:w="0" w:type="dxa"/>
        </w:tblCellMar>
      </w:tblPr>
      <w:tblGrid>
        <w:gridCol w:w="241"/>
        <w:gridCol w:w="10237"/>
        <w:gridCol w:w="61"/>
      </w:tblGrid>
      <w:tr>
        <w:trPr/>
        <w:tc>
          <w:tcPr>
            <w:tcW w:w="241"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237"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Adjusted EPS and adjusted FCF are non-GAAP financial measures. For a reconciliation of such non-GAAP measures to the comparable measures calculated in accordance with GAAP, see “Reconciliation of GAAP to Non-GAAP Financial Measures” in the Annex on page 98. </w:t>
            </w:r>
          </w:p>
        </w:tc>
        <w:tc>
          <w:tcPr>
            <w:tcW w:w="61" w:type="dxa"/>
            <w:tcBorders/>
            <w:shd w:fill="auto" w:val="clear"/>
          </w:tcPr>
          <w:p>
            <w:pPr>
              <w:pStyle w:val="TableContents"/>
              <w:spacing w:before="0" w:after="0"/>
              <w:jc w:val="left"/>
              <w:rPr>
                <w:caps w:val="false"/>
                <w:smallCaps w:val="false"/>
              </w:rPr>
            </w:pPr>
            <w:r>
              <w:rPr>
                <w:caps w:val="false"/>
                <w:smallCaps w:val="false"/>
              </w:rPr>
              <w:t> </w:t>
            </w:r>
          </w:p>
        </w:tc>
      </w:tr>
    </w:tbl>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124450" cy="18478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5124450" cy="1847850"/>
                    </a:xfrm>
                    <a:prstGeom prst="rect">
                      <a:avLst/>
                    </a:prstGeom>
                  </pic:spPr>
                </pic:pic>
              </a:graphicData>
            </a:graphic>
          </wp:inline>
        </w:drawing>
      </w:r>
    </w:p>
    <w:p>
      <w:pPr>
        <w:pStyle w:val="TextBody"/>
        <w:spacing w:before="0" w:after="0"/>
        <w:rPr/>
      </w:pPr>
      <w:r>
        <w:rPr/>
        <w:t> </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See “Reconciliation of GAAP to Non-GAAP Financial Measures” in the Annex on page 98. For comparative purposes, prior year amounts have been reclassified to conform to current year presentation.</w:t>
      </w:r>
    </w:p>
    <w:p>
      <w:pPr>
        <w:pStyle w:val="TextBody"/>
        <w:spacing w:before="240" w:after="0"/>
        <w:rPr>
          <w:rFonts w:ascii="Open Sans SemiBold" w:hAnsi="Open Sans SemiBold"/>
          <w:b w:val="false"/>
          <w:i w:val="false"/>
          <w:caps w:val="false"/>
          <w:smallCaps w:val="false"/>
          <w:color w:val="004A7C"/>
          <w:sz w:val="17"/>
        </w:rPr>
      </w:pPr>
      <w:bookmarkStart w:id="60" w:name="FOCUSED_CAPITAL_ALLOCATION_STRATEGY_TO_I"/>
      <w:bookmarkEnd w:id="60"/>
      <w:r>
        <w:rPr>
          <w:rFonts w:ascii="Open Sans SemiBold" w:hAnsi="Open Sans SemiBold"/>
          <w:b w:val="false"/>
          <w:i w:val="false"/>
          <w:caps w:val="false"/>
          <w:smallCaps w:val="false"/>
          <w:color w:val="004A7C"/>
          <w:sz w:val="17"/>
        </w:rPr>
        <w:t>Focused Capital Allocation Strategy to Increase Shareholder Value Creation</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Our balanced capital allocation practices prioritize reinvesting into the business and then returning cash to shareholders while maintaining an investment-grade credit rating.</w:t>
      </w:r>
    </w:p>
    <w:p>
      <w:pPr>
        <w:pStyle w:val="TextBody"/>
        <w:spacing w:before="0" w:after="0"/>
        <w:jc w:val="center"/>
        <w:rPr/>
      </w:pPr>
      <w:r>
        <w:rPr/>
        <w:t> </w:t>
      </w:r>
    </w:p>
    <w:p>
      <w:pPr>
        <w:pStyle w:val="TextBody"/>
        <w:spacing w:before="120" w:after="0"/>
        <w:jc w:val="center"/>
        <w:rPr>
          <w:caps w:val="false"/>
          <w:smallCaps w:val="false"/>
        </w:rPr>
      </w:pPr>
      <w:r>
        <w:rPr>
          <w:caps w:val="false"/>
          <w:smallCaps w:val="false"/>
        </w:rPr>
        <w:drawing>
          <wp:inline distT="0" distB="0" distL="0" distR="0">
            <wp:extent cx="4391025" cy="141922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4391025" cy="1419225"/>
                    </a:xfrm>
                    <a:prstGeom prst="rect">
                      <a:avLst/>
                    </a:prstGeom>
                  </pic:spPr>
                </pic:pic>
              </a:graphicData>
            </a:graphic>
          </wp:inline>
        </w:drawing>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54</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61" w:name="PERFORMANCE_METRICS"/>
      <w:bookmarkEnd w:id="61"/>
      <w:r>
        <w:rPr>
          <w:rFonts w:ascii="Open Sans" w:hAnsi="Open Sans"/>
          <w:b/>
          <w:i w:val="false"/>
          <w:caps w:val="false"/>
          <w:smallCaps w:val="false"/>
          <w:color w:val="004A7C"/>
          <w:sz w:val="27"/>
        </w:rPr>
        <w:t>Performance Metrics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We believe the performance metrics we use for our executive compensation program are strongly aligned with shareholder interests and support our business strategy. For the past several years, our executive compensation program has used an EPS measure (“EPS Measure”) and a FCF measure (“FCF Measure”) as financial metrics for our annual cash incentive plan, and return on invested capital (“ROIC”), cash flow value creation (“CFVC”), and relative total shareholder return (“RTSR”) as financial metrics for our long-term incentive (“LTI”) plan. Our shareholders have told us that these metrics align well with their interests. Beginning in 2022, we added a sustainability adjustment to our annual incentive plan, pursuant to which the annual incentive paid to our senior executives is subject to adjustment up or down by up to 10% based on the Company’s interim performance on safety, talent and climate leadership goals. The following graphic describes the financial performance metrics applied to both the annual incentive plan and LTI plan in 2022 as well as how they align with our strategic goals:</w:t>
      </w:r>
    </w:p>
    <w:p>
      <w:pPr>
        <w:pStyle w:val="TextBody"/>
        <w:spacing w:lineRule="auto" w:line="288" w:before="120" w:after="0"/>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2022 Metrics and Alignment with Strategy</w:t>
      </w:r>
      <w:r>
        <w:rPr>
          <w:rFonts w:ascii="Open Sans" w:hAnsi="Open Sans"/>
          <w:b w:val="false"/>
          <w:i w:val="false"/>
          <w:caps w:val="false"/>
          <w:smallCaps w:val="false"/>
          <w:color w:val="004A7C"/>
          <w:sz w:val="16"/>
        </w:rPr>
        <w:t>(1)</w:t>
      </w:r>
    </w:p>
    <w:p>
      <w:pPr>
        <w:pStyle w:val="TextBody"/>
        <w:spacing w:before="0" w:after="0"/>
        <w:jc w:val="center"/>
        <w:rPr/>
      </w:pPr>
      <w:r>
        <w:rPr/>
        <w:t> </w:t>
      </w:r>
    </w:p>
    <w:p>
      <w:pPr>
        <w:pStyle w:val="TextBody"/>
        <w:spacing w:before="0" w:after="0"/>
        <w:jc w:val="center"/>
        <w:rPr>
          <w:caps w:val="false"/>
          <w:smallCaps w:val="false"/>
        </w:rPr>
      </w:pPr>
      <w:r>
        <w:rPr>
          <w:caps w:val="false"/>
          <w:smallCaps w:val="false"/>
        </w:rPr>
        <w:drawing>
          <wp:inline distT="0" distB="0" distL="0" distR="0">
            <wp:extent cx="5943600" cy="12096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5943600" cy="1209675"/>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Annual cash incentive performance-based lti award eps measure 50% fcf measure 50% return on invested capital 40% cash flow value creation 40% relative total shareholder return 20% our annual incentive metrics are designed to encourage profitable growth and are widely accepted by the investment community as important performance. Our lti metrics are designed to grow our business with an emphasis on cash flow while maximizing investment returns and aligning interest between our executives and shareholders.</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33"/>
        <w:gridCol w:w="10306"/>
      </w:tblGrid>
      <w:tr>
        <w:trPr/>
        <w:tc>
          <w:tcPr>
            <w:tcW w:w="233"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306" w:type="dxa"/>
            <w:tcBorders/>
            <w:shd w:fill="auto" w:val="clear"/>
          </w:tcPr>
          <w:p>
            <w:pPr>
              <w:pStyle w:val="TableContents"/>
              <w:spacing w:before="0" w:after="0"/>
              <w:jc w:val="left"/>
              <w:rPr>
                <w:b w:val="false"/>
                <w:i w:val="false"/>
                <w:caps w:val="false"/>
                <w:smallCaps w:val="false"/>
              </w:rPr>
            </w:pPr>
            <w:r>
              <w:rPr>
                <w:rFonts w:ascii="Open Sans" w:hAnsi="Open Sans"/>
                <w:b w:val="false"/>
                <w:i w:val="false"/>
                <w:caps w:val="false"/>
                <w:smallCaps w:val="false"/>
                <w:color w:val="000000"/>
                <w:spacing w:val="-4"/>
                <w:sz w:val="16"/>
              </w:rPr>
              <w:t>CFV</w:t>
            </w:r>
            <w:r>
              <w:rPr>
                <w:rFonts w:ascii="Open Sans" w:hAnsi="Open Sans"/>
                <w:b w:val="false"/>
                <w:i w:val="false"/>
                <w:caps w:val="false"/>
                <w:smallCaps w:val="false"/>
                <w:color w:val="000000"/>
                <w:sz w:val="16"/>
              </w:rPr>
              <w:t>C</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an</w:t>
            </w:r>
            <w:r>
              <w:rPr>
                <w:rFonts w:ascii="Open Sans" w:hAnsi="Open Sans"/>
                <w:b w:val="false"/>
                <w:i w:val="false"/>
                <w:caps w:val="false"/>
                <w:smallCaps w:val="false"/>
                <w:color w:val="000000"/>
                <w:sz w:val="16"/>
              </w:rPr>
              <w:t>d</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ROI</w:t>
            </w:r>
            <w:r>
              <w:rPr>
                <w:rFonts w:ascii="Open Sans" w:hAnsi="Open Sans"/>
                <w:b w:val="false"/>
                <w:i w:val="false"/>
                <w:caps w:val="false"/>
                <w:smallCaps w:val="false"/>
                <w:color w:val="000000"/>
                <w:sz w:val="16"/>
              </w:rPr>
              <w:t>C</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ar</w:t>
            </w:r>
            <w:r>
              <w:rPr>
                <w:rFonts w:ascii="Open Sans" w:hAnsi="Open Sans"/>
                <w:b w:val="false"/>
                <w:i w:val="false"/>
                <w:caps w:val="false"/>
                <w:smallCaps w:val="false"/>
                <w:color w:val="000000"/>
                <w:sz w:val="16"/>
              </w:rPr>
              <w:t>e</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adjuste</w:t>
            </w:r>
            <w:r>
              <w:rPr>
                <w:rFonts w:ascii="Open Sans" w:hAnsi="Open Sans"/>
                <w:b w:val="false"/>
                <w:i w:val="false"/>
                <w:caps w:val="false"/>
                <w:smallCaps w:val="false"/>
                <w:color w:val="000000"/>
                <w:sz w:val="16"/>
              </w:rPr>
              <w:t>d</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t</w:t>
            </w:r>
            <w:r>
              <w:rPr>
                <w:rFonts w:ascii="Open Sans" w:hAnsi="Open Sans"/>
                <w:b w:val="false"/>
                <w:i w:val="false"/>
                <w:caps w:val="false"/>
                <w:smallCaps w:val="false"/>
                <w:color w:val="000000"/>
                <w:sz w:val="16"/>
              </w:rPr>
              <w:t>o</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exclud</w:t>
            </w:r>
            <w:r>
              <w:rPr>
                <w:rFonts w:ascii="Open Sans" w:hAnsi="Open Sans"/>
                <w:b w:val="false"/>
                <w:i w:val="false"/>
                <w:caps w:val="false"/>
                <w:smallCaps w:val="false"/>
                <w:color w:val="000000"/>
                <w:sz w:val="16"/>
              </w:rPr>
              <w:t>e</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7"/>
                <w:sz w:val="16"/>
              </w:rPr>
              <w:t xml:space="preserve">net </w:t>
            </w:r>
            <w:r>
              <w:rPr>
                <w:rFonts w:ascii="Open Sans" w:hAnsi="Open Sans"/>
                <w:b w:val="false"/>
                <w:i w:val="false"/>
                <w:caps w:val="false"/>
                <w:smallCaps w:val="false"/>
                <w:color w:val="000000"/>
                <w:spacing w:val="-5"/>
                <w:sz w:val="16"/>
              </w:rPr>
              <w:t>gain</w:t>
            </w:r>
            <w:r>
              <w:rPr>
                <w:rFonts w:ascii="Open Sans" w:hAnsi="Open Sans"/>
                <w:b w:val="false"/>
                <w:i w:val="false"/>
                <w:caps w:val="false"/>
                <w:smallCaps w:val="false"/>
                <w:color w:val="000000"/>
                <w:sz w:val="16"/>
              </w:rPr>
              <w:t>s</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o</w:t>
            </w:r>
            <w:r>
              <w:rPr>
                <w:rFonts w:ascii="Open Sans" w:hAnsi="Open Sans"/>
                <w:b w:val="false"/>
                <w:i w:val="false"/>
                <w:caps w:val="false"/>
                <w:smallCaps w:val="false"/>
                <w:color w:val="000000"/>
                <w:sz w:val="16"/>
              </w:rPr>
              <w:t>r</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losse</w:t>
            </w:r>
            <w:r>
              <w:rPr>
                <w:rFonts w:ascii="Open Sans" w:hAnsi="Open Sans"/>
                <w:b w:val="false"/>
                <w:i w:val="false"/>
                <w:caps w:val="false"/>
                <w:smallCaps w:val="false"/>
                <w:color w:val="000000"/>
                <w:sz w:val="16"/>
              </w:rPr>
              <w:t>s</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o</w:t>
            </w:r>
            <w:r>
              <w:rPr>
                <w:rFonts w:ascii="Open Sans" w:hAnsi="Open Sans"/>
                <w:b w:val="false"/>
                <w:i w:val="false"/>
                <w:caps w:val="false"/>
                <w:smallCaps w:val="false"/>
                <w:color w:val="000000"/>
                <w:sz w:val="16"/>
              </w:rPr>
              <w:t>n</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divestitures, impairments of goodwill and other costs and impairments resulting from exiting a business</w:t>
            </w:r>
            <w:r>
              <w:rPr>
                <w:rFonts w:ascii="Open Sans" w:hAnsi="Open Sans"/>
                <w:b w:val="false"/>
                <w:i w:val="false"/>
                <w:caps w:val="false"/>
                <w:smallCaps w:val="false"/>
                <w:color w:val="000000"/>
                <w:sz w:val="16"/>
              </w:rPr>
              <w:t>,</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losse</w:t>
            </w:r>
            <w:r>
              <w:rPr>
                <w:rFonts w:ascii="Open Sans" w:hAnsi="Open Sans"/>
                <w:b w:val="false"/>
                <w:i w:val="false"/>
                <w:caps w:val="false"/>
                <w:smallCaps w:val="false"/>
                <w:color w:val="000000"/>
                <w:sz w:val="16"/>
              </w:rPr>
              <w:t>s</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recorde</w:t>
            </w:r>
            <w:r>
              <w:rPr>
                <w:rFonts w:ascii="Open Sans" w:hAnsi="Open Sans"/>
                <w:b w:val="false"/>
                <w:i w:val="false"/>
                <w:caps w:val="false"/>
                <w:smallCaps w:val="false"/>
                <w:color w:val="000000"/>
                <w:sz w:val="16"/>
              </w:rPr>
              <w:t>d</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o</w:t>
            </w:r>
            <w:r>
              <w:rPr>
                <w:rFonts w:ascii="Open Sans" w:hAnsi="Open Sans"/>
                <w:b w:val="false"/>
                <w:i w:val="false"/>
                <w:caps w:val="false"/>
                <w:smallCaps w:val="false"/>
                <w:color w:val="000000"/>
                <w:sz w:val="16"/>
              </w:rPr>
              <w:t>n</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th</w:t>
            </w:r>
            <w:r>
              <w:rPr>
                <w:rFonts w:ascii="Open Sans" w:hAnsi="Open Sans"/>
                <w:b w:val="false"/>
                <w:i w:val="false"/>
                <w:caps w:val="false"/>
                <w:smallCaps w:val="false"/>
                <w:color w:val="000000"/>
                <w:sz w:val="16"/>
              </w:rPr>
              <w:t>e</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extinguishmen</w:t>
            </w:r>
            <w:r>
              <w:rPr>
                <w:rFonts w:ascii="Open Sans" w:hAnsi="Open Sans"/>
                <w:b w:val="false"/>
                <w:i w:val="false"/>
                <w:caps w:val="false"/>
                <w:smallCaps w:val="false"/>
                <w:color w:val="000000"/>
                <w:sz w:val="16"/>
              </w:rPr>
              <w:t>t</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o</w:t>
            </w:r>
            <w:r>
              <w:rPr>
                <w:rFonts w:ascii="Open Sans" w:hAnsi="Open Sans"/>
                <w:b w:val="false"/>
                <w:i w:val="false"/>
                <w:caps w:val="false"/>
                <w:smallCaps w:val="false"/>
                <w:color w:val="000000"/>
                <w:sz w:val="16"/>
              </w:rPr>
              <w:t>f</w:t>
            </w:r>
            <w:r>
              <w:rPr>
                <w:b w:val="false"/>
                <w:i w:val="false"/>
                <w:caps w:val="false"/>
                <w:smallCaps w:val="false"/>
                <w:color w:val="000000"/>
                <w:spacing w:val="-6"/>
              </w:rPr>
              <w:t xml:space="preserve"> </w:t>
            </w:r>
            <w:r>
              <w:rPr>
                <w:rFonts w:ascii="Open Sans" w:hAnsi="Open Sans"/>
                <w:b w:val="false"/>
                <w:i w:val="false"/>
                <w:caps w:val="false"/>
                <w:smallCaps w:val="false"/>
                <w:color w:val="000000"/>
                <w:spacing w:val="-5"/>
                <w:sz w:val="16"/>
              </w:rPr>
              <w:t>deb</w:t>
            </w:r>
            <w:r>
              <w:rPr>
                <w:rFonts w:ascii="Open Sans" w:hAnsi="Open Sans"/>
                <w:b w:val="false"/>
                <w:i w:val="false"/>
                <w:caps w:val="false"/>
                <w:smallCaps w:val="false"/>
                <w:color w:val="000000"/>
                <w:sz w:val="16"/>
              </w:rPr>
              <w:t>t</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5"/>
                <w:sz w:val="16"/>
              </w:rPr>
              <w:t>instrument</w:t>
            </w:r>
            <w:r>
              <w:rPr>
                <w:rFonts w:ascii="Open Sans" w:hAnsi="Open Sans"/>
                <w:b w:val="false"/>
                <w:i w:val="false"/>
                <w:caps w:val="false"/>
                <w:smallCaps w:val="false"/>
                <w:color w:val="000000"/>
                <w:spacing w:val="-4"/>
                <w:sz w:val="16"/>
              </w:rPr>
              <w:t>s</w:t>
            </w:r>
            <w:r>
              <w:rPr>
                <w:rFonts w:ascii="Open Sans" w:hAnsi="Open Sans"/>
                <w:b w:val="false"/>
                <w:i w:val="false"/>
                <w:caps w:val="false"/>
                <w:smallCaps w:val="false"/>
                <w:color w:val="000000"/>
                <w:sz w:val="16"/>
              </w:rPr>
              <w:t>,</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costs associate</w:t>
            </w:r>
            <w:r>
              <w:rPr>
                <w:rFonts w:ascii="Open Sans" w:hAnsi="Open Sans"/>
                <w:b w:val="false"/>
                <w:i w:val="false"/>
                <w:caps w:val="false"/>
                <w:smallCaps w:val="false"/>
                <w:color w:val="000000"/>
                <w:sz w:val="16"/>
              </w:rPr>
              <w:t>d</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wit</w:t>
            </w:r>
            <w:r>
              <w:rPr>
                <w:rFonts w:ascii="Open Sans" w:hAnsi="Open Sans"/>
                <w:b w:val="false"/>
                <w:i w:val="false"/>
                <w:caps w:val="false"/>
                <w:smallCaps w:val="false"/>
                <w:color w:val="000000"/>
                <w:sz w:val="16"/>
              </w:rPr>
              <w:t>h</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withdrawa</w:t>
            </w:r>
            <w:r>
              <w:rPr>
                <w:rFonts w:ascii="Open Sans" w:hAnsi="Open Sans"/>
                <w:b w:val="false"/>
                <w:i w:val="false"/>
                <w:caps w:val="false"/>
                <w:smallCaps w:val="false"/>
                <w:color w:val="000000"/>
                <w:sz w:val="16"/>
              </w:rPr>
              <w:t>l</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fro</w:t>
            </w:r>
            <w:r>
              <w:rPr>
                <w:rFonts w:ascii="Open Sans" w:hAnsi="Open Sans"/>
                <w:b w:val="false"/>
                <w:i w:val="false"/>
                <w:caps w:val="false"/>
                <w:smallCaps w:val="false"/>
                <w:color w:val="000000"/>
                <w:sz w:val="16"/>
              </w:rPr>
              <w:t>m</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o</w:t>
            </w:r>
            <w:r>
              <w:rPr>
                <w:rFonts w:ascii="Open Sans" w:hAnsi="Open Sans"/>
                <w:b w:val="false"/>
                <w:i w:val="false"/>
                <w:caps w:val="false"/>
                <w:smallCaps w:val="false"/>
                <w:color w:val="000000"/>
                <w:sz w:val="16"/>
              </w:rPr>
              <w:t>r</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terminatio</w:t>
            </w:r>
            <w:r>
              <w:rPr>
                <w:rFonts w:ascii="Open Sans" w:hAnsi="Open Sans"/>
                <w:b w:val="false"/>
                <w:i w:val="false"/>
                <w:caps w:val="false"/>
                <w:smallCaps w:val="false"/>
                <w:color w:val="000000"/>
                <w:sz w:val="16"/>
              </w:rPr>
              <w:t>n</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o</w:t>
            </w:r>
            <w:r>
              <w:rPr>
                <w:rFonts w:ascii="Open Sans" w:hAnsi="Open Sans"/>
                <w:b w:val="false"/>
                <w:i w:val="false"/>
                <w:caps w:val="false"/>
                <w:smallCaps w:val="false"/>
                <w:color w:val="000000"/>
                <w:sz w:val="16"/>
              </w:rPr>
              <w:t>f</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multi-employe</w:t>
            </w:r>
            <w:r>
              <w:rPr>
                <w:rFonts w:ascii="Open Sans" w:hAnsi="Open Sans"/>
                <w:b w:val="false"/>
                <w:i w:val="false"/>
                <w:caps w:val="false"/>
                <w:smallCaps w:val="false"/>
                <w:color w:val="000000"/>
                <w:sz w:val="16"/>
              </w:rPr>
              <w:t>r</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pensio</w:t>
            </w:r>
            <w:r>
              <w:rPr>
                <w:rFonts w:ascii="Open Sans" w:hAnsi="Open Sans"/>
                <w:b w:val="false"/>
                <w:i w:val="false"/>
                <w:caps w:val="false"/>
                <w:smallCaps w:val="false"/>
                <w:color w:val="000000"/>
                <w:sz w:val="16"/>
              </w:rPr>
              <w:t>n</w:t>
            </w:r>
            <w:r>
              <w:rPr>
                <w:b w:val="false"/>
                <w:i w:val="false"/>
                <w:caps w:val="false"/>
                <w:smallCaps w:val="false"/>
                <w:color w:val="000000"/>
                <w:spacing w:val="-7"/>
              </w:rPr>
              <w:t xml:space="preserve"> </w:t>
            </w:r>
            <w:r>
              <w:rPr>
                <w:rFonts w:ascii="Open Sans" w:hAnsi="Open Sans"/>
                <w:b w:val="false"/>
                <w:i w:val="false"/>
                <w:caps w:val="false"/>
                <w:smallCaps w:val="false"/>
                <w:color w:val="000000"/>
                <w:spacing w:val="-4"/>
                <w:sz w:val="16"/>
              </w:rPr>
              <w:t>plans, material changes caused by new accounting rules or new interpretations of previous accounting rules and other similar events or circumstances</w:t>
            </w:r>
            <w:r>
              <w:rPr>
                <w:rFonts w:ascii="Open Sans" w:hAnsi="Open Sans"/>
                <w:b w:val="false"/>
                <w:i w:val="false"/>
                <w:caps w:val="false"/>
                <w:smallCaps w:val="false"/>
                <w:color w:val="000000"/>
                <w:sz w:val="16"/>
              </w:rPr>
              <w:t>.</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12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120" w:after="0"/>
              <w:rPr>
                <w:caps w:val="false"/>
                <w:smallCaps w:val="false"/>
                <w:color w:val="004A7C"/>
              </w:rPr>
            </w:pPr>
            <w:r>
              <w:rPr>
                <w:caps w:val="false"/>
                <w:smallCaps w:val="false"/>
                <w:color w:val="004A7C"/>
              </w:rPr>
              <w:t>•</w:t>
            </w:r>
          </w:p>
        </w:tc>
        <w:tc>
          <w:tcPr>
            <w:tcW w:w="10369" w:type="dxa"/>
            <w:tcBorders/>
            <w:shd w:fill="auto" w:val="clear"/>
          </w:tcPr>
          <w:p>
            <w:pPr>
              <w:pStyle w:val="TableContents"/>
              <w:spacing w:before="120" w:after="0"/>
              <w:rPr>
                <w:rFonts w:ascii="Open Sans" w:hAnsi="Open Sans"/>
                <w:b w:val="false"/>
                <w:i w:val="false"/>
                <w:caps w:val="false"/>
                <w:smallCaps w:val="false"/>
                <w:color w:val="004A7C"/>
                <w:sz w:val="16"/>
              </w:rPr>
            </w:pPr>
            <w:r>
              <w:rPr>
                <w:rFonts w:ascii="Open Sans" w:hAnsi="Open Sans"/>
                <w:b/>
                <w:i w:val="false"/>
                <w:caps w:val="false"/>
                <w:smallCaps w:val="false"/>
                <w:color w:val="004A7C"/>
                <w:sz w:val="16"/>
              </w:rPr>
              <w:t xml:space="preserve">Annual incentive metrics </w:t>
            </w:r>
            <w:r>
              <w:rPr>
                <w:rFonts w:ascii="Open Sans" w:hAnsi="Open Sans"/>
                <w:b w:val="false"/>
                <w:i w:val="false"/>
                <w:caps w:val="false"/>
                <w:smallCaps w:val="false"/>
                <w:color w:val="000000"/>
                <w:sz w:val="16"/>
              </w:rPr>
              <w:t>are designed to encourage profitably growing the business, and are widely accepted by the investment community as two important ways to measure a company’s worth. They are:</w:t>
            </w:r>
          </w:p>
        </w:tc>
      </w:tr>
    </w:tbl>
    <w:tbl>
      <w:tblPr>
        <w:tblW w:w="2065" w:type="dxa"/>
        <w:jc w:val="left"/>
        <w:tblInd w:w="0" w:type="dxa"/>
        <w:tblCellMar>
          <w:top w:w="0" w:type="dxa"/>
          <w:left w:w="0" w:type="dxa"/>
          <w:bottom w:w="0" w:type="dxa"/>
          <w:right w:w="0" w:type="dxa"/>
        </w:tblCellMar>
      </w:tblPr>
      <w:tblGrid>
        <w:gridCol w:w="60"/>
        <w:gridCol w:w="110"/>
        <w:gridCol w:w="189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895" w:type="dxa"/>
            <w:tcBorders/>
            <w:shd w:fill="auto" w:val="clear"/>
          </w:tcPr>
          <w:p>
            <w:pPr>
              <w:pStyle w:val="TableContents"/>
              <w:spacing w:before="0" w:after="0"/>
              <w:rPr>
                <w:rFonts w:ascii="Open Sans" w:hAnsi="Open Sans"/>
                <w:b/>
                <w:i w:val="false"/>
                <w:caps w:val="false"/>
                <w:smallCaps w:val="false"/>
                <w:color w:val="000000"/>
                <w:sz w:val="16"/>
              </w:rPr>
            </w:pPr>
            <w:r>
              <w:rPr>
                <w:rFonts w:ascii="Open Sans" w:hAnsi="Open Sans"/>
                <w:b/>
                <w:i w:val="false"/>
                <w:caps w:val="false"/>
                <w:smallCaps w:val="false"/>
                <w:color w:val="000000"/>
                <w:sz w:val="16"/>
              </w:rPr>
              <w:t>EPS Measure (50%):</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618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focused on growth drivers that management can control or influence; and</w:t>
            </w:r>
          </w:p>
        </w:tc>
      </w:tr>
    </w:tbl>
    <w:tbl>
      <w:tblPr>
        <w:tblW w:w="9115" w:type="dxa"/>
        <w:jc w:val="left"/>
        <w:tblInd w:w="0" w:type="dxa"/>
        <w:tblCellMar>
          <w:top w:w="0" w:type="dxa"/>
          <w:left w:w="0" w:type="dxa"/>
          <w:bottom w:w="0" w:type="dxa"/>
          <w:right w:w="0" w:type="dxa"/>
        </w:tblCellMar>
      </w:tblPr>
      <w:tblGrid>
        <w:gridCol w:w="60"/>
        <w:gridCol w:w="110"/>
        <w:gridCol w:w="894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894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computed on a per-share basis, which incorporates the dilutive impact to shareholders from issuing equity.</w:t>
            </w:r>
          </w:p>
        </w:tc>
      </w:tr>
    </w:tbl>
    <w:tbl>
      <w:tblPr>
        <w:tblW w:w="2065" w:type="dxa"/>
        <w:jc w:val="left"/>
        <w:tblInd w:w="0" w:type="dxa"/>
        <w:tblCellMar>
          <w:top w:w="0" w:type="dxa"/>
          <w:left w:w="0" w:type="dxa"/>
          <w:bottom w:w="0" w:type="dxa"/>
          <w:right w:w="0" w:type="dxa"/>
        </w:tblCellMar>
      </w:tblPr>
      <w:tblGrid>
        <w:gridCol w:w="60"/>
        <w:gridCol w:w="110"/>
        <w:gridCol w:w="189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895" w:type="dxa"/>
            <w:tcBorders/>
            <w:shd w:fill="auto" w:val="clear"/>
          </w:tcPr>
          <w:p>
            <w:pPr>
              <w:pStyle w:val="TableContents"/>
              <w:spacing w:before="0" w:after="0"/>
              <w:rPr>
                <w:rFonts w:ascii="Open Sans" w:hAnsi="Open Sans"/>
                <w:b/>
                <w:i w:val="false"/>
                <w:caps w:val="false"/>
                <w:smallCaps w:val="false"/>
                <w:color w:val="000000"/>
                <w:sz w:val="16"/>
              </w:rPr>
            </w:pPr>
            <w:r>
              <w:rPr>
                <w:rFonts w:ascii="Open Sans" w:hAnsi="Open Sans"/>
                <w:b/>
                <w:i w:val="false"/>
                <w:caps w:val="false"/>
                <w:smallCaps w:val="false"/>
                <w:color w:val="000000"/>
                <w:sz w:val="16"/>
              </w:rPr>
              <w:t>FCF Measure (50%):</w:t>
            </w:r>
          </w:p>
        </w:tc>
      </w:tr>
    </w:tbl>
    <w:tbl>
      <w:tblPr>
        <w:tblW w:w="3535" w:type="dxa"/>
        <w:jc w:val="left"/>
        <w:tblInd w:w="0" w:type="dxa"/>
        <w:tblCellMar>
          <w:top w:w="0" w:type="dxa"/>
          <w:left w:w="0" w:type="dxa"/>
          <w:bottom w:w="0" w:type="dxa"/>
          <w:right w:w="0" w:type="dxa"/>
        </w:tblCellMar>
      </w:tblPr>
      <w:tblGrid>
        <w:gridCol w:w="60"/>
        <w:gridCol w:w="110"/>
        <w:gridCol w:w="336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336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emphasizes the quality of earnings; and</w:t>
            </w:r>
          </w:p>
        </w:tc>
      </w:tr>
    </w:tbl>
    <w:tbl>
      <w:tblPr>
        <w:tblW w:w="7060" w:type="dxa"/>
        <w:jc w:val="left"/>
        <w:tblInd w:w="0" w:type="dxa"/>
        <w:tblCellMar>
          <w:top w:w="0" w:type="dxa"/>
          <w:left w:w="0" w:type="dxa"/>
          <w:bottom w:w="0" w:type="dxa"/>
          <w:right w:w="0" w:type="dxa"/>
        </w:tblCellMar>
      </w:tblPr>
      <w:tblGrid>
        <w:gridCol w:w="60"/>
        <w:gridCol w:w="110"/>
        <w:gridCol w:w="689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689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incorporates the level of capital expenditures deployed to generate future growth.</w:t>
            </w:r>
          </w:p>
        </w:tc>
      </w:tr>
    </w:tbl>
    <w:tbl>
      <w:tblPr>
        <w:tblW w:w="4045" w:type="dxa"/>
        <w:jc w:val="left"/>
        <w:tblInd w:w="0" w:type="dxa"/>
        <w:tblCellMar>
          <w:top w:w="0" w:type="dxa"/>
          <w:left w:w="0" w:type="dxa"/>
          <w:bottom w:w="0" w:type="dxa"/>
          <w:right w:w="0" w:type="dxa"/>
        </w:tblCellMar>
      </w:tblPr>
      <w:tblGrid>
        <w:gridCol w:w="60"/>
        <w:gridCol w:w="110"/>
        <w:gridCol w:w="387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3875" w:type="dxa"/>
            <w:tcBorders/>
            <w:shd w:fill="auto" w:val="clear"/>
          </w:tcPr>
          <w:p>
            <w:pPr>
              <w:pStyle w:val="TableContents"/>
              <w:spacing w:before="0" w:after="0"/>
              <w:rPr>
                <w:rFonts w:ascii="Open Sans" w:hAnsi="Open Sans"/>
                <w:b/>
                <w:i w:val="false"/>
                <w:caps w:val="false"/>
                <w:smallCaps w:val="false"/>
                <w:color w:val="000000"/>
                <w:sz w:val="16"/>
              </w:rPr>
            </w:pPr>
            <w:r>
              <w:rPr>
                <w:rFonts w:ascii="Open Sans" w:hAnsi="Open Sans"/>
                <w:b/>
                <w:i w:val="false"/>
                <w:caps w:val="false"/>
                <w:smallCaps w:val="false"/>
                <w:color w:val="000000"/>
                <w:sz w:val="16"/>
              </w:rPr>
              <w:t>Sustainability Adjustment (new in 2022):</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0369"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additional adjustment, up or down by up to 10%, based on the Company’s interim performance on safety, talent and climate leadership goals.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12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120" w:after="0"/>
              <w:rPr>
                <w:caps w:val="false"/>
                <w:smallCaps w:val="false"/>
                <w:color w:val="004A7C"/>
              </w:rPr>
            </w:pPr>
            <w:r>
              <w:rPr>
                <w:caps w:val="false"/>
                <w:smallCaps w:val="false"/>
                <w:color w:val="004A7C"/>
              </w:rPr>
              <w:t>•</w:t>
            </w:r>
          </w:p>
        </w:tc>
        <w:tc>
          <w:tcPr>
            <w:tcW w:w="10369" w:type="dxa"/>
            <w:tcBorders/>
            <w:shd w:fill="auto" w:val="clear"/>
          </w:tcPr>
          <w:p>
            <w:pPr>
              <w:pStyle w:val="TableContents"/>
              <w:spacing w:before="120" w:after="0"/>
              <w:rPr>
                <w:rFonts w:ascii="Calibri" w:hAnsi="Calibri"/>
                <w:b w:val="false"/>
                <w:i w:val="false"/>
                <w:caps w:val="false"/>
                <w:smallCaps w:val="false"/>
                <w:color w:val="004A7C"/>
                <w:sz w:val="16"/>
              </w:rPr>
            </w:pPr>
            <w:r>
              <w:rPr>
                <w:rFonts w:ascii="Open Sans" w:hAnsi="Open Sans"/>
                <w:b/>
                <w:i w:val="false"/>
                <w:caps w:val="false"/>
                <w:smallCaps w:val="false"/>
                <w:color w:val="004A7C"/>
                <w:sz w:val="16"/>
              </w:rPr>
              <w:t xml:space="preserve">Long-term incentive compensation </w:t>
            </w:r>
            <w:r>
              <w:rPr>
                <w:rFonts w:ascii="Open Sans" w:hAnsi="Open Sans"/>
                <w:b w:val="false"/>
                <w:i w:val="false"/>
                <w:caps w:val="false"/>
                <w:smallCaps w:val="false"/>
                <w:color w:val="000000"/>
                <w:sz w:val="16"/>
              </w:rPr>
              <w:t>metrics are designed to grow our capacity to generate future earnings rather than “harvesting the business.” This is accomplished by focusing on three-year goals based on the following metrics:</w:t>
            </w:r>
          </w:p>
        </w:tc>
      </w:tr>
    </w:tbl>
    <w:tbl>
      <w:tblPr>
        <w:tblW w:w="1300" w:type="dxa"/>
        <w:jc w:val="left"/>
        <w:tblInd w:w="0" w:type="dxa"/>
        <w:tblCellMar>
          <w:top w:w="0" w:type="dxa"/>
          <w:left w:w="0" w:type="dxa"/>
          <w:bottom w:w="0" w:type="dxa"/>
          <w:right w:w="0" w:type="dxa"/>
        </w:tblCellMar>
      </w:tblPr>
      <w:tblGrid>
        <w:gridCol w:w="60"/>
        <w:gridCol w:w="110"/>
        <w:gridCol w:w="113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130" w:type="dxa"/>
            <w:tcBorders/>
            <w:shd w:fill="auto" w:val="clear"/>
          </w:tcPr>
          <w:p>
            <w:pPr>
              <w:pStyle w:val="TableContents"/>
              <w:spacing w:before="0" w:after="0"/>
              <w:rPr>
                <w:rFonts w:ascii="Open Sans" w:hAnsi="Open Sans"/>
                <w:b/>
                <w:i w:val="false"/>
                <w:caps w:val="false"/>
                <w:smallCaps w:val="false"/>
                <w:color w:val="000000"/>
                <w:sz w:val="16"/>
              </w:rPr>
            </w:pPr>
            <w:r>
              <w:rPr>
                <w:rFonts w:ascii="Open Sans" w:hAnsi="Open Sans"/>
                <w:b/>
                <w:i w:val="false"/>
                <w:caps w:val="false"/>
                <w:smallCaps w:val="false"/>
                <w:color w:val="000000"/>
                <w:sz w:val="16"/>
              </w:rPr>
              <w:t>ROIC (40%):</w:t>
            </w:r>
          </w:p>
        </w:tc>
      </w:tr>
    </w:tbl>
    <w:tbl>
      <w:tblPr>
        <w:tblW w:w="3925" w:type="dxa"/>
        <w:jc w:val="left"/>
        <w:tblInd w:w="0" w:type="dxa"/>
        <w:tblCellMar>
          <w:top w:w="0" w:type="dxa"/>
          <w:left w:w="0" w:type="dxa"/>
          <w:bottom w:w="0" w:type="dxa"/>
          <w:right w:w="0" w:type="dxa"/>
        </w:tblCellMar>
      </w:tblPr>
      <w:tblGrid>
        <w:gridCol w:w="60"/>
        <w:gridCol w:w="110"/>
        <w:gridCol w:w="375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375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emphasizes maximizing investment returns;</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554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focuses management on cost controls and margin expansion; and</w:t>
            </w:r>
          </w:p>
        </w:tc>
      </w:tr>
    </w:tbl>
    <w:tbl>
      <w:tblPr>
        <w:tblW w:w="5515" w:type="dxa"/>
        <w:jc w:val="left"/>
        <w:tblInd w:w="0" w:type="dxa"/>
        <w:tblCellMar>
          <w:top w:w="0" w:type="dxa"/>
          <w:left w:w="0" w:type="dxa"/>
          <w:bottom w:w="0" w:type="dxa"/>
          <w:right w:w="0" w:type="dxa"/>
        </w:tblCellMar>
      </w:tblPr>
      <w:tblGrid>
        <w:gridCol w:w="60"/>
        <w:gridCol w:w="110"/>
        <w:gridCol w:w="534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534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incentivizes management to make better use of existing assets.</w:t>
            </w:r>
          </w:p>
        </w:tc>
      </w:tr>
    </w:tbl>
    <w:tbl>
      <w:tblPr>
        <w:tblW w:w="4915" w:type="dxa"/>
        <w:jc w:val="left"/>
        <w:tblInd w:w="0" w:type="dxa"/>
        <w:tblCellMar>
          <w:top w:w="0" w:type="dxa"/>
          <w:left w:w="0" w:type="dxa"/>
          <w:bottom w:w="0" w:type="dxa"/>
          <w:right w:w="0" w:type="dxa"/>
        </w:tblCellMar>
      </w:tblPr>
      <w:tblGrid>
        <w:gridCol w:w="60"/>
        <w:gridCol w:w="110"/>
        <w:gridCol w:w="474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4745" w:type="dxa"/>
            <w:tcBorders/>
            <w:shd w:fill="auto" w:val="clear"/>
          </w:tcPr>
          <w:p>
            <w:pPr>
              <w:pStyle w:val="TableContents"/>
              <w:spacing w:before="0" w:after="0"/>
              <w:rPr>
                <w:rFonts w:ascii="Open Sans" w:hAnsi="Open Sans"/>
                <w:b/>
                <w:i w:val="false"/>
                <w:caps w:val="false"/>
                <w:smallCaps w:val="false"/>
                <w:color w:val="000000"/>
                <w:sz w:val="16"/>
              </w:rPr>
            </w:pPr>
            <w:r>
              <w:rPr>
                <w:rFonts w:ascii="Open Sans" w:hAnsi="Open Sans"/>
                <w:b/>
                <w:i w:val="false"/>
                <w:caps w:val="false"/>
                <w:smallCaps w:val="false"/>
                <w:color w:val="000000"/>
                <w:sz w:val="16"/>
              </w:rPr>
              <w:t>CFVC – a measure of economic value added (40%):</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536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focuses on building the business with an emphasis on cash flow;</w:t>
            </w:r>
          </w:p>
        </w:tc>
      </w:tr>
    </w:tbl>
    <w:tbl>
      <w:tblPr>
        <w:tblW w:w="5995" w:type="dxa"/>
        <w:jc w:val="left"/>
        <w:tblInd w:w="0" w:type="dxa"/>
        <w:tblCellMar>
          <w:top w:w="0" w:type="dxa"/>
          <w:left w:w="0" w:type="dxa"/>
          <w:bottom w:w="0" w:type="dxa"/>
          <w:right w:w="0" w:type="dxa"/>
        </w:tblCellMar>
      </w:tblPr>
      <w:tblGrid>
        <w:gridCol w:w="60"/>
        <w:gridCol w:w="110"/>
        <w:gridCol w:w="582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582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includes a capital charge to promote disciplined capital spending; and</w:t>
            </w:r>
          </w:p>
        </w:tc>
      </w:tr>
    </w:tbl>
    <w:tbl>
      <w:tblPr>
        <w:tblW w:w="6370" w:type="dxa"/>
        <w:jc w:val="left"/>
        <w:tblInd w:w="0" w:type="dxa"/>
        <w:tblCellMar>
          <w:top w:w="0" w:type="dxa"/>
          <w:left w:w="0" w:type="dxa"/>
          <w:bottom w:w="0" w:type="dxa"/>
          <w:right w:w="0" w:type="dxa"/>
        </w:tblCellMar>
      </w:tblPr>
      <w:tblGrid>
        <w:gridCol w:w="60"/>
        <w:gridCol w:w="110"/>
        <w:gridCol w:w="620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620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ensures alignment of goals and objectives at all levels of the organization.</w:t>
            </w:r>
          </w:p>
        </w:tc>
      </w:tr>
    </w:tbl>
    <w:tbl>
      <w:tblPr>
        <w:tblW w:w="1345" w:type="dxa"/>
        <w:jc w:val="left"/>
        <w:tblInd w:w="0" w:type="dxa"/>
        <w:tblCellMar>
          <w:top w:w="0" w:type="dxa"/>
          <w:left w:w="0" w:type="dxa"/>
          <w:bottom w:w="0" w:type="dxa"/>
          <w:right w:w="0" w:type="dxa"/>
        </w:tblCellMar>
      </w:tblPr>
      <w:tblGrid>
        <w:gridCol w:w="60"/>
        <w:gridCol w:w="110"/>
        <w:gridCol w:w="117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1175" w:type="dxa"/>
            <w:tcBorders/>
            <w:shd w:fill="auto" w:val="clear"/>
          </w:tcPr>
          <w:p>
            <w:pPr>
              <w:pStyle w:val="TableContents"/>
              <w:spacing w:before="0" w:after="0"/>
              <w:rPr>
                <w:rFonts w:ascii="Open Sans" w:hAnsi="Open Sans"/>
                <w:b/>
                <w:i w:val="false"/>
                <w:caps w:val="false"/>
                <w:smallCaps w:val="false"/>
                <w:color w:val="000000"/>
                <w:sz w:val="16"/>
              </w:rPr>
            </w:pPr>
            <w:r>
              <w:rPr>
                <w:rFonts w:ascii="Open Sans" w:hAnsi="Open Sans"/>
                <w:b/>
                <w:i w:val="false"/>
                <w:caps w:val="false"/>
                <w:smallCaps w:val="false"/>
                <w:color w:val="000000"/>
                <w:sz w:val="16"/>
              </w:rPr>
              <w:t>RTSR (20%):</w:t>
            </w:r>
          </w:p>
        </w:tc>
      </w:tr>
    </w:tbl>
    <w:tbl>
      <w:tblPr>
        <w:tblW w:w="3910" w:type="dxa"/>
        <w:jc w:val="left"/>
        <w:tblInd w:w="0" w:type="dxa"/>
        <w:tblCellMar>
          <w:top w:w="0" w:type="dxa"/>
          <w:left w:w="0" w:type="dxa"/>
          <w:bottom w:w="0" w:type="dxa"/>
          <w:right w:w="0" w:type="dxa"/>
        </w:tblCellMar>
      </w:tblPr>
      <w:tblGrid>
        <w:gridCol w:w="60"/>
        <w:gridCol w:w="110"/>
        <w:gridCol w:w="3740"/>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3740"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aligned with the investment community; and</w:t>
            </w:r>
          </w:p>
        </w:tc>
      </w:tr>
    </w:tbl>
    <w:tbl>
      <w:tblPr>
        <w:tblW w:w="8215" w:type="dxa"/>
        <w:jc w:val="left"/>
        <w:tblInd w:w="0" w:type="dxa"/>
        <w:tblCellMar>
          <w:top w:w="0" w:type="dxa"/>
          <w:left w:w="0" w:type="dxa"/>
          <w:bottom w:w="0" w:type="dxa"/>
          <w:right w:w="0" w:type="dxa"/>
        </w:tblCellMar>
      </w:tblPr>
      <w:tblGrid>
        <w:gridCol w:w="60"/>
        <w:gridCol w:w="110"/>
        <w:gridCol w:w="8045"/>
      </w:tblGrid>
      <w:tr>
        <w:trPr/>
        <w:tc>
          <w:tcPr>
            <w:tcW w:w="60" w:type="dxa"/>
            <w:tcBorders/>
            <w:shd w:fill="auto" w:val="clear"/>
          </w:tcPr>
          <w:p>
            <w:pPr>
              <w:pStyle w:val="TableContents"/>
              <w:spacing w:before="0" w:after="0"/>
              <w:rPr>
                <w:caps w:val="false"/>
                <w:smallCaps w:val="false"/>
                <w:color w:val="004A7C"/>
              </w:rPr>
            </w:pPr>
            <w:r>
              <w:rPr>
                <w:caps w:val="false"/>
                <w:smallCaps w:val="false"/>
                <w:color w:val="004A7C"/>
              </w:rPr>
              <w:t> </w:t>
            </w:r>
          </w:p>
        </w:tc>
        <w:tc>
          <w:tcPr>
            <w:tcW w:w="110" w:type="dxa"/>
            <w:tcBorders/>
            <w:shd w:fill="auto" w:val="clear"/>
          </w:tcPr>
          <w:p>
            <w:pPr>
              <w:pStyle w:val="TableContents"/>
              <w:spacing w:before="0" w:after="0"/>
              <w:rPr>
                <w:caps w:val="false"/>
                <w:smallCaps w:val="false"/>
                <w:color w:val="004A7C"/>
              </w:rPr>
            </w:pPr>
            <w:r>
              <w:rPr>
                <w:caps w:val="false"/>
                <w:smallCaps w:val="false"/>
                <w:color w:val="004A7C"/>
              </w:rPr>
              <w:t>•</w:t>
            </w:r>
          </w:p>
        </w:tc>
        <w:tc>
          <w:tcPr>
            <w:tcW w:w="8045" w:type="dxa"/>
            <w:tcBorders/>
            <w:shd w:fill="auto" w:val="clear"/>
          </w:tcPr>
          <w:p>
            <w:pPr>
              <w:pStyle w:val="TableContents"/>
              <w:spacing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a relative measure so management is not rewarded or penalized for broader market conditions.</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60"/>
        <w:gridCol w:w="10419"/>
        <w:gridCol w:w="60"/>
      </w:tblGrid>
      <w:tr>
        <w:trPr/>
        <w:tc>
          <w:tcPr>
            <w:tcW w:w="60" w:type="dxa"/>
            <w:tcBorders/>
            <w:shd w:fill="D8E1E9" w:val="clear"/>
          </w:tcPr>
          <w:p>
            <w:pPr>
              <w:pStyle w:val="TableContents"/>
              <w:spacing w:before="0" w:after="0"/>
              <w:ind w:left="0" w:right="0" w:hanging="0"/>
              <w:rPr/>
            </w:pPr>
            <w:r>
              <w:rPr/>
              <w:t> </w:t>
            </w:r>
          </w:p>
        </w:tc>
        <w:tc>
          <w:tcPr>
            <w:tcW w:w="10419" w:type="dxa"/>
            <w:tcBorders/>
            <w:shd w:fill="D8E1E9" w:val="clear"/>
          </w:tcPr>
          <w:p>
            <w:pPr>
              <w:pStyle w:val="TableContents"/>
              <w:spacing w:before="120" w:after="120"/>
              <w:ind w:left="0" w:right="0" w:hanging="0"/>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Our annual incentive for senior executives including our NEOs is subject to an adjustment up or down by up to 10% based on the Company’s interim performance on safety, talent and climate leadership goals.</w:t>
            </w:r>
          </w:p>
        </w:tc>
        <w:tc>
          <w:tcPr>
            <w:tcW w:w="60" w:type="dxa"/>
            <w:tcBorders/>
            <w:shd w:fill="D8E1E9"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55</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Although the FCF Measure used for our annual incentive and the CFVC used for our LTIs may appear similar, the measures are distinct and support different objectives.</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505"/>
        <w:gridCol w:w="4677"/>
        <w:gridCol w:w="4357"/>
      </w:tblGrid>
      <w:tr>
        <w:trPr/>
        <w:tc>
          <w:tcPr>
            <w:tcW w:w="1505" w:type="dxa"/>
            <w:tcBorders/>
            <w:shd w:fill="auto" w:val="clear"/>
            <w:vAlign w:val="center"/>
          </w:tcPr>
          <w:p>
            <w:pPr>
              <w:pStyle w:val="TableContents"/>
              <w:spacing w:before="0" w:after="283"/>
              <w:rPr>
                <w:sz w:val="4"/>
                <w:szCs w:val="4"/>
              </w:rPr>
            </w:pPr>
            <w:r>
              <w:rPr>
                <w:sz w:val="4"/>
                <w:szCs w:val="4"/>
              </w:rPr>
            </w:r>
          </w:p>
        </w:tc>
        <w:tc>
          <w:tcPr>
            <w:tcW w:w="4677" w:type="dxa"/>
            <w:tcBorders/>
            <w:shd w:fill="auto" w:val="clear"/>
            <w:vAlign w:val="center"/>
          </w:tcPr>
          <w:p>
            <w:pPr>
              <w:pStyle w:val="TableContents"/>
              <w:spacing w:before="0" w:after="283"/>
              <w:rPr>
                <w:sz w:val="4"/>
                <w:szCs w:val="4"/>
              </w:rPr>
            </w:pPr>
            <w:r>
              <w:rPr>
                <w:sz w:val="4"/>
                <w:szCs w:val="4"/>
              </w:rPr>
            </w:r>
          </w:p>
        </w:tc>
        <w:tc>
          <w:tcPr>
            <w:tcW w:w="4357" w:type="dxa"/>
            <w:tcBorders/>
            <w:shd w:fill="auto" w:val="clear"/>
            <w:vAlign w:val="center"/>
          </w:tcPr>
          <w:p>
            <w:pPr>
              <w:pStyle w:val="TableContents"/>
              <w:spacing w:before="0" w:after="283"/>
              <w:rPr>
                <w:sz w:val="4"/>
                <w:szCs w:val="4"/>
              </w:rPr>
            </w:pPr>
            <w:r>
              <w:rPr>
                <w:sz w:val="4"/>
                <w:szCs w:val="4"/>
              </w:rPr>
            </w:r>
          </w:p>
        </w:tc>
      </w:tr>
      <w:tr>
        <w:trPr/>
        <w:tc>
          <w:tcPr>
            <w:tcW w:w="1505" w:type="dxa"/>
            <w:tcBorders>
              <w:bottom w:val="single" w:sz="6" w:space="0" w:color="D8E1E9"/>
            </w:tcBorders>
            <w:shd w:fill="auto" w:val="clear"/>
            <w:tcMar>
              <w:bottom w:w="28" w:type="dxa"/>
            </w:tcMar>
            <w:vAlign w:val="bottom"/>
          </w:tcPr>
          <w:p>
            <w:pPr>
              <w:pStyle w:val="TableContents"/>
              <w:spacing w:before="0" w:after="60"/>
              <w:ind w:left="0" w:right="0" w:hanging="0"/>
              <w:jc w:val="center"/>
              <w:rPr/>
            </w:pPr>
            <w:r>
              <w:rPr/>
              <w:t> </w:t>
            </w:r>
          </w:p>
        </w:tc>
        <w:tc>
          <w:tcPr>
            <w:tcW w:w="4677" w:type="dxa"/>
            <w:tcBorders>
              <w:bottom w:val="single" w:sz="6" w:space="0" w:color="DBE5F1"/>
            </w:tcBorders>
            <w:shd w:fill="auto" w:val="clear"/>
            <w:tcMar>
              <w:bottom w:w="28" w:type="dxa"/>
            </w:tcMar>
            <w:vAlign w:val="bottom"/>
          </w:tcPr>
          <w:p>
            <w:pPr>
              <w:pStyle w:val="TableContents"/>
              <w:spacing w:before="0" w:after="6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FREE CASH FLOW</w:t>
            </w:r>
          </w:p>
        </w:tc>
        <w:tc>
          <w:tcPr>
            <w:tcW w:w="4357" w:type="dxa"/>
            <w:tcBorders>
              <w:bottom w:val="single" w:sz="6" w:space="0" w:color="DBE5F1"/>
            </w:tcBorders>
            <w:shd w:fill="auto" w:val="clear"/>
            <w:tcMar>
              <w:bottom w:w="28" w:type="dxa"/>
            </w:tcMar>
            <w:vAlign w:val="bottom"/>
          </w:tcPr>
          <w:p>
            <w:pPr>
              <w:pStyle w:val="TableContents"/>
              <w:spacing w:before="0" w:after="6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CASH FLOW VALUE CREATION</w:t>
            </w:r>
          </w:p>
        </w:tc>
      </w:tr>
      <w:tr>
        <w:trPr/>
        <w:tc>
          <w:tcPr>
            <w:tcW w:w="1505" w:type="dxa"/>
            <w:tcBorders>
              <w:top w:val="single" w:sz="6" w:space="0" w:color="D8E1E9"/>
              <w:bottom w:val="single" w:sz="6" w:space="0" w:color="FFFFFF"/>
            </w:tcBorders>
            <w:shd w:fill="D8E1E9" w:val="clear"/>
            <w:tcMar>
              <w:top w:w="28" w:type="dxa"/>
              <w:bottom w:w="28" w:type="dxa"/>
            </w:tcMar>
            <w:vAlign w:val="center"/>
          </w:tcPr>
          <w:p>
            <w:pPr>
              <w:pStyle w:val="TableContents"/>
              <w:spacing w:before="240" w:after="24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Calculation</w:t>
            </w:r>
          </w:p>
        </w:tc>
        <w:tc>
          <w:tcPr>
            <w:tcW w:w="4677" w:type="dxa"/>
            <w:tcBorders>
              <w:top w:val="single" w:sz="6" w:space="0" w:color="DBE5F1"/>
              <w:bottom w:val="single" w:sz="6" w:space="0" w:color="DBE5F1"/>
              <w:right w:val="single" w:sz="6" w:space="0" w:color="DBE5F1"/>
            </w:tcBorders>
            <w:shd w:fill="auto" w:val="clear"/>
            <w:tcMar>
              <w:top w:w="28" w:type="dxa"/>
              <w:bottom w:w="28" w:type="dxa"/>
              <w:right w:w="28" w:type="dxa"/>
            </w:tcMar>
            <w:vAlign w:val="center"/>
          </w:tcPr>
          <w:p>
            <w:pPr>
              <w:pStyle w:val="TableContents"/>
              <w:spacing w:before="240" w:after="240"/>
              <w:ind w:left="100" w:right="0" w:hanging="0"/>
              <w:rPr>
                <w:rFonts w:ascii="Open Sans" w:hAnsi="Open Sans"/>
                <w:b/>
                <w:i w:val="false"/>
                <w:caps w:val="false"/>
                <w:smallCaps w:val="false"/>
                <w:color w:val="004A7C"/>
                <w:sz w:val="17"/>
              </w:rPr>
            </w:pPr>
            <w:r>
              <w:rPr>
                <w:rFonts w:ascii="Open Sans" w:hAnsi="Open Sans"/>
                <w:b/>
                <w:i w:val="false"/>
                <w:caps w:val="false"/>
                <w:smallCaps w:val="false"/>
                <w:color w:val="004A7C"/>
                <w:sz w:val="17"/>
              </w:rPr>
              <w:t>FCF = Cash Flow from Operations – Net Capital Expenditures</w:t>
            </w:r>
          </w:p>
        </w:tc>
        <w:tc>
          <w:tcPr>
            <w:tcW w:w="4357" w:type="dxa"/>
            <w:tcBorders>
              <w:top w:val="single" w:sz="6" w:space="0" w:color="DBE5F1"/>
              <w:left w:val="single" w:sz="6" w:space="0" w:color="DBE5F1"/>
              <w:bottom w:val="single" w:sz="6" w:space="0" w:color="DBE5F1"/>
              <w:right w:val="single" w:sz="6" w:space="0" w:color="DBE5F1"/>
            </w:tcBorders>
            <w:shd w:fill="auto" w:val="clear"/>
            <w:tcMar>
              <w:top w:w="28" w:type="dxa"/>
              <w:left w:w="28" w:type="dxa"/>
              <w:bottom w:w="28" w:type="dxa"/>
              <w:right w:w="28" w:type="dxa"/>
            </w:tcMar>
            <w:vAlign w:val="center"/>
          </w:tcPr>
          <w:p>
            <w:pPr>
              <w:pStyle w:val="TableContents"/>
              <w:spacing w:before="240" w:after="240"/>
              <w:ind w:left="100" w:right="0" w:hanging="0"/>
              <w:rPr>
                <w:rFonts w:ascii="Open Sans" w:hAnsi="Open Sans"/>
                <w:b/>
                <w:i w:val="false"/>
                <w:caps w:val="false"/>
                <w:smallCaps w:val="false"/>
                <w:color w:val="004A7C"/>
                <w:sz w:val="17"/>
              </w:rPr>
            </w:pPr>
            <w:r>
              <w:rPr>
                <w:rFonts w:ascii="Open Sans" w:hAnsi="Open Sans"/>
                <w:b/>
                <w:i w:val="false"/>
                <w:caps w:val="false"/>
                <w:smallCaps w:val="false"/>
                <w:color w:val="004A7C"/>
                <w:sz w:val="17"/>
              </w:rPr>
              <w:t>CFVC = Net Operating Profit After Tax – (Average Net Assets x Capital Charge)</w:t>
            </w:r>
          </w:p>
        </w:tc>
      </w:tr>
      <w:tr>
        <w:trPr/>
        <w:tc>
          <w:tcPr>
            <w:tcW w:w="1505" w:type="dxa"/>
            <w:tcBorders>
              <w:top w:val="single" w:sz="6" w:space="0" w:color="FFFFFF"/>
              <w:bottom w:val="single" w:sz="6" w:space="0" w:color="D8E1E9"/>
            </w:tcBorders>
            <w:shd w:fill="C1D6E4" w:val="clear"/>
            <w:tcMar>
              <w:top w:w="28" w:type="dxa"/>
              <w:bottom w:w="28" w:type="dxa"/>
            </w:tcMar>
            <w:vAlign w:val="center"/>
          </w:tcPr>
          <w:p>
            <w:pPr>
              <w:pStyle w:val="TableContents"/>
              <w:spacing w:before="360" w:after="360"/>
              <w:ind w:left="0" w:right="0" w:hanging="0"/>
              <w:jc w:val="center"/>
              <w:rPr>
                <w:rFonts w:ascii="Open Sans" w:hAnsi="Open Sans"/>
                <w:b/>
                <w:i w:val="false"/>
                <w:caps w:val="false"/>
                <w:smallCaps w:val="false"/>
                <w:color w:val="004A7C"/>
                <w:sz w:val="17"/>
              </w:rPr>
            </w:pPr>
            <w:r>
              <w:rPr>
                <w:rFonts w:ascii="Open Sans" w:hAnsi="Open Sans"/>
                <w:b/>
                <w:i w:val="false"/>
                <w:caps w:val="false"/>
                <w:smallCaps w:val="false"/>
                <w:color w:val="004A7C"/>
                <w:sz w:val="17"/>
              </w:rPr>
              <w:t>Rationale for Use as</w:t>
              <w:br/>
              <w:t>Performance Metric</w:t>
            </w:r>
          </w:p>
        </w:tc>
        <w:tc>
          <w:tcPr>
            <w:tcW w:w="4677" w:type="dxa"/>
            <w:tcBorders>
              <w:top w:val="single" w:sz="6" w:space="0" w:color="DBE5F1"/>
              <w:bottom w:val="single" w:sz="6" w:space="0" w:color="DBE5F1"/>
              <w:right w:val="single" w:sz="6" w:space="0" w:color="DBE5F1"/>
            </w:tcBorders>
            <w:shd w:fill="auto" w:val="clear"/>
            <w:tcMar>
              <w:top w:w="28" w:type="dxa"/>
              <w:bottom w:w="28" w:type="dxa"/>
              <w:right w:w="28" w:type="dxa"/>
            </w:tcMar>
            <w:vAlign w:val="center"/>
          </w:tcPr>
          <w:p>
            <w:pPr>
              <w:pStyle w:val="TableContents"/>
              <w:spacing w:before="0" w:after="0"/>
              <w:ind w:left="216" w:right="0" w:hanging="115"/>
              <w:rPr/>
            </w:pPr>
            <w:r>
              <w:rPr/>
              <w:t> </w:t>
            </w:r>
          </w:p>
          <w:p>
            <w:pPr>
              <w:pStyle w:val="TableContents"/>
              <w:spacing w:before="0" w:after="0"/>
              <w:ind w:left="216" w:right="0" w:hanging="115"/>
              <w:rPr>
                <w:caps w:val="false"/>
                <w:smallCaps w:val="false"/>
                <w:color w:val="004A7C"/>
              </w:rPr>
            </w:pPr>
            <w:r>
              <w:rPr>
                <w:caps w:val="false"/>
                <w:smallCaps w:val="false"/>
                <w:color w:val="004A7C"/>
              </w:rPr>
              <w:t xml:space="preserve">• </w:t>
            </w:r>
            <w:r>
              <w:rPr>
                <w:rFonts w:ascii="Open Sans" w:hAnsi="Open Sans"/>
                <w:b w:val="false"/>
                <w:i w:val="false"/>
                <w:caps w:val="false"/>
                <w:smallCaps w:val="false"/>
                <w:color w:val="004A7C"/>
                <w:sz w:val="17"/>
              </w:rPr>
              <w:t>Reflects strength of the Company’s cash flows on an annual basis and quality of the Company’s earnings</w:t>
            </w:r>
          </w:p>
          <w:p>
            <w:pPr>
              <w:pStyle w:val="TableContents"/>
              <w:spacing w:before="0" w:after="0"/>
              <w:ind w:left="216" w:right="0" w:hanging="115"/>
              <w:rPr/>
            </w:pPr>
            <w:r>
              <w:rPr/>
              <w:t> </w:t>
            </w:r>
          </w:p>
          <w:p>
            <w:pPr>
              <w:pStyle w:val="TableContents"/>
              <w:spacing w:before="0" w:after="360"/>
              <w:ind w:left="220" w:right="0" w:hanging="120"/>
              <w:rPr>
                <w:caps w:val="false"/>
                <w:smallCaps w:val="false"/>
                <w:color w:val="004A7C"/>
              </w:rPr>
            </w:pPr>
            <w:r>
              <w:rPr>
                <w:caps w:val="false"/>
                <w:smallCaps w:val="false"/>
                <w:color w:val="004A7C"/>
              </w:rPr>
              <w:t xml:space="preserve">• </w:t>
            </w:r>
            <w:r>
              <w:rPr>
                <w:rFonts w:ascii="Open Sans" w:hAnsi="Open Sans"/>
                <w:b w:val="false"/>
                <w:i w:val="false"/>
                <w:caps w:val="false"/>
                <w:smallCaps w:val="false"/>
                <w:color w:val="004A7C"/>
                <w:sz w:val="17"/>
              </w:rPr>
              <w:t>Measures the Company’s ability to generate cash flow in excess of capital expenditures</w:t>
            </w:r>
          </w:p>
        </w:tc>
        <w:tc>
          <w:tcPr>
            <w:tcW w:w="4357" w:type="dxa"/>
            <w:tcBorders>
              <w:top w:val="single" w:sz="6" w:space="0" w:color="DBE5F1"/>
              <w:left w:val="single" w:sz="6" w:space="0" w:color="DBE5F1"/>
              <w:bottom w:val="single" w:sz="6" w:space="0" w:color="DBE5F1"/>
              <w:right w:val="single" w:sz="6" w:space="0" w:color="DBE5F1"/>
            </w:tcBorders>
            <w:shd w:fill="auto" w:val="clear"/>
            <w:tcMar>
              <w:top w:w="28" w:type="dxa"/>
              <w:left w:w="28" w:type="dxa"/>
              <w:bottom w:w="28" w:type="dxa"/>
              <w:right w:w="28" w:type="dxa"/>
            </w:tcMar>
          </w:tcPr>
          <w:p>
            <w:pPr>
              <w:pStyle w:val="TableContents"/>
              <w:spacing w:before="0" w:after="0"/>
              <w:ind w:left="216" w:right="0" w:hanging="115"/>
              <w:rPr/>
            </w:pPr>
            <w:r>
              <w:rPr/>
              <w:t> </w:t>
            </w:r>
          </w:p>
          <w:p>
            <w:pPr>
              <w:pStyle w:val="TableContents"/>
              <w:spacing w:before="0" w:after="0"/>
              <w:ind w:left="216" w:right="0" w:hanging="115"/>
              <w:rPr>
                <w:caps w:val="false"/>
                <w:smallCaps w:val="false"/>
                <w:color w:val="004A7C"/>
              </w:rPr>
            </w:pPr>
            <w:r>
              <w:rPr>
                <w:caps w:val="false"/>
                <w:smallCaps w:val="false"/>
                <w:color w:val="004A7C"/>
              </w:rPr>
              <w:t xml:space="preserve">• </w:t>
            </w:r>
            <w:r>
              <w:rPr>
                <w:rFonts w:ascii="Open Sans" w:hAnsi="Open Sans"/>
                <w:b w:val="false"/>
                <w:i w:val="false"/>
                <w:caps w:val="false"/>
                <w:smallCaps w:val="false"/>
                <w:color w:val="004A7C"/>
                <w:sz w:val="17"/>
              </w:rPr>
              <w:t>Includes a capital charge on net assets to promote business growth through disciplined investments</w:t>
            </w:r>
          </w:p>
          <w:p>
            <w:pPr>
              <w:pStyle w:val="TableContents"/>
              <w:spacing w:before="0" w:after="0"/>
              <w:ind w:left="216" w:right="0" w:hanging="115"/>
              <w:rPr/>
            </w:pPr>
            <w:r>
              <w:rPr/>
              <w:t> </w:t>
            </w:r>
          </w:p>
          <w:p>
            <w:pPr>
              <w:pStyle w:val="TableContents"/>
              <w:spacing w:before="0" w:after="0"/>
              <w:ind w:left="216" w:right="0" w:hanging="115"/>
              <w:rPr>
                <w:caps w:val="false"/>
                <w:smallCaps w:val="false"/>
                <w:color w:val="004A7C"/>
              </w:rPr>
            </w:pPr>
            <w:r>
              <w:rPr>
                <w:caps w:val="false"/>
                <w:smallCaps w:val="false"/>
                <w:color w:val="004A7C"/>
              </w:rPr>
              <w:t xml:space="preserve">• </w:t>
            </w:r>
            <w:r>
              <w:rPr>
                <w:rFonts w:ascii="Open Sans" w:hAnsi="Open Sans"/>
                <w:b w:val="false"/>
                <w:i w:val="false"/>
                <w:caps w:val="false"/>
                <w:smallCaps w:val="false"/>
                <w:color w:val="004A7C"/>
                <w:sz w:val="17"/>
              </w:rPr>
              <w:t>Reflects creation of value over the long term</w:t>
            </w:r>
          </w:p>
        </w:tc>
      </w:tr>
    </w:tbl>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Please refer to the Annex on page 98 for details regarding the calculation of our actual results for 2020, 2021 and 2022 for the EPS Measure, FCF Measure, CFVC, and ROIC.</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62" w:name="SETTING_ROBUST_PERFORMANCE_TRGTS"/>
      <w:bookmarkEnd w:id="62"/>
      <w:r>
        <w:rPr>
          <w:rFonts w:ascii="Open Sans" w:hAnsi="Open Sans"/>
          <w:b/>
          <w:i w:val="false"/>
          <w:caps w:val="false"/>
          <w:smallCaps w:val="false"/>
          <w:color w:val="004A7C"/>
          <w:sz w:val="27"/>
        </w:rPr>
        <w:t>Setting Robust Performance Targets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We develop rigorous performance metrics on a bottom-up basis – reflecting both management initiatives and the impact of external factors. To align management incentives, our metrics and performance targets focus on factors that management can impact rather than on external factors not under management’s control or ability to mitigate.</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The performance metrics used in the annual incentive plan and the PSUs (other than the RTSR metric used for the PSUs and weighted at 20%) are directly tied to management’s ability to increase shareholder value. In setting performance targets for the annual incentive plan and for the three-year PSU performance cycle, the Talent &amp; Compensation Committee considers the macro-economic environment, industry-specific conditions, prior-year actual performance, tax conditions and changes in regulations and laws. The Talent &amp; Compensation Committee confirms that performance targets align with our published earnings guidance, which assures that they are transparent and reward management only if management is successful in achieving financial results that align with the expectations we communicate externally. Based on this due diligence, the Talent &amp; Compensation Committee sets rigorous, but reasonable, performance goals for the business.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Despite the potential adverse impacts arising from the COVID-19 pandemic, the Talent &amp; Compensation Committee determined not to adjust the performance period, performance metrics or performance targets for the annual incentive plan or for any PSU performance cycle. Moreover, the Talent &amp; Compensation Committee did not employ upward discretion to increase any annual incentive payments or PSU performance results to account for COVID-19 impacts. The Talent &amp; Compensation Committee believed it was important to provide incentive for our NEOs to achieve metrics that due to the pandemic were naturally more challenging to achieve than when they were originally set. The Talent &amp; Compensation Committee determined the best option to do this was through a modestly higher 2021 PSU grant for our NEOs, while maintaining the highly rigorous CVFC and ROIC targets.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Progress toward our sustainability goals is included within each of our management initiatives. As a result, there is a direct line from our sustainability initiatives to our business results, our culture and strategy and thus, to our performance-based executive compensation program. Accordingly, beginning in 2022, the annual incentives for senior executives including our NEOs are subject to adjustment up or down by up to 10% based on the Company’s interim performance on safety, talent and climate leadership goals. This sustainability modifier is “universal,” meaning the adjustment is applied consistently for all members of our senior management team, including our named executive officers.   </w:t>
      </w:r>
    </w:p>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56</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The following table sets forth the process for setting rigorous performance targets that are aligned closely with shareholder value creation.</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304800" cy="3048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304800" cy="304800"/>
                    </a:xfrm>
                    <a:prstGeom prst="rect">
                      <a:avLst/>
                    </a:prstGeom>
                  </pic:spPr>
                </pic:pic>
              </a:graphicData>
            </a:graphic>
          </wp:inline>
        </w:drawing>
      </w:r>
      <w:r>
        <w:rPr>
          <w:caps w:val="false"/>
          <w:smallCaps w:val="false"/>
        </w:rPr>
        <w:drawing>
          <wp:inline distT="0" distB="0" distL="0" distR="0">
            <wp:extent cx="6019800" cy="21240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6019800" cy="2124075"/>
                    </a:xfrm>
                    <a:prstGeom prst="rect">
                      <a:avLst/>
                    </a:prstGeom>
                  </pic:spPr>
                </pic:pic>
              </a:graphicData>
            </a:graphic>
          </wp:inline>
        </w:drawing>
      </w:r>
    </w:p>
    <w:p>
      <w:pPr>
        <w:pStyle w:val="TextBody"/>
        <w:spacing w:before="0" w:after="0"/>
        <w:rPr/>
      </w:pPr>
      <w:r>
        <w:rPr/>
        <w:t> </w:t>
      </w:r>
    </w:p>
    <w:p>
      <w:pPr>
        <w:pStyle w:val="TextBody"/>
        <w:spacing w:before="0" w:after="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The following table compares financial metrics with actual outcomes for each performance measure in the 2020 through 2022 NEO compensation program.</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34075" cy="17430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5934075" cy="1743075"/>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63" w:name="Shareholder_Engagement_Board_Consider"/>
      <w:bookmarkEnd w:id="63"/>
      <w:r>
        <w:rPr>
          <w:rFonts w:ascii="Open Sans" w:hAnsi="Open Sans"/>
          <w:b/>
          <w:i w:val="false"/>
          <w:caps w:val="false"/>
          <w:smallCaps w:val="false"/>
          <w:color w:val="004A7C"/>
          <w:sz w:val="27"/>
        </w:rPr>
        <w:t>Shareholder Engagement and Board Consideration of 2022 Shareholder Vote on Executive Compensation</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Republic has an active shareholder outreach program and regularly engages with shareholders on a number of matters, including executive compensation, governance and sustainability. The Board continues to consider feedback received from shareholders on executive compensation when designing and reviewing our compensation program. The Board was pleased that our 2022 non-binding advisory vote on named executive officer compensation (“say-on-pay vote”) received support from 95.4% of the shares voted. Our shareholders, both via the say-on-pay vote at the 2022 Annual Meeting and in our engagement sessions, spoke favorably of our overall compensation program and of the changes we have previously made as a direct result of prior shareholder feedback. </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Our Board and senior leadership continue to actively engage with our shareholders on topics related to racial equity and environmental justice. Following these discussions, we proactively agreed to perform a civil rights assessment and we supplemented our existing disclosures regarding environmental justice. These actions are additional opportunities for us to demonstrate our commitment to sustainability, and to our communities and employees.</w:t>
      </w:r>
    </w:p>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57</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64" w:name="EXECUTIVE_COMPENSATION_GOALS_OBJECTIVES"/>
      <w:bookmarkEnd w:id="64"/>
      <w:r>
        <w:rPr>
          <w:rFonts w:ascii="Open Sans" w:hAnsi="Open Sans"/>
          <w:b/>
          <w:i w:val="false"/>
          <w:caps w:val="false"/>
          <w:smallCaps w:val="false"/>
          <w:color w:val="004A7C"/>
          <w:sz w:val="27"/>
        </w:rPr>
        <w:t>Executive Compensation Goals and Objectives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philosophy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practices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strong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short-term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long-term. 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primary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component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people and talent agenda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identify,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recruit,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place,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develop</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retain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key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talent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help</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ensure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 we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highest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caliber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leadership.</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team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believe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critical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aspect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being 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successfully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strategy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maintaining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comprehensive,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integrated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well-balanced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program.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 believe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program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competitive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differentiated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levels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aligns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interests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 shareholders’</w:t>
      </w:r>
      <w:r>
        <w:rPr>
          <w:rFonts w:ascii="Open Sans" w:hAnsi="Open Sans"/>
          <w:b w:val="false"/>
          <w:i w:val="false"/>
          <w:caps w:val="false"/>
          <w:smallCaps w:val="false"/>
          <w:spacing w:val="-16"/>
          <w:sz w:val="16"/>
        </w:rPr>
        <w:t xml:space="preserve"> </w:t>
      </w:r>
      <w:r>
        <w:rPr>
          <w:rFonts w:ascii="Open Sans" w:hAnsi="Open Sans"/>
          <w:b w:val="false"/>
          <w:i w:val="false"/>
          <w:caps w:val="false"/>
          <w:smallCaps w:val="false"/>
          <w:spacing w:val="-3"/>
          <w:sz w:val="16"/>
        </w:rPr>
        <w:t>interests.</w:t>
      </w:r>
    </w:p>
    <w:p>
      <w:pPr>
        <w:pStyle w:val="TextBody"/>
        <w:spacing w:before="240" w:after="0"/>
        <w:rPr>
          <w:rFonts w:ascii="Open Sans SemiBold" w:hAnsi="Open Sans SemiBold"/>
          <w:b w:val="false"/>
          <w:i w:val="false"/>
          <w:caps w:val="false"/>
          <w:smallCaps w:val="false"/>
          <w:color w:val="004A7C"/>
          <w:sz w:val="22"/>
        </w:rPr>
      </w:pPr>
      <w:r>
        <w:rPr>
          <w:rFonts w:ascii="Open Sans SemiBold" w:hAnsi="Open Sans SemiBold"/>
          <w:b w:val="false"/>
          <w:i w:val="false"/>
          <w:caps w:val="false"/>
          <w:smallCaps w:val="false"/>
          <w:color w:val="004A7C"/>
          <w:spacing w:val="9"/>
          <w:sz w:val="17"/>
        </w:rPr>
        <w:t>EXECUTIV</w:t>
      </w:r>
      <w:r>
        <w:rPr>
          <w:rFonts w:ascii="Open Sans SemiBold" w:hAnsi="Open Sans SemiBold"/>
          <w:b w:val="false"/>
          <w:i w:val="false"/>
          <w:caps w:val="false"/>
          <w:smallCaps w:val="false"/>
          <w:color w:val="004A7C"/>
          <w:sz w:val="17"/>
        </w:rPr>
        <w:t xml:space="preserve">E </w:t>
      </w:r>
      <w:r>
        <w:rPr>
          <w:rFonts w:ascii="Open Sans SemiBold" w:hAnsi="Open Sans SemiBold"/>
          <w:b w:val="false"/>
          <w:i w:val="false"/>
          <w:caps w:val="false"/>
          <w:smallCaps w:val="false"/>
          <w:color w:val="004A7C"/>
          <w:spacing w:val="9"/>
          <w:sz w:val="17"/>
        </w:rPr>
        <w:t>COMPENSATIO</w:t>
      </w:r>
      <w:r>
        <w:rPr>
          <w:rFonts w:ascii="Open Sans SemiBold" w:hAnsi="Open Sans SemiBold"/>
          <w:b w:val="false"/>
          <w:i w:val="false"/>
          <w:caps w:val="false"/>
          <w:smallCaps w:val="false"/>
          <w:color w:val="004A7C"/>
          <w:sz w:val="17"/>
        </w:rPr>
        <w:t xml:space="preserve">N </w:t>
      </w:r>
      <w:r>
        <w:rPr>
          <w:rFonts w:ascii="Open Sans SemiBold" w:hAnsi="Open Sans SemiBold"/>
          <w:b w:val="false"/>
          <w:i w:val="false"/>
          <w:caps w:val="false"/>
          <w:smallCaps w:val="false"/>
          <w:color w:val="004A7C"/>
          <w:spacing w:val="9"/>
          <w:sz w:val="17"/>
        </w:rPr>
        <w:t>PROGRA</w:t>
      </w:r>
      <w:r>
        <w:rPr>
          <w:rFonts w:ascii="Open Sans SemiBold" w:hAnsi="Open Sans SemiBold"/>
          <w:b w:val="false"/>
          <w:i w:val="false"/>
          <w:caps w:val="false"/>
          <w:smallCaps w:val="false"/>
          <w:color w:val="004A7C"/>
          <w:sz w:val="17"/>
        </w:rPr>
        <w:t xml:space="preserve">M </w:t>
      </w:r>
      <w:r>
        <w:rPr>
          <w:rFonts w:ascii="Open Sans SemiBold" w:hAnsi="Open Sans SemiBold"/>
          <w:b w:val="false"/>
          <w:i w:val="false"/>
          <w:caps w:val="false"/>
          <w:smallCaps w:val="false"/>
          <w:color w:val="004A7C"/>
          <w:spacing w:val="9"/>
          <w:sz w:val="17"/>
        </w:rPr>
        <w:t>GOALS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000750" cy="321945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6000750" cy="3219450"/>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A</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58</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65" w:name="KEY_COMPENSATION_GOVERNANCE_PRACTICES"/>
      <w:bookmarkEnd w:id="65"/>
      <w:r>
        <w:rPr>
          <w:rFonts w:ascii="Open Sans" w:hAnsi="Open Sans"/>
          <w:b/>
          <w:i w:val="false"/>
          <w:caps w:val="false"/>
          <w:smallCaps w:val="false"/>
          <w:color w:val="004A7C"/>
          <w:sz w:val="27"/>
        </w:rPr>
        <w:t>Key Compensation Governance Practices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The Talent &amp; Compensation Committee independently governs the executive compensation program with the support of an independent compensation consultant and management. Our compensation program demonstrates strong governance through the following key components:</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086475" cy="47815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6086475" cy="4781550"/>
                    </a:xfrm>
                    <a:prstGeom prst="rect">
                      <a:avLst/>
                    </a:prstGeom>
                  </pic:spPr>
                </pic:pic>
              </a:graphicData>
            </a:graphic>
          </wp:inline>
        </w:drawing>
      </w:r>
    </w:p>
    <w:p>
      <w:pPr>
        <w:pStyle w:val="TextBody"/>
        <w:spacing w:before="0" w:after="0"/>
        <w:rPr/>
      </w:pPr>
      <w:r>
        <w:rPr/>
        <w:t> </w:t>
      </w:r>
    </w:p>
    <w:p>
      <w:pPr>
        <w:pStyle w:val="TextBody"/>
        <w:spacing w:before="0" w:after="0"/>
        <w:rPr>
          <w:rFonts w:ascii="Open Sans" w:hAnsi="Open Sans"/>
          <w:b/>
          <w:i w:val="false"/>
          <w:caps w:val="false"/>
          <w:smallCaps w:val="false"/>
          <w:color w:val="004A7C"/>
          <w:sz w:val="31"/>
        </w:rPr>
      </w:pPr>
      <w:bookmarkStart w:id="66" w:name="COMPONENTS_EXECUTIVE_COMPENSATION"/>
      <w:bookmarkEnd w:id="66"/>
      <w:r>
        <w:rPr>
          <w:rFonts w:ascii="Open Sans" w:hAnsi="Open Sans"/>
          <w:b/>
          <w:i w:val="false"/>
          <w:caps w:val="false"/>
          <w:smallCaps w:val="false"/>
          <w:color w:val="004A7C"/>
          <w:sz w:val="31"/>
        </w:rPr>
        <w:t>Components of Executive Compensation</w:t>
      </w:r>
    </w:p>
    <w:p>
      <w:pPr>
        <w:pStyle w:val="TextBody"/>
        <w:spacing w:before="120" w:after="0"/>
        <w:rPr>
          <w:rFonts w:ascii="Open Sans" w:hAnsi="Open Sans"/>
          <w:b w:val="false"/>
          <w:i w:val="false"/>
          <w:caps w:val="false"/>
          <w:smallCaps w:val="false"/>
          <w:color w:val="4C4D4F"/>
          <w:sz w:val="16"/>
        </w:rPr>
      </w:pPr>
      <w:r>
        <w:rPr>
          <w:rFonts w:ascii="Open Sans" w:hAnsi="Open Sans"/>
          <w:b w:val="false"/>
          <w:i w:val="false"/>
          <w:caps w:val="false"/>
          <w:smallCaps w:val="false"/>
          <w:color w:val="4C4D4F"/>
          <w:sz w:val="16"/>
        </w:rPr>
        <w:t>I</w:t>
      </w:r>
      <w:r>
        <w:rPr>
          <w:rFonts w:ascii="Open Sans" w:hAnsi="Open Sans"/>
          <w:b w:val="false"/>
          <w:i w:val="false"/>
          <w:caps w:val="false"/>
          <w:smallCaps w:val="false"/>
          <w:color w:val="000000"/>
          <w:sz w:val="16"/>
        </w:rPr>
        <w:t>n 2022, we compensated each NEO using three key forms of compensation:</w:t>
      </w:r>
    </w:p>
    <w:tbl>
      <w:tblPr>
        <w:tblW w:w="1225" w:type="dxa"/>
        <w:jc w:val="left"/>
        <w:tblInd w:w="0" w:type="dxa"/>
        <w:tblCellMar>
          <w:top w:w="0" w:type="dxa"/>
          <w:left w:w="0" w:type="dxa"/>
          <w:bottom w:w="0" w:type="dxa"/>
          <w:right w:w="0" w:type="dxa"/>
        </w:tblCellMar>
      </w:tblPr>
      <w:tblGrid>
        <w:gridCol w:w="60"/>
        <w:gridCol w:w="110"/>
        <w:gridCol w:w="1055"/>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55" w:type="dxa"/>
            <w:tcBorders/>
            <w:shd w:fill="auto" w:val="clear"/>
          </w:tcPr>
          <w:p>
            <w:pPr>
              <w:pStyle w:val="TableContents"/>
              <w:spacing w:before="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base salary;</w:t>
            </w:r>
          </w:p>
        </w:tc>
      </w:tr>
    </w:tbl>
    <w:tbl>
      <w:tblPr>
        <w:tblW w:w="3790" w:type="dxa"/>
        <w:jc w:val="left"/>
        <w:tblInd w:w="0" w:type="dxa"/>
        <w:tblCellMar>
          <w:top w:w="0" w:type="dxa"/>
          <w:left w:w="0" w:type="dxa"/>
          <w:bottom w:w="0" w:type="dxa"/>
          <w:right w:w="0" w:type="dxa"/>
        </w:tblCellMar>
      </w:tblPr>
      <w:tblGrid>
        <w:gridCol w:w="60"/>
        <w:gridCol w:w="110"/>
        <w:gridCol w:w="3620"/>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3620" w:type="dxa"/>
            <w:tcBorders/>
            <w:shd w:fill="auto" w:val="clear"/>
          </w:tcPr>
          <w:p>
            <w:pPr>
              <w:pStyle w:val="TableContents"/>
              <w:spacing w:before="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annual cash incentive based on target; and</w:t>
            </w:r>
          </w:p>
        </w:tc>
      </w:tr>
    </w:tbl>
    <w:tbl>
      <w:tblPr>
        <w:tblW w:w="5320" w:type="dxa"/>
        <w:jc w:val="left"/>
        <w:tblInd w:w="0" w:type="dxa"/>
        <w:tblCellMar>
          <w:top w:w="0" w:type="dxa"/>
          <w:left w:w="0" w:type="dxa"/>
          <w:bottom w:w="0" w:type="dxa"/>
          <w:right w:w="0" w:type="dxa"/>
        </w:tblCellMar>
      </w:tblPr>
      <w:tblGrid>
        <w:gridCol w:w="60"/>
        <w:gridCol w:w="110"/>
        <w:gridCol w:w="5150"/>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5150" w:type="dxa"/>
            <w:tcBorders/>
            <w:shd w:fill="auto" w:val="clear"/>
          </w:tcPr>
          <w:p>
            <w:pPr>
              <w:pStyle w:val="TableContents"/>
              <w:spacing w:before="0" w:after="0"/>
              <w:jc w:val="left"/>
              <w:rPr>
                <w:rFonts w:ascii="Open Sans" w:hAnsi="Open Sans"/>
                <w:b w:val="false"/>
                <w:i w:val="false"/>
                <w:caps w:val="false"/>
                <w:smallCaps w:val="false"/>
                <w:color w:val="000000"/>
                <w:spacing w:val="0"/>
                <w:sz w:val="16"/>
              </w:rPr>
            </w:pPr>
            <w:r>
              <w:rPr>
                <w:rFonts w:ascii="Open Sans" w:hAnsi="Open Sans"/>
                <w:b w:val="false"/>
                <w:i w:val="false"/>
                <w:caps w:val="false"/>
                <w:smallCaps w:val="false"/>
                <w:color w:val="000000"/>
                <w:spacing w:val="0"/>
                <w:sz w:val="16"/>
              </w:rPr>
              <w:t>long-term incentive awards based on target (PSUs and RSUs).</w:t>
            </w:r>
          </w:p>
        </w:tc>
      </w:tr>
    </w:tbl>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The annual and long-term incentives are variable and the amount realized is based on achieving specific performance objectives or on the performance of Republic’s stock.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59</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For 2022, the target total direct compensation (“Target TDC”), comprised of annualized base salary, annual incentive and LTI awards (consisting of PSUs and RSUs), but not including retirement contributions, for Republic’s current NEOs was as follows: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4035"/>
        <w:gridCol w:w="6504"/>
      </w:tblGrid>
      <w:tr>
        <w:trPr/>
        <w:tc>
          <w:tcPr>
            <w:tcW w:w="4035" w:type="dxa"/>
            <w:tcBorders/>
            <w:shd w:fill="auto" w:val="clear"/>
          </w:tcPr>
          <w:p>
            <w:pPr>
              <w:pStyle w:val="TableContents"/>
              <w:spacing w:before="0" w:after="0"/>
              <w:ind w:left="0" w:right="0" w:hanging="0"/>
              <w:jc w:val="center"/>
              <w:rPr>
                <w:caps w:val="false"/>
                <w:smallCaps w:val="false"/>
              </w:rPr>
            </w:pPr>
            <w:r>
              <w:rPr>
                <w:caps w:val="false"/>
                <w:smallCaps w:val="false"/>
              </w:rPr>
              <w:drawing>
                <wp:inline distT="0" distB="0" distL="0" distR="0">
                  <wp:extent cx="2562225" cy="13239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2562225" cy="1323975"/>
                          </a:xfrm>
                          <a:prstGeom prst="rect">
                            <a:avLst/>
                          </a:prstGeom>
                        </pic:spPr>
                      </pic:pic>
                    </a:graphicData>
                  </a:graphic>
                </wp:inline>
              </w:drawing>
            </w:r>
          </w:p>
        </w:tc>
        <w:tc>
          <w:tcPr>
            <w:tcW w:w="6504" w:type="dxa"/>
            <w:tcBorders/>
            <w:shd w:fill="auto" w:val="clear"/>
          </w:tcPr>
          <w:p>
            <w:pPr>
              <w:pStyle w:val="TableContents"/>
              <w:spacing w:before="0" w:after="0"/>
              <w:ind w:left="540" w:right="0" w:hanging="540"/>
              <w:rPr/>
            </w:pPr>
            <w:r>
              <w:rPr/>
              <w:t> </w:t>
            </w:r>
          </w:p>
          <w:p>
            <w:pPr>
              <w:pStyle w:val="TableContents"/>
              <w:spacing w:before="120" w:after="0"/>
              <w:ind w:left="478" w:right="0" w:hanging="360"/>
              <w:rPr>
                <w:rFonts w:ascii="Open Sans" w:hAnsi="Open Sans"/>
                <w:b w:val="false"/>
                <w:i w:val="false"/>
                <w:caps w:val="false"/>
                <w:smallCaps w:val="false"/>
                <w:sz w:val="16"/>
              </w:rPr>
            </w:pPr>
            <w:r>
              <w:rPr>
                <w:rFonts w:ascii="Open Sans" w:hAnsi="Open Sans"/>
                <w:b w:val="false"/>
                <w:i w:val="false"/>
                <w:caps w:val="false"/>
                <w:smallCaps w:val="false"/>
                <w:sz w:val="16"/>
              </w:rPr>
              <w:t>(1)Variable annual incentive target award for 2022</w:t>
            </w:r>
          </w:p>
          <w:p>
            <w:pPr>
              <w:pStyle w:val="TableContents"/>
              <w:spacing w:before="120" w:after="0"/>
              <w:ind w:left="478" w:right="0" w:hanging="360"/>
              <w:rPr>
                <w:rFonts w:ascii="Open Sans" w:hAnsi="Open Sans"/>
                <w:b w:val="false"/>
                <w:i w:val="false"/>
                <w:caps w:val="false"/>
                <w:smallCaps w:val="false"/>
                <w:sz w:val="16"/>
              </w:rPr>
            </w:pPr>
            <w:r>
              <w:rPr>
                <w:rFonts w:ascii="Open Sans" w:hAnsi="Open Sans"/>
                <w:b w:val="false"/>
                <w:i w:val="false"/>
                <w:caps w:val="false"/>
                <w:smallCaps w:val="false"/>
                <w:sz w:val="16"/>
              </w:rPr>
              <w:t>(2)PSU target award for performance cycle beginning in 2022 and target value of RSU awards</w:t>
            </w:r>
          </w:p>
        </w:tc>
      </w:tr>
    </w:tbl>
    <w:p>
      <w:pPr>
        <w:pStyle w:val="TextBody"/>
        <w:spacing w:before="120" w:after="0"/>
        <w:rPr>
          <w:rFonts w:ascii="Open Sans" w:hAnsi="Open Sans"/>
          <w:b/>
          <w:i w:val="false"/>
          <w:caps w:val="false"/>
          <w:smallCaps w:val="false"/>
          <w:color w:val="004A7C"/>
          <w:sz w:val="27"/>
        </w:rPr>
      </w:pPr>
      <w:bookmarkStart w:id="67" w:name="BASE_SALARY"/>
      <w:bookmarkEnd w:id="67"/>
      <w:r>
        <w:rPr>
          <w:rFonts w:ascii="Open Sans" w:hAnsi="Open Sans"/>
          <w:b/>
          <w:i w:val="false"/>
          <w:caps w:val="false"/>
          <w:smallCaps w:val="false"/>
          <w:color w:val="004A7C"/>
          <w:sz w:val="27"/>
        </w:rPr>
        <w:t>Base Salary</w:t>
      </w:r>
    </w:p>
    <w:p>
      <w:pPr>
        <w:pStyle w:val="TextBody"/>
        <w:spacing w:before="120" w:after="0"/>
        <w:rPr>
          <w:rFonts w:ascii="Open Sans" w:hAnsi="Open Sans"/>
          <w:b w:val="false"/>
          <w:i w:val="false"/>
          <w:caps w:val="false"/>
          <w:smallCaps w:val="false"/>
          <w:spacing w:val="-2"/>
          <w:sz w:val="16"/>
        </w:rPr>
      </w:pPr>
      <w:r>
        <w:rPr>
          <w:rFonts w:ascii="Open Sans" w:hAnsi="Open Sans"/>
          <w:b w:val="false"/>
          <w:i w:val="false"/>
          <w:caps w:val="false"/>
          <w:smallCaps w:val="false"/>
          <w:spacing w:val="-2"/>
          <w:sz w:val="16"/>
        </w:rPr>
        <w:t>We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believe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competitive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base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salary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attracts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retains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high-caliber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executive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talent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while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providing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fixed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level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compensation commensurate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with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position’s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responsibilities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level.</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The Talent &amp; 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Committee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annually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reviews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each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NEO’s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base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salary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determine if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any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adjustment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warranted.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This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review</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consists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comparison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paid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incumbents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comparable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positions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our Peer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Group,</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taking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account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individual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qualifications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responsibilities,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internal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salary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levels,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individual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Company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performance. Base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salary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levels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be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adjusted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when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7"/>
          <w:sz w:val="16"/>
        </w:rPr>
        <w:t xml:space="preserve"> Talent &amp; </w:t>
      </w:r>
      <w:r>
        <w:rPr>
          <w:rFonts w:ascii="Open Sans" w:hAnsi="Open Sans"/>
          <w:b w:val="false"/>
          <w:i w:val="false"/>
          <w:caps w:val="false"/>
          <w:smallCaps w:val="false"/>
          <w:spacing w:val="-2"/>
          <w:sz w:val="16"/>
        </w:rPr>
        <w:t>Compensation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Committee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believes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there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competitive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need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do</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so,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light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an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individual’s promotion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or</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taking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into</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account</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an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individual’s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performance.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2022,</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increases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base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salaries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each</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NEOs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were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based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Group</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benchmarking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well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individual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performance.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3"/>
          <w:sz w:val="16"/>
        </w:rPr>
        <w:t xml:space="preserve">The table below shows the annual base salary for each NEO in 2021 and 2022, as approved by the Talent &amp; Compensation Committee, which may be different from the amounts reflected in the Summary Compensation Table (“SCT”) in the “Salary” column. </w:t>
      </w:r>
    </w:p>
    <w:p>
      <w:pPr>
        <w:pStyle w:val="TextBody"/>
        <w:spacing w:before="0" w:after="0"/>
        <w:rPr/>
      </w:pPr>
      <w:r>
        <w:rPr/>
        <w:t> </w:t>
      </w:r>
    </w:p>
    <w:tbl>
      <w:tblPr>
        <w:tblW w:w="4468" w:type="dxa"/>
        <w:jc w:val="left"/>
        <w:tblInd w:w="0" w:type="dxa"/>
        <w:tblCellMar>
          <w:top w:w="0" w:type="dxa"/>
          <w:left w:w="0" w:type="dxa"/>
          <w:bottom w:w="28" w:type="dxa"/>
          <w:right w:w="0" w:type="dxa"/>
        </w:tblCellMar>
      </w:tblPr>
      <w:tblGrid>
        <w:gridCol w:w="1850"/>
        <w:gridCol w:w="1232"/>
        <w:gridCol w:w="77"/>
        <w:gridCol w:w="1232"/>
        <w:gridCol w:w="77"/>
      </w:tblGrid>
      <w:tr>
        <w:trPr/>
        <w:tc>
          <w:tcPr>
            <w:tcW w:w="1850" w:type="dxa"/>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1309" w:type="dxa"/>
            <w:gridSpan w:val="2"/>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2021</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BASE SALARY</w:t>
            </w:r>
          </w:p>
        </w:tc>
        <w:tc>
          <w:tcPr>
            <w:tcW w:w="1309" w:type="dxa"/>
            <w:gridSpan w:val="2"/>
            <w:tcBorders>
              <w:bottom w:val="single" w:sz="6" w:space="0" w:color="D8E1E9"/>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2022</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BASE SALARY</w:t>
            </w:r>
          </w:p>
        </w:tc>
      </w:tr>
      <w:tr>
        <w:trPr/>
        <w:tc>
          <w:tcPr>
            <w:tcW w:w="185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1232" w:type="dxa"/>
            <w:tcBorders>
              <w:top w:val="single" w:sz="6" w:space="0" w:color="D8E1E9"/>
              <w:bottom w:val="single" w:sz="6" w:space="0" w:color="D8E1E9"/>
            </w:tcBorders>
            <w:shd w:fill="FFFFFF" w:val="clear"/>
            <w:tcMar>
              <w:top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$1,000,000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32"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$1,100,000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1232" w:type="dxa"/>
            <w:tcBorders>
              <w:top w:val="single" w:sz="6" w:space="0" w:color="D8E1E9"/>
              <w:bottom w:val="single" w:sz="6" w:space="0" w:color="D8E1E9"/>
            </w:tcBorders>
            <w:shd w:fill="FFFFFF" w:val="clear"/>
            <w:tcMar>
              <w:top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$570,000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32"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$625,000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1232" w:type="dxa"/>
            <w:tcBorders>
              <w:top w:val="single" w:sz="6" w:space="0" w:color="D8E1E9"/>
              <w:bottom w:val="single" w:sz="6" w:space="0" w:color="D8E1E9"/>
            </w:tcBorders>
            <w:shd w:fill="FFFFFF" w:val="clear"/>
            <w:tcMar>
              <w:top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$505,000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32"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$520,000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1232" w:type="dxa"/>
            <w:tcBorders>
              <w:top w:val="single" w:sz="6" w:space="0" w:color="D8E1E9"/>
              <w:bottom w:val="single" w:sz="6" w:space="0" w:color="D8E1E9"/>
            </w:tcBorders>
            <w:shd w:fill="FFFFFF" w:val="clear"/>
            <w:tcMar>
              <w:top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$545,000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32"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$570,000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1232" w:type="dxa"/>
            <w:tcBorders>
              <w:top w:val="single" w:sz="6" w:space="0" w:color="D8E1E9"/>
              <w:bottom w:val="single" w:sz="6" w:space="0" w:color="D8E1E9"/>
            </w:tcBorders>
            <w:shd w:fill="FFFFFF" w:val="clear"/>
            <w:tcMar>
              <w:top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$665,000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32"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$695,000</w:t>
            </w:r>
          </w:p>
        </w:tc>
        <w:tc>
          <w:tcPr>
            <w:tcW w:w="77"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68" w:name="VARIABLE_PERFORMANCEBASED_COMPENSATION_O"/>
      <w:bookmarkEnd w:id="68"/>
      <w:r>
        <w:rPr>
          <w:rFonts w:ascii="Open Sans" w:hAnsi="Open Sans"/>
          <w:b/>
          <w:i w:val="false"/>
          <w:caps w:val="false"/>
          <w:smallCaps w:val="false"/>
          <w:color w:val="004A7C"/>
          <w:sz w:val="27"/>
        </w:rPr>
        <w:t>Variable and Performance-Based Compensation Overview</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 and LTI awards link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majority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metrics set by the Talent &amp; Compensation 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equity-based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metrics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annual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incentives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range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opportunity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relative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consistent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programs have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both</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minimum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thresholds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payments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made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capped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maximum</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 xml:space="preserve">payments.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recommends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 the 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challenging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achieved,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deliver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superior 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Consistent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setting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ambitious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looks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aggregate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total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TDC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 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median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taking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experience,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tenure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responsibility.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 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believes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appropriate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reward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team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above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opportunity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with respect to performance-based 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rigorous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associated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variable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programs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exceeded.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Conversely,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those targets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paid 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levels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result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variable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Thus,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generally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paid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above 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median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exceeded.</w:t>
      </w:r>
    </w:p>
    <w:p>
      <w:pPr>
        <w:pStyle w:val="TextBody"/>
        <w:spacing w:before="120" w:after="0"/>
        <w:rPr>
          <w:rFonts w:ascii="Open Sans" w:hAnsi="Open Sans"/>
          <w:b/>
          <w:i w:val="false"/>
          <w:caps w:val="false"/>
          <w:smallCaps w:val="false"/>
          <w:color w:val="004A7C"/>
          <w:sz w:val="27"/>
        </w:rPr>
      </w:pPr>
      <w:bookmarkStart w:id="69" w:name="ANNUAL_CASH_BONUS"/>
      <w:bookmarkEnd w:id="69"/>
      <w:r>
        <w:rPr>
          <w:rFonts w:ascii="Open Sans" w:hAnsi="Open Sans"/>
          <w:b/>
          <w:i w:val="false"/>
          <w:caps w:val="false"/>
          <w:smallCaps w:val="false"/>
          <w:color w:val="004A7C"/>
          <w:sz w:val="27"/>
        </w:rPr>
        <w:t>Annual Cash Incentive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maintains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program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certain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members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pay-for-performance </w:t>
      </w:r>
      <w:r>
        <w:rPr>
          <w:rFonts w:ascii="Open Sans" w:hAnsi="Open Sans"/>
          <w:b w:val="false"/>
          <w:i w:val="false"/>
          <w:caps w:val="false"/>
          <w:smallCaps w:val="false"/>
          <w:spacing w:val="-5"/>
          <w:sz w:val="16"/>
        </w:rPr>
        <w:t>philosoph</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b</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linkin</w:t>
      </w:r>
      <w:r>
        <w:rPr>
          <w:rFonts w:ascii="Open Sans" w:hAnsi="Open Sans"/>
          <w:b w:val="false"/>
          <w:i w:val="false"/>
          <w:caps w:val="false"/>
          <w:smallCaps w:val="false"/>
          <w:spacing w:val="-3"/>
          <w:sz w:val="16"/>
        </w:rPr>
        <w:t>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significan</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portio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NEOs</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compensatio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t</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Compan</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performance</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Actua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annua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incentive award</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earne</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ar</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functio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5"/>
          <w:sz w:val="16"/>
        </w:rPr>
        <w:t xml:space="preserve">of </w:t>
      </w:r>
      <w:r>
        <w:rPr>
          <w:rFonts w:ascii="Open Sans" w:hAnsi="Open Sans"/>
          <w:b w:val="false"/>
          <w:i w:val="false"/>
          <w:caps w:val="false"/>
          <w:smallCaps w:val="false"/>
          <w:spacing w:val="-6"/>
          <w:sz w:val="16"/>
        </w:rPr>
        <w:t>performanc</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relativ</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t</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12"/>
          <w:sz w:val="16"/>
        </w:rPr>
        <w:t xml:space="preserve"> Talent &amp; </w:t>
      </w:r>
      <w:r>
        <w:rPr>
          <w:rFonts w:ascii="Open Sans" w:hAnsi="Open Sans"/>
          <w:b w:val="false"/>
          <w:i w:val="false"/>
          <w:caps w:val="false"/>
          <w:smallCaps w:val="false"/>
          <w:spacing w:val="-6"/>
          <w:sz w:val="16"/>
        </w:rPr>
        <w:t>Compensatio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Committee-approve</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financia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targets</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2"/>
          <w:sz w:val="16"/>
        </w:rPr>
        <w:t xml:space="preserve"> Talent &amp; </w:t>
      </w:r>
      <w:r>
        <w:rPr>
          <w:rFonts w:ascii="Open Sans" w:hAnsi="Open Sans"/>
          <w:b w:val="false"/>
          <w:i w:val="false"/>
          <w:caps w:val="false"/>
          <w:smallCaps w:val="false"/>
          <w:spacing w:val="-6"/>
          <w:sz w:val="16"/>
        </w:rPr>
        <w:t>Compensatio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Committe</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ma</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appl</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(an</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i</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som</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year</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ha</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6"/>
          <w:sz w:val="16"/>
        </w:rPr>
        <w:t>applied)</w:t>
      </w:r>
      <w:r>
        <w:rPr>
          <w:rFonts w:ascii="Open Sans" w:hAnsi="Open Sans"/>
          <w:b w:val="false"/>
          <w:i w:val="false"/>
          <w:caps w:val="false"/>
          <w:smallCaps w:val="false"/>
          <w:spacing w:val="-5"/>
          <w:sz w:val="16"/>
        </w:rPr>
        <w:t xml:space="preserve"> negativ</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discretio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adjus</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actua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performanc</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downwar</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i</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i</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believe</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tha</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actua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result</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reflec</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benefi</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matter</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that</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althoug</w:t>
      </w:r>
      <w:r>
        <w:rPr>
          <w:rFonts w:ascii="Open Sans" w:hAnsi="Open Sans"/>
          <w:b w:val="false"/>
          <w:i w:val="false"/>
          <w:caps w:val="false"/>
          <w:smallCaps w:val="false"/>
          <w:spacing w:val="-3"/>
          <w:sz w:val="16"/>
        </w:rPr>
        <w:t>h</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valuabl</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to Republic</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ar</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no</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typ</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benefi</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annua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incentive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pla</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wa</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designe</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t</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5"/>
          <w:sz w:val="16"/>
        </w:rPr>
        <w:t>reward.</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60</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program</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relative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FCF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Measure. 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purposes,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determined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accordance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GAAP,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reported EPS,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adjusted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remove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impact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loss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extinguishment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debt;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gains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losses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related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impairments)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divestitures,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impairments of goodwill and other costs and impairments resulting from exiting a 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associated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withdrawal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multi-employer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pension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restructuring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charges; (e) US Ecology acquisition integration and deal costs; and (f) similar events or circumstances.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FCF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determined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accordance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GAAP,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operating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activities,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property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equipment received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proceeds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property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equipment,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adjusted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remove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impact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taxes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arising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debt extinguishment;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tax</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related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divestitures, impairments of goodwill and other costs and impairments resulting from exiting a 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payments associated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withdrawal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multi-employer pension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restructuring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tax; (5) US Ecology acquisition integration and deal costs, net of tax; and (6) similar events or circumstances.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following tables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illustrate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threshold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maximum</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8"/>
          <w:sz w:val="16"/>
        </w:rPr>
        <w:t xml:space="preserve"> incentive</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two measures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weighted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percentage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 measure.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exceeded,</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FCF</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least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meets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award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increased above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(up</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maximum</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200%</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amount),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extent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exceeded.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additional amount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above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exceeding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FCF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p>
    <w:p>
      <w:pPr>
        <w:pStyle w:val="TextBody"/>
        <w:spacing w:before="0" w:after="0"/>
        <w:rPr/>
      </w:pPr>
      <w:r>
        <w:rPr/>
        <w:t> </w:t>
      </w:r>
    </w:p>
    <w:p>
      <w:pPr>
        <w:pStyle w:val="TextBody"/>
        <w:spacing w:before="0" w:after="0"/>
        <w:rPr>
          <w:rFonts w:ascii="Open Sans" w:hAnsi="Open Sans"/>
          <w:b w:val="false"/>
          <w:i w:val="false"/>
          <w:caps w:val="false"/>
          <w:smallCaps w:val="false"/>
          <w:color w:val="004A7C"/>
          <w:spacing w:val="9"/>
          <w:sz w:val="17"/>
        </w:rPr>
      </w:pPr>
      <w:r>
        <w:rPr>
          <w:rFonts w:ascii="Open Sans" w:hAnsi="Open Sans"/>
          <w:b w:val="false"/>
          <w:i w:val="false"/>
          <w:caps w:val="false"/>
          <w:smallCaps w:val="false"/>
          <w:color w:val="004A7C"/>
          <w:spacing w:val="9"/>
          <w:sz w:val="17"/>
        </w:rPr>
        <w:t>2022 PERCENT</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OF</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ANNUAL</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INCENTIVE</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AWARD</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EARNED</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IF</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EITHER</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MEASURE</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IS</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LESS</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THAN</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TARGET</w:t>
      </w:r>
    </w:p>
    <w:p>
      <w:pPr>
        <w:pStyle w:val="TextBody"/>
        <w:spacing w:before="0" w:after="0"/>
        <w:rPr/>
      </w:pPr>
      <w:r>
        <w:rPr/>
        <w:t> </w:t>
      </w:r>
    </w:p>
    <w:tbl>
      <w:tblPr>
        <w:tblW w:w="6003" w:type="dxa"/>
        <w:jc w:val="left"/>
        <w:tblInd w:w="0" w:type="dxa"/>
        <w:tblCellMar>
          <w:top w:w="0" w:type="dxa"/>
          <w:left w:w="0" w:type="dxa"/>
          <w:bottom w:w="0" w:type="dxa"/>
          <w:right w:w="0" w:type="dxa"/>
        </w:tblCellMar>
      </w:tblPr>
      <w:tblGrid>
        <w:gridCol w:w="60"/>
        <w:gridCol w:w="615"/>
        <w:gridCol w:w="1074"/>
        <w:gridCol w:w="1670"/>
        <w:gridCol w:w="539"/>
        <w:gridCol w:w="539"/>
        <w:gridCol w:w="539"/>
        <w:gridCol w:w="967"/>
      </w:tblGrid>
      <w:tr>
        <w:trPr/>
        <w:tc>
          <w:tcPr>
            <w:tcW w:w="60" w:type="dxa"/>
            <w:vMerge w:val="restart"/>
            <w:tcBorders/>
            <w:shd w:fill="auto" w:val="clear"/>
          </w:tcPr>
          <w:p>
            <w:pPr>
              <w:pStyle w:val="TableContents"/>
              <w:spacing w:before="0" w:after="0"/>
              <w:ind w:left="0" w:right="0" w:hanging="0"/>
              <w:rPr/>
            </w:pPr>
            <w:r>
              <w:rPr/>
              <w:t> </w:t>
            </w:r>
          </w:p>
        </w:tc>
        <w:tc>
          <w:tcPr>
            <w:tcW w:w="615" w:type="dxa"/>
            <w:vMerge w:val="restart"/>
            <w:tcBorders>
              <w:top w:val="single" w:sz="6" w:space="0" w:color="00497C"/>
              <w:bottom w:val="single" w:sz="6" w:space="0" w:color="00497C"/>
              <w:right w:val="single" w:sz="6" w:space="0" w:color="00497C"/>
            </w:tcBorders>
            <w:shd w:fill="00497C" w:val="clear"/>
            <w:tcMar>
              <w:top w:w="28" w:type="dxa"/>
              <w:bottom w:w="28" w:type="dxa"/>
              <w:right w:w="28" w:type="dxa"/>
            </w:tcMar>
            <w:vAlign w:val="center"/>
          </w:tcPr>
          <w:p>
            <w:pPr>
              <w:pStyle w:val="TableContents"/>
              <w:spacing w:before="0" w:after="0"/>
              <w:ind w:left="0" w:right="0" w:hanging="0"/>
              <w:jc w:val="center"/>
              <w:rPr>
                <w:caps w:val="false"/>
                <w:smallCaps w:val="false"/>
              </w:rPr>
            </w:pPr>
            <w:r>
              <w:rPr>
                <w:caps w:val="false"/>
                <w:smallCaps w:val="false"/>
              </w:rPr>
              <w:drawing>
                <wp:inline distT="0" distB="0" distL="0" distR="0">
                  <wp:extent cx="390525" cy="149542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390525" cy="1495425"/>
                          </a:xfrm>
                          <a:prstGeom prst="rect">
                            <a:avLst/>
                          </a:prstGeom>
                        </pic:spPr>
                      </pic:pic>
                    </a:graphicData>
                  </a:graphic>
                </wp:inline>
              </w:drawing>
            </w:r>
          </w:p>
        </w:tc>
        <w:tc>
          <w:tcPr>
            <w:tcW w:w="1074"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160" w:after="160"/>
              <w:ind w:left="0" w:right="0" w:hanging="0"/>
              <w:jc w:val="center"/>
              <w:rPr>
                <w:caps w:val="false"/>
                <w:smallCaps w:val="false"/>
                <w:color w:val="00497C"/>
              </w:rPr>
            </w:pPr>
            <w:r>
              <w:rPr>
                <w:caps w:val="false"/>
                <w:smallCaps w:val="false"/>
                <w:color w:val="00497C"/>
              </w:rPr>
              <w:t>≥</w:t>
            </w:r>
            <w:r>
              <w:rPr>
                <w:caps w:val="false"/>
                <w:smallCaps w:val="false"/>
                <w:color w:val="00497C"/>
                <w:spacing w:val="9"/>
              </w:rPr>
              <w:t xml:space="preserve"> </w:t>
            </w:r>
            <w:r>
              <w:rPr>
                <w:rFonts w:ascii="Open Sans" w:hAnsi="Open Sans"/>
                <w:b w:val="false"/>
                <w:i w:val="false"/>
                <w:caps w:val="false"/>
                <w:smallCaps w:val="false"/>
                <w:color w:val="00497C"/>
                <w:sz w:val="17"/>
              </w:rPr>
              <w:t>$1,703</w:t>
            </w:r>
            <w:r>
              <w:rPr>
                <w:rFonts w:ascii="Open Sans" w:hAnsi="Open Sans"/>
                <w:b w:val="false"/>
                <w:i w:val="false"/>
                <w:caps w:val="false"/>
                <w:smallCaps w:val="false"/>
                <w:color w:val="00497C"/>
                <w:spacing w:val="9"/>
                <w:sz w:val="17"/>
              </w:rPr>
              <w:t xml:space="preserve"> </w:t>
            </w:r>
            <w:r>
              <w:rPr>
                <w:rFonts w:ascii="Open Sans" w:hAnsi="Open Sans"/>
                <w:b w:val="false"/>
                <w:i w:val="false"/>
                <w:caps w:val="false"/>
                <w:smallCaps w:val="false"/>
                <w:color w:val="00497C"/>
                <w:sz w:val="17"/>
              </w:rPr>
              <w:t>(T)</w:t>
            </w:r>
          </w:p>
        </w:tc>
        <w:tc>
          <w:tcPr>
            <w:tcW w:w="1670"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87.5%</w:t>
            </w:r>
          </w:p>
        </w:tc>
        <w:tc>
          <w:tcPr>
            <w:tcW w:w="967"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w:t>
            </w:r>
          </w:p>
        </w:tc>
      </w:tr>
      <w:tr>
        <w:trPr/>
        <w:tc>
          <w:tcPr>
            <w:tcW w:w="60" w:type="dxa"/>
            <w:vMerge w:val="continue"/>
            <w:tcBorders/>
            <w:shd w:fill="auto" w:val="clear"/>
          </w:tcPr>
          <w:p>
            <w:pPr>
              <w:pStyle w:val="Normal"/>
              <w:rPr/>
            </w:pPr>
            <w:r>
              <w:rPr/>
            </w:r>
          </w:p>
        </w:tc>
        <w:tc>
          <w:tcPr>
            <w:tcW w:w="615" w:type="dxa"/>
            <w:vMerge w:val="continue"/>
            <w:tcBorders>
              <w:top w:val="single" w:sz="6" w:space="0" w:color="00497C"/>
              <w:bottom w:val="single" w:sz="6" w:space="0" w:color="00497C"/>
              <w:right w:val="single" w:sz="6" w:space="0" w:color="00497C"/>
            </w:tcBorders>
            <w:shd w:fill="00497C" w:val="clear"/>
            <w:tcMar>
              <w:top w:w="28" w:type="dxa"/>
              <w:bottom w:w="28" w:type="dxa"/>
              <w:right w:w="28" w:type="dxa"/>
            </w:tcMar>
            <w:vAlign w:val="center"/>
          </w:tcPr>
          <w:p>
            <w:pPr>
              <w:pStyle w:val="Normal"/>
              <w:rPr/>
            </w:pPr>
            <w:r>
              <w:rPr/>
            </w:r>
          </w:p>
        </w:tc>
        <w:tc>
          <w:tcPr>
            <w:tcW w:w="1074"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160" w:after="16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$1,618</w:t>
            </w:r>
          </w:p>
        </w:tc>
        <w:tc>
          <w:tcPr>
            <w:tcW w:w="1670"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37.5%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c>
          <w:tcPr>
            <w:tcW w:w="967"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87.5%</w:t>
            </w:r>
          </w:p>
        </w:tc>
      </w:tr>
      <w:tr>
        <w:trPr/>
        <w:tc>
          <w:tcPr>
            <w:tcW w:w="60" w:type="dxa"/>
            <w:vMerge w:val="continue"/>
            <w:tcBorders/>
            <w:shd w:fill="auto" w:val="clear"/>
          </w:tcPr>
          <w:p>
            <w:pPr>
              <w:pStyle w:val="Normal"/>
              <w:rPr/>
            </w:pPr>
            <w:r>
              <w:rPr/>
            </w:r>
          </w:p>
        </w:tc>
        <w:tc>
          <w:tcPr>
            <w:tcW w:w="615" w:type="dxa"/>
            <w:vMerge w:val="continue"/>
            <w:tcBorders>
              <w:top w:val="single" w:sz="6" w:space="0" w:color="00497C"/>
              <w:bottom w:val="single" w:sz="6" w:space="0" w:color="00497C"/>
              <w:right w:val="single" w:sz="6" w:space="0" w:color="00497C"/>
            </w:tcBorders>
            <w:shd w:fill="00497C" w:val="clear"/>
            <w:tcMar>
              <w:top w:w="28" w:type="dxa"/>
              <w:bottom w:w="28" w:type="dxa"/>
              <w:right w:w="28" w:type="dxa"/>
            </w:tcMar>
            <w:vAlign w:val="center"/>
          </w:tcPr>
          <w:p>
            <w:pPr>
              <w:pStyle w:val="Normal"/>
              <w:rPr/>
            </w:pPr>
            <w:r>
              <w:rPr/>
            </w:r>
          </w:p>
        </w:tc>
        <w:tc>
          <w:tcPr>
            <w:tcW w:w="1074"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160" w:after="16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$1,533</w:t>
            </w:r>
          </w:p>
        </w:tc>
        <w:tc>
          <w:tcPr>
            <w:tcW w:w="1670"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37.5%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62.5%</w:t>
            </w:r>
          </w:p>
        </w:tc>
        <w:tc>
          <w:tcPr>
            <w:tcW w:w="967"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r>
      <w:tr>
        <w:trPr/>
        <w:tc>
          <w:tcPr>
            <w:tcW w:w="60" w:type="dxa"/>
            <w:vMerge w:val="continue"/>
            <w:tcBorders/>
            <w:shd w:fill="auto" w:val="clear"/>
          </w:tcPr>
          <w:p>
            <w:pPr>
              <w:pStyle w:val="Normal"/>
              <w:rPr/>
            </w:pPr>
            <w:r>
              <w:rPr/>
            </w:r>
          </w:p>
        </w:tc>
        <w:tc>
          <w:tcPr>
            <w:tcW w:w="615" w:type="dxa"/>
            <w:vMerge w:val="continue"/>
            <w:tcBorders>
              <w:top w:val="single" w:sz="6" w:space="0" w:color="00497C"/>
              <w:bottom w:val="single" w:sz="6" w:space="0" w:color="00497C"/>
              <w:right w:val="single" w:sz="6" w:space="0" w:color="00497C"/>
            </w:tcBorders>
            <w:shd w:fill="00497C" w:val="clear"/>
            <w:tcMar>
              <w:top w:w="28" w:type="dxa"/>
              <w:bottom w:w="28" w:type="dxa"/>
              <w:right w:w="28" w:type="dxa"/>
            </w:tcMar>
            <w:vAlign w:val="center"/>
          </w:tcPr>
          <w:p>
            <w:pPr>
              <w:pStyle w:val="Normal"/>
              <w:rPr/>
            </w:pPr>
            <w:r>
              <w:rPr/>
            </w:r>
          </w:p>
        </w:tc>
        <w:tc>
          <w:tcPr>
            <w:tcW w:w="1074"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$1,448</w:t>
            </w:r>
          </w:p>
          <w:p>
            <w:pPr>
              <w:pStyle w:val="TableContents"/>
              <w:spacing w:before="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(threshold)</w:t>
            </w:r>
          </w:p>
        </w:tc>
        <w:tc>
          <w:tcPr>
            <w:tcW w:w="1670"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37.5%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967"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62.5%</w:t>
            </w:r>
          </w:p>
        </w:tc>
      </w:tr>
      <w:tr>
        <w:trPr/>
        <w:tc>
          <w:tcPr>
            <w:tcW w:w="60" w:type="dxa"/>
            <w:vMerge w:val="continue"/>
            <w:tcBorders/>
            <w:shd w:fill="auto" w:val="clear"/>
          </w:tcPr>
          <w:p>
            <w:pPr>
              <w:pStyle w:val="Normal"/>
              <w:rPr/>
            </w:pPr>
            <w:r>
              <w:rPr/>
            </w:r>
          </w:p>
        </w:tc>
        <w:tc>
          <w:tcPr>
            <w:tcW w:w="615" w:type="dxa"/>
            <w:vMerge w:val="continue"/>
            <w:tcBorders>
              <w:top w:val="single" w:sz="6" w:space="0" w:color="00497C"/>
              <w:bottom w:val="single" w:sz="6" w:space="0" w:color="00497C"/>
              <w:right w:val="single" w:sz="6" w:space="0" w:color="00497C"/>
            </w:tcBorders>
            <w:shd w:fill="00497C" w:val="clear"/>
            <w:tcMar>
              <w:top w:w="28" w:type="dxa"/>
              <w:bottom w:w="28" w:type="dxa"/>
              <w:right w:w="28" w:type="dxa"/>
            </w:tcMar>
            <w:vAlign w:val="center"/>
          </w:tcPr>
          <w:p>
            <w:pPr>
              <w:pStyle w:val="Normal"/>
              <w:rPr/>
            </w:pPr>
            <w:r>
              <w:rPr/>
            </w:r>
          </w:p>
        </w:tc>
        <w:tc>
          <w:tcPr>
            <w:tcW w:w="1074"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160" w:after="16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&lt;</w:t>
            </w:r>
            <w:r>
              <w:rPr>
                <w:rFonts w:ascii="Open Sans" w:hAnsi="Open Sans"/>
                <w:b w:val="false"/>
                <w:i w:val="false"/>
                <w:caps w:val="false"/>
                <w:smallCaps w:val="false"/>
                <w:color w:val="00497C"/>
                <w:spacing w:val="10"/>
                <w:sz w:val="17"/>
              </w:rPr>
              <w:t xml:space="preserve"> </w:t>
            </w:r>
            <w:r>
              <w:rPr>
                <w:rFonts w:ascii="Open Sans" w:hAnsi="Open Sans"/>
                <w:b w:val="false"/>
                <w:i w:val="false"/>
                <w:caps w:val="false"/>
                <w:smallCaps w:val="false"/>
                <w:color w:val="00497C"/>
                <w:sz w:val="17"/>
              </w:rPr>
              <w:t>$1,448</w:t>
            </w:r>
          </w:p>
        </w:tc>
        <w:tc>
          <w:tcPr>
            <w:tcW w:w="1670"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0%</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37.5%</w:t>
            </w:r>
          </w:p>
        </w:tc>
        <w:tc>
          <w:tcPr>
            <w:tcW w:w="967"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r>
      <w:tr>
        <w:trPr/>
        <w:tc>
          <w:tcPr>
            <w:tcW w:w="60" w:type="dxa"/>
            <w:vMerge w:val="continue"/>
            <w:tcBorders/>
            <w:shd w:fill="auto" w:val="clear"/>
          </w:tcPr>
          <w:p>
            <w:pPr>
              <w:pStyle w:val="Normal"/>
              <w:rPr/>
            </w:pPr>
            <w:r>
              <w:rPr/>
            </w:r>
          </w:p>
        </w:tc>
        <w:tc>
          <w:tcPr>
            <w:tcW w:w="615" w:type="dxa"/>
            <w:tcBorders>
              <w:top w:val="single" w:sz="6" w:space="0" w:color="00497C"/>
              <w:bottom w:val="single" w:sz="6" w:space="0" w:color="000000"/>
            </w:tcBorders>
            <w:shd w:fill="auto" w:val="clear"/>
            <w:tcMar>
              <w:top w:w="28" w:type="dxa"/>
              <w:bottom w:w="28" w:type="dxa"/>
            </w:tcMar>
          </w:tcPr>
          <w:p>
            <w:pPr>
              <w:pStyle w:val="TableContents"/>
              <w:spacing w:before="80" w:after="80"/>
              <w:ind w:left="0" w:right="0" w:hanging="0"/>
              <w:jc w:val="center"/>
              <w:rPr/>
            </w:pPr>
            <w:r>
              <w:rPr/>
              <w:t> </w:t>
            </w:r>
          </w:p>
        </w:tc>
        <w:tc>
          <w:tcPr>
            <w:tcW w:w="1074" w:type="dxa"/>
            <w:tcBorders>
              <w:top w:val="single" w:sz="6" w:space="0" w:color="00497C"/>
              <w:bottom w:val="single" w:sz="6" w:space="0" w:color="000000"/>
              <w:right w:val="single" w:sz="6" w:space="0" w:color="00497C"/>
            </w:tcBorders>
            <w:shd w:fill="auto" w:val="clear"/>
            <w:tcMar>
              <w:top w:w="28" w:type="dxa"/>
              <w:bottom w:w="28" w:type="dxa"/>
              <w:right w:w="28" w:type="dxa"/>
            </w:tcMar>
            <w:vAlign w:val="center"/>
          </w:tcPr>
          <w:p>
            <w:pPr>
              <w:pStyle w:val="TableContents"/>
              <w:spacing w:before="80" w:after="80"/>
              <w:ind w:left="0" w:right="0" w:hanging="0"/>
              <w:jc w:val="center"/>
              <w:rPr/>
            </w:pPr>
            <w:r>
              <w:rPr/>
              <w:t> </w:t>
            </w:r>
          </w:p>
        </w:tc>
        <w:tc>
          <w:tcPr>
            <w:tcW w:w="1670"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caps w:val="false"/>
                <w:smallCaps w:val="false"/>
                <w:color w:val="00497C"/>
              </w:rPr>
            </w:pPr>
            <w:r>
              <w:rPr>
                <w:caps w:val="false"/>
                <w:smallCaps w:val="false"/>
                <w:color w:val="00497C"/>
              </w:rPr>
              <w:t>≤</w:t>
            </w:r>
            <w:r>
              <w:rPr>
                <w:caps w:val="false"/>
                <w:smallCaps w:val="false"/>
                <w:color w:val="00497C"/>
                <w:spacing w:val="11"/>
              </w:rPr>
              <w:t xml:space="preserve"> </w:t>
            </w:r>
            <w:r>
              <w:rPr>
                <w:rFonts w:ascii="Open Sans" w:hAnsi="Open Sans"/>
                <w:b w:val="false"/>
                <w:i w:val="false"/>
                <w:caps w:val="false"/>
                <w:smallCaps w:val="false"/>
                <w:color w:val="00497C"/>
                <w:sz w:val="17"/>
              </w:rPr>
              <w:t>$4.56 (threshold)</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$4.61</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$4.66</w:t>
            </w:r>
          </w:p>
        </w:tc>
        <w:tc>
          <w:tcPr>
            <w:tcW w:w="539"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$4.71</w:t>
            </w:r>
          </w:p>
        </w:tc>
        <w:tc>
          <w:tcPr>
            <w:tcW w:w="967"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caps w:val="false"/>
                <w:smallCaps w:val="false"/>
                <w:color w:val="00497C"/>
              </w:rPr>
            </w:pPr>
            <w:r>
              <w:rPr>
                <w:caps w:val="false"/>
                <w:smallCaps w:val="false"/>
                <w:color w:val="00497C"/>
              </w:rPr>
              <w:t>≥</w:t>
            </w:r>
            <w:r>
              <w:rPr>
                <w:caps w:val="false"/>
                <w:smallCaps w:val="false"/>
                <w:color w:val="00497C"/>
                <w:spacing w:val="8"/>
              </w:rPr>
              <w:t xml:space="preserve"> </w:t>
            </w:r>
            <w:r>
              <w:rPr>
                <w:rFonts w:ascii="Open Sans" w:hAnsi="Open Sans"/>
                <w:b w:val="false"/>
                <w:i w:val="false"/>
                <w:caps w:val="false"/>
                <w:smallCaps w:val="false"/>
                <w:color w:val="00497C"/>
                <w:sz w:val="17"/>
              </w:rPr>
              <w:t>$4.76</w:t>
            </w:r>
            <w:r>
              <w:rPr>
                <w:rFonts w:ascii="Open Sans" w:hAnsi="Open Sans"/>
                <w:b w:val="false"/>
                <w:i w:val="false"/>
                <w:caps w:val="false"/>
                <w:smallCaps w:val="false"/>
                <w:color w:val="00497C"/>
                <w:spacing w:val="8"/>
                <w:sz w:val="17"/>
              </w:rPr>
              <w:t xml:space="preserve"> </w:t>
            </w:r>
            <w:r>
              <w:rPr>
                <w:rFonts w:ascii="Open Sans" w:hAnsi="Open Sans"/>
                <w:b w:val="false"/>
                <w:i w:val="false"/>
                <w:caps w:val="false"/>
                <w:smallCaps w:val="false"/>
                <w:color w:val="00497C"/>
                <w:sz w:val="17"/>
              </w:rPr>
              <w:t>(T)</w:t>
            </w:r>
          </w:p>
        </w:tc>
      </w:tr>
      <w:tr>
        <w:trPr/>
        <w:tc>
          <w:tcPr>
            <w:tcW w:w="60" w:type="dxa"/>
            <w:vMerge w:val="continue"/>
            <w:tcBorders/>
            <w:shd w:fill="auto" w:val="clear"/>
          </w:tcPr>
          <w:p>
            <w:pPr>
              <w:pStyle w:val="Normal"/>
              <w:rPr/>
            </w:pPr>
            <w:r>
              <w:rPr/>
            </w:r>
          </w:p>
        </w:tc>
        <w:tc>
          <w:tcPr>
            <w:tcW w:w="615" w:type="dxa"/>
            <w:tcBorders>
              <w:bottom w:val="single" w:sz="6" w:space="0" w:color="000000"/>
            </w:tcBorders>
            <w:shd w:fill="auto" w:val="clear"/>
            <w:tcMar>
              <w:bottom w:w="28" w:type="dxa"/>
            </w:tcMar>
          </w:tcPr>
          <w:p>
            <w:pPr>
              <w:pStyle w:val="TableContents"/>
              <w:spacing w:before="80" w:after="80"/>
              <w:ind w:left="0" w:right="0" w:hanging="0"/>
              <w:jc w:val="center"/>
              <w:rPr/>
            </w:pPr>
            <w:r>
              <w:rPr/>
              <w:t> </w:t>
            </w:r>
          </w:p>
        </w:tc>
        <w:tc>
          <w:tcPr>
            <w:tcW w:w="1074" w:type="dxa"/>
            <w:tcBorders>
              <w:bottom w:val="single" w:sz="6" w:space="0" w:color="000000"/>
              <w:right w:val="single" w:sz="6" w:space="0" w:color="00497C"/>
            </w:tcBorders>
            <w:shd w:fill="auto" w:val="clear"/>
            <w:tcMar>
              <w:bottom w:w="28" w:type="dxa"/>
              <w:right w:w="28" w:type="dxa"/>
            </w:tcMar>
            <w:vAlign w:val="center"/>
          </w:tcPr>
          <w:p>
            <w:pPr>
              <w:pStyle w:val="TableContents"/>
              <w:spacing w:before="80" w:after="80"/>
              <w:ind w:left="0" w:right="0" w:hanging="0"/>
              <w:jc w:val="center"/>
              <w:rPr/>
            </w:pPr>
            <w:r>
              <w:rPr/>
              <w:t> </w:t>
            </w:r>
          </w:p>
        </w:tc>
        <w:tc>
          <w:tcPr>
            <w:tcW w:w="4254" w:type="dxa"/>
            <w:gridSpan w:val="5"/>
            <w:tcBorders>
              <w:top w:val="single" w:sz="6" w:space="0" w:color="00497C"/>
              <w:left w:val="single" w:sz="6" w:space="0" w:color="00497C"/>
              <w:bottom w:val="single" w:sz="6" w:space="0" w:color="00497C"/>
              <w:right w:val="single" w:sz="6" w:space="0" w:color="00497C"/>
            </w:tcBorders>
            <w:shd w:fill="00497C"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FFFFFF"/>
                <w:spacing w:val="6"/>
                <w:sz w:val="16"/>
              </w:rPr>
            </w:pPr>
            <w:r>
              <w:rPr>
                <w:rFonts w:ascii="Open Sans SemiBold" w:hAnsi="Open Sans SemiBold"/>
                <w:b w:val="false"/>
                <w:i w:val="false"/>
                <w:caps w:val="false"/>
                <w:smallCaps w:val="false"/>
                <w:color w:val="FFFFFF"/>
                <w:spacing w:val="6"/>
                <w:sz w:val="16"/>
              </w:rPr>
              <w:t>EPS</w:t>
            </w:r>
            <w:r>
              <w:rPr>
                <w:rFonts w:ascii="Open Sans SemiBold" w:hAnsi="Open Sans SemiBold"/>
                <w:b w:val="false"/>
                <w:i w:val="false"/>
                <w:caps w:val="false"/>
                <w:smallCaps w:val="false"/>
                <w:color w:val="FFFFFF"/>
                <w:spacing w:val="12"/>
                <w:sz w:val="16"/>
              </w:rPr>
              <w:t xml:space="preserve"> </w:t>
            </w:r>
            <w:r>
              <w:rPr>
                <w:rFonts w:ascii="Open Sans SemiBold" w:hAnsi="Open Sans SemiBold"/>
                <w:b w:val="false"/>
                <w:i w:val="false"/>
                <w:caps w:val="false"/>
                <w:smallCaps w:val="false"/>
                <w:color w:val="FFFFFF"/>
                <w:spacing w:val="6"/>
                <w:sz w:val="16"/>
              </w:rPr>
              <w:t>Measure (per share)</w:t>
            </w:r>
          </w:p>
        </w:tc>
      </w:tr>
      <w:tr>
        <w:trPr/>
        <w:tc>
          <w:tcPr>
            <w:tcW w:w="60" w:type="dxa"/>
            <w:vMerge w:val="continue"/>
            <w:tcBorders/>
            <w:shd w:fill="auto" w:val="clear"/>
          </w:tcPr>
          <w:p>
            <w:pPr>
              <w:pStyle w:val="Normal"/>
              <w:rPr/>
            </w:pPr>
            <w:r>
              <w:rPr/>
            </w:r>
          </w:p>
        </w:tc>
        <w:tc>
          <w:tcPr>
            <w:tcW w:w="615" w:type="dxa"/>
            <w:tcBorders/>
            <w:shd w:fill="auto" w:val="clear"/>
          </w:tcPr>
          <w:p>
            <w:pPr>
              <w:pStyle w:val="TableContents"/>
              <w:spacing w:before="0" w:after="0"/>
              <w:ind w:left="0" w:right="0" w:hanging="0"/>
              <w:jc w:val="center"/>
              <w:rPr/>
            </w:pPr>
            <w:r>
              <w:rPr/>
              <w:t> </w:t>
            </w:r>
          </w:p>
        </w:tc>
        <w:tc>
          <w:tcPr>
            <w:tcW w:w="1074" w:type="dxa"/>
            <w:tcBorders/>
            <w:shd w:fill="auto" w:val="clear"/>
            <w:vAlign w:val="center"/>
          </w:tcPr>
          <w:p>
            <w:pPr>
              <w:pStyle w:val="TableContents"/>
              <w:spacing w:before="0" w:after="0"/>
              <w:ind w:left="0" w:right="0" w:hanging="0"/>
              <w:jc w:val="center"/>
              <w:rPr/>
            </w:pPr>
            <w:r>
              <w:rPr/>
              <w:t> </w:t>
            </w:r>
          </w:p>
        </w:tc>
        <w:tc>
          <w:tcPr>
            <w:tcW w:w="4254" w:type="dxa"/>
            <w:gridSpan w:val="5"/>
            <w:tcBorders>
              <w:top w:val="single" w:sz="6" w:space="0" w:color="00497C"/>
            </w:tcBorders>
            <w:shd w:fill="auto" w:val="clear"/>
            <w:tcMar>
              <w:top w:w="28" w:type="dxa"/>
            </w:tcMar>
            <w:vAlign w:val="center"/>
          </w:tcPr>
          <w:p>
            <w:pPr>
              <w:pStyle w:val="TableContents"/>
              <w:spacing w:before="40" w:after="0"/>
              <w:ind w:left="0" w:right="0" w:hanging="0"/>
              <w:jc w:val="right"/>
              <w:rPr>
                <w:rFonts w:ascii="Open Sans" w:hAnsi="Open Sans"/>
                <w:b w:val="false"/>
                <w:i w:val="false"/>
                <w:caps w:val="false"/>
                <w:smallCaps w:val="false"/>
                <w:sz w:val="16"/>
              </w:rPr>
            </w:pPr>
            <w:r>
              <w:rPr>
                <w:rFonts w:ascii="Open Sans" w:hAnsi="Open Sans"/>
                <w:b w:val="false"/>
                <w:i w:val="false"/>
                <w:caps w:val="false"/>
                <w:smallCaps w:val="false"/>
                <w:sz w:val="16"/>
              </w:rPr>
              <w:t>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Targe</w:t>
            </w:r>
            <w:r>
              <w:rPr>
                <w:rFonts w:ascii="Open Sans" w:hAnsi="Open Sans"/>
                <w:b w:val="false"/>
                <w:i w:val="false"/>
                <w:caps w:val="false"/>
                <w:smallCaps w:val="false"/>
                <w:sz w:val="16"/>
              </w:rPr>
              <w:t>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leve</w:t>
            </w:r>
            <w:r>
              <w:rPr>
                <w:rFonts w:ascii="Open Sans" w:hAnsi="Open Sans"/>
                <w:b w:val="false"/>
                <w:i w:val="false"/>
                <w:caps w:val="false"/>
                <w:smallCaps w:val="false"/>
                <w:sz w:val="16"/>
              </w:rPr>
              <w:t>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w:t>
            </w:r>
            <w:r>
              <w:rPr>
                <w:rFonts w:ascii="Open Sans" w:hAnsi="Open Sans"/>
                <w:b w:val="false"/>
                <w:i w:val="false"/>
                <w:caps w:val="false"/>
                <w:smallCaps w:val="false"/>
                <w:sz w:val="16"/>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100</w:t>
            </w:r>
            <w:r>
              <w:rPr>
                <w:rFonts w:ascii="Open Sans" w:hAnsi="Open Sans"/>
                <w:b w:val="false"/>
                <w:i w:val="false"/>
                <w:caps w:val="false"/>
                <w:smallCaps w:val="false"/>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payout</w:t>
            </w:r>
          </w:p>
        </w:tc>
      </w:tr>
      <w:tr>
        <w:trPr/>
        <w:tc>
          <w:tcPr>
            <w:tcW w:w="60" w:type="dxa"/>
            <w:tcBorders/>
            <w:shd w:fill="auto" w:val="clear"/>
          </w:tcPr>
          <w:p>
            <w:pPr>
              <w:pStyle w:val="TableContents"/>
              <w:spacing w:before="0" w:after="0"/>
              <w:ind w:left="720" w:right="0" w:hanging="0"/>
              <w:rPr/>
            </w:pPr>
            <w:r>
              <w:rPr/>
              <w:t> </w:t>
            </w:r>
          </w:p>
        </w:tc>
        <w:tc>
          <w:tcPr>
            <w:tcW w:w="615" w:type="dxa"/>
            <w:tcBorders/>
            <w:shd w:fill="auto" w:val="clear"/>
          </w:tcPr>
          <w:p>
            <w:pPr>
              <w:pStyle w:val="TableContents"/>
              <w:spacing w:before="0" w:after="0"/>
              <w:ind w:left="0" w:right="0" w:hanging="0"/>
              <w:jc w:val="right"/>
              <w:rPr/>
            </w:pPr>
            <w:r>
              <w:rPr/>
              <w:t> </w:t>
            </w:r>
          </w:p>
        </w:tc>
        <w:tc>
          <w:tcPr>
            <w:tcW w:w="5328" w:type="dxa"/>
            <w:gridSpan w:val="6"/>
            <w:tcBorders/>
            <w:shd w:fill="auto" w:val="clear"/>
            <w:vAlign w:val="center"/>
          </w:tcPr>
          <w:p>
            <w:pPr>
              <w:pStyle w:val="TableContents"/>
              <w:spacing w:before="0" w:after="0"/>
              <w:ind w:left="0" w:right="0" w:hanging="0"/>
              <w:jc w:val="right"/>
              <w:rPr>
                <w:rFonts w:ascii="Open Sans" w:hAnsi="Open Sans"/>
                <w:b w:val="false"/>
                <w:i w:val="false"/>
                <w:caps w:val="false"/>
                <w:smallCaps w:val="false"/>
                <w:spacing w:val="-3"/>
                <w:sz w:val="15"/>
              </w:rPr>
            </w:pPr>
            <w:r>
              <w:rPr>
                <w:rFonts w:ascii="Open Sans" w:hAnsi="Open Sans"/>
                <w:b w:val="false"/>
                <w:i w:val="false"/>
                <w:caps w:val="false"/>
                <w:smallCaps w:val="false"/>
                <w:spacing w:val="-3"/>
                <w:sz w:val="15"/>
              </w:rPr>
              <w:t>Actual</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results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for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both</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measures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in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2022</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were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above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Target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and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therefore</w:t>
            </w:r>
          </w:p>
          <w:p>
            <w:pPr>
              <w:pStyle w:val="TableContents"/>
              <w:spacing w:before="0" w:after="0"/>
              <w:ind w:left="0" w:right="0" w:hanging="0"/>
              <w:jc w:val="right"/>
              <w:rPr>
                <w:rFonts w:ascii="Open Sans" w:hAnsi="Open Sans"/>
                <w:b w:val="false"/>
                <w:i w:val="false"/>
                <w:caps w:val="false"/>
                <w:smallCaps w:val="false"/>
                <w:spacing w:val="-8"/>
                <w:sz w:val="15"/>
              </w:rPr>
            </w:pPr>
            <w:r>
              <w:rPr>
                <w:rFonts w:ascii="Open Sans" w:hAnsi="Open Sans"/>
                <w:b w:val="false"/>
                <w:i w:val="false"/>
                <w:caps w:val="false"/>
                <w:smallCaps w:val="false"/>
                <w:spacing w:val="-3"/>
                <w:sz w:val="15"/>
              </w:rPr>
              <w:t>th</w:t>
            </w:r>
            <w:r>
              <w:rPr>
                <w:rFonts w:ascii="Open Sans" w:hAnsi="Open Sans"/>
                <w:b w:val="false"/>
                <w:i w:val="false"/>
                <w:caps w:val="false"/>
                <w:smallCaps w:val="false"/>
                <w:spacing w:val="-8"/>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tabl</w:t>
            </w:r>
            <w:r>
              <w:rPr>
                <w:rFonts w:ascii="Open Sans" w:hAnsi="Open Sans"/>
                <w:b w:val="false"/>
                <w:i w:val="false"/>
                <w:caps w:val="false"/>
                <w:smallCaps w:val="false"/>
                <w:spacing w:val="-8"/>
                <w:sz w:val="15"/>
              </w:rPr>
              <w:t xml:space="preserve">e </w:t>
            </w:r>
            <w:r>
              <w:rPr>
                <w:rFonts w:ascii="Open Sans" w:hAnsi="Open Sans"/>
                <w:b w:val="false"/>
                <w:i w:val="false"/>
                <w:caps w:val="false"/>
                <w:smallCaps w:val="false"/>
                <w:spacing w:val="-3"/>
                <w:sz w:val="15"/>
              </w:rPr>
              <w:t>abov</w:t>
            </w:r>
            <w:r>
              <w:rPr>
                <w:rFonts w:ascii="Open Sans" w:hAnsi="Open Sans"/>
                <w:b w:val="false"/>
                <w:i w:val="false"/>
                <w:caps w:val="false"/>
                <w:smallCaps w:val="false"/>
                <w:spacing w:val="-8"/>
                <w:sz w:val="15"/>
              </w:rPr>
              <w:t xml:space="preserve">e </w:t>
            </w:r>
            <w:r>
              <w:rPr>
                <w:rFonts w:ascii="Open Sans" w:hAnsi="Open Sans"/>
                <w:b w:val="false"/>
                <w:i w:val="false"/>
                <w:caps w:val="false"/>
                <w:smallCaps w:val="false"/>
                <w:spacing w:val="-3"/>
                <w:sz w:val="15"/>
              </w:rPr>
              <w:t>di</w:t>
            </w:r>
            <w:r>
              <w:rPr>
                <w:rFonts w:ascii="Open Sans" w:hAnsi="Open Sans"/>
                <w:b w:val="false"/>
                <w:i w:val="false"/>
                <w:caps w:val="false"/>
                <w:smallCaps w:val="false"/>
                <w:spacing w:val="-8"/>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no</w:t>
            </w:r>
            <w:r>
              <w:rPr>
                <w:rFonts w:ascii="Open Sans" w:hAnsi="Open Sans"/>
                <w:b w:val="false"/>
                <w:i w:val="false"/>
                <w:caps w:val="false"/>
                <w:smallCaps w:val="false"/>
                <w:spacing w:val="-8"/>
                <w:sz w:val="15"/>
              </w:rPr>
              <w:t xml:space="preserve">t </w:t>
            </w:r>
            <w:r>
              <w:rPr>
                <w:rFonts w:ascii="Open Sans" w:hAnsi="Open Sans"/>
                <w:b w:val="false"/>
                <w:i w:val="false"/>
                <w:caps w:val="false"/>
                <w:smallCaps w:val="false"/>
                <w:spacing w:val="-3"/>
                <w:sz w:val="15"/>
              </w:rPr>
              <w:t>gover</w:t>
            </w:r>
            <w:r>
              <w:rPr>
                <w:rFonts w:ascii="Open Sans" w:hAnsi="Open Sans"/>
                <w:b w:val="false"/>
                <w:i w:val="false"/>
                <w:caps w:val="false"/>
                <w:smallCaps w:val="false"/>
                <w:spacing w:val="-8"/>
                <w:sz w:val="15"/>
              </w:rPr>
              <w:t xml:space="preserve">n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8"/>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payou</w:t>
            </w:r>
            <w:r>
              <w:rPr>
                <w:rFonts w:ascii="Open Sans" w:hAnsi="Open Sans"/>
                <w:b w:val="false"/>
                <w:i w:val="false"/>
                <w:caps w:val="false"/>
                <w:smallCaps w:val="false"/>
                <w:spacing w:val="-8"/>
                <w:sz w:val="15"/>
              </w:rPr>
              <w:t xml:space="preserve">t </w:t>
            </w:r>
            <w:r>
              <w:rPr>
                <w:rFonts w:ascii="Open Sans" w:hAnsi="Open Sans"/>
                <w:b w:val="false"/>
                <w:i w:val="false"/>
                <w:caps w:val="false"/>
                <w:smallCaps w:val="false"/>
                <w:spacing w:val="-3"/>
                <w:sz w:val="15"/>
              </w:rPr>
              <w:t>determination.</w:t>
            </w:r>
          </w:p>
        </w:tc>
      </w:tr>
    </w:tbl>
    <w:p>
      <w:pPr>
        <w:pStyle w:val="TextBody"/>
        <w:spacing w:before="0" w:after="0"/>
        <w:rPr/>
      </w:pPr>
      <w:r>
        <w:rPr/>
        <w:t> </w:t>
      </w:r>
    </w:p>
    <w:p>
      <w:pPr>
        <w:pStyle w:val="TextBody"/>
        <w:spacing w:before="0" w:after="0"/>
        <w:rPr/>
      </w:pPr>
      <w:r>
        <w:rPr/>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61</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60" w:after="0"/>
        <w:rPr>
          <w:rFonts w:ascii="Open Sans" w:hAnsi="Open Sans"/>
          <w:b w:val="false"/>
          <w:i w:val="false"/>
          <w:caps w:val="false"/>
          <w:smallCaps w:val="false"/>
          <w:color w:val="004A7C"/>
          <w:spacing w:val="9"/>
          <w:sz w:val="17"/>
        </w:rPr>
      </w:pPr>
      <w:r>
        <w:rPr>
          <w:rFonts w:ascii="Open Sans" w:hAnsi="Open Sans"/>
          <w:b w:val="false"/>
          <w:i w:val="false"/>
          <w:caps w:val="false"/>
          <w:smallCaps w:val="false"/>
          <w:color w:val="004A7C"/>
          <w:spacing w:val="9"/>
          <w:sz w:val="17"/>
        </w:rPr>
        <w:t>2022 PERCENT</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OF</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ANNUAL</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INCENTIVE</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AWARD</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EARNED</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IF</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BOTH</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MEASURES</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ARE</w:t>
      </w:r>
      <w:r>
        <w:rPr>
          <w:rFonts w:ascii="Open Sans" w:hAnsi="Open Sans"/>
          <w:b w:val="false"/>
          <w:i w:val="false"/>
          <w:caps w:val="false"/>
          <w:smallCaps w:val="false"/>
          <w:color w:val="004A7C"/>
          <w:spacing w:val="35"/>
          <w:sz w:val="17"/>
        </w:rPr>
        <w:t xml:space="preserve"> ABOVE OR </w:t>
      </w:r>
      <w:r>
        <w:rPr>
          <w:rFonts w:ascii="Open Sans" w:hAnsi="Open Sans"/>
          <w:b w:val="false"/>
          <w:i w:val="false"/>
          <w:caps w:val="false"/>
          <w:smallCaps w:val="false"/>
          <w:color w:val="004A7C"/>
          <w:spacing w:val="9"/>
          <w:sz w:val="17"/>
        </w:rPr>
        <w:t>AT</w:t>
      </w:r>
      <w:r>
        <w:rPr>
          <w:rFonts w:ascii="Open Sans" w:hAnsi="Open Sans"/>
          <w:b w:val="false"/>
          <w:i w:val="false"/>
          <w:caps w:val="false"/>
          <w:smallCaps w:val="false"/>
          <w:color w:val="004A7C"/>
          <w:spacing w:val="35"/>
          <w:sz w:val="17"/>
        </w:rPr>
        <w:t xml:space="preserve"> </w:t>
      </w:r>
      <w:r>
        <w:rPr>
          <w:rFonts w:ascii="Open Sans" w:hAnsi="Open Sans"/>
          <w:b w:val="false"/>
          <w:i w:val="false"/>
          <w:caps w:val="false"/>
          <w:smallCaps w:val="false"/>
          <w:color w:val="004A7C"/>
          <w:spacing w:val="9"/>
          <w:sz w:val="17"/>
        </w:rPr>
        <w:t>TARGET</w:t>
      </w:r>
    </w:p>
    <w:p>
      <w:pPr>
        <w:pStyle w:val="TextBody"/>
        <w:spacing w:before="0" w:after="0"/>
        <w:rPr/>
      </w:pPr>
      <w:r>
        <w:rPr/>
        <w:t> </w:t>
      </w:r>
    </w:p>
    <w:tbl>
      <w:tblPr>
        <w:tblW w:w="6788" w:type="dxa"/>
        <w:jc w:val="left"/>
        <w:tblInd w:w="0" w:type="dxa"/>
        <w:tblCellMar>
          <w:top w:w="0" w:type="dxa"/>
          <w:left w:w="0" w:type="dxa"/>
          <w:bottom w:w="0" w:type="dxa"/>
          <w:right w:w="0" w:type="dxa"/>
        </w:tblCellMar>
      </w:tblPr>
      <w:tblGrid>
        <w:gridCol w:w="865"/>
        <w:gridCol w:w="333"/>
        <w:gridCol w:w="497"/>
        <w:gridCol w:w="602"/>
        <w:gridCol w:w="915"/>
        <w:gridCol w:w="588"/>
        <w:gridCol w:w="588"/>
        <w:gridCol w:w="588"/>
        <w:gridCol w:w="933"/>
        <w:gridCol w:w="879"/>
      </w:tblGrid>
      <w:tr>
        <w:trPr/>
        <w:tc>
          <w:tcPr>
            <w:tcW w:w="86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r>
      <w:tr>
        <w:trPr/>
        <w:tc>
          <w:tcPr>
            <w:tcW w:w="1198" w:type="dxa"/>
            <w:gridSpan w:val="2"/>
            <w:tcBorders>
              <w:top w:val="single" w:sz="6" w:space="0" w:color="00497C"/>
              <w:left w:val="single" w:sz="6" w:space="0" w:color="00497C"/>
              <w:bottom w:val="single" w:sz="6" w:space="0" w:color="00497C"/>
              <w:right w:val="single" w:sz="6" w:space="0" w:color="00497C"/>
            </w:tcBorders>
            <w:shd w:fill="00497C" w:val="clear"/>
            <w:tcMar>
              <w:top w:w="28" w:type="dxa"/>
              <w:left w:w="28" w:type="dxa"/>
              <w:bottom w:w="28" w:type="dxa"/>
              <w:right w:w="28" w:type="dxa"/>
            </w:tcMar>
            <w:vAlign w:val="center"/>
          </w:tcPr>
          <w:p>
            <w:pPr>
              <w:pStyle w:val="TableContents"/>
              <w:spacing w:before="0" w:after="40"/>
              <w:ind w:left="0" w:right="0" w:hanging="0"/>
              <w:jc w:val="center"/>
              <w:rPr>
                <w:rFonts w:ascii="Open Sans SemiBold" w:hAnsi="Open Sans SemiBold"/>
                <w:b w:val="false"/>
                <w:i w:val="false"/>
                <w:caps w:val="false"/>
                <w:smallCaps w:val="false"/>
                <w:color w:val="FFFFFF"/>
                <w:spacing w:val="6"/>
                <w:sz w:val="16"/>
              </w:rPr>
            </w:pPr>
            <w:r>
              <w:rPr>
                <w:rFonts w:ascii="Open Sans SemiBold" w:hAnsi="Open Sans SemiBold"/>
                <w:b w:val="false"/>
                <w:i w:val="false"/>
                <w:caps w:val="false"/>
                <w:smallCaps w:val="false"/>
                <w:color w:val="FFFFFF"/>
                <w:spacing w:val="6"/>
                <w:sz w:val="16"/>
              </w:rPr>
              <w:t>FCF</w:t>
            </w:r>
            <w:r>
              <w:rPr>
                <w:rFonts w:ascii="Open Sans SemiBold" w:hAnsi="Open Sans SemiBold"/>
                <w:b w:val="false"/>
                <w:i w:val="false"/>
                <w:caps w:val="false"/>
                <w:smallCaps w:val="false"/>
                <w:color w:val="FFFFFF"/>
                <w:spacing w:val="1"/>
                <w:sz w:val="16"/>
              </w:rPr>
              <w:t xml:space="preserve"> </w:t>
            </w:r>
            <w:r>
              <w:rPr>
                <w:rFonts w:ascii="Open Sans SemiBold" w:hAnsi="Open Sans SemiBold"/>
                <w:b w:val="false"/>
                <w:i w:val="false"/>
                <w:caps w:val="false"/>
                <w:smallCaps w:val="false"/>
                <w:color w:val="FFFFFF"/>
                <w:spacing w:val="6"/>
                <w:sz w:val="16"/>
              </w:rPr>
              <w:t>Measure</w:t>
            </w:r>
          </w:p>
          <w:p>
            <w:pPr>
              <w:pStyle w:val="TableContents"/>
              <w:spacing w:before="0" w:after="40"/>
              <w:ind w:left="0" w:right="0" w:hanging="0"/>
              <w:jc w:val="center"/>
              <w:rPr>
                <w:rFonts w:ascii="Open Sans SemiBold" w:hAnsi="Open Sans SemiBold"/>
                <w:b w:val="false"/>
                <w:i w:val="false"/>
                <w:caps w:val="false"/>
                <w:smallCaps w:val="false"/>
                <w:color w:val="FFFFFF"/>
                <w:spacing w:val="6"/>
                <w:sz w:val="16"/>
              </w:rPr>
            </w:pPr>
            <w:r>
              <w:rPr>
                <w:rFonts w:ascii="Open Sans SemiBold" w:hAnsi="Open Sans SemiBold"/>
                <w:b w:val="false"/>
                <w:i w:val="false"/>
                <w:caps w:val="false"/>
                <w:smallCaps w:val="false"/>
                <w:color w:val="FFFFFF"/>
                <w:spacing w:val="6"/>
                <w:sz w:val="16"/>
              </w:rPr>
              <w:t>($</w:t>
            </w:r>
            <w:r>
              <w:rPr>
                <w:rFonts w:ascii="Open Sans SemiBold" w:hAnsi="Open Sans SemiBold"/>
                <w:b w:val="false"/>
                <w:i w:val="false"/>
                <w:caps w:val="false"/>
                <w:smallCaps w:val="false"/>
                <w:color w:val="FFFFFF"/>
                <w:spacing w:val="12"/>
                <w:sz w:val="16"/>
              </w:rPr>
              <w:t xml:space="preserve"> </w:t>
            </w:r>
            <w:r>
              <w:rPr>
                <w:rFonts w:ascii="Open Sans SemiBold" w:hAnsi="Open Sans SemiBold"/>
                <w:b w:val="false"/>
                <w:i w:val="false"/>
                <w:caps w:val="false"/>
                <w:smallCaps w:val="false"/>
                <w:color w:val="FFFFFF"/>
                <w:spacing w:val="6"/>
                <w:sz w:val="16"/>
              </w:rPr>
              <w:t>in millions</w:t>
            </w:r>
            <w:r>
              <w:rPr>
                <w:rFonts w:ascii="Open Sans" w:hAnsi="Open Sans"/>
                <w:b/>
                <w:i w:val="false"/>
                <w:caps w:val="false"/>
                <w:smallCaps w:val="false"/>
                <w:color w:val="FFFFFF"/>
                <w:spacing w:val="6"/>
                <w:sz w:val="16"/>
              </w:rPr>
              <w:t>)</w:t>
            </w:r>
          </w:p>
        </w:tc>
        <w:tc>
          <w:tcPr>
            <w:tcW w:w="1099" w:type="dxa"/>
            <w:gridSpan w:val="2"/>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caps w:val="false"/>
                <w:smallCaps w:val="false"/>
                <w:color w:val="00497C"/>
              </w:rPr>
            </w:pPr>
            <w:r>
              <w:rPr>
                <w:caps w:val="false"/>
                <w:smallCaps w:val="false"/>
                <w:color w:val="00497C"/>
              </w:rPr>
              <w:t>≥</w:t>
            </w:r>
            <w:r>
              <w:rPr>
                <w:rFonts w:ascii="Open Sans" w:hAnsi="Open Sans"/>
                <w:b w:val="false"/>
                <w:i w:val="false"/>
                <w:caps w:val="false"/>
                <w:smallCaps w:val="false"/>
                <w:color w:val="00497C"/>
                <w:sz w:val="17"/>
              </w:rPr>
              <w:t>$1,703</w:t>
            </w:r>
            <w:r>
              <w:rPr>
                <w:rFonts w:ascii="Open Sans" w:hAnsi="Open Sans"/>
                <w:b w:val="false"/>
                <w:i w:val="false"/>
                <w:caps w:val="false"/>
                <w:smallCaps w:val="false"/>
                <w:color w:val="00497C"/>
                <w:spacing w:val="17"/>
                <w:sz w:val="17"/>
              </w:rPr>
              <w:t xml:space="preserve"> </w:t>
            </w:r>
            <w:r>
              <w:rPr>
                <w:rFonts w:ascii="Open Sans" w:hAnsi="Open Sans"/>
                <w:b w:val="false"/>
                <w:i w:val="false"/>
                <w:caps w:val="false"/>
                <w:smallCaps w:val="false"/>
                <w:color w:val="00497C"/>
                <w:sz w:val="17"/>
              </w:rPr>
              <w:t>(T)</w:t>
            </w:r>
          </w:p>
        </w:tc>
        <w:tc>
          <w:tcPr>
            <w:tcW w:w="915"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w:t>
            </w:r>
          </w:p>
        </w:tc>
        <w:tc>
          <w:tcPr>
            <w:tcW w:w="588"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125%</w:t>
            </w:r>
          </w:p>
        </w:tc>
        <w:tc>
          <w:tcPr>
            <w:tcW w:w="588"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150%</w:t>
            </w:r>
          </w:p>
        </w:tc>
        <w:tc>
          <w:tcPr>
            <w:tcW w:w="588"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175%</w:t>
            </w:r>
          </w:p>
        </w:tc>
        <w:tc>
          <w:tcPr>
            <w:tcW w:w="933" w:type="dxa"/>
            <w:tcBorders>
              <w:top w:val="single" w:sz="6" w:space="0" w:color="00497C"/>
              <w:left w:val="single" w:sz="6" w:space="0" w:color="00497C"/>
              <w:bottom w:val="single" w:sz="6" w:space="0" w:color="00497C"/>
              <w:right w:val="single" w:sz="6" w:space="0" w:color="00497C"/>
            </w:tcBorders>
            <w:shd w:fill="D8E1E9" w:val="clear"/>
            <w:tcMar>
              <w:top w:w="28" w:type="dxa"/>
              <w:left w:w="28" w:type="dxa"/>
              <w:bottom w:w="28" w:type="dxa"/>
              <w:right w:w="28" w:type="dxa"/>
            </w:tcMar>
          </w:tcPr>
          <w:p>
            <w:pPr>
              <w:pStyle w:val="TableContents"/>
              <w:spacing w:before="12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185% (A)</w:t>
            </w:r>
          </w:p>
        </w:tc>
        <w:tc>
          <w:tcPr>
            <w:tcW w:w="879" w:type="dxa"/>
            <w:tcBorders>
              <w:top w:val="single" w:sz="6" w:space="0" w:color="00497C"/>
              <w:left w:val="single" w:sz="6" w:space="0" w:color="00497C"/>
              <w:bottom w:val="single" w:sz="6" w:space="0" w:color="00497C"/>
              <w:right w:val="single" w:sz="6" w:space="0" w:color="00497C"/>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200%</w:t>
            </w:r>
          </w:p>
        </w:tc>
      </w:tr>
      <w:tr>
        <w:trPr/>
        <w:tc>
          <w:tcPr>
            <w:tcW w:w="1198" w:type="dxa"/>
            <w:gridSpan w:val="2"/>
            <w:tcBorders>
              <w:top w:val="single" w:sz="6" w:space="0" w:color="00497C"/>
              <w:bottom w:val="single" w:sz="6" w:space="0" w:color="000000"/>
            </w:tcBorders>
            <w:shd w:fill="auto" w:val="clear"/>
            <w:tcMar>
              <w:top w:w="28" w:type="dxa"/>
              <w:bottom w:w="28" w:type="dxa"/>
            </w:tcMar>
            <w:vAlign w:val="center"/>
          </w:tcPr>
          <w:p>
            <w:pPr>
              <w:pStyle w:val="TableContents"/>
              <w:spacing w:before="0" w:after="40"/>
              <w:ind w:left="0" w:right="0" w:hanging="0"/>
              <w:jc w:val="center"/>
              <w:rPr/>
            </w:pPr>
            <w:r>
              <w:rPr/>
              <w:t> </w:t>
            </w:r>
          </w:p>
        </w:tc>
        <w:tc>
          <w:tcPr>
            <w:tcW w:w="1099" w:type="dxa"/>
            <w:gridSpan w:val="2"/>
            <w:tcBorders>
              <w:top w:val="single" w:sz="6" w:space="0" w:color="00497C"/>
              <w:bottom w:val="single" w:sz="6" w:space="0" w:color="000000"/>
              <w:right w:val="single" w:sz="6" w:space="0" w:color="00497C"/>
            </w:tcBorders>
            <w:shd w:fill="auto" w:val="clear"/>
            <w:tcMar>
              <w:top w:w="28" w:type="dxa"/>
              <w:bottom w:w="28" w:type="dxa"/>
              <w:right w:w="28" w:type="dxa"/>
            </w:tcMar>
            <w:vAlign w:val="center"/>
          </w:tcPr>
          <w:p>
            <w:pPr>
              <w:pStyle w:val="TableContents"/>
              <w:spacing w:before="80" w:after="80"/>
              <w:ind w:left="0" w:right="0" w:hanging="0"/>
              <w:jc w:val="center"/>
              <w:rPr/>
            </w:pPr>
            <w:r>
              <w:rPr/>
              <w:t> </w:t>
            </w:r>
          </w:p>
        </w:tc>
        <w:tc>
          <w:tcPr>
            <w:tcW w:w="915"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$4.76</w:t>
            </w:r>
            <w:r>
              <w:rPr>
                <w:rFonts w:ascii="Open Sans" w:hAnsi="Open Sans"/>
                <w:b w:val="false"/>
                <w:i w:val="false"/>
                <w:caps w:val="false"/>
                <w:smallCaps w:val="false"/>
                <w:color w:val="00497C"/>
                <w:spacing w:val="13"/>
                <w:sz w:val="17"/>
              </w:rPr>
              <w:t xml:space="preserve"> </w:t>
            </w:r>
            <w:r>
              <w:rPr>
                <w:rFonts w:ascii="Open Sans" w:hAnsi="Open Sans"/>
                <w:b w:val="false"/>
                <w:i w:val="false"/>
                <w:caps w:val="false"/>
                <w:smallCaps w:val="false"/>
                <w:color w:val="00497C"/>
                <w:sz w:val="17"/>
              </w:rPr>
              <w:t>(T)</w:t>
            </w:r>
          </w:p>
        </w:tc>
        <w:tc>
          <w:tcPr>
            <w:tcW w:w="588"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$4.81</w:t>
            </w:r>
          </w:p>
        </w:tc>
        <w:tc>
          <w:tcPr>
            <w:tcW w:w="588"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$4.86</w:t>
            </w:r>
          </w:p>
        </w:tc>
        <w:tc>
          <w:tcPr>
            <w:tcW w:w="588"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$4.91</w:t>
            </w:r>
          </w:p>
        </w:tc>
        <w:tc>
          <w:tcPr>
            <w:tcW w:w="933" w:type="dxa"/>
            <w:tcBorders>
              <w:top w:val="single" w:sz="6" w:space="0" w:color="00497C"/>
              <w:left w:val="single" w:sz="6" w:space="0" w:color="00497C"/>
              <w:bottom w:val="single" w:sz="6" w:space="0" w:color="00497C"/>
              <w:right w:val="single" w:sz="6" w:space="0" w:color="00497C"/>
            </w:tcBorders>
            <w:shd w:fill="D8E1E9" w:val="clear"/>
            <w:tcMar>
              <w:top w:w="28" w:type="dxa"/>
              <w:left w:w="28" w:type="dxa"/>
              <w:bottom w:w="28" w:type="dxa"/>
              <w:right w:w="28" w:type="dxa"/>
            </w:tcMar>
            <w:vAlign w:val="center"/>
          </w:tcPr>
          <w:p>
            <w:pPr>
              <w:pStyle w:val="TableContents"/>
              <w:spacing w:before="12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$4.93</w:t>
            </w:r>
          </w:p>
        </w:tc>
        <w:tc>
          <w:tcPr>
            <w:tcW w:w="879" w:type="dxa"/>
            <w:tcBorders>
              <w:top w:val="single" w:sz="6" w:space="0" w:color="00497C"/>
              <w:left w:val="single" w:sz="6" w:space="0" w:color="00497C"/>
              <w:bottom w:val="single" w:sz="6" w:space="0" w:color="00497C"/>
              <w:right w:val="single" w:sz="6" w:space="0" w:color="00497C"/>
            </w:tcBorders>
            <w:shd w:fill="D8E1E9" w:val="clear"/>
            <w:tcMar>
              <w:top w:w="28" w:type="dxa"/>
              <w:left w:w="28" w:type="dxa"/>
              <w:bottom w:w="28" w:type="dxa"/>
              <w:right w:w="28" w:type="dxa"/>
            </w:tcMar>
            <w:vAlign w:val="center"/>
          </w:tcPr>
          <w:p>
            <w:pPr>
              <w:pStyle w:val="TableContents"/>
              <w:spacing w:before="40" w:after="0"/>
              <w:ind w:left="0" w:right="0" w:hanging="0"/>
              <w:jc w:val="center"/>
              <w:rPr>
                <w:caps w:val="false"/>
                <w:smallCaps w:val="false"/>
                <w:color w:val="00497C"/>
              </w:rPr>
            </w:pPr>
            <w:r>
              <w:rPr>
                <w:caps w:val="false"/>
                <w:smallCaps w:val="false"/>
                <w:color w:val="00497C"/>
              </w:rPr>
              <w:t>    </w:t>
            </w:r>
            <w:r>
              <w:rPr>
                <w:rFonts w:ascii="Open Sans" w:hAnsi="Open Sans"/>
                <w:b w:val="false"/>
                <w:i w:val="false"/>
                <w:caps w:val="false"/>
                <w:smallCaps w:val="false"/>
                <w:color w:val="00497C"/>
                <w:sz w:val="17"/>
              </w:rPr>
              <w:t>$4.96</w:t>
            </w:r>
          </w:p>
          <w:p>
            <w:pPr>
              <w:pStyle w:val="TableContents"/>
              <w:spacing w:before="0" w:after="0"/>
              <w:ind w:left="0" w:right="0" w:hanging="0"/>
              <w:jc w:val="center"/>
              <w:rPr>
                <w:caps w:val="false"/>
                <w:smallCaps w:val="false"/>
                <w:color w:val="00497C"/>
              </w:rPr>
            </w:pPr>
            <w:r>
              <w:rPr>
                <w:caps w:val="false"/>
                <w:smallCaps w:val="false"/>
                <w:color w:val="00497C"/>
              </w:rPr>
              <w:t xml:space="preserve">   </w:t>
            </w:r>
            <w:r>
              <w:rPr>
                <w:rFonts w:ascii="Open Sans" w:hAnsi="Open Sans"/>
                <w:b w:val="false"/>
                <w:i w:val="false"/>
                <w:caps w:val="false"/>
                <w:smallCaps w:val="false"/>
                <w:color w:val="00497C"/>
                <w:sz w:val="17"/>
              </w:rPr>
              <w:t>(max)</w:t>
            </w:r>
          </w:p>
        </w:tc>
      </w:tr>
      <w:tr>
        <w:trPr/>
        <w:tc>
          <w:tcPr>
            <w:tcW w:w="1198" w:type="dxa"/>
            <w:gridSpan w:val="2"/>
            <w:tcBorders/>
            <w:shd w:fill="auto" w:val="clear"/>
          </w:tcPr>
          <w:p>
            <w:pPr>
              <w:pStyle w:val="TableContents"/>
              <w:spacing w:before="0" w:after="0"/>
              <w:ind w:left="0" w:right="0" w:hanging="0"/>
              <w:jc w:val="center"/>
              <w:rPr/>
            </w:pPr>
            <w:r>
              <w:rPr/>
              <w:t> </w:t>
            </w:r>
          </w:p>
        </w:tc>
        <w:tc>
          <w:tcPr>
            <w:tcW w:w="1099" w:type="dxa"/>
            <w:gridSpan w:val="2"/>
            <w:tcBorders/>
            <w:shd w:fill="auto" w:val="clear"/>
            <w:vAlign w:val="center"/>
          </w:tcPr>
          <w:p>
            <w:pPr>
              <w:pStyle w:val="TableContents"/>
              <w:spacing w:before="80" w:after="80"/>
              <w:ind w:left="0" w:right="0" w:hanging="0"/>
              <w:jc w:val="center"/>
              <w:rPr/>
            </w:pPr>
            <w:r>
              <w:rPr/>
              <w:t> </w:t>
            </w:r>
          </w:p>
        </w:tc>
        <w:tc>
          <w:tcPr>
            <w:tcW w:w="4491" w:type="dxa"/>
            <w:gridSpan w:val="6"/>
            <w:tcBorders>
              <w:top w:val="single" w:sz="6" w:space="0" w:color="00497C"/>
              <w:right w:val="single" w:sz="6" w:space="0" w:color="00497C"/>
            </w:tcBorders>
            <w:shd w:fill="00497C" w:val="clear"/>
            <w:tcMar>
              <w:top w:w="28" w:type="dxa"/>
              <w:right w:w="28" w:type="dxa"/>
            </w:tcMar>
          </w:tcPr>
          <w:p>
            <w:pPr>
              <w:pStyle w:val="TableContents"/>
              <w:spacing w:before="20" w:after="0"/>
              <w:ind w:left="0" w:right="0" w:hanging="0"/>
              <w:jc w:val="center"/>
              <w:rPr>
                <w:rFonts w:ascii="Open Sans SemiBold" w:hAnsi="Open Sans SemiBold"/>
                <w:b w:val="false"/>
                <w:i w:val="false"/>
                <w:caps w:val="false"/>
                <w:smallCaps w:val="false"/>
                <w:color w:val="FFFFFF"/>
                <w:spacing w:val="6"/>
                <w:sz w:val="16"/>
              </w:rPr>
            </w:pPr>
            <w:r>
              <w:rPr>
                <w:rFonts w:ascii="Open Sans SemiBold" w:hAnsi="Open Sans SemiBold"/>
                <w:b w:val="false"/>
                <w:i w:val="false"/>
                <w:caps w:val="false"/>
                <w:smallCaps w:val="false"/>
                <w:color w:val="FFFFFF"/>
                <w:spacing w:val="6"/>
                <w:sz w:val="16"/>
              </w:rPr>
              <w:t>EPS</w:t>
            </w:r>
            <w:r>
              <w:rPr>
                <w:rFonts w:ascii="Open Sans SemiBold" w:hAnsi="Open Sans SemiBold"/>
                <w:b w:val="false"/>
                <w:i w:val="false"/>
                <w:caps w:val="false"/>
                <w:smallCaps w:val="false"/>
                <w:color w:val="FFFFFF"/>
                <w:spacing w:val="12"/>
                <w:sz w:val="16"/>
              </w:rPr>
              <w:t xml:space="preserve"> </w:t>
            </w:r>
            <w:r>
              <w:rPr>
                <w:rFonts w:ascii="Open Sans SemiBold" w:hAnsi="Open Sans SemiBold"/>
                <w:b w:val="false"/>
                <w:i w:val="false"/>
                <w:caps w:val="false"/>
                <w:smallCaps w:val="false"/>
                <w:color w:val="FFFFFF"/>
                <w:spacing w:val="6"/>
                <w:sz w:val="16"/>
              </w:rPr>
              <w:t>Measure</w:t>
            </w:r>
            <w:r>
              <w:rPr>
                <w:rFonts w:ascii="Open Sans SemiBold" w:hAnsi="Open Sans SemiBold"/>
                <w:b w:val="false"/>
                <w:i w:val="false"/>
                <w:caps w:val="false"/>
                <w:smallCaps w:val="false"/>
                <w:color w:val="FFFFFF"/>
                <w:spacing w:val="12"/>
                <w:sz w:val="16"/>
              </w:rPr>
              <w:t xml:space="preserve"> </w:t>
            </w:r>
            <w:r>
              <w:rPr>
                <w:rFonts w:ascii="Open Sans SemiBold" w:hAnsi="Open Sans SemiBold"/>
                <w:b w:val="false"/>
                <w:i w:val="false"/>
                <w:caps w:val="false"/>
                <w:smallCaps w:val="false"/>
                <w:color w:val="FFFFFF"/>
                <w:spacing w:val="6"/>
                <w:sz w:val="16"/>
              </w:rPr>
              <w:t>(per share)</w:t>
            </w:r>
          </w:p>
        </w:tc>
      </w:tr>
      <w:tr>
        <w:trPr/>
        <w:tc>
          <w:tcPr>
            <w:tcW w:w="865" w:type="dxa"/>
            <w:tcBorders/>
            <w:shd w:fill="auto" w:val="clear"/>
          </w:tcPr>
          <w:p>
            <w:pPr>
              <w:pStyle w:val="TableContents"/>
              <w:spacing w:before="40" w:after="0"/>
              <w:ind w:left="172" w:right="0" w:hanging="0"/>
              <w:jc w:val="right"/>
              <w:rPr/>
            </w:pPr>
            <w:r>
              <w:rPr/>
              <w:t> </w:t>
            </w:r>
          </w:p>
        </w:tc>
        <w:tc>
          <w:tcPr>
            <w:tcW w:w="830" w:type="dxa"/>
            <w:gridSpan w:val="2"/>
            <w:tcBorders/>
            <w:shd w:fill="auto" w:val="clear"/>
          </w:tcPr>
          <w:p>
            <w:pPr>
              <w:pStyle w:val="TableContents"/>
              <w:spacing w:before="40" w:after="0"/>
              <w:ind w:left="172" w:right="0" w:hanging="0"/>
              <w:jc w:val="right"/>
              <w:rPr/>
            </w:pPr>
            <w:r>
              <w:rPr/>
              <w:t> </w:t>
            </w:r>
          </w:p>
        </w:tc>
        <w:tc>
          <w:tcPr>
            <w:tcW w:w="5093" w:type="dxa"/>
            <w:gridSpan w:val="7"/>
            <w:tcBorders/>
            <w:shd w:fill="auto" w:val="clear"/>
          </w:tcPr>
          <w:p>
            <w:pPr>
              <w:pStyle w:val="TableContents"/>
              <w:spacing w:before="40" w:after="0"/>
              <w:ind w:left="172" w:right="0" w:hanging="0"/>
              <w:jc w:val="right"/>
              <w:rPr>
                <w:rFonts w:ascii="Open Sans" w:hAnsi="Open Sans"/>
                <w:b w:val="false"/>
                <w:i w:val="false"/>
                <w:caps w:val="false"/>
                <w:smallCaps w:val="false"/>
                <w:sz w:val="15"/>
              </w:rPr>
            </w:pPr>
            <w:r>
              <w:rPr>
                <w:rFonts w:ascii="Open Sans" w:hAnsi="Open Sans"/>
                <w:b w:val="false"/>
                <w:i w:val="false"/>
                <w:caps w:val="false"/>
                <w:smallCaps w:val="false"/>
                <w:sz w:val="15"/>
              </w:rPr>
              <w:t>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z w:val="15"/>
              </w:rPr>
              <w: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Targe</w:t>
            </w:r>
            <w:r>
              <w:rPr>
                <w:rFonts w:ascii="Open Sans" w:hAnsi="Open Sans"/>
                <w:b w:val="false"/>
                <w:i w:val="false"/>
                <w:caps w:val="false"/>
                <w:smallCaps w:val="false"/>
                <w:sz w:val="15"/>
              </w:rPr>
              <w:t>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leve</w:t>
            </w:r>
            <w:r>
              <w:rPr>
                <w:rFonts w:ascii="Open Sans" w:hAnsi="Open Sans"/>
                <w:b w:val="false"/>
                <w:i w:val="false"/>
                <w:caps w:val="false"/>
                <w:smallCaps w:val="false"/>
                <w:sz w:val="15"/>
              </w:rPr>
              <w:t>l</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fo</w:t>
            </w:r>
            <w:r>
              <w:rPr>
                <w:rFonts w:ascii="Open Sans" w:hAnsi="Open Sans"/>
                <w:b w:val="false"/>
                <w:i w:val="false"/>
                <w:caps w:val="false"/>
                <w:smallCaps w:val="false"/>
                <w:sz w:val="15"/>
              </w:rPr>
              <w:t>r</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100</w:t>
            </w:r>
            <w:r>
              <w:rPr>
                <w:rFonts w:ascii="Open Sans" w:hAnsi="Open Sans"/>
                <w:b w:val="false"/>
                <w:i w:val="false"/>
                <w:caps w:val="false"/>
                <w:smallCaps w:val="false"/>
                <w:sz w:val="15"/>
              </w:rPr>
              <w: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payou</w:t>
            </w:r>
            <w:r>
              <w:rPr>
                <w:rFonts w:ascii="Open Sans" w:hAnsi="Open Sans"/>
                <w:b w:val="false"/>
                <w:i w:val="false"/>
                <w:caps w:val="false"/>
                <w:smallCaps w:val="false"/>
                <w:sz w:val="15"/>
              </w:rPr>
              <w:t>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z w:val="15"/>
              </w:rPr>
              <w: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z w:val="15"/>
              </w:rPr>
              <w:t>A</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z w:val="15"/>
              </w:rPr>
              <w: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Actua</w:t>
            </w:r>
            <w:r>
              <w:rPr>
                <w:rFonts w:ascii="Open Sans" w:hAnsi="Open Sans"/>
                <w:b w:val="false"/>
                <w:i w:val="false"/>
                <w:caps w:val="false"/>
                <w:smallCaps w:val="false"/>
                <w:sz w:val="15"/>
              </w:rPr>
              <w:t>l</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achievemen</w:t>
            </w:r>
            <w:r>
              <w:rPr>
                <w:rFonts w:ascii="Open Sans" w:hAnsi="Open Sans"/>
                <w:b w:val="false"/>
                <w:i w:val="false"/>
                <w:caps w:val="false"/>
                <w:smallCaps w:val="false"/>
                <w:sz w:val="15"/>
              </w:rPr>
              <w:t>t</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i</w:t>
            </w:r>
            <w:r>
              <w:rPr>
                <w:rFonts w:ascii="Open Sans" w:hAnsi="Open Sans"/>
                <w:b w:val="false"/>
                <w:i w:val="false"/>
                <w:caps w:val="false"/>
                <w:smallCaps w:val="false"/>
                <w:sz w:val="15"/>
              </w:rPr>
              <w:t>n</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2022</w:t>
            </w:r>
            <w:r>
              <w:rPr>
                <w:rFonts w:ascii="Open Sans" w:hAnsi="Open Sans"/>
                <w:b w:val="false"/>
                <w:i w:val="false"/>
                <w:caps w:val="false"/>
                <w:smallCaps w:val="false"/>
                <w:spacing w:val="-5"/>
                <w:sz w:val="15"/>
              </w:rPr>
              <w:t xml:space="preserve"> </w:t>
            </w:r>
          </w:p>
          <w:p>
            <w:pPr>
              <w:pStyle w:val="TableContents"/>
              <w:spacing w:before="0" w:after="0"/>
              <w:ind w:left="173" w:right="0" w:hanging="0"/>
              <w:jc w:val="right"/>
              <w:rPr>
                <w:rFonts w:ascii="Open Sans" w:hAnsi="Open Sans"/>
                <w:b w:val="false"/>
                <w:i w:val="false"/>
                <w:caps w:val="false"/>
                <w:smallCaps w:val="false"/>
                <w:spacing w:val="-3"/>
                <w:sz w:val="15"/>
              </w:rPr>
            </w:pPr>
            <w:r>
              <w:rPr>
                <w:rFonts w:ascii="Open Sans" w:hAnsi="Open Sans"/>
                <w:b w:val="false"/>
                <w:i w:val="false"/>
                <w:caps w:val="false"/>
                <w:smallCaps w:val="false"/>
                <w:spacing w:val="-3"/>
                <w:sz w:val="15"/>
              </w:rPr>
              <w:t>FCF</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Measure</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was</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$1,742</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million</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and</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EPS</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Measure</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was</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$4.93</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per</w:t>
            </w:r>
            <w:r>
              <w:rPr>
                <w:rFonts w:ascii="Open Sans" w:hAnsi="Open Sans"/>
                <w:b w:val="false"/>
                <w:i w:val="false"/>
                <w:caps w:val="false"/>
                <w:smallCaps w:val="false"/>
                <w:spacing w:val="-5"/>
                <w:sz w:val="15"/>
              </w:rPr>
              <w:t xml:space="preserve"> </w:t>
            </w:r>
            <w:r>
              <w:rPr>
                <w:rFonts w:ascii="Open Sans" w:hAnsi="Open Sans"/>
                <w:b w:val="false"/>
                <w:i w:val="false"/>
                <w:caps w:val="false"/>
                <w:smallCaps w:val="false"/>
                <w:spacing w:val="-3"/>
                <w:sz w:val="15"/>
              </w:rPr>
              <w:t>share</w:t>
            </w:r>
          </w:p>
        </w:tc>
      </w:tr>
    </w:tbl>
    <w:p>
      <w:pPr>
        <w:pStyle w:val="TextBody"/>
        <w:spacing w:before="0" w:after="0"/>
        <w:rPr/>
      </w:pPr>
      <w:r>
        <w:rPr/>
        <w:t> </w:t>
      </w:r>
    </w:p>
    <w:p>
      <w:pPr>
        <w:pStyle w:val="TextBody"/>
        <w:spacing w:before="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 $4.93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$4.76 per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FCF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 $1,742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million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$1,703 million.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above-target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FCF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resulted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receiving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n annual incentive </w:t>
      </w:r>
      <w:r>
        <w:rPr>
          <w:rFonts w:ascii="Open Sans" w:hAnsi="Open Sans"/>
          <w:b w:val="false"/>
          <w:i w:val="false"/>
          <w:caps w:val="false"/>
          <w:smallCaps w:val="false"/>
          <w:spacing w:val="-3"/>
          <w:sz w:val="16"/>
        </w:rPr>
        <w:t>payment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185%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33"/>
          <w:sz w:val="16"/>
        </w:rPr>
        <w:t xml:space="preserve"> </w:t>
      </w:r>
      <w:r>
        <w:rPr>
          <w:rFonts w:ascii="Open Sans" w:hAnsi="Open Sans"/>
          <w:b w:val="false"/>
          <w:i w:val="false"/>
          <w:caps w:val="false"/>
          <w:smallCaps w:val="false"/>
          <w:spacing w:val="-3"/>
          <w:sz w:val="16"/>
        </w:rPr>
        <w:t>Please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Annex 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page</w:t>
      </w:r>
      <w:r>
        <w:rPr>
          <w:rFonts w:ascii="Open Sans" w:hAnsi="Open Sans"/>
          <w:b w:val="false"/>
          <w:i w:val="false"/>
          <w:caps w:val="false"/>
          <w:smallCaps w:val="false"/>
          <w:spacing w:val="-5"/>
          <w:sz w:val="16"/>
        </w:rPr>
        <w:t xml:space="preserve"> 98</w:t>
      </w:r>
      <w:r>
        <w:rPr>
          <w:rFonts w:ascii="Open Sans" w:hAnsi="Open Sans"/>
          <w:b w:val="false"/>
          <w:i w:val="false"/>
          <w:caps w:val="false"/>
          <w:smallCaps w:val="false"/>
          <w:spacing w:val="-3"/>
          <w:sz w:val="16"/>
        </w:rPr>
        <w:t xml:space="preserve"> 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details regarding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calculation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results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2020, 2021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 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FCF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Measure. The following table shows targets and actual outcomes for the annual incentive in the 2020 through 2022 NEO compensation program.</w:t>
      </w:r>
    </w:p>
    <w:p>
      <w:pPr>
        <w:pStyle w:val="TextBody"/>
        <w:spacing w:before="0" w:after="0"/>
        <w:rPr/>
      </w:pPr>
      <w:r>
        <w:rPr/>
        <w:t> </w:t>
      </w:r>
    </w:p>
    <w:tbl>
      <w:tblPr>
        <w:tblW w:w="4745" w:type="dxa"/>
        <w:jc w:val="left"/>
        <w:tblInd w:w="0" w:type="dxa"/>
        <w:tblCellMar>
          <w:top w:w="0" w:type="dxa"/>
          <w:left w:w="0" w:type="dxa"/>
          <w:bottom w:w="28" w:type="dxa"/>
          <w:right w:w="0" w:type="dxa"/>
        </w:tblCellMar>
      </w:tblPr>
      <w:tblGrid>
        <w:gridCol w:w="2975"/>
        <w:gridCol w:w="590"/>
        <w:gridCol w:w="590"/>
        <w:gridCol w:w="590"/>
      </w:tblGrid>
      <w:tr>
        <w:trPr/>
        <w:tc>
          <w:tcPr>
            <w:tcW w:w="2975" w:type="dxa"/>
            <w:tcBorders>
              <w:bottom w:val="single" w:sz="6" w:space="0" w:color="D8E1E9"/>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90" w:type="dxa"/>
            <w:tcBorders>
              <w:bottom w:val="single" w:sz="6" w:space="0" w:color="D8E1E9"/>
            </w:tcBorders>
            <w:shd w:fill="FFFFFF" w:val="clear"/>
            <w:vAlign w:val="bottom"/>
          </w:tcPr>
          <w:p>
            <w:pPr>
              <w:pStyle w:val="TableContents"/>
              <w:spacing w:before="6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2020</w:t>
            </w:r>
          </w:p>
        </w:tc>
        <w:tc>
          <w:tcPr>
            <w:tcW w:w="590" w:type="dxa"/>
            <w:tcBorders>
              <w:bottom w:val="single" w:sz="6" w:space="0" w:color="D8E1E9"/>
            </w:tcBorders>
            <w:shd w:fill="FFFFFF" w:val="clear"/>
            <w:vAlign w:val="bottom"/>
          </w:tcPr>
          <w:p>
            <w:pPr>
              <w:pStyle w:val="TableContents"/>
              <w:spacing w:before="6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2021</w:t>
            </w:r>
          </w:p>
        </w:tc>
        <w:tc>
          <w:tcPr>
            <w:tcW w:w="590" w:type="dxa"/>
            <w:tcBorders>
              <w:bottom w:val="single" w:sz="6" w:space="0" w:color="D8E1E9"/>
            </w:tcBorders>
            <w:shd w:fill="FFFFFF" w:val="clear"/>
            <w:vAlign w:val="bottom"/>
          </w:tcPr>
          <w:p>
            <w:pPr>
              <w:pStyle w:val="TableContents"/>
              <w:spacing w:before="6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2022</w:t>
            </w:r>
          </w:p>
        </w:tc>
      </w:tr>
      <w:tr>
        <w:trPr/>
        <w:tc>
          <w:tcPr>
            <w:tcW w:w="2975" w:type="dxa"/>
            <w:tcBorders>
              <w:top w:val="single" w:sz="6" w:space="0" w:color="D8E1E9"/>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EPS MEASURE TARGET</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$3.53</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$3.76</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$4.76</w:t>
            </w:r>
          </w:p>
        </w:tc>
      </w:tr>
      <w:tr>
        <w:trPr/>
        <w:tc>
          <w:tcPr>
            <w:tcW w:w="2975" w:type="dxa"/>
            <w:tcBorders>
              <w:top w:val="single" w:sz="6" w:space="0" w:color="FFFFFF"/>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EPS MEASURE ACTUAL</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$3.58</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$4.10</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$4.93</w:t>
            </w:r>
          </w:p>
        </w:tc>
      </w:tr>
      <w:tr>
        <w:trPr/>
        <w:tc>
          <w:tcPr>
            <w:tcW w:w="2975" w:type="dxa"/>
            <w:tcBorders>
              <w:top w:val="single" w:sz="6" w:space="0" w:color="FFFFFF"/>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FCF MEASURE TARGET</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$1,146</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$1,385</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$1,703</w:t>
            </w:r>
          </w:p>
        </w:tc>
      </w:tr>
      <w:tr>
        <w:trPr/>
        <w:tc>
          <w:tcPr>
            <w:tcW w:w="2975" w:type="dxa"/>
            <w:tcBorders>
              <w:top w:val="single" w:sz="6" w:space="0" w:color="FFFFFF"/>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FCF MEASURE ACTUAL</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$1,262</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$1,515</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$1,742</w:t>
            </w:r>
          </w:p>
        </w:tc>
      </w:tr>
      <w:tr>
        <w:trPr/>
        <w:tc>
          <w:tcPr>
            <w:tcW w:w="2975" w:type="dxa"/>
            <w:tcBorders>
              <w:top w:val="single" w:sz="6" w:space="0" w:color="FFFFFF"/>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FINANCIAL INCENTIVE PAYOUT</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125%</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200%</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185%</w:t>
            </w:r>
          </w:p>
        </w:tc>
      </w:tr>
      <w:tr>
        <w:trPr/>
        <w:tc>
          <w:tcPr>
            <w:tcW w:w="2975" w:type="dxa"/>
            <w:tcBorders>
              <w:top w:val="single" w:sz="6" w:space="0" w:color="FFFFFF"/>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SUSTAINABILITY MODIFIER</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N/A</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N/A</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0%</w:t>
            </w:r>
          </w:p>
        </w:tc>
      </w:tr>
      <w:tr>
        <w:trPr/>
        <w:tc>
          <w:tcPr>
            <w:tcW w:w="2975" w:type="dxa"/>
            <w:tcBorders>
              <w:top w:val="single" w:sz="6" w:space="0" w:color="FFFFFF"/>
              <w:bottom w:val="single" w:sz="6" w:space="0" w:color="FFFFFF"/>
              <w:right w:val="single" w:sz="6" w:space="0" w:color="D8E1E9"/>
            </w:tcBorders>
            <w:shd w:fill="D8E1E9" w:val="clear"/>
            <w:tcMar>
              <w:top w:w="28" w:type="dxa"/>
              <w:right w:w="28" w:type="dxa"/>
            </w:tcMar>
            <w:vAlign w:val="bottom"/>
          </w:tcPr>
          <w:p>
            <w:pPr>
              <w:pStyle w:val="TableContents"/>
              <w:spacing w:before="120" w:after="4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TOTAL ANNUAL INCENTIVE PAYOUT</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125%</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200%</w:t>
            </w:r>
          </w:p>
        </w:tc>
        <w:tc>
          <w:tcPr>
            <w:tcW w:w="59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right w:w="28" w:type="dxa"/>
            </w:tcMar>
            <w:vAlign w:val="bottom"/>
          </w:tcPr>
          <w:p>
            <w:pPr>
              <w:pStyle w:val="TableContents"/>
              <w:spacing w:before="120" w:after="4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185%</w:t>
            </w:r>
          </w:p>
        </w:tc>
      </w:tr>
    </w:tbl>
    <w:p>
      <w:pPr>
        <w:pStyle w:val="TextBody"/>
        <w:spacing w:before="0" w:after="0"/>
        <w:rPr/>
      </w:pPr>
      <w:r>
        <w:rPr/>
        <w:t> </w:t>
      </w:r>
    </w:p>
    <w:p>
      <w:pPr>
        <w:pStyle w:val="TextBody"/>
        <w:spacing w:before="0" w:after="0"/>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Sustainability Modifier</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For 2022, the Company’s performance on the sustainability modifier was assessed based on performance against sustainability objectives established by the Talent &amp; Compensation Committee in February 2022.  The Company’s actual performance against predefined safety, talent, and climate metrics determines whether there is an adjustment of the annual incentive achieved by senior executives, including our NEOs upward or downward within a range of ten percentage points.  The table below lists the sustainability pillars from our 2030 sustainability goals, the metrics selected by our Talent &amp; Compensation Committee for purposes of the 2022 annual incentive plan, the 2022 goal, target range, 2022 achievement, other considerations that the Talent &amp; Compensation Committee took into consideration and the rating determined by the Talent &amp; Compensation Committee. </w:t>
      </w:r>
    </w:p>
    <w:p>
      <w:pPr>
        <w:pStyle w:val="TextBody"/>
        <w:spacing w:before="0" w:after="0"/>
        <w:rPr/>
      </w:pPr>
      <w:r>
        <w:rPr/>
        <w:t> </w:t>
      </w:r>
    </w:p>
    <w:tbl>
      <w:tblPr>
        <w:tblW w:w="10539" w:type="dxa"/>
        <w:jc w:val="left"/>
        <w:tblInd w:w="0" w:type="dxa"/>
        <w:tblCellMar>
          <w:top w:w="28" w:type="dxa"/>
          <w:left w:w="0" w:type="dxa"/>
          <w:bottom w:w="28" w:type="dxa"/>
          <w:right w:w="28" w:type="dxa"/>
        </w:tblCellMar>
      </w:tblPr>
      <w:tblGrid>
        <w:gridCol w:w="1578"/>
        <w:gridCol w:w="1344"/>
        <w:gridCol w:w="738"/>
        <w:gridCol w:w="738"/>
        <w:gridCol w:w="932"/>
        <w:gridCol w:w="1488"/>
        <w:gridCol w:w="2934"/>
        <w:gridCol w:w="787"/>
      </w:tblGrid>
      <w:tr>
        <w:trPr/>
        <w:tc>
          <w:tcPr>
            <w:tcW w:w="1578" w:type="dxa"/>
            <w:tcBorders>
              <w:top w:val="single" w:sz="6" w:space="0" w:color="D8E1E9"/>
              <w:bottom w:val="single" w:sz="6" w:space="0" w:color="FFFFFF"/>
              <w:right w:val="single" w:sz="6" w:space="0" w:color="D8E1E9"/>
            </w:tcBorders>
            <w:shd w:fill="D8E1E9" w:val="cle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Sustainability Pillar</w:t>
            </w:r>
          </w:p>
        </w:tc>
        <w:tc>
          <w:tcPr>
            <w:tcW w:w="1344"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Specific Metric</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2030 Goal</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2022 Goal</w:t>
            </w:r>
          </w:p>
        </w:tc>
        <w:tc>
          <w:tcPr>
            <w:tcW w:w="932"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Target Range</w:t>
            </w:r>
          </w:p>
        </w:tc>
        <w:tc>
          <w:tcPr>
            <w:tcW w:w="1488"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2022 Achievement</w:t>
            </w:r>
          </w:p>
        </w:tc>
        <w:tc>
          <w:tcPr>
            <w:tcW w:w="2934"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Other Considerations Impacting Rating</w:t>
            </w:r>
          </w:p>
        </w:tc>
        <w:tc>
          <w:tcPr>
            <w:tcW w:w="787" w:type="dxa"/>
            <w:tcBorders>
              <w:top w:val="single" w:sz="6" w:space="0" w:color="D8E1E9"/>
              <w:left w:val="single" w:sz="6" w:space="0" w:color="D8E1E9"/>
              <w:bottom w:val="single" w:sz="6" w:space="0" w:color="D8E1E9"/>
              <w:right w:val="single" w:sz="6" w:space="0" w:color="D8E1E9"/>
            </w:tcBorders>
            <w:shd w:fill="auto" w:val="clear"/>
            <w:tcMar>
              <w:left w:w="28" w:type="dxa"/>
            </w:tcMar>
            <w:vAlign w:val="bottom"/>
          </w:tcPr>
          <w:p>
            <w:pPr>
              <w:pStyle w:val="TableContents"/>
              <w:spacing w:lineRule="auto" w:line="288" w:before="120" w:after="20"/>
              <w:ind w:left="0" w:right="0" w:hanging="0"/>
              <w:jc w:val="center"/>
              <w:rPr>
                <w:rFonts w:ascii="Open Sans" w:hAnsi="Open Sans"/>
                <w:b/>
                <w:i w:val="false"/>
                <w:caps w:val="false"/>
                <w:smallCaps w:val="false"/>
                <w:color w:val="00497C"/>
                <w:sz w:val="16"/>
              </w:rPr>
            </w:pPr>
            <w:r>
              <w:rPr>
                <w:rFonts w:ascii="Open Sans" w:hAnsi="Open Sans"/>
                <w:b/>
                <w:i w:val="false"/>
                <w:caps w:val="false"/>
                <w:smallCaps w:val="false"/>
                <w:color w:val="00497C"/>
                <w:sz w:val="16"/>
              </w:rPr>
              <w:t>Rating (1)</w:t>
            </w:r>
          </w:p>
        </w:tc>
      </w:tr>
      <w:tr>
        <w:trPr/>
        <w:tc>
          <w:tcPr>
            <w:tcW w:w="1578" w:type="dxa"/>
            <w:tcBorders>
              <w:top w:val="single" w:sz="6" w:space="0" w:color="FFFFFF"/>
              <w:bottom w:val="single" w:sz="6" w:space="0" w:color="FFFFFF"/>
              <w:right w:val="single" w:sz="6" w:space="0" w:color="D8E1E9"/>
            </w:tcBorders>
            <w:shd w:fill="D8E1E9" w:val="clear"/>
            <w:vAlign w:val="center"/>
          </w:tcPr>
          <w:p>
            <w:pPr>
              <w:pStyle w:val="TableContents"/>
              <w:spacing w:before="120" w:after="12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Safety</w:t>
            </w:r>
          </w:p>
        </w:tc>
        <w:tc>
          <w:tcPr>
            <w:tcW w:w="1344"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Incident Reduction</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2.0</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3.4</w:t>
            </w:r>
          </w:p>
        </w:tc>
        <w:tc>
          <w:tcPr>
            <w:tcW w:w="932"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[3.1-3.7]</w:t>
            </w:r>
          </w:p>
        </w:tc>
        <w:tc>
          <w:tcPr>
            <w:tcW w:w="148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2.9</w:t>
            </w:r>
          </w:p>
        </w:tc>
        <w:tc>
          <w:tcPr>
            <w:tcW w:w="2934"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365F91"/>
                <w:sz w:val="16"/>
              </w:rPr>
            </w:pPr>
            <w:r>
              <w:rPr>
                <w:rFonts w:ascii="Open Sans" w:hAnsi="Open Sans"/>
                <w:b w:val="false"/>
                <w:i w:val="false"/>
                <w:caps w:val="false"/>
                <w:smallCaps w:val="false"/>
                <w:color w:val="365F91"/>
                <w:sz w:val="16"/>
              </w:rPr>
              <w:t xml:space="preserve">Other company safety performance </w:t>
            </w:r>
          </w:p>
        </w:tc>
        <w:tc>
          <w:tcPr>
            <w:tcW w:w="787"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2</w:t>
            </w:r>
          </w:p>
        </w:tc>
      </w:tr>
      <w:tr>
        <w:trPr/>
        <w:tc>
          <w:tcPr>
            <w:tcW w:w="1578" w:type="dxa"/>
            <w:tcBorders>
              <w:top w:val="single" w:sz="6" w:space="0" w:color="FFFFFF"/>
              <w:bottom w:val="single" w:sz="6" w:space="0" w:color="FFFFFF"/>
              <w:right w:val="single" w:sz="6" w:space="0" w:color="D8E1E9"/>
            </w:tcBorders>
            <w:shd w:fill="D8E1E9" w:val="clear"/>
            <w:vAlign w:val="center"/>
          </w:tcPr>
          <w:p>
            <w:pPr>
              <w:pStyle w:val="TableContents"/>
              <w:spacing w:before="120" w:after="12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Talent</w:t>
            </w:r>
          </w:p>
        </w:tc>
        <w:tc>
          <w:tcPr>
            <w:tcW w:w="1344"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Leadership Diversity</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50%</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44%</w:t>
            </w:r>
          </w:p>
        </w:tc>
        <w:tc>
          <w:tcPr>
            <w:tcW w:w="932"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[42.5%-45.5%]</w:t>
            </w:r>
          </w:p>
        </w:tc>
        <w:tc>
          <w:tcPr>
            <w:tcW w:w="148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44.5%</w:t>
            </w:r>
          </w:p>
        </w:tc>
        <w:tc>
          <w:tcPr>
            <w:tcW w:w="2934"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365F91"/>
                <w:sz w:val="16"/>
              </w:rPr>
            </w:pPr>
            <w:r>
              <w:rPr>
                <w:rFonts w:ascii="Open Sans" w:hAnsi="Open Sans"/>
                <w:b w:val="false"/>
                <w:i w:val="false"/>
                <w:caps w:val="false"/>
                <w:smallCaps w:val="false"/>
                <w:color w:val="365F91"/>
                <w:sz w:val="16"/>
              </w:rPr>
              <w:t xml:space="preserve">Performance target in range </w:t>
            </w:r>
          </w:p>
        </w:tc>
        <w:tc>
          <w:tcPr>
            <w:tcW w:w="787"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w:t>
            </w:r>
          </w:p>
        </w:tc>
      </w:tr>
      <w:tr>
        <w:trPr/>
        <w:tc>
          <w:tcPr>
            <w:tcW w:w="1578" w:type="dxa"/>
            <w:tcBorders>
              <w:top w:val="single" w:sz="6" w:space="0" w:color="FFFFFF"/>
              <w:bottom w:val="single" w:sz="6" w:space="0" w:color="000000"/>
              <w:right w:val="single" w:sz="6" w:space="0" w:color="D8E1E9"/>
            </w:tcBorders>
            <w:shd w:fill="D8E1E9" w:val="clear"/>
            <w:vAlign w:val="center"/>
          </w:tcPr>
          <w:p>
            <w:pPr>
              <w:pStyle w:val="TableContents"/>
              <w:spacing w:before="120" w:after="120"/>
              <w:ind w:left="0" w:right="0" w:hanging="0"/>
              <w:jc w:val="center"/>
              <w:rPr>
                <w:rFonts w:ascii="Open Sans SemiBold" w:hAnsi="Open Sans SemiBold"/>
                <w:b w:val="false"/>
                <w:i w:val="false"/>
                <w:caps w:val="false"/>
                <w:smallCaps w:val="false"/>
                <w:color w:val="00497C"/>
                <w:sz w:val="16"/>
              </w:rPr>
            </w:pPr>
            <w:r>
              <w:rPr>
                <w:rFonts w:ascii="Open Sans SemiBold" w:hAnsi="Open Sans SemiBold"/>
                <w:b w:val="false"/>
                <w:i w:val="false"/>
                <w:caps w:val="false"/>
                <w:smallCaps w:val="false"/>
                <w:color w:val="00497C"/>
                <w:sz w:val="16"/>
              </w:rPr>
              <w:t>Climate Leadership</w:t>
            </w:r>
          </w:p>
        </w:tc>
        <w:tc>
          <w:tcPr>
            <w:tcW w:w="1344"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Circular</w:t>
            </w:r>
          </w:p>
          <w:p>
            <w:pPr>
              <w:pStyle w:val="TableContents"/>
              <w:spacing w:before="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Economy</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3.4M</w:t>
            </w:r>
          </w:p>
          <w:p>
            <w:pPr>
              <w:pStyle w:val="TableContents"/>
              <w:spacing w:before="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Tons</w:t>
            </w:r>
          </w:p>
        </w:tc>
        <w:tc>
          <w:tcPr>
            <w:tcW w:w="73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2.6M Tons</w:t>
            </w:r>
          </w:p>
        </w:tc>
        <w:tc>
          <w:tcPr>
            <w:tcW w:w="932"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[2.4M-2.8M]</w:t>
            </w:r>
          </w:p>
        </w:tc>
        <w:tc>
          <w:tcPr>
            <w:tcW w:w="1488"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2.4M Tons</w:t>
            </w:r>
          </w:p>
        </w:tc>
        <w:tc>
          <w:tcPr>
            <w:tcW w:w="2934"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365F91"/>
                <w:sz w:val="16"/>
              </w:rPr>
            </w:pPr>
            <w:r>
              <w:rPr>
                <w:rFonts w:ascii="Open Sans" w:hAnsi="Open Sans"/>
                <w:b w:val="false"/>
                <w:i w:val="false"/>
                <w:caps w:val="false"/>
                <w:smallCaps w:val="false"/>
                <w:color w:val="365F91"/>
                <w:sz w:val="16"/>
              </w:rPr>
              <w:t>Significant investments in LFGTE and Polymer Center</w:t>
            </w:r>
          </w:p>
        </w:tc>
        <w:tc>
          <w:tcPr>
            <w:tcW w:w="787" w:type="dxa"/>
            <w:tcBorders>
              <w:top w:val="single" w:sz="6" w:space="0" w:color="D8E1E9"/>
              <w:left w:val="single" w:sz="6" w:space="0" w:color="D8E1E9"/>
              <w:bottom w:val="single" w:sz="6" w:space="0" w:color="D8E1E9"/>
              <w:right w:val="single" w:sz="6" w:space="0" w:color="D8E1E9"/>
            </w:tcBorders>
            <w:shd w:fill="auto" w:val="clear"/>
            <w:tcMar>
              <w:left w:w="28" w:type="dxa"/>
            </w:tcMar>
            <w:vAlign w:val="center"/>
          </w:tcPr>
          <w:p>
            <w:pPr>
              <w:pStyle w:val="TableContents"/>
              <w:spacing w:before="120" w:after="120"/>
              <w:ind w:left="0" w:right="0" w:hanging="0"/>
              <w:jc w:val="center"/>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4</w:t>
            </w:r>
          </w:p>
        </w:tc>
      </w:tr>
    </w:tbl>
    <w:p>
      <w:pPr>
        <w:pStyle w:val="TextBody"/>
        <w:spacing w:before="0" w:after="0"/>
        <w:rPr/>
      </w:pPr>
      <w:r>
        <w:rPr/>
        <w:t> </w:t>
      </w:r>
    </w:p>
    <w:p>
      <w:pPr>
        <w:pStyle w:val="TextBody"/>
        <w:spacing w:lineRule="auto" w:line="288" w:before="0" w:after="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 Based on a 5-point scale, with 1 = significant performance opportunity, 5 = significant outperformance</w:t>
      </w:r>
    </w:p>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62</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Sustainability metrics were selected based on their measurability and their alignment with the Company’s business strategy, including the senior executives’ ability to impact them.  Taking into consideration all factors related to the Company’s performance on the selected sustainability metrics, the Talent &amp; Compensation Committee determined that no adjustment, positive or negative, should be made to the annual incentive on account of the Company’s sustainability performance in 2022.</w:t>
      </w:r>
    </w:p>
    <w:p>
      <w:pPr>
        <w:pStyle w:val="TextBody"/>
        <w:spacing w:before="0" w:after="0"/>
        <w:rPr/>
      </w:pPr>
      <w:r>
        <w:rPr/>
        <w:t> </w:t>
      </w:r>
    </w:p>
    <w:p>
      <w:pPr>
        <w:pStyle w:val="TextBody"/>
        <w:spacing w:before="0" w:after="0"/>
        <w:rPr>
          <w:rFonts w:ascii="Open Sans" w:hAnsi="Open Sans"/>
          <w:b w:val="false"/>
          <w:i w:val="false"/>
          <w:caps w:val="false"/>
          <w:smallCaps w:val="false"/>
          <w:color w:val="004A7C"/>
          <w:spacing w:val="9"/>
          <w:sz w:val="17"/>
        </w:rPr>
      </w:pPr>
      <w:r>
        <w:rPr>
          <w:rFonts w:ascii="Open Sans" w:hAnsi="Open Sans"/>
          <w:b w:val="false"/>
          <w:i w:val="false"/>
          <w:caps w:val="false"/>
          <w:smallCaps w:val="false"/>
          <w:color w:val="004A7C"/>
          <w:spacing w:val="9"/>
          <w:sz w:val="17"/>
        </w:rPr>
        <w:t>2022</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ANNUAL</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INCENTIVE</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OPPORTUNITY</w:t>
      </w:r>
      <w:r>
        <w:rPr>
          <w:rFonts w:ascii="Open Sans" w:hAnsi="Open Sans"/>
          <w:b w:val="false"/>
          <w:i w:val="false"/>
          <w:caps w:val="false"/>
          <w:smallCaps w:val="false"/>
          <w:color w:val="004A7C"/>
          <w:spacing w:val="37"/>
          <w:sz w:val="17"/>
        </w:rPr>
        <w:t xml:space="preserve"> </w:t>
      </w:r>
      <w:r>
        <w:rPr>
          <w:rFonts w:ascii="Open Sans" w:hAnsi="Open Sans"/>
          <w:b w:val="false"/>
          <w:i w:val="false"/>
          <w:caps w:val="false"/>
          <w:smallCaps w:val="false"/>
          <w:color w:val="004A7C"/>
          <w:spacing w:val="9"/>
          <w:sz w:val="17"/>
        </w:rPr>
        <w:t>AS</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PERCENTAGE</w:t>
      </w:r>
      <w:r>
        <w:rPr>
          <w:rFonts w:ascii="Open Sans" w:hAnsi="Open Sans"/>
          <w:b w:val="false"/>
          <w:i w:val="false"/>
          <w:caps w:val="false"/>
          <w:smallCaps w:val="false"/>
          <w:color w:val="004A7C"/>
          <w:spacing w:val="37"/>
          <w:sz w:val="17"/>
        </w:rPr>
        <w:t xml:space="preserve"> </w:t>
      </w:r>
      <w:r>
        <w:rPr>
          <w:rFonts w:ascii="Open Sans" w:hAnsi="Open Sans"/>
          <w:b w:val="false"/>
          <w:i w:val="false"/>
          <w:caps w:val="false"/>
          <w:smallCaps w:val="false"/>
          <w:color w:val="004A7C"/>
          <w:spacing w:val="9"/>
          <w:sz w:val="17"/>
        </w:rPr>
        <w:t>OF</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SALARY</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AND</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ACTUAL</w:t>
      </w:r>
      <w:r>
        <w:rPr>
          <w:rFonts w:ascii="Open Sans" w:hAnsi="Open Sans"/>
          <w:b w:val="false"/>
          <w:i w:val="false"/>
          <w:caps w:val="false"/>
          <w:smallCaps w:val="false"/>
          <w:color w:val="004A7C"/>
          <w:spacing w:val="37"/>
          <w:sz w:val="17"/>
        </w:rPr>
        <w:t xml:space="preserve"> </w:t>
      </w:r>
      <w:r>
        <w:rPr>
          <w:rFonts w:ascii="Open Sans" w:hAnsi="Open Sans"/>
          <w:b w:val="false"/>
          <w:i w:val="false"/>
          <w:caps w:val="false"/>
          <w:smallCaps w:val="false"/>
          <w:color w:val="004A7C"/>
          <w:spacing w:val="9"/>
          <w:sz w:val="17"/>
        </w:rPr>
        <w:t>PAYOUT</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AS</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A</w:t>
      </w:r>
      <w:r>
        <w:rPr>
          <w:rFonts w:ascii="Open Sans" w:hAnsi="Open Sans"/>
          <w:b w:val="false"/>
          <w:i w:val="false"/>
          <w:caps w:val="false"/>
          <w:smallCaps w:val="false"/>
          <w:color w:val="004A7C"/>
          <w:spacing w:val="37"/>
          <w:sz w:val="17"/>
        </w:rPr>
        <w:t xml:space="preserve"> </w:t>
      </w:r>
      <w:r>
        <w:rPr>
          <w:rFonts w:ascii="Open Sans" w:hAnsi="Open Sans"/>
          <w:b w:val="false"/>
          <w:i w:val="false"/>
          <w:caps w:val="false"/>
          <w:smallCaps w:val="false"/>
          <w:color w:val="004A7C"/>
          <w:spacing w:val="9"/>
          <w:sz w:val="17"/>
        </w:rPr>
        <w:t>PERCENTAGE</w:t>
      </w:r>
      <w:r>
        <w:rPr>
          <w:rFonts w:ascii="Open Sans" w:hAnsi="Open Sans"/>
          <w:b w:val="false"/>
          <w:i w:val="false"/>
          <w:caps w:val="false"/>
          <w:smallCaps w:val="false"/>
          <w:color w:val="004A7C"/>
          <w:spacing w:val="36"/>
          <w:sz w:val="17"/>
        </w:rPr>
        <w:t xml:space="preserve"> </w:t>
      </w:r>
      <w:r>
        <w:rPr>
          <w:rFonts w:ascii="Open Sans" w:hAnsi="Open Sans"/>
          <w:b w:val="false"/>
          <w:i w:val="false"/>
          <w:caps w:val="false"/>
          <w:smallCaps w:val="false"/>
          <w:color w:val="004A7C"/>
          <w:spacing w:val="9"/>
          <w:sz w:val="17"/>
        </w:rPr>
        <w:t>OF</w:t>
      </w:r>
      <w:r>
        <w:rPr>
          <w:rFonts w:ascii="Open Sans" w:hAnsi="Open Sans"/>
          <w:b w:val="false"/>
          <w:i w:val="false"/>
          <w:caps w:val="false"/>
          <w:smallCaps w:val="false"/>
          <w:color w:val="004A7C"/>
          <w:spacing w:val="10"/>
          <w:sz w:val="17"/>
        </w:rPr>
        <w:t xml:space="preserve"> </w:t>
      </w:r>
      <w:r>
        <w:rPr>
          <w:rFonts w:ascii="Open Sans" w:hAnsi="Open Sans"/>
          <w:b w:val="false"/>
          <w:i w:val="false"/>
          <w:caps w:val="false"/>
          <w:smallCaps w:val="false"/>
          <w:color w:val="004A7C"/>
          <w:spacing w:val="9"/>
          <w:sz w:val="17"/>
        </w:rPr>
        <w:t>SALARY</w:t>
      </w:r>
      <w:r>
        <w:rPr>
          <w:rFonts w:ascii="Open Sans" w:hAnsi="Open Sans"/>
          <w:b w:val="false"/>
          <w:i w:val="false"/>
          <w:caps w:val="false"/>
          <w:smallCaps w:val="false"/>
          <w:color w:val="004A7C"/>
          <w:spacing w:val="38"/>
          <w:sz w:val="17"/>
        </w:rPr>
        <w:t xml:space="preserve"> </w:t>
      </w:r>
      <w:r>
        <w:rPr>
          <w:rFonts w:ascii="Open Sans" w:hAnsi="Open Sans"/>
          <w:b w:val="false"/>
          <w:i w:val="false"/>
          <w:caps w:val="false"/>
          <w:smallCaps w:val="false"/>
          <w:color w:val="004A7C"/>
          <w:spacing w:val="9"/>
          <w:sz w:val="17"/>
        </w:rPr>
        <w:t>AND</w:t>
      </w:r>
      <w:r>
        <w:rPr>
          <w:rFonts w:ascii="Open Sans" w:hAnsi="Open Sans"/>
          <w:b w:val="false"/>
          <w:i w:val="false"/>
          <w:caps w:val="false"/>
          <w:smallCaps w:val="false"/>
          <w:color w:val="004A7C"/>
          <w:spacing w:val="39"/>
          <w:sz w:val="17"/>
        </w:rPr>
        <w:t xml:space="preserve"> </w:t>
      </w:r>
      <w:r>
        <w:rPr>
          <w:rFonts w:ascii="Open Sans" w:hAnsi="Open Sans"/>
          <w:b w:val="false"/>
          <w:i w:val="false"/>
          <w:caps w:val="false"/>
          <w:smallCaps w:val="false"/>
          <w:color w:val="004A7C"/>
          <w:spacing w:val="9"/>
          <w:sz w:val="17"/>
        </w:rPr>
        <w:t>IN</w:t>
      </w:r>
      <w:r>
        <w:rPr>
          <w:rFonts w:ascii="Open Sans" w:hAnsi="Open Sans"/>
          <w:b w:val="false"/>
          <w:i w:val="false"/>
          <w:caps w:val="false"/>
          <w:smallCaps w:val="false"/>
          <w:color w:val="004A7C"/>
          <w:spacing w:val="39"/>
          <w:sz w:val="17"/>
        </w:rPr>
        <w:t xml:space="preserve"> </w:t>
      </w:r>
      <w:r>
        <w:rPr>
          <w:rFonts w:ascii="Open Sans" w:hAnsi="Open Sans"/>
          <w:b w:val="false"/>
          <w:i w:val="false"/>
          <w:caps w:val="false"/>
          <w:smallCaps w:val="false"/>
          <w:color w:val="004A7C"/>
          <w:spacing w:val="9"/>
          <w:sz w:val="17"/>
        </w:rPr>
        <w:t xml:space="preserve">DOLLARS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shows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opportunity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percentage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salary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various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levels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actual payout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percentage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salary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dollars.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Summary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column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titled “Non-Equity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Further,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minimum,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maximum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level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achieved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the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on page 73 under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column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titled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“Estimated Future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Non-Equity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associated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footnotes.</w:t>
      </w:r>
      <w:r>
        <w:rPr>
          <w:rFonts w:ascii="Open Sans" w:hAnsi="Open Sans"/>
          <w:b w:val="false"/>
          <w:i w:val="false"/>
          <w:caps w:val="false"/>
          <w:smallCaps w:val="false"/>
          <w:color w:val="004A7C"/>
          <w:spacing w:val="9"/>
          <w:sz w:val="16"/>
        </w:rPr>
        <w:t xml:space="preserve"> </w:t>
      </w:r>
    </w:p>
    <w:p>
      <w:pPr>
        <w:pStyle w:val="TextBody"/>
        <w:spacing w:before="0" w:after="0"/>
        <w:rPr/>
      </w:pPr>
      <w:r>
        <w:rPr/>
        <w:t> </w:t>
      </w:r>
    </w:p>
    <w:tbl>
      <w:tblPr>
        <w:tblW w:w="9258" w:type="dxa"/>
        <w:jc w:val="left"/>
        <w:tblInd w:w="0" w:type="dxa"/>
        <w:tblCellMar>
          <w:top w:w="0" w:type="dxa"/>
          <w:left w:w="0" w:type="dxa"/>
          <w:bottom w:w="0" w:type="dxa"/>
          <w:right w:w="0" w:type="dxa"/>
        </w:tblCellMar>
      </w:tblPr>
      <w:tblGrid>
        <w:gridCol w:w="1850"/>
        <w:gridCol w:w="60"/>
        <w:gridCol w:w="1115"/>
        <w:gridCol w:w="1115"/>
        <w:gridCol w:w="1115"/>
        <w:gridCol w:w="1115"/>
        <w:gridCol w:w="707"/>
        <w:gridCol w:w="707"/>
        <w:gridCol w:w="60"/>
        <w:gridCol w:w="706"/>
        <w:gridCol w:w="708"/>
      </w:tblGrid>
      <w:tr>
        <w:trPr/>
        <w:tc>
          <w:tcPr>
            <w:tcW w:w="185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Below</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Threshold</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Performance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Level</w:t>
            </w:r>
          </w:p>
        </w:tc>
        <w:tc>
          <w:tcPr>
            <w:tcW w:w="1115"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At Threshold</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Performance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Level</w:t>
            </w:r>
          </w:p>
        </w:tc>
        <w:tc>
          <w:tcPr>
            <w:tcW w:w="1115"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At Target</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Performance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Level</w:t>
            </w:r>
          </w:p>
        </w:tc>
        <w:tc>
          <w:tcPr>
            <w:tcW w:w="1115"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At Maximum</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Performance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Level</w:t>
            </w:r>
          </w:p>
        </w:tc>
        <w:tc>
          <w:tcPr>
            <w:tcW w:w="1414"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Actual Annual</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Incentive Payout</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as a Percentage</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of Salary (1)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4"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Actual Annual</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Incentive Payout</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 $</w:t>
            </w:r>
          </w:p>
        </w:tc>
      </w:tr>
      <w:tr>
        <w:trPr/>
        <w:tc>
          <w:tcPr>
            <w:tcW w:w="185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0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07"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06"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0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17.5%</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280%</w:t>
            </w:r>
          </w:p>
        </w:tc>
        <w:tc>
          <w:tcPr>
            <w:tcW w:w="141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259%</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14" w:type="dxa"/>
            <w:gridSpan w:val="2"/>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2,849,000</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10.6%</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85%</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170%</w:t>
            </w:r>
          </w:p>
        </w:tc>
        <w:tc>
          <w:tcPr>
            <w:tcW w:w="141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157.3%</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14" w:type="dxa"/>
            <w:gridSpan w:val="2"/>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982,813</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160%</w:t>
            </w:r>
          </w:p>
        </w:tc>
        <w:tc>
          <w:tcPr>
            <w:tcW w:w="141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148%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414" w:type="dxa"/>
            <w:gridSpan w:val="2"/>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769,600</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160%</w:t>
            </w:r>
          </w:p>
        </w:tc>
        <w:tc>
          <w:tcPr>
            <w:tcW w:w="141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14" w:type="dxa"/>
            <w:gridSpan w:val="2"/>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843,600</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11.3%</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90%</w:t>
            </w:r>
          </w:p>
        </w:tc>
        <w:tc>
          <w:tcPr>
            <w:tcW w:w="1115"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180%</w:t>
            </w:r>
          </w:p>
        </w:tc>
        <w:tc>
          <w:tcPr>
            <w:tcW w:w="1414"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166.5%</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414" w:type="dxa"/>
            <w:gridSpan w:val="2"/>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1,157,176</w:t>
            </w:r>
          </w:p>
        </w:tc>
      </w:tr>
    </w:tbl>
    <w:p>
      <w:pPr>
        <w:pStyle w:val="TextBody"/>
        <w:spacing w:before="0" w:after="0"/>
        <w:rPr/>
      </w:pPr>
      <w:r>
        <w:rPr/>
        <w:t> </w:t>
      </w:r>
    </w:p>
    <w:tbl>
      <w:tblPr>
        <w:tblW w:w="7900" w:type="dxa"/>
        <w:jc w:val="left"/>
        <w:tblInd w:w="0" w:type="dxa"/>
        <w:tblCellMar>
          <w:top w:w="0" w:type="dxa"/>
          <w:left w:w="0" w:type="dxa"/>
          <w:bottom w:w="0" w:type="dxa"/>
          <w:right w:w="0" w:type="dxa"/>
        </w:tblCellMar>
      </w:tblPr>
      <w:tblGrid>
        <w:gridCol w:w="290"/>
        <w:gridCol w:w="7610"/>
      </w:tblGrid>
      <w:tr>
        <w:trPr/>
        <w:tc>
          <w:tcPr>
            <w:tcW w:w="29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610"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rPr>
              <w:t>The percentage</w:t>
            </w:r>
            <w:r>
              <w:rPr>
                <w:b w:val="false"/>
                <w:i w:val="false"/>
                <w:caps w:val="false"/>
                <w:smallCaps w:val="false"/>
                <w:color w:val="000000"/>
                <w:spacing w:val="-5"/>
              </w:rPr>
              <w:t xml:space="preserve"> </w:t>
            </w:r>
            <w:r>
              <w:rPr>
                <w:b w:val="false"/>
                <w:i w:val="false"/>
                <w:caps w:val="false"/>
                <w:smallCaps w:val="false"/>
                <w:color w:val="000000"/>
              </w:rPr>
              <w:t>is</w:t>
            </w:r>
            <w:r>
              <w:rPr>
                <w:b w:val="false"/>
                <w:i w:val="false"/>
                <w:caps w:val="false"/>
                <w:smallCaps w:val="false"/>
                <w:color w:val="000000"/>
                <w:spacing w:val="-5"/>
              </w:rPr>
              <w:t xml:space="preserve"> </w:t>
            </w:r>
            <w:r>
              <w:rPr>
                <w:b w:val="false"/>
                <w:i w:val="false"/>
                <w:caps w:val="false"/>
                <w:smallCaps w:val="false"/>
                <w:color w:val="000000"/>
              </w:rPr>
              <w:t>calculated</w:t>
            </w:r>
            <w:r>
              <w:rPr>
                <w:b w:val="false"/>
                <w:i w:val="false"/>
                <w:caps w:val="false"/>
                <w:smallCaps w:val="false"/>
                <w:color w:val="000000"/>
                <w:spacing w:val="-5"/>
              </w:rPr>
              <w:t xml:space="preserve"> </w:t>
            </w:r>
            <w:r>
              <w:rPr>
                <w:b w:val="false"/>
                <w:i w:val="false"/>
                <w:caps w:val="false"/>
                <w:smallCaps w:val="false"/>
                <w:color w:val="000000"/>
              </w:rPr>
              <w:t>utilizing</w:t>
            </w:r>
            <w:r>
              <w:rPr>
                <w:b w:val="false"/>
                <w:i w:val="false"/>
                <w:caps w:val="false"/>
                <w:smallCaps w:val="false"/>
                <w:color w:val="000000"/>
                <w:spacing w:val="-5"/>
              </w:rPr>
              <w:t xml:space="preserve"> </w:t>
            </w:r>
            <w:r>
              <w:rPr>
                <w:b w:val="false"/>
                <w:i w:val="false"/>
                <w:caps w:val="false"/>
                <w:smallCaps w:val="false"/>
                <w:color w:val="000000"/>
              </w:rPr>
              <w:t>base</w:t>
            </w:r>
            <w:r>
              <w:rPr>
                <w:b w:val="false"/>
                <w:i w:val="false"/>
                <w:caps w:val="false"/>
                <w:smallCaps w:val="false"/>
                <w:color w:val="000000"/>
                <w:spacing w:val="-5"/>
              </w:rPr>
              <w:t xml:space="preserve"> </w:t>
            </w:r>
            <w:r>
              <w:rPr>
                <w:b w:val="false"/>
                <w:i w:val="false"/>
                <w:caps w:val="false"/>
                <w:smallCaps w:val="false"/>
                <w:color w:val="000000"/>
              </w:rPr>
              <w:t>salary</w:t>
            </w:r>
            <w:r>
              <w:rPr>
                <w:b w:val="false"/>
                <w:i w:val="false"/>
                <w:caps w:val="false"/>
                <w:smallCaps w:val="false"/>
                <w:color w:val="000000"/>
                <w:spacing w:val="-5"/>
              </w:rPr>
              <w:t xml:space="preserve"> </w:t>
            </w:r>
            <w:r>
              <w:rPr>
                <w:b w:val="false"/>
                <w:i w:val="false"/>
                <w:caps w:val="false"/>
                <w:smallCaps w:val="false"/>
                <w:color w:val="000000"/>
              </w:rPr>
              <w:t>as</w:t>
            </w:r>
            <w:r>
              <w:rPr>
                <w:b w:val="false"/>
                <w:i w:val="false"/>
                <w:caps w:val="false"/>
                <w:smallCaps w:val="false"/>
                <w:color w:val="000000"/>
                <w:spacing w:val="-5"/>
              </w:rPr>
              <w:t xml:space="preserve"> </w:t>
            </w:r>
            <w:r>
              <w:rPr>
                <w:b w:val="false"/>
                <w:i w:val="false"/>
                <w:caps w:val="false"/>
                <w:smallCaps w:val="false"/>
                <w:color w:val="000000"/>
              </w:rPr>
              <w:t>of</w:t>
            </w:r>
            <w:r>
              <w:rPr>
                <w:b w:val="false"/>
                <w:i w:val="false"/>
                <w:caps w:val="false"/>
                <w:smallCaps w:val="false"/>
                <w:color w:val="000000"/>
                <w:spacing w:val="-5"/>
              </w:rPr>
              <w:t xml:space="preserve"> </w:t>
            </w:r>
            <w:r>
              <w:rPr>
                <w:b w:val="false"/>
                <w:i w:val="false"/>
                <w:caps w:val="false"/>
                <w:smallCaps w:val="false"/>
                <w:color w:val="000000"/>
              </w:rPr>
              <w:t>the</w:t>
            </w:r>
            <w:r>
              <w:rPr>
                <w:b w:val="false"/>
                <w:i w:val="false"/>
                <w:caps w:val="false"/>
                <w:smallCaps w:val="false"/>
                <w:color w:val="000000"/>
                <w:spacing w:val="-5"/>
              </w:rPr>
              <w:t xml:space="preserve"> </w:t>
            </w:r>
            <w:r>
              <w:rPr>
                <w:b w:val="false"/>
                <w:i w:val="false"/>
                <w:caps w:val="false"/>
                <w:smallCaps w:val="false"/>
                <w:color w:val="000000"/>
              </w:rPr>
              <w:t>end</w:t>
            </w:r>
            <w:r>
              <w:rPr>
                <w:b w:val="false"/>
                <w:i w:val="false"/>
                <w:caps w:val="false"/>
                <w:smallCaps w:val="false"/>
                <w:color w:val="000000"/>
                <w:spacing w:val="-5"/>
              </w:rPr>
              <w:t xml:space="preserve"> </w:t>
            </w:r>
            <w:r>
              <w:rPr>
                <w:b w:val="false"/>
                <w:i w:val="false"/>
                <w:caps w:val="false"/>
                <w:smallCaps w:val="false"/>
                <w:color w:val="000000"/>
              </w:rPr>
              <w:t>of</w:t>
            </w:r>
            <w:r>
              <w:rPr>
                <w:b w:val="false"/>
                <w:i w:val="false"/>
                <w:caps w:val="false"/>
                <w:smallCaps w:val="false"/>
                <w:color w:val="000000"/>
                <w:spacing w:val="-5"/>
              </w:rPr>
              <w:t xml:space="preserve"> </w:t>
            </w:r>
            <w:r>
              <w:rPr>
                <w:b w:val="false"/>
                <w:i w:val="false"/>
                <w:caps w:val="false"/>
                <w:smallCaps w:val="false"/>
                <w:color w:val="000000"/>
              </w:rPr>
              <w:t>the</w:t>
            </w:r>
            <w:r>
              <w:rPr>
                <w:b w:val="false"/>
                <w:i w:val="false"/>
                <w:caps w:val="false"/>
                <w:smallCaps w:val="false"/>
                <w:color w:val="000000"/>
                <w:spacing w:val="-5"/>
              </w:rPr>
              <w:t xml:space="preserve"> </w:t>
            </w:r>
            <w:r>
              <w:rPr>
                <w:b w:val="false"/>
                <w:i w:val="false"/>
                <w:caps w:val="false"/>
                <w:smallCaps w:val="false"/>
                <w:color w:val="000000"/>
              </w:rPr>
              <w:t>fiscal</w:t>
            </w:r>
            <w:r>
              <w:rPr>
                <w:b w:val="false"/>
                <w:i w:val="false"/>
                <w:caps w:val="false"/>
                <w:smallCaps w:val="false"/>
                <w:color w:val="000000"/>
                <w:spacing w:val="-5"/>
              </w:rPr>
              <w:t xml:space="preserve"> </w:t>
            </w:r>
            <w:r>
              <w:rPr>
                <w:b w:val="false"/>
                <w:i w:val="false"/>
                <w:caps w:val="false"/>
                <w:smallCaps w:val="false"/>
                <w:color w:val="000000"/>
              </w:rPr>
              <w:t xml:space="preserve">year. </w:t>
            </w:r>
          </w:p>
        </w:tc>
      </w:tr>
    </w:tbl>
    <w:p>
      <w:pPr>
        <w:pStyle w:val="TextBody"/>
        <w:spacing w:before="0" w:after="0"/>
        <w:rPr/>
      </w:pPr>
      <w:r>
        <w:rPr/>
        <w:t> </w:t>
      </w:r>
    </w:p>
    <w:p>
      <w:pPr>
        <w:pStyle w:val="TextBody"/>
        <w:spacing w:before="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2023,</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design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remains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very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similar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prior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years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measures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again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consisting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Measure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 FCF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Measure and a sustainability modifier. </w:t>
      </w:r>
    </w:p>
    <w:p>
      <w:pPr>
        <w:pStyle w:val="TextBody"/>
        <w:spacing w:before="120" w:after="0"/>
        <w:rPr>
          <w:rFonts w:ascii="Open Sans" w:hAnsi="Open Sans"/>
          <w:b/>
          <w:i w:val="false"/>
          <w:caps w:val="false"/>
          <w:smallCaps w:val="false"/>
          <w:color w:val="004A7C"/>
          <w:sz w:val="27"/>
        </w:rPr>
      </w:pPr>
      <w:bookmarkStart w:id="70" w:name="LONGTERM_INCENTIVE_AWARDS"/>
      <w:bookmarkEnd w:id="70"/>
      <w:r>
        <w:rPr>
          <w:rFonts w:ascii="Open Sans" w:hAnsi="Open Sans"/>
          <w:b/>
          <w:i w:val="false"/>
          <w:caps w:val="false"/>
          <w:smallCaps w:val="false"/>
          <w:color w:val="004A7C"/>
          <w:sz w:val="27"/>
        </w:rPr>
        <w:t>Long-Term Incentive Awards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strongly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believes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LTI</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reinforce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key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objectives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drive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sustained shareholder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creation:</w:t>
      </w:r>
    </w:p>
    <w:tbl>
      <w:tblPr>
        <w:tblW w:w="4129" w:type="dxa"/>
        <w:jc w:val="left"/>
        <w:tblInd w:w="0" w:type="dxa"/>
        <w:tblCellMar>
          <w:top w:w="0" w:type="dxa"/>
          <w:left w:w="0" w:type="dxa"/>
          <w:bottom w:w="0" w:type="dxa"/>
          <w:right w:w="0" w:type="dxa"/>
        </w:tblCellMar>
      </w:tblPr>
      <w:tblGrid>
        <w:gridCol w:w="60"/>
        <w:gridCol w:w="110"/>
        <w:gridCol w:w="395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395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focu</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importanc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shareholde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returns;</w:t>
            </w:r>
          </w:p>
        </w:tc>
      </w:tr>
    </w:tbl>
    <w:tbl>
      <w:tblPr>
        <w:tblW w:w="5035" w:type="dxa"/>
        <w:jc w:val="left"/>
        <w:tblInd w:w="0" w:type="dxa"/>
        <w:tblCellMar>
          <w:top w:w="0" w:type="dxa"/>
          <w:left w:w="0" w:type="dxa"/>
          <w:bottom w:w="0" w:type="dxa"/>
          <w:right w:w="0" w:type="dxa"/>
        </w:tblCellMar>
      </w:tblPr>
      <w:tblGrid>
        <w:gridCol w:w="60"/>
        <w:gridCol w:w="110"/>
        <w:gridCol w:w="4865"/>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4865"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promot</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achievemen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long-ter</w:t>
            </w:r>
            <w:r>
              <w:rPr>
                <w:rFonts w:ascii="Open Sans" w:hAnsi="Open Sans"/>
                <w:b w:val="false"/>
                <w:i w:val="false"/>
                <w:caps w:val="false"/>
                <w:smallCaps w:val="false"/>
                <w:color w:val="000000"/>
                <w:spacing w:val="0"/>
                <w:sz w:val="16"/>
              </w:rPr>
              <w:t>m</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performanc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goals;</w:t>
            </w:r>
          </w:p>
        </w:tc>
      </w:tr>
    </w:tbl>
    <w:tbl>
      <w:tblPr>
        <w:tblW w:w="3118" w:type="dxa"/>
        <w:jc w:val="left"/>
        <w:tblInd w:w="0" w:type="dxa"/>
        <w:tblCellMar>
          <w:top w:w="0" w:type="dxa"/>
          <w:left w:w="0" w:type="dxa"/>
          <w:bottom w:w="0" w:type="dxa"/>
          <w:right w:w="0" w:type="dxa"/>
        </w:tblCellMar>
      </w:tblPr>
      <w:tblGrid>
        <w:gridCol w:w="60"/>
        <w:gridCol w:w="110"/>
        <w:gridCol w:w="2948"/>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2948"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encourag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4"/>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3"/>
                <w:sz w:val="16"/>
              </w:rPr>
              <w:t xml:space="preserve"> </w:t>
            </w:r>
            <w:r>
              <w:rPr>
                <w:rFonts w:ascii="Open Sans" w:hAnsi="Open Sans"/>
                <w:b w:val="false"/>
                <w:i w:val="false"/>
                <w:caps w:val="false"/>
                <w:smallCaps w:val="false"/>
                <w:color w:val="000000"/>
                <w:spacing w:val="-3"/>
                <w:sz w:val="16"/>
              </w:rPr>
              <w:t>retention</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14"/>
                <w:sz w:val="16"/>
              </w:rPr>
              <w:t xml:space="preserve"> </w:t>
            </w:r>
            <w:r>
              <w:rPr>
                <w:rFonts w:ascii="Open Sans" w:hAnsi="Open Sans"/>
                <w:b w:val="false"/>
                <w:i w:val="false"/>
                <w:caps w:val="false"/>
                <w:smallCaps w:val="false"/>
                <w:color w:val="000000"/>
                <w:spacing w:val="-3"/>
                <w:sz w:val="16"/>
              </w:rPr>
              <w:t>and</w:t>
            </w:r>
          </w:p>
        </w:tc>
      </w:tr>
    </w:tbl>
    <w:tbl>
      <w:tblPr>
        <w:tblW w:w="5941" w:type="dxa"/>
        <w:jc w:val="left"/>
        <w:tblInd w:w="0" w:type="dxa"/>
        <w:tblCellMar>
          <w:top w:w="0" w:type="dxa"/>
          <w:left w:w="0" w:type="dxa"/>
          <w:bottom w:w="0" w:type="dxa"/>
          <w:right w:w="0" w:type="dxa"/>
        </w:tblCellMar>
      </w:tblPr>
      <w:tblGrid>
        <w:gridCol w:w="60"/>
        <w:gridCol w:w="110"/>
        <w:gridCol w:w="5771"/>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5771"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promot</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meaningfu</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level</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Republi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stoc</w:t>
            </w:r>
            <w:r>
              <w:rPr>
                <w:rFonts w:ascii="Open Sans" w:hAnsi="Open Sans"/>
                <w:b w:val="false"/>
                <w:i w:val="false"/>
                <w:caps w:val="false"/>
                <w:smallCaps w:val="false"/>
                <w:color w:val="000000"/>
                <w:spacing w:val="0"/>
                <w:sz w:val="16"/>
              </w:rPr>
              <w:t>k</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ownershi</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executives.</w:t>
            </w:r>
          </w:p>
        </w:tc>
      </w:tr>
    </w:tbl>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determine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overall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opportunity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appropriate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mix</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LTI</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 Talent &amp;</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considers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variety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factors,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including competitive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market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positioning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comparable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LTI</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practices,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potential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economic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 realized,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timing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taxation.</w:t>
      </w:r>
      <w:r>
        <w:rPr>
          <w:rFonts w:ascii="Open Sans" w:hAnsi="Open Sans"/>
          <w:b w:val="false"/>
          <w:i w:val="false"/>
          <w:caps w:val="false"/>
          <w:smallCaps w:val="false"/>
          <w:spacing w:val="-5"/>
          <w:sz w:val="16"/>
        </w:rPr>
        <w:t xml:space="preserve"> Our compensation program is highly performance-based, and the mix of LTI awards that are granted aligns with our target pay mix philosophy that indicates 50% or more of long-term incentive awards should be performance based. Taking this into consideration, the Talent &amp; Compensation Committee awarded 70% of Mr. Vander Ark’s total equity in the form of PSUs and, on average, 65% of our other NEO’s total equity in the form of PSUs with the remaining in the form of RSUs.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LTI</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ratably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 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three-year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half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half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 of common stock.</w:t>
      </w:r>
    </w:p>
    <w:p>
      <w:pPr>
        <w:pStyle w:val="TextBody"/>
        <w:spacing w:before="120" w:after="0"/>
        <w:rPr>
          <w:rFonts w:ascii="Open Sans SemiBold" w:hAnsi="Open Sans SemiBold"/>
          <w:b w:val="false"/>
          <w:i w:val="false"/>
          <w:caps w:val="false"/>
          <w:smallCaps w:val="false"/>
          <w:color w:val="004A7C"/>
          <w:sz w:val="17"/>
        </w:rPr>
      </w:pPr>
      <w:bookmarkStart w:id="71" w:name="RESTRICTED_STOCK_UNITS"/>
      <w:bookmarkEnd w:id="71"/>
      <w:r>
        <w:rPr>
          <w:rFonts w:ascii="Open Sans SemiBold" w:hAnsi="Open Sans SemiBold"/>
          <w:b w:val="false"/>
          <w:i w:val="false"/>
          <w:caps w:val="false"/>
          <w:smallCaps w:val="false"/>
          <w:color w:val="004A7C"/>
          <w:sz w:val="17"/>
        </w:rPr>
        <w:t>Restricted Stock Units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February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ratably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full grant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fair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Summary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page 71. Additional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information, including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subject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73.</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63</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Generally,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receive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receive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dividend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equivalents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dividends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declare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common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dividend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equivalents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additional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 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dividends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would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received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common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underlying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hold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dividend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record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date.</w:t>
      </w:r>
    </w:p>
    <w:p>
      <w:pPr>
        <w:pStyle w:val="TextBody"/>
        <w:spacing w:before="120" w:after="0"/>
        <w:rPr>
          <w:rFonts w:ascii="Open Sans SemiBold" w:hAnsi="Open Sans SemiBold"/>
          <w:b w:val="false"/>
          <w:i w:val="false"/>
          <w:caps w:val="false"/>
          <w:smallCaps w:val="false"/>
          <w:color w:val="004A7C"/>
          <w:spacing w:val="2"/>
          <w:sz w:val="17"/>
        </w:rPr>
      </w:pPr>
      <w:bookmarkStart w:id="72" w:name="PERFORMANCE_SHARES"/>
      <w:bookmarkEnd w:id="72"/>
      <w:r>
        <w:rPr>
          <w:rFonts w:ascii="Open Sans SemiBold" w:hAnsi="Open Sans SemiBold"/>
          <w:b w:val="false"/>
          <w:i w:val="false"/>
          <w:caps w:val="false"/>
          <w:smallCaps w:val="false"/>
          <w:color w:val="004A7C"/>
          <w:spacing w:val="2"/>
          <w:sz w:val="17"/>
        </w:rPr>
        <w:t>Performance Shares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because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 of common 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ultimately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depends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 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predetermined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goals</w:t>
      </w:r>
      <w:r>
        <w:rPr>
          <w:rFonts w:ascii="Open Sans" w:hAnsi="Open Sans"/>
          <w:b w:val="false"/>
          <w:i w:val="false"/>
          <w:caps w:val="false"/>
          <w:smallCaps w:val="false"/>
          <w:spacing w:val="-5"/>
          <w:sz w:val="16"/>
        </w:rPr>
        <w:t xml:space="preserve"> over a three-year period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fluctuates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opportunity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 three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key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metrics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CFVC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ROIC 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RTSR.</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established the performance and payout targets for the 2022-2024 performance periods in February 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believe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CFVC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ROIC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rigorous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appropriately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Talent &amp; 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Committee’s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consideration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operational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regulatory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environment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existed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when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were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set. Additionally,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believe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RTSR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established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ensures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rewarded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penalized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 broader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market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conditions.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components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align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metrics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increasing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 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Additional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threshold,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maximum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2022-2024 performance 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page 73.</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Dividends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accrued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until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common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underlying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 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achievement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metrics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determined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three-year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award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NEO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approved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may 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different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Summary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column.</w:t>
      </w:r>
    </w:p>
    <w:p>
      <w:pPr>
        <w:pStyle w:val="TextBody"/>
        <w:spacing w:before="0" w:after="0"/>
        <w:rPr/>
      </w:pPr>
      <w:r>
        <w:rPr/>
        <w:t> </w:t>
      </w:r>
    </w:p>
    <w:tbl>
      <w:tblPr>
        <w:tblW w:w="5006" w:type="dxa"/>
        <w:jc w:val="left"/>
        <w:tblInd w:w="0" w:type="dxa"/>
        <w:tblCellMar>
          <w:top w:w="0" w:type="dxa"/>
          <w:left w:w="0" w:type="dxa"/>
          <w:bottom w:w="0" w:type="dxa"/>
          <w:right w:w="0" w:type="dxa"/>
        </w:tblCellMar>
      </w:tblPr>
      <w:tblGrid>
        <w:gridCol w:w="1850"/>
        <w:gridCol w:w="60"/>
        <w:gridCol w:w="177"/>
        <w:gridCol w:w="1201"/>
        <w:gridCol w:w="85"/>
        <w:gridCol w:w="85"/>
        <w:gridCol w:w="177"/>
        <w:gridCol w:w="1201"/>
        <w:gridCol w:w="85"/>
        <w:gridCol w:w="85"/>
      </w:tblGrid>
      <w:tr>
        <w:trPr/>
        <w:tc>
          <w:tcPr>
            <w:tcW w:w="185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EXECUTIVE NAME</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48" w:type="dxa"/>
            <w:gridSpan w:val="4"/>
            <w:tcBorders/>
            <w:shd w:fill="FFFFFF" w:val="cle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RSU AWARDS(1)</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VALUE</w:t>
            </w:r>
          </w:p>
        </w:tc>
        <w:tc>
          <w:tcPr>
            <w:tcW w:w="1548" w:type="dxa"/>
            <w:gridSpan w:val="4"/>
            <w:tcBorders/>
            <w:shd w:fill="FFFFFF" w:val="cle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PSU AWARDS(2)</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VALUE</w:t>
            </w:r>
          </w:p>
        </w:tc>
      </w:tr>
      <w:tr>
        <w:trPr/>
        <w:tc>
          <w:tcPr>
            <w:tcW w:w="1850" w:type="dxa"/>
            <w:tcBorders>
              <w:bottom w:val="single" w:sz="6" w:space="0" w:color="FFFFFF"/>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01"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01"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1,700,000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4,000,000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600,000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1,250,000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400,000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640,000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585,000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900,000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750,000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20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1,600,000</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31"/>
        <w:gridCol w:w="10308"/>
      </w:tblGrid>
      <w:tr>
        <w:trPr/>
        <w:tc>
          <w:tcPr>
            <w:tcW w:w="231"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4"/>
                <w:sz w:val="16"/>
                <w:u w:val="none"/>
                <w:effect w:val="none"/>
              </w:rPr>
            </w:pPr>
            <w:r>
              <w:rPr>
                <w:rFonts w:ascii="Open Sans" w:hAnsi="Open Sans"/>
                <w:b w:val="false"/>
                <w:i w:val="false"/>
                <w:caps w:val="false"/>
                <w:smallCaps w:val="false"/>
                <w:strike w:val="false"/>
                <w:dstrike w:val="false"/>
                <w:color w:val="323031"/>
                <w:spacing w:val="-4"/>
                <w:sz w:val="16"/>
                <w:u w:val="none"/>
                <w:effect w:val="none"/>
              </w:rPr>
              <w:t>(1)</w:t>
            </w:r>
          </w:p>
        </w:tc>
        <w:tc>
          <w:tcPr>
            <w:tcW w:w="10308" w:type="dxa"/>
            <w:tcBorders/>
            <w:shd w:fill="auto" w:val="clear"/>
          </w:tcPr>
          <w:p>
            <w:pPr>
              <w:pStyle w:val="TableContents"/>
              <w:spacing w:before="0" w:after="0"/>
              <w:jc w:val="left"/>
              <w:rPr>
                <w:rFonts w:ascii="Open Sans" w:hAnsi="Open Sans"/>
                <w:b w:val="false"/>
                <w:i w:val="false"/>
                <w:caps w:val="false"/>
                <w:smallCaps w:val="false"/>
                <w:color w:val="323031"/>
                <w:spacing w:val="-4"/>
                <w:sz w:val="16"/>
              </w:rPr>
            </w:pP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value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of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RSUs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will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differ</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from</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grant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date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fair</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value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of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RSUs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shown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in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Summary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Compensation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Table,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as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we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do</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not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grant fractional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shares.</w:t>
            </w:r>
          </w:p>
        </w:tc>
      </w:tr>
    </w:tbl>
    <w:tbl>
      <w:tblPr>
        <w:tblW w:w="10539" w:type="dxa"/>
        <w:jc w:val="left"/>
        <w:tblInd w:w="0" w:type="dxa"/>
        <w:tblCellMar>
          <w:top w:w="0" w:type="dxa"/>
          <w:left w:w="0" w:type="dxa"/>
          <w:bottom w:w="0" w:type="dxa"/>
          <w:right w:w="0" w:type="dxa"/>
        </w:tblCellMar>
      </w:tblPr>
      <w:tblGrid>
        <w:gridCol w:w="196"/>
        <w:gridCol w:w="10343"/>
      </w:tblGrid>
      <w:tr>
        <w:trPr/>
        <w:tc>
          <w:tcPr>
            <w:tcW w:w="196"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4"/>
                <w:sz w:val="16"/>
                <w:u w:val="none"/>
                <w:effect w:val="none"/>
              </w:rPr>
            </w:pPr>
            <w:r>
              <w:rPr>
                <w:rFonts w:ascii="Open Sans" w:hAnsi="Open Sans"/>
                <w:b w:val="false"/>
                <w:i w:val="false"/>
                <w:caps w:val="false"/>
                <w:smallCaps w:val="false"/>
                <w:strike w:val="false"/>
                <w:dstrike w:val="false"/>
                <w:color w:val="323031"/>
                <w:spacing w:val="-4"/>
                <w:sz w:val="16"/>
                <w:u w:val="none"/>
                <w:effect w:val="none"/>
              </w:rPr>
              <w:t>(2)</w:t>
            </w:r>
          </w:p>
        </w:tc>
        <w:tc>
          <w:tcPr>
            <w:tcW w:w="10343" w:type="dxa"/>
            <w:tcBorders/>
            <w:shd w:fill="auto" w:val="clear"/>
          </w:tcPr>
          <w:p>
            <w:pPr>
              <w:pStyle w:val="TableContents"/>
              <w:spacing w:before="0" w:after="0"/>
              <w:jc w:val="left"/>
              <w:rPr>
                <w:rFonts w:ascii="Open Sans" w:hAnsi="Open Sans"/>
                <w:b w:val="false"/>
                <w:i w:val="false"/>
                <w:caps w:val="false"/>
                <w:smallCaps w:val="false"/>
                <w:color w:val="323031"/>
                <w:spacing w:val="-4"/>
                <w:sz w:val="16"/>
              </w:rPr>
            </w:pP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value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of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PSUs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will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differ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from</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grant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date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fair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value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of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PSUs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shown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in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Summary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Compensation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Table.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A</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portion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of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grant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date fair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value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of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PSUs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shown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in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Summary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Compensation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Table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reflects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total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shareholder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return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relative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the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S&amp;P</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500,</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and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is based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on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a</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4"/>
                <w:sz w:val="16"/>
              </w:rPr>
              <w:t>Monte Carlo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5"/>
                <w:sz w:val="16"/>
              </w:rPr>
              <w:t>valuatio</w:t>
            </w:r>
            <w:r>
              <w:rPr>
                <w:rFonts w:ascii="Open Sans" w:hAnsi="Open Sans"/>
                <w:b w:val="false"/>
                <w:i w:val="false"/>
                <w:caps w:val="false"/>
                <w:smallCaps w:val="false"/>
                <w:color w:val="000000"/>
                <w:spacing w:val="-4"/>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4"/>
                <w:sz w:val="16"/>
              </w:rPr>
              <w:t>model. For PSUs, the Monte Carlo valuation method replaces the Black-Scholes valuation method that had been used for prior year disclosures.</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64</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 chart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potential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2020–2022, 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above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CFVC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ROIC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$4,279</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million 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8.7%,</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respectively.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Because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CFVC was above the target, and our actual ROIC was equal to target,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resulting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payout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CFVC</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ROIC</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105.3%</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payout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amount. We will disclose the performance targets, potential payouts, and actual results for the 2021–2023 and 2022–2024 performance periods once the applicable performance period has concluded.</w:t>
      </w:r>
    </w:p>
    <w:p>
      <w:pPr>
        <w:pStyle w:val="TextBody"/>
        <w:spacing w:before="120" w:after="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2020-2022 CFVC/ROIC EARNED PERCENTAGE</w:t>
      </w:r>
    </w:p>
    <w:p>
      <w:pPr>
        <w:pStyle w:val="TextBody"/>
        <w:spacing w:before="0" w:after="0"/>
        <w:rPr/>
      </w:pPr>
      <w:r>
        <w:rPr/>
        <w:t> </w:t>
      </w:r>
    </w:p>
    <w:tbl>
      <w:tblPr>
        <w:tblW w:w="8588" w:type="dxa"/>
        <w:jc w:val="left"/>
        <w:tblInd w:w="0" w:type="dxa"/>
        <w:tblCellMar>
          <w:top w:w="0" w:type="dxa"/>
          <w:left w:w="0" w:type="dxa"/>
          <w:bottom w:w="0" w:type="dxa"/>
          <w:right w:w="0" w:type="dxa"/>
        </w:tblCellMar>
      </w:tblPr>
      <w:tblGrid>
        <w:gridCol w:w="480"/>
        <w:gridCol w:w="875"/>
        <w:gridCol w:w="976"/>
        <w:gridCol w:w="564"/>
        <w:gridCol w:w="745"/>
        <w:gridCol w:w="3871"/>
        <w:gridCol w:w="422"/>
        <w:gridCol w:w="325"/>
        <w:gridCol w:w="330"/>
      </w:tblGrid>
      <w:tr>
        <w:trPr/>
        <w:tc>
          <w:tcPr>
            <w:tcW w:w="480" w:type="dxa"/>
            <w:vMerge w:val="restart"/>
            <w:tcBorders/>
            <w:shd w:fill="auto" w:val="clear"/>
          </w:tcPr>
          <w:p>
            <w:pPr>
              <w:pStyle w:val="TableContents"/>
              <w:spacing w:before="0" w:after="0"/>
              <w:ind w:left="0" w:right="0" w:hanging="0"/>
              <w:rPr>
                <w:caps w:val="false"/>
                <w:smallCaps w:val="false"/>
              </w:rPr>
            </w:pPr>
            <w:r>
              <w:rPr>
                <w:caps w:val="false"/>
                <w:smallCaps w:val="false"/>
              </w:rPr>
              <w:drawing>
                <wp:inline distT="0" distB="0" distL="0" distR="0">
                  <wp:extent cx="304800" cy="12954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304800" cy="1295400"/>
                          </a:xfrm>
                          <a:prstGeom prst="rect">
                            <a:avLst/>
                          </a:prstGeom>
                        </pic:spPr>
                      </pic:pic>
                    </a:graphicData>
                  </a:graphic>
                </wp:inline>
              </w:drawing>
            </w:r>
          </w:p>
        </w:tc>
        <w:tc>
          <w:tcPr>
            <w:tcW w:w="875" w:type="dxa"/>
            <w:tcBorders>
              <w:top w:val="single" w:sz="6" w:space="0" w:color="00497C"/>
              <w:bottom w:val="single" w:sz="6" w:space="0" w:color="00497C"/>
              <w:right w:val="single" w:sz="6" w:space="0" w:color="00497C"/>
            </w:tcBorders>
            <w:shd w:fill="auto" w:val="clear"/>
            <w:tcMar>
              <w:top w:w="28" w:type="dxa"/>
              <w:bottom w:w="28" w:type="dxa"/>
              <w:right w:w="28" w:type="dxa"/>
            </w:tcMar>
            <w:vAlign w:val="center"/>
          </w:tcPr>
          <w:p>
            <w:pPr>
              <w:pStyle w:val="TableContents"/>
              <w:spacing w:before="8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$4,770</w:t>
            </w:r>
          </w:p>
          <w:p>
            <w:pPr>
              <w:pStyle w:val="TableContents"/>
              <w:spacing w:before="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or greater</w:t>
            </w:r>
          </w:p>
          <w:p>
            <w:pPr>
              <w:pStyle w:val="TableContents"/>
              <w:spacing w:before="0" w:after="0"/>
              <w:ind w:left="0" w:right="0" w:hanging="0"/>
              <w:jc w:val="center"/>
              <w:rPr/>
            </w:pPr>
            <w:r>
              <w:rPr/>
              <w:t> </w:t>
            </w:r>
          </w:p>
        </w:tc>
        <w:tc>
          <w:tcPr>
            <w:tcW w:w="976"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c>
          <w:tcPr>
            <w:tcW w:w="1309" w:type="dxa"/>
            <w:gridSpan w:val="2"/>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w:t>
            </w:r>
          </w:p>
        </w:tc>
        <w:tc>
          <w:tcPr>
            <w:tcW w:w="3871"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125%</w:t>
            </w:r>
          </w:p>
        </w:tc>
        <w:tc>
          <w:tcPr>
            <w:tcW w:w="1077" w:type="dxa"/>
            <w:gridSpan w:val="3"/>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150%</w:t>
            </w:r>
          </w:p>
        </w:tc>
      </w:tr>
      <w:tr>
        <w:trPr/>
        <w:tc>
          <w:tcPr>
            <w:tcW w:w="480" w:type="dxa"/>
            <w:vMerge w:val="continue"/>
            <w:tcBorders/>
            <w:shd w:fill="auto" w:val="clear"/>
          </w:tcPr>
          <w:p>
            <w:pPr>
              <w:pStyle w:val="Normal"/>
              <w:rPr/>
            </w:pPr>
            <w:r>
              <w:rPr/>
            </w:r>
          </w:p>
        </w:tc>
        <w:tc>
          <w:tcPr>
            <w:tcW w:w="875" w:type="dxa"/>
            <w:tcBorders>
              <w:top w:val="single" w:sz="6" w:space="0" w:color="00497C"/>
              <w:bottom w:val="single" w:sz="6" w:space="0" w:color="000000"/>
              <w:right w:val="single" w:sz="6" w:space="0" w:color="000000"/>
            </w:tcBorders>
            <w:shd w:fill="DBE5F1" w:val="clear"/>
            <w:tcMar>
              <w:top w:w="28" w:type="dxa"/>
              <w:bottom w:w="28" w:type="dxa"/>
              <w:right w:w="28" w:type="dxa"/>
            </w:tcMar>
            <w:vAlign w:val="center"/>
          </w:tcPr>
          <w:p>
            <w:pPr>
              <w:pStyle w:val="TableContents"/>
              <w:spacing w:before="0" w:after="0"/>
              <w:ind w:left="0" w:right="0" w:hanging="0"/>
              <w:jc w:val="center"/>
              <w:rPr/>
            </w:pPr>
            <w:r>
              <w:rPr/>
              <w:t> </w:t>
            </w:r>
          </w:p>
        </w:tc>
        <w:tc>
          <w:tcPr>
            <w:tcW w:w="976" w:type="dxa"/>
            <w:tcBorders>
              <w:top w:val="single" w:sz="6" w:space="0" w:color="00497C"/>
              <w:left w:val="single" w:sz="6" w:space="0" w:color="000000"/>
              <w:bottom w:val="single" w:sz="6" w:space="0" w:color="000000"/>
              <w:right w:val="single" w:sz="6"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pPr>
            <w:r>
              <w:rPr/>
              <w:t> </w:t>
            </w:r>
          </w:p>
        </w:tc>
        <w:tc>
          <w:tcPr>
            <w:tcW w:w="564" w:type="dxa"/>
            <w:tcBorders>
              <w:top w:val="single" w:sz="6" w:space="0" w:color="00497C"/>
              <w:left w:val="single" w:sz="6" w:space="0" w:color="000000"/>
              <w:bottom w:val="single" w:sz="6" w:space="0" w:color="000000"/>
              <w:right w:val="single" w:sz="6" w:space="0" w:color="00497C"/>
            </w:tcBorders>
            <w:shd w:fill="auto" w:val="clear"/>
            <w:tcMar>
              <w:top w:w="28" w:type="dxa"/>
              <w:left w:w="28" w:type="dxa"/>
              <w:bottom w:w="28" w:type="dxa"/>
              <w:right w:w="28" w:type="dxa"/>
            </w:tcMar>
            <w:vAlign w:val="center"/>
          </w:tcPr>
          <w:p>
            <w:pPr>
              <w:pStyle w:val="TableContents"/>
              <w:spacing w:before="0" w:after="0"/>
              <w:ind w:left="0" w:right="0" w:hanging="0"/>
              <w:jc w:val="center"/>
              <w:rPr/>
            </w:pPr>
            <w:r>
              <w:rPr/>
              <w:t> </w:t>
            </w:r>
          </w:p>
        </w:tc>
        <w:tc>
          <w:tcPr>
            <w:tcW w:w="5038" w:type="dxa"/>
            <w:gridSpan w:val="3"/>
            <w:vMerge w:val="restart"/>
            <w:tcBorders>
              <w:top w:val="single" w:sz="6" w:space="0" w:color="00497C"/>
              <w:left w:val="single" w:sz="6" w:space="0" w:color="00497C"/>
              <w:bottom w:val="single" w:sz="6" w:space="0" w:color="00497C"/>
              <w:right w:val="single" w:sz="6" w:space="0" w:color="00497C"/>
            </w:tcBorders>
            <w:shd w:fill="2F95D2"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FFFFFF"/>
                <w:sz w:val="16"/>
              </w:rPr>
            </w:pPr>
            <w:r>
              <w:rPr>
                <w:rFonts w:ascii="Open Sans" w:hAnsi="Open Sans"/>
                <w:b w:val="false"/>
                <w:i w:val="false"/>
                <w:caps w:val="false"/>
                <w:smallCaps w:val="false"/>
                <w:color w:val="FFFFFF"/>
                <w:sz w:val="16"/>
              </w:rPr>
              <w:t>105.3% (A); CFVC $4,279; ROIC: 8.7%</w:t>
            </w:r>
          </w:p>
        </w:tc>
        <w:tc>
          <w:tcPr>
            <w:tcW w:w="325" w:type="dxa"/>
            <w:tcBorders>
              <w:top w:val="single" w:sz="6" w:space="0" w:color="00497C"/>
              <w:left w:val="single" w:sz="6" w:space="0" w:color="00497C"/>
              <w:bottom w:val="single" w:sz="6" w:space="0" w:color="000000"/>
            </w:tcBorders>
            <w:shd w:fill="auto" w:val="clear"/>
            <w:tcMar>
              <w:top w:w="28" w:type="dxa"/>
              <w:left w:w="28" w:type="dxa"/>
              <w:bottom w:w="28" w:type="dxa"/>
            </w:tcMar>
            <w:vAlign w:val="center"/>
          </w:tcPr>
          <w:p>
            <w:pPr>
              <w:pStyle w:val="TableContents"/>
              <w:spacing w:before="0" w:after="0"/>
              <w:ind w:left="0" w:right="0" w:hanging="0"/>
              <w:jc w:val="center"/>
              <w:rPr/>
            </w:pPr>
            <w:r>
              <w:rPr/>
              <w:t> </w:t>
            </w:r>
          </w:p>
        </w:tc>
        <w:tc>
          <w:tcPr>
            <w:tcW w:w="330" w:type="dxa"/>
            <w:tcBorders>
              <w:top w:val="single" w:sz="6" w:space="0" w:color="00497C"/>
              <w:bottom w:val="single" w:sz="6" w:space="0" w:color="000000"/>
              <w:right w:val="single" w:sz="6" w:space="0" w:color="00497C"/>
            </w:tcBorders>
            <w:shd w:fill="auto" w:val="clear"/>
            <w:tcMar>
              <w:top w:w="28" w:type="dxa"/>
              <w:bottom w:w="28" w:type="dxa"/>
              <w:right w:w="28" w:type="dxa"/>
            </w:tcMar>
            <w:vAlign w:val="center"/>
          </w:tcPr>
          <w:p>
            <w:pPr>
              <w:pStyle w:val="TableContents"/>
              <w:spacing w:before="0" w:after="0"/>
              <w:ind w:left="0" w:right="0" w:hanging="0"/>
              <w:jc w:val="center"/>
              <w:rPr/>
            </w:pPr>
            <w:r>
              <w:rPr/>
              <w:t> </w:t>
            </w:r>
          </w:p>
        </w:tc>
      </w:tr>
      <w:tr>
        <w:trPr/>
        <w:tc>
          <w:tcPr>
            <w:tcW w:w="480" w:type="dxa"/>
            <w:vMerge w:val="continue"/>
            <w:tcBorders/>
            <w:shd w:fill="auto" w:val="clear"/>
          </w:tcPr>
          <w:p>
            <w:pPr>
              <w:pStyle w:val="Normal"/>
              <w:rPr/>
            </w:pPr>
            <w:r>
              <w:rPr/>
            </w:r>
          </w:p>
        </w:tc>
        <w:tc>
          <w:tcPr>
            <w:tcW w:w="875" w:type="dxa"/>
            <w:vMerge w:val="restart"/>
            <w:tcBorders>
              <w:bottom w:val="single" w:sz="6" w:space="0" w:color="000000"/>
              <w:right w:val="single" w:sz="6" w:space="0" w:color="000000"/>
            </w:tcBorders>
            <w:shd w:fill="D8E1E9" w:val="clear"/>
            <w:tcMar>
              <w:bottom w:w="28" w:type="dxa"/>
              <w:right w:w="28" w:type="dxa"/>
            </w:tcMar>
            <w:vAlign w:val="center"/>
          </w:tcPr>
          <w:p>
            <w:pPr>
              <w:pStyle w:val="TableContents"/>
              <w:spacing w:before="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$4,148 (T)</w:t>
            </w:r>
          </w:p>
        </w:tc>
        <w:tc>
          <w:tcPr>
            <w:tcW w:w="976" w:type="dxa"/>
            <w:vMerge w:val="restart"/>
            <w:tcBorders>
              <w:left w:val="single" w:sz="6" w:space="0" w:color="000000"/>
              <w:bottom w:val="single" w:sz="6" w:space="0" w:color="000000"/>
              <w:right w:val="single" w:sz="6" w:space="0" w:color="000000"/>
            </w:tcBorders>
            <w:shd w:fill="auto" w:val="clear"/>
            <w:tcMar>
              <w:left w:w="28" w:type="dxa"/>
              <w:bottom w:w="28" w:type="dxa"/>
              <w:right w:w="28" w:type="dxa"/>
            </w:tcMar>
            <w:vAlign w:val="center"/>
          </w:tcPr>
          <w:p>
            <w:pPr>
              <w:pStyle w:val="TableContents"/>
              <w:spacing w:before="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564" w:type="dxa"/>
            <w:tcBorders>
              <w:left w:val="single" w:sz="6" w:space="0" w:color="000000"/>
              <w:bottom w:val="single" w:sz="6" w:space="0" w:color="000000"/>
              <w:right w:val="single" w:sz="6" w:space="0" w:color="00497C"/>
            </w:tcBorders>
            <w:shd w:fill="auto" w:val="clear"/>
            <w:tcMar>
              <w:left w:w="28" w:type="dxa"/>
              <w:bottom w:w="28" w:type="dxa"/>
              <w:right w:w="28" w:type="dxa"/>
            </w:tcMar>
            <w:vAlign w:val="center"/>
          </w:tcPr>
          <w:p>
            <w:pPr>
              <w:pStyle w:val="TableContents"/>
              <w:spacing w:before="0" w:after="0"/>
              <w:ind w:left="0" w:right="0" w:hanging="0"/>
              <w:jc w:val="center"/>
              <w:rPr/>
            </w:pPr>
            <w:r>
              <w:rPr/>
              <w:t> </w:t>
            </w:r>
          </w:p>
        </w:tc>
        <w:tc>
          <w:tcPr>
            <w:tcW w:w="5038" w:type="dxa"/>
            <w:gridSpan w:val="3"/>
            <w:vMerge w:val="continue"/>
            <w:tcBorders>
              <w:top w:val="single" w:sz="6" w:space="0" w:color="00497C"/>
              <w:left w:val="single" w:sz="6" w:space="0" w:color="00497C"/>
              <w:bottom w:val="single" w:sz="6" w:space="0" w:color="00497C"/>
              <w:right w:val="single" w:sz="6" w:space="0" w:color="00497C"/>
            </w:tcBorders>
            <w:shd w:fill="2F95D2" w:val="clear"/>
            <w:tcMar>
              <w:top w:w="28" w:type="dxa"/>
              <w:left w:w="28" w:type="dxa"/>
              <w:bottom w:w="28" w:type="dxa"/>
              <w:right w:w="28" w:type="dxa"/>
            </w:tcMar>
            <w:vAlign w:val="center"/>
          </w:tcPr>
          <w:p>
            <w:pPr>
              <w:pStyle w:val="Normal"/>
              <w:rPr/>
            </w:pPr>
            <w:r>
              <w:rPr/>
            </w:r>
          </w:p>
        </w:tc>
        <w:tc>
          <w:tcPr>
            <w:tcW w:w="325" w:type="dxa"/>
            <w:tcBorders>
              <w:left w:val="single" w:sz="6" w:space="0" w:color="00497C"/>
              <w:bottom w:val="single" w:sz="6" w:space="0" w:color="000000"/>
            </w:tcBorders>
            <w:shd w:fill="auto" w:val="clear"/>
            <w:tcMar>
              <w:left w:w="28" w:type="dxa"/>
              <w:bottom w:w="28" w:type="dxa"/>
            </w:tcMar>
            <w:vAlign w:val="center"/>
          </w:tcPr>
          <w:p>
            <w:pPr>
              <w:pStyle w:val="TableContents"/>
              <w:spacing w:before="0" w:after="0"/>
              <w:ind w:left="0" w:right="0" w:hanging="0"/>
              <w:jc w:val="center"/>
              <w:rPr/>
            </w:pPr>
            <w:r>
              <w:rPr/>
              <w:t> </w:t>
            </w:r>
          </w:p>
        </w:tc>
        <w:tc>
          <w:tcPr>
            <w:tcW w:w="330" w:type="dxa"/>
            <w:tcBorders>
              <w:bottom w:val="single" w:sz="6" w:space="0" w:color="000000"/>
              <w:right w:val="single" w:sz="6" w:space="0" w:color="00497C"/>
            </w:tcBorders>
            <w:shd w:fill="auto" w:val="clear"/>
            <w:tcMar>
              <w:bottom w:w="28" w:type="dxa"/>
              <w:right w:w="28" w:type="dxa"/>
            </w:tcMar>
            <w:vAlign w:val="center"/>
          </w:tcPr>
          <w:p>
            <w:pPr>
              <w:pStyle w:val="TableContents"/>
              <w:spacing w:before="0" w:after="0"/>
              <w:ind w:left="0" w:right="0" w:hanging="0"/>
              <w:jc w:val="center"/>
              <w:rPr/>
            </w:pPr>
            <w:r>
              <w:rPr/>
              <w:t> </w:t>
            </w:r>
          </w:p>
        </w:tc>
      </w:tr>
      <w:tr>
        <w:trPr/>
        <w:tc>
          <w:tcPr>
            <w:tcW w:w="480" w:type="dxa"/>
            <w:vMerge w:val="continue"/>
            <w:tcBorders/>
            <w:shd w:fill="auto" w:val="clear"/>
          </w:tcPr>
          <w:p>
            <w:pPr>
              <w:pStyle w:val="Normal"/>
              <w:rPr/>
            </w:pPr>
            <w:r>
              <w:rPr/>
            </w:r>
          </w:p>
        </w:tc>
        <w:tc>
          <w:tcPr>
            <w:tcW w:w="875" w:type="dxa"/>
            <w:vMerge w:val="continue"/>
            <w:tcBorders>
              <w:bottom w:val="single" w:sz="6" w:space="0" w:color="000000"/>
              <w:right w:val="single" w:sz="6" w:space="0" w:color="000000"/>
            </w:tcBorders>
            <w:shd w:fill="D8E1E9" w:val="clear"/>
            <w:tcMar>
              <w:bottom w:w="28" w:type="dxa"/>
              <w:right w:w="28" w:type="dxa"/>
            </w:tcMar>
            <w:vAlign w:val="center"/>
          </w:tcPr>
          <w:p>
            <w:pPr>
              <w:pStyle w:val="Normal"/>
              <w:rPr/>
            </w:pPr>
            <w:r>
              <w:rPr/>
            </w:r>
          </w:p>
        </w:tc>
        <w:tc>
          <w:tcPr>
            <w:tcW w:w="976" w:type="dxa"/>
            <w:vMerge w:val="continue"/>
            <w:tcBorders>
              <w:left w:val="single" w:sz="6" w:space="0" w:color="000000"/>
              <w:bottom w:val="single" w:sz="6" w:space="0" w:color="000000"/>
              <w:right w:val="single" w:sz="6" w:space="0" w:color="000000"/>
            </w:tcBorders>
            <w:shd w:fill="auto" w:val="clear"/>
            <w:tcMar>
              <w:left w:w="28" w:type="dxa"/>
              <w:bottom w:w="28" w:type="dxa"/>
              <w:right w:w="28" w:type="dxa"/>
            </w:tcMar>
            <w:vAlign w:val="center"/>
          </w:tcPr>
          <w:p>
            <w:pPr>
              <w:pStyle w:val="Normal"/>
              <w:rPr/>
            </w:pPr>
            <w:r>
              <w:rPr/>
            </w:r>
          </w:p>
        </w:tc>
        <w:tc>
          <w:tcPr>
            <w:tcW w:w="1309" w:type="dxa"/>
            <w:gridSpan w:val="2"/>
            <w:tcBorders>
              <w:left w:val="single" w:sz="6" w:space="0" w:color="000000"/>
              <w:bottom w:val="single" w:sz="6" w:space="0" w:color="00497C"/>
              <w:right w:val="single" w:sz="6" w:space="0" w:color="000000"/>
            </w:tcBorders>
            <w:shd w:fill="auto" w:val="clear"/>
            <w:tcMar>
              <w:left w:w="28" w:type="dxa"/>
              <w:bottom w:w="28" w:type="dxa"/>
              <w:right w:w="28" w:type="dxa"/>
            </w:tcMar>
            <w:vAlign w:val="center"/>
          </w:tcPr>
          <w:p>
            <w:pPr>
              <w:pStyle w:val="TableContents"/>
              <w:spacing w:before="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c>
          <w:tcPr>
            <w:tcW w:w="3871" w:type="dxa"/>
            <w:tcBorders>
              <w:left w:val="single" w:sz="6" w:space="0" w:color="000000"/>
              <w:bottom w:val="single" w:sz="6" w:space="0" w:color="00497C"/>
              <w:right w:val="single" w:sz="6" w:space="0" w:color="000000"/>
            </w:tcBorders>
            <w:shd w:fill="auto" w:val="clear"/>
            <w:tcMar>
              <w:left w:w="28" w:type="dxa"/>
              <w:bottom w:w="28" w:type="dxa"/>
              <w:right w:w="28" w:type="dxa"/>
            </w:tcMar>
            <w:vAlign w:val="center"/>
          </w:tcPr>
          <w:p>
            <w:pPr>
              <w:pStyle w:val="TableContents"/>
              <w:spacing w:before="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w:t>
            </w:r>
          </w:p>
        </w:tc>
        <w:tc>
          <w:tcPr>
            <w:tcW w:w="1077" w:type="dxa"/>
            <w:gridSpan w:val="3"/>
            <w:tcBorders>
              <w:left w:val="single" w:sz="6" w:space="0" w:color="000000"/>
              <w:bottom w:val="single" w:sz="6" w:space="0" w:color="00497C"/>
              <w:right w:val="single" w:sz="6" w:space="0" w:color="000000"/>
            </w:tcBorders>
            <w:shd w:fill="auto" w:val="clear"/>
            <w:tcMar>
              <w:left w:w="28" w:type="dxa"/>
              <w:bottom w:w="28" w:type="dxa"/>
              <w:right w:w="28" w:type="dxa"/>
            </w:tcMar>
            <w:vAlign w:val="center"/>
          </w:tcPr>
          <w:p>
            <w:pPr>
              <w:pStyle w:val="TableContents"/>
              <w:spacing w:before="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125%</w:t>
            </w:r>
          </w:p>
        </w:tc>
      </w:tr>
      <w:tr>
        <w:trPr/>
        <w:tc>
          <w:tcPr>
            <w:tcW w:w="480" w:type="dxa"/>
            <w:vMerge w:val="continue"/>
            <w:tcBorders/>
            <w:shd w:fill="auto" w:val="clear"/>
          </w:tcPr>
          <w:p>
            <w:pPr>
              <w:pStyle w:val="Normal"/>
              <w:rPr/>
            </w:pPr>
            <w:r>
              <w:rPr/>
            </w:r>
          </w:p>
        </w:tc>
        <w:tc>
          <w:tcPr>
            <w:tcW w:w="875" w:type="dxa"/>
            <w:tcBorders>
              <w:top w:val="single" w:sz="6" w:space="0" w:color="000000"/>
              <w:bottom w:val="single" w:sz="6" w:space="0" w:color="00497C"/>
              <w:right w:val="single" w:sz="6" w:space="0" w:color="00497C"/>
            </w:tcBorders>
            <w:shd w:fill="auto" w:val="clear"/>
            <w:tcMar>
              <w:top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$3,526</w:t>
            </w:r>
          </w:p>
        </w:tc>
        <w:tc>
          <w:tcPr>
            <w:tcW w:w="976" w:type="dxa"/>
            <w:tcBorders>
              <w:top w:val="single" w:sz="6" w:space="0" w:color="000000"/>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w:t>
            </w:r>
          </w:p>
        </w:tc>
        <w:tc>
          <w:tcPr>
            <w:tcW w:w="1309" w:type="dxa"/>
            <w:gridSpan w:val="2"/>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3871"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c>
          <w:tcPr>
            <w:tcW w:w="1077" w:type="dxa"/>
            <w:gridSpan w:val="3"/>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w:t>
            </w:r>
          </w:p>
        </w:tc>
      </w:tr>
      <w:tr>
        <w:trPr/>
        <w:tc>
          <w:tcPr>
            <w:tcW w:w="480" w:type="dxa"/>
            <w:vMerge w:val="continue"/>
            <w:tcBorders/>
            <w:shd w:fill="auto" w:val="clear"/>
          </w:tcPr>
          <w:p>
            <w:pPr>
              <w:pStyle w:val="Normal"/>
              <w:rPr/>
            </w:pPr>
            <w:r>
              <w:rPr/>
            </w:r>
          </w:p>
        </w:tc>
        <w:tc>
          <w:tcPr>
            <w:tcW w:w="875" w:type="dxa"/>
            <w:tcBorders>
              <w:top w:val="single" w:sz="6" w:space="0" w:color="00497C"/>
              <w:bottom w:val="single" w:sz="6" w:space="0" w:color="00497C"/>
              <w:right w:val="single" w:sz="6" w:space="0" w:color="00497C"/>
            </w:tcBorders>
            <w:shd w:fill="auto" w:val="clear"/>
            <w:tcMar>
              <w:top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&lt; $3,526</w:t>
            </w:r>
          </w:p>
        </w:tc>
        <w:tc>
          <w:tcPr>
            <w:tcW w:w="976"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0%</w:t>
            </w:r>
          </w:p>
        </w:tc>
        <w:tc>
          <w:tcPr>
            <w:tcW w:w="1309" w:type="dxa"/>
            <w:gridSpan w:val="2"/>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w:t>
            </w:r>
          </w:p>
        </w:tc>
        <w:tc>
          <w:tcPr>
            <w:tcW w:w="3871"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w:t>
            </w:r>
          </w:p>
        </w:tc>
        <w:tc>
          <w:tcPr>
            <w:tcW w:w="1077" w:type="dxa"/>
            <w:gridSpan w:val="3"/>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w:t>
            </w:r>
          </w:p>
        </w:tc>
      </w:tr>
      <w:tr>
        <w:trPr/>
        <w:tc>
          <w:tcPr>
            <w:tcW w:w="480" w:type="dxa"/>
            <w:vMerge w:val="continue"/>
            <w:tcBorders/>
            <w:shd w:fill="auto" w:val="clear"/>
          </w:tcPr>
          <w:p>
            <w:pPr>
              <w:pStyle w:val="Normal"/>
              <w:rPr/>
            </w:pPr>
            <w:r>
              <w:rPr/>
            </w:r>
          </w:p>
        </w:tc>
        <w:tc>
          <w:tcPr>
            <w:tcW w:w="875" w:type="dxa"/>
            <w:tcBorders>
              <w:top w:val="single" w:sz="6" w:space="0" w:color="00497C"/>
              <w:bottom w:val="single" w:sz="6" w:space="0" w:color="000000"/>
              <w:right w:val="single" w:sz="6" w:space="0" w:color="00497C"/>
            </w:tcBorders>
            <w:shd w:fill="auto" w:val="clear"/>
            <w:tcMar>
              <w:top w:w="28" w:type="dxa"/>
              <w:bottom w:w="28" w:type="dxa"/>
              <w:right w:w="28" w:type="dxa"/>
            </w:tcMar>
            <w:vAlign w:val="center"/>
          </w:tcPr>
          <w:p>
            <w:pPr>
              <w:pStyle w:val="TableContents"/>
              <w:spacing w:before="80" w:after="80"/>
              <w:ind w:left="0" w:right="0" w:hanging="0"/>
              <w:jc w:val="center"/>
              <w:rPr/>
            </w:pPr>
            <w:r>
              <w:rPr/>
              <w:t> </w:t>
            </w:r>
          </w:p>
        </w:tc>
        <w:tc>
          <w:tcPr>
            <w:tcW w:w="976" w:type="dxa"/>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&lt; 7.4%</w:t>
            </w:r>
          </w:p>
        </w:tc>
        <w:tc>
          <w:tcPr>
            <w:tcW w:w="1309" w:type="dxa"/>
            <w:gridSpan w:val="2"/>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7.4%</w:t>
            </w:r>
          </w:p>
        </w:tc>
        <w:tc>
          <w:tcPr>
            <w:tcW w:w="3871" w:type="dxa"/>
            <w:tcBorders>
              <w:top w:val="single" w:sz="6" w:space="0" w:color="00497C"/>
              <w:left w:val="single" w:sz="6" w:space="0" w:color="00497C"/>
              <w:bottom w:val="single" w:sz="6" w:space="0" w:color="00497C"/>
              <w:right w:val="single" w:sz="6" w:space="0" w:color="00497C"/>
            </w:tcBorders>
            <w:shd w:fill="D8E1E9"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8.7% (T)</w:t>
            </w:r>
          </w:p>
        </w:tc>
        <w:tc>
          <w:tcPr>
            <w:tcW w:w="1077" w:type="dxa"/>
            <w:gridSpan w:val="3"/>
            <w:tcBorders>
              <w:top w:val="single" w:sz="6" w:space="0" w:color="00497C"/>
              <w:left w:val="single" w:sz="6" w:space="0" w:color="00497C"/>
              <w:bottom w:val="single" w:sz="6" w:space="0" w:color="00497C"/>
              <w:right w:val="single" w:sz="6" w:space="0" w:color="00497C"/>
            </w:tcBorders>
            <w:shd w:fill="auto" w:val="clear"/>
            <w:tcMar>
              <w:top w:w="28" w:type="dxa"/>
              <w:left w:w="28" w:type="dxa"/>
              <w:bottom w:w="28" w:type="dxa"/>
              <w:right w:w="28" w:type="dxa"/>
            </w:tcMar>
            <w:vAlign w:val="center"/>
          </w:tcPr>
          <w:p>
            <w:pPr>
              <w:pStyle w:val="TableContents"/>
              <w:spacing w:before="80" w:after="80"/>
              <w:ind w:left="0" w:right="0" w:hanging="0"/>
              <w:jc w:val="center"/>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w:t>
            </w:r>
          </w:p>
        </w:tc>
      </w:tr>
      <w:tr>
        <w:trPr/>
        <w:tc>
          <w:tcPr>
            <w:tcW w:w="480" w:type="dxa"/>
            <w:vMerge w:val="continue"/>
            <w:tcBorders/>
            <w:shd w:fill="auto" w:val="clear"/>
          </w:tcPr>
          <w:p>
            <w:pPr>
              <w:pStyle w:val="Normal"/>
              <w:rPr/>
            </w:pPr>
            <w:r>
              <w:rPr/>
            </w:r>
          </w:p>
        </w:tc>
        <w:tc>
          <w:tcPr>
            <w:tcW w:w="875" w:type="dxa"/>
            <w:tcBorders>
              <w:bottom w:val="single" w:sz="6" w:space="0" w:color="000000"/>
              <w:right w:val="single" w:sz="6" w:space="0" w:color="00497C"/>
            </w:tcBorders>
            <w:shd w:fill="auto" w:val="clear"/>
            <w:tcMar>
              <w:bottom w:w="28" w:type="dxa"/>
              <w:right w:w="28" w:type="dxa"/>
            </w:tcMar>
            <w:vAlign w:val="center"/>
          </w:tcPr>
          <w:p>
            <w:pPr>
              <w:pStyle w:val="TableContents"/>
              <w:spacing w:before="0" w:after="0"/>
              <w:ind w:left="0" w:right="0" w:hanging="0"/>
              <w:jc w:val="center"/>
              <w:rPr/>
            </w:pPr>
            <w:r>
              <w:rPr/>
              <w:t> </w:t>
            </w:r>
          </w:p>
        </w:tc>
        <w:tc>
          <w:tcPr>
            <w:tcW w:w="7233" w:type="dxa"/>
            <w:gridSpan w:val="7"/>
            <w:tcBorders>
              <w:top w:val="single" w:sz="6" w:space="0" w:color="00497C"/>
              <w:left w:val="single" w:sz="6" w:space="0" w:color="00497C"/>
              <w:bottom w:val="single" w:sz="6" w:space="0" w:color="00497C"/>
              <w:right w:val="single" w:sz="6" w:space="0" w:color="00497C"/>
            </w:tcBorders>
            <w:shd w:fill="00497C" w:val="clear"/>
            <w:tcMar>
              <w:top w:w="28" w:type="dxa"/>
              <w:left w:w="28" w:type="dxa"/>
              <w:bottom w:w="28" w:type="dxa"/>
              <w:right w:w="28" w:type="dxa"/>
            </w:tcMar>
            <w:vAlign w:val="center"/>
          </w:tcPr>
          <w:p>
            <w:pPr>
              <w:pStyle w:val="TableContents"/>
              <w:spacing w:before="80" w:after="80"/>
              <w:ind w:left="0" w:right="0" w:hanging="0"/>
              <w:jc w:val="center"/>
              <w:rPr>
                <w:rFonts w:ascii="Open Sans SemiBold" w:hAnsi="Open Sans SemiBold"/>
                <w:b w:val="false"/>
                <w:i w:val="false"/>
                <w:caps w:val="false"/>
                <w:smallCaps w:val="false"/>
                <w:color w:val="FFFFFF"/>
                <w:sz w:val="16"/>
              </w:rPr>
            </w:pPr>
            <w:r>
              <w:rPr>
                <w:rFonts w:ascii="Open Sans SemiBold" w:hAnsi="Open Sans SemiBold"/>
                <w:b w:val="false"/>
                <w:i w:val="false"/>
                <w:caps w:val="false"/>
                <w:smallCaps w:val="false"/>
                <w:color w:val="FFFFFF"/>
                <w:sz w:val="16"/>
              </w:rPr>
              <w:t>AVERAGE ROIC%</w:t>
            </w:r>
          </w:p>
        </w:tc>
      </w:tr>
      <w:tr>
        <w:trPr/>
        <w:tc>
          <w:tcPr>
            <w:tcW w:w="480" w:type="dxa"/>
            <w:vMerge w:val="continue"/>
            <w:tcBorders/>
            <w:shd w:fill="auto" w:val="clear"/>
          </w:tcPr>
          <w:p>
            <w:pPr>
              <w:pStyle w:val="Normal"/>
              <w:rPr/>
            </w:pPr>
            <w:r>
              <w:rPr/>
            </w:r>
          </w:p>
        </w:tc>
        <w:tc>
          <w:tcPr>
            <w:tcW w:w="875" w:type="dxa"/>
            <w:tcBorders/>
            <w:shd w:fill="auto" w:val="clear"/>
          </w:tcPr>
          <w:p>
            <w:pPr>
              <w:pStyle w:val="TableContents"/>
              <w:spacing w:before="0" w:after="0"/>
              <w:ind w:left="0" w:right="0" w:hanging="0"/>
              <w:jc w:val="center"/>
              <w:rPr/>
            </w:pPr>
            <w:r>
              <w:rPr/>
              <w:t> </w:t>
            </w:r>
          </w:p>
        </w:tc>
        <w:tc>
          <w:tcPr>
            <w:tcW w:w="7233" w:type="dxa"/>
            <w:gridSpan w:val="7"/>
            <w:tcBorders>
              <w:top w:val="single" w:sz="6" w:space="0" w:color="00497C"/>
            </w:tcBorders>
            <w:shd w:fill="auto" w:val="clear"/>
            <w:tcMar>
              <w:top w:w="28" w:type="dxa"/>
            </w:tcMar>
          </w:tcPr>
          <w:p>
            <w:pPr>
              <w:pStyle w:val="TableContents"/>
              <w:spacing w:before="40" w:after="0"/>
              <w:ind w:left="0" w:right="0" w:hanging="0"/>
              <w:jc w:val="right"/>
              <w:rPr>
                <w:rFonts w:ascii="Open Sans" w:hAnsi="Open Sans"/>
                <w:b w:val="false"/>
                <w:i w:val="false"/>
                <w:caps w:val="false"/>
                <w:smallCaps w:val="false"/>
                <w:sz w:val="16"/>
              </w:rPr>
            </w:pPr>
            <w:r>
              <w:rPr>
                <w:rFonts w:ascii="Open Sans" w:hAnsi="Open Sans"/>
                <w:b w:val="false"/>
                <w:i w:val="false"/>
                <w:caps w:val="false"/>
                <w:smallCaps w:val="false"/>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w:t>
            </w:r>
            <w:r>
              <w:rPr>
                <w:rFonts w:ascii="Open Sans" w:hAnsi="Open Sans"/>
                <w:b w:val="false"/>
                <w:i w:val="false"/>
                <w:caps w:val="false"/>
                <w:smallCaps w:val="false"/>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leve</w:t>
            </w:r>
            <w:r>
              <w:rPr>
                <w:rFonts w:ascii="Open Sans" w:hAnsi="Open Sans"/>
                <w:b w:val="false"/>
                <w:i w:val="false"/>
                <w:caps w:val="false"/>
                <w:smallCaps w:val="false"/>
                <w:sz w:val="16"/>
              </w:rPr>
              <w:t>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w:t>
            </w:r>
            <w:r>
              <w:rPr>
                <w:rFonts w:ascii="Open Sans" w:hAnsi="Open Sans"/>
                <w:b w:val="false"/>
                <w:i w:val="false"/>
                <w:caps w:val="false"/>
                <w:smallCaps w:val="false"/>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100</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w:t>
            </w:r>
            <w:r>
              <w:rPr>
                <w:rFonts w:ascii="Open Sans" w:hAnsi="Open Sans"/>
                <w:b w:val="false"/>
                <w:i w:val="false"/>
                <w:caps w:val="false"/>
                <w:smallCaps w:val="false"/>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w:t>
            </w:r>
            <w:r>
              <w:rPr>
                <w:rFonts w:ascii="Open Sans" w:hAnsi="Open Sans"/>
                <w:b w:val="false"/>
                <w:i w:val="false"/>
                <w:caps w:val="false"/>
                <w:smallCaps w:val="false"/>
                <w:sz w:val="16"/>
              </w:rPr>
              <w:t>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result</w:t>
            </w:r>
            <w:r>
              <w:rPr>
                <w:rFonts w:ascii="Open Sans" w:hAnsi="Open Sans"/>
                <w:b w:val="false"/>
                <w:i w:val="false"/>
                <w:caps w:val="false"/>
                <w:smallCaps w:val="false"/>
                <w:sz w:val="16"/>
              </w:rPr>
              <w: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w:t>
            </w:r>
            <w:r>
              <w:rPr>
                <w:rFonts w:ascii="Open Sans" w:hAnsi="Open Sans"/>
                <w:b w:val="false"/>
                <w:i w:val="false"/>
                <w:caps w:val="false"/>
                <w:smallCaps w:val="false"/>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w:t>
            </w:r>
            <w:r>
              <w:rPr>
                <w:rFonts w:ascii="Open Sans" w:hAnsi="Open Sans"/>
                <w:b w:val="false"/>
                <w:i w:val="false"/>
                <w:caps w:val="false"/>
                <w:smallCaps w:val="false"/>
                <w:sz w:val="16"/>
              </w:rPr>
              <w: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7089"/>
        <w:gridCol w:w="60"/>
        <w:gridCol w:w="1652"/>
        <w:gridCol w:w="61"/>
        <w:gridCol w:w="368"/>
        <w:gridCol w:w="140"/>
        <w:gridCol w:w="274"/>
        <w:gridCol w:w="235"/>
        <w:gridCol w:w="140"/>
        <w:gridCol w:w="140"/>
        <w:gridCol w:w="380"/>
      </w:tblGrid>
      <w:tr>
        <w:trPr/>
        <w:tc>
          <w:tcPr>
            <w:tcW w:w="7089" w:type="dxa"/>
            <w:vMerge w:val="restart"/>
            <w:tcBorders/>
            <w:shd w:fill="FFFFFF" w:val="clear"/>
          </w:tcPr>
          <w:p>
            <w:pPr>
              <w:pStyle w:val="TableContents"/>
              <w:spacing w:lineRule="auto" w:line="288" w:before="0" w:after="0"/>
              <w:ind w:left="0" w:right="0" w:hanging="0"/>
              <w:jc w:val="both"/>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Twenty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percent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PSU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payout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RTSR 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 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RTSR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2020 - 2022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56th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percentile.</w:t>
            </w:r>
          </w:p>
        </w:tc>
        <w:tc>
          <w:tcPr>
            <w:tcW w:w="60" w:type="dxa"/>
            <w:tcBorders/>
            <w:shd w:fill="FFFFFF" w:val="clear"/>
          </w:tcPr>
          <w:p>
            <w:pPr>
              <w:pStyle w:val="TableContents"/>
              <w:spacing w:before="0" w:after="0"/>
              <w:ind w:left="0" w:right="0" w:hanging="0"/>
              <w:jc w:val="center"/>
              <w:rPr/>
            </w:pPr>
            <w:r>
              <w:rPr/>
              <w:t> </w:t>
            </w:r>
          </w:p>
        </w:tc>
        <w:tc>
          <w:tcPr>
            <w:tcW w:w="3390" w:type="dxa"/>
            <w:gridSpan w:val="9"/>
            <w:tcBorders/>
            <w:shd w:fill="FFFFFF" w:val="clear"/>
            <w:vAlign w:val="bottom"/>
          </w:tcPr>
          <w:p>
            <w:pPr>
              <w:pStyle w:val="TableContents"/>
              <w:spacing w:before="0" w:after="0"/>
              <w:ind w:left="0" w:right="0" w:hanging="0"/>
              <w:rPr>
                <w:rFonts w:ascii="Open Sans" w:hAnsi="Open Sans"/>
                <w:b w:val="false"/>
                <w:i w:val="false"/>
                <w:caps w:val="false"/>
                <w:smallCaps w:val="false"/>
                <w:color w:val="004A7C"/>
                <w:spacing w:val="9"/>
                <w:sz w:val="17"/>
              </w:rPr>
            </w:pPr>
            <w:r>
              <w:rPr>
                <w:rFonts w:ascii="Open Sans" w:hAnsi="Open Sans"/>
                <w:b w:val="false"/>
                <w:i w:val="false"/>
                <w:caps w:val="false"/>
                <w:smallCaps w:val="false"/>
                <w:color w:val="004A7C"/>
                <w:spacing w:val="9"/>
                <w:sz w:val="17"/>
              </w:rPr>
              <w:t>2020-2022 RTSR EARNED PERCENTAGE</w:t>
            </w:r>
          </w:p>
        </w:tc>
      </w:tr>
      <w:tr>
        <w:trPr/>
        <w:tc>
          <w:tcPr>
            <w:tcW w:w="7089" w:type="dxa"/>
            <w:vMerge w:val="continue"/>
            <w:tcBorders/>
            <w:shd w:fill="FFFFFF" w:val="clear"/>
          </w:tcPr>
          <w:p>
            <w:pPr>
              <w:pStyle w:val="Normal"/>
              <w:rPr/>
            </w:pPr>
            <w:r>
              <w:rPr/>
            </w:r>
          </w:p>
        </w:tc>
        <w:tc>
          <w:tcPr>
            <w:tcW w:w="60" w:type="dxa"/>
            <w:tcBorders/>
            <w:shd w:fill="FFFFFF" w:val="clear"/>
          </w:tcPr>
          <w:p>
            <w:pPr>
              <w:pStyle w:val="TableContents"/>
              <w:spacing w:before="0" w:after="0"/>
              <w:ind w:left="0" w:right="0" w:hanging="0"/>
              <w:jc w:val="center"/>
              <w:rPr/>
            </w:pPr>
            <w:r>
              <w:rPr/>
              <w:t> </w:t>
            </w:r>
          </w:p>
        </w:tc>
        <w:tc>
          <w:tcPr>
            <w:tcW w:w="1652" w:type="dxa"/>
            <w:tcBorders/>
            <w:shd w:fill="FFFFFF" w:val="clear"/>
            <w:vAlign w:val="bottom"/>
          </w:tcPr>
          <w:p>
            <w:pPr>
              <w:pStyle w:val="TableContents"/>
              <w:spacing w:before="0" w:after="0"/>
              <w:ind w:left="0" w:right="0" w:hanging="0"/>
              <w:jc w:val="center"/>
              <w:rPr/>
            </w:pPr>
            <w:r>
              <w:rPr/>
              <w:t> </w:t>
            </w:r>
          </w:p>
        </w:tc>
        <w:tc>
          <w:tcPr>
            <w:tcW w:w="61" w:type="dxa"/>
            <w:tcBorders/>
            <w:shd w:fill="FFFFFF" w:val="clear"/>
            <w:vAlign w:val="bottom"/>
          </w:tcPr>
          <w:p>
            <w:pPr>
              <w:pStyle w:val="TableContents"/>
              <w:spacing w:before="0" w:after="0"/>
              <w:ind w:left="0" w:right="0" w:hanging="0"/>
              <w:jc w:val="center"/>
              <w:rPr/>
            </w:pPr>
            <w:r>
              <w:rPr/>
              <w:t> </w:t>
            </w:r>
          </w:p>
        </w:tc>
        <w:tc>
          <w:tcPr>
            <w:tcW w:w="1677" w:type="dxa"/>
            <w:gridSpan w:val="7"/>
            <w:tcBorders/>
            <w:shd w:fill="FFFFFF" w:val="clear"/>
            <w:vAlign w:val="bottom"/>
          </w:tcPr>
          <w:p>
            <w:pPr>
              <w:pStyle w:val="TableContents"/>
              <w:spacing w:before="0" w:after="0"/>
              <w:ind w:left="0" w:right="0" w:hanging="0"/>
              <w:jc w:val="center"/>
              <w:rPr/>
            </w:pPr>
            <w:r>
              <w:rPr/>
              <w:t> </w:t>
            </w:r>
          </w:p>
        </w:tc>
      </w:tr>
      <w:tr>
        <w:trPr/>
        <w:tc>
          <w:tcPr>
            <w:tcW w:w="7089" w:type="dxa"/>
            <w:vMerge w:val="continue"/>
            <w:tcBorders/>
            <w:shd w:fill="FFFFFF" w:val="clear"/>
          </w:tcPr>
          <w:p>
            <w:pPr>
              <w:pStyle w:val="Normal"/>
              <w:rPr/>
            </w:pPr>
            <w:r>
              <w:rPr/>
            </w:r>
          </w:p>
        </w:tc>
        <w:tc>
          <w:tcPr>
            <w:tcW w:w="60" w:type="dxa"/>
            <w:tcBorders/>
            <w:shd w:fill="FFFFFF" w:val="clear"/>
          </w:tcPr>
          <w:p>
            <w:pPr>
              <w:pStyle w:val="TableContents"/>
              <w:spacing w:before="0" w:after="0"/>
              <w:ind w:left="0" w:right="0" w:hanging="0"/>
              <w:jc w:val="center"/>
              <w:rPr/>
            </w:pPr>
            <w:r>
              <w:rPr/>
              <w:t> </w:t>
            </w:r>
          </w:p>
        </w:tc>
        <w:tc>
          <w:tcPr>
            <w:tcW w:w="1652"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RTSR ATTAINED DURING</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THE PERFORMANCE PERIOD</w:t>
            </w:r>
          </w:p>
        </w:tc>
        <w:tc>
          <w:tcPr>
            <w:tcW w:w="61"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77" w:type="dxa"/>
            <w:gridSpan w:val="7"/>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RTSR EARNING PERCENTAGE</w:t>
            </w:r>
          </w:p>
        </w:tc>
      </w:tr>
      <w:tr>
        <w:trPr/>
        <w:tc>
          <w:tcPr>
            <w:tcW w:w="7089" w:type="dxa"/>
            <w:tcBorders>
              <w:bottom w:val="single" w:sz="6" w:space="0" w:color="000000"/>
            </w:tcBorders>
            <w:shd w:fill="FFFFFF" w:val="clear"/>
            <w:tcMar>
              <w:bottom w:w="28" w:type="dxa"/>
            </w:tcMar>
          </w:tcPr>
          <w:p>
            <w:pPr>
              <w:pStyle w:val="TableContents"/>
              <w:spacing w:before="0" w:after="0"/>
              <w:ind w:left="0" w:right="0" w:hanging="0"/>
              <w:jc w:val="center"/>
              <w:rPr/>
            </w:pPr>
            <w:r>
              <w:rPr/>
              <w:t> </w:t>
            </w:r>
          </w:p>
        </w:tc>
        <w:tc>
          <w:tcPr>
            <w:tcW w:w="60" w:type="dxa"/>
            <w:tcBorders>
              <w:bottom w:val="single" w:sz="6" w:space="0" w:color="000000"/>
            </w:tcBorders>
            <w:shd w:fill="FFFFFF"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1"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36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414" w:type="dxa"/>
            <w:gridSpan w:val="2"/>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375" w:type="dxa"/>
            <w:gridSpan w:val="2"/>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20" w:type="dxa"/>
            <w:gridSpan w:val="2"/>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7089" w:type="dxa"/>
            <w:vMerge w:val="restart"/>
            <w:tcBorders/>
            <w:shd w:fill="auto" w:val="clear"/>
          </w:tcPr>
          <w:p>
            <w:pPr>
              <w:pStyle w:val="TableContents"/>
              <w:spacing w:lineRule="auto" w:line="288" w:before="0" w:after="0"/>
              <w:ind w:left="0" w:right="0" w:hanging="0"/>
              <w:jc w:val="both"/>
              <w:rPr>
                <w:rFonts w:ascii="Open Sans" w:hAnsi="Open Sans"/>
                <w:b w:val="false"/>
                <w:i w:val="false"/>
                <w:caps w:val="false"/>
                <w:smallCaps w:val="false"/>
                <w:color w:val="004A7C"/>
                <w:sz w:val="19"/>
              </w:rPr>
            </w:pPr>
            <w:r>
              <w:rPr>
                <w:rFonts w:ascii="Open Sans" w:hAnsi="Open Sans"/>
                <w:b w:val="false"/>
                <w:i w:val="false"/>
                <w:caps w:val="false"/>
                <w:smallCaps w:val="false"/>
                <w:color w:val="004A7C"/>
                <w:sz w:val="19"/>
              </w:rPr>
              <w:t>The chart to the right</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shows</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the</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performance</w:t>
            </w:r>
            <w:r>
              <w:rPr>
                <w:rFonts w:ascii="Open Sans" w:hAnsi="Open Sans"/>
                <w:b w:val="false"/>
                <w:i w:val="false"/>
                <w:caps w:val="false"/>
                <w:smallCaps w:val="false"/>
                <w:color w:val="004A7C"/>
                <w:spacing w:val="12"/>
                <w:sz w:val="19"/>
              </w:rPr>
              <w:t xml:space="preserve"> </w:t>
            </w:r>
            <w:r>
              <w:rPr>
                <w:rFonts w:ascii="Open Sans" w:hAnsi="Open Sans"/>
                <w:b w:val="false"/>
                <w:i w:val="false"/>
                <w:caps w:val="false"/>
                <w:smallCaps w:val="false"/>
                <w:color w:val="004A7C"/>
                <w:sz w:val="19"/>
              </w:rPr>
              <w:t>target</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and the</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potential</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payouts</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for</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performance</w:t>
            </w:r>
            <w:r>
              <w:rPr>
                <w:rFonts w:ascii="Open Sans" w:hAnsi="Open Sans"/>
                <w:b w:val="false"/>
                <w:i w:val="false"/>
                <w:caps w:val="false"/>
                <w:smallCaps w:val="false"/>
                <w:color w:val="004A7C"/>
                <w:spacing w:val="14"/>
                <w:sz w:val="19"/>
              </w:rPr>
              <w:t xml:space="preserve"> </w:t>
            </w:r>
            <w:r>
              <w:rPr>
                <w:rFonts w:ascii="Open Sans" w:hAnsi="Open Sans"/>
                <w:b w:val="false"/>
                <w:i w:val="false"/>
                <w:caps w:val="false"/>
                <w:smallCaps w:val="false"/>
                <w:color w:val="004A7C"/>
                <w:sz w:val="19"/>
              </w:rPr>
              <w:t>above and</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below</w:t>
            </w:r>
            <w:r>
              <w:rPr>
                <w:rFonts w:ascii="Open Sans" w:hAnsi="Open Sans"/>
                <w:b w:val="false"/>
                <w:i w:val="false"/>
                <w:caps w:val="false"/>
                <w:smallCaps w:val="false"/>
                <w:color w:val="004A7C"/>
                <w:spacing w:val="11"/>
                <w:sz w:val="19"/>
              </w:rPr>
              <w:t xml:space="preserve"> </w:t>
            </w:r>
            <w:r>
              <w:rPr>
                <w:rFonts w:ascii="Open Sans" w:hAnsi="Open Sans"/>
                <w:b w:val="false"/>
                <w:i w:val="false"/>
                <w:caps w:val="false"/>
                <w:smallCaps w:val="false"/>
                <w:color w:val="004A7C"/>
                <w:sz w:val="19"/>
              </w:rPr>
              <w:t>target.</w:t>
            </w:r>
            <w:r>
              <w:rPr>
                <w:rFonts w:ascii="Open Sans" w:hAnsi="Open Sans"/>
                <w:b w:val="false"/>
                <w:i w:val="false"/>
                <w:caps w:val="false"/>
                <w:smallCaps w:val="false"/>
                <w:color w:val="004A7C"/>
                <w:spacing w:val="9"/>
                <w:sz w:val="19"/>
              </w:rPr>
              <w:t xml:space="preserve"> </w:t>
            </w:r>
            <w:r>
              <w:rPr>
                <w:rFonts w:ascii="Open Sans" w:hAnsi="Open Sans"/>
                <w:b w:val="false"/>
                <w:i w:val="false"/>
                <w:caps w:val="false"/>
                <w:smallCaps w:val="false"/>
                <w:color w:val="004A7C"/>
                <w:sz w:val="19"/>
              </w:rPr>
              <w:t>It</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also</w:t>
            </w:r>
            <w:r>
              <w:rPr>
                <w:rFonts w:ascii="Open Sans" w:hAnsi="Open Sans"/>
                <w:b w:val="false"/>
                <w:i w:val="false"/>
                <w:caps w:val="false"/>
                <w:smallCaps w:val="false"/>
                <w:color w:val="004A7C"/>
                <w:spacing w:val="11"/>
                <w:sz w:val="19"/>
              </w:rPr>
              <w:t xml:space="preserve"> </w:t>
            </w:r>
            <w:r>
              <w:rPr>
                <w:rFonts w:ascii="Open Sans" w:hAnsi="Open Sans"/>
                <w:b w:val="false"/>
                <w:i w:val="false"/>
                <w:caps w:val="false"/>
                <w:smallCaps w:val="false"/>
                <w:color w:val="004A7C"/>
                <w:sz w:val="19"/>
              </w:rPr>
              <w:t>shows</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the</w:t>
            </w:r>
            <w:r>
              <w:rPr>
                <w:rFonts w:ascii="Open Sans" w:hAnsi="Open Sans"/>
                <w:b w:val="false"/>
                <w:i w:val="false"/>
                <w:caps w:val="false"/>
                <w:smallCaps w:val="false"/>
                <w:color w:val="004A7C"/>
                <w:spacing w:val="11"/>
                <w:sz w:val="19"/>
              </w:rPr>
              <w:t xml:space="preserve"> </w:t>
            </w:r>
            <w:r>
              <w:rPr>
                <w:rFonts w:ascii="Open Sans" w:hAnsi="Open Sans"/>
                <w:b w:val="false"/>
                <w:i w:val="false"/>
                <w:caps w:val="false"/>
                <w:smallCaps w:val="false"/>
                <w:color w:val="004A7C"/>
                <w:sz w:val="19"/>
              </w:rPr>
              <w:t>actual performance</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of</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RTSR</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during</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the</w:t>
            </w:r>
            <w:r>
              <w:rPr>
                <w:rFonts w:ascii="Open Sans" w:hAnsi="Open Sans"/>
                <w:b w:val="false"/>
                <w:i w:val="false"/>
                <w:caps w:val="false"/>
                <w:smallCaps w:val="false"/>
                <w:color w:val="004A7C"/>
                <w:spacing w:val="17"/>
                <w:sz w:val="19"/>
              </w:rPr>
              <w:t xml:space="preserve"> </w:t>
            </w:r>
            <w:r>
              <w:rPr>
                <w:rFonts w:ascii="Open Sans" w:hAnsi="Open Sans"/>
                <w:b w:val="false"/>
                <w:i w:val="false"/>
                <w:caps w:val="false"/>
                <w:smallCaps w:val="false"/>
                <w:color w:val="004A7C"/>
                <w:sz w:val="19"/>
              </w:rPr>
              <w:t>performance period</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at the</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76th</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percentile.</w:t>
            </w:r>
            <w:r>
              <w:rPr>
                <w:rFonts w:ascii="Open Sans" w:hAnsi="Open Sans"/>
                <w:b w:val="false"/>
                <w:i w:val="false"/>
                <w:caps w:val="false"/>
                <w:smallCaps w:val="false"/>
                <w:color w:val="004A7C"/>
                <w:spacing w:val="14"/>
                <w:sz w:val="19"/>
              </w:rPr>
              <w:t xml:space="preserve"> </w:t>
            </w:r>
            <w:r>
              <w:rPr>
                <w:rFonts w:ascii="Open Sans" w:hAnsi="Open Sans"/>
                <w:b w:val="false"/>
                <w:i w:val="false"/>
                <w:caps w:val="false"/>
                <w:smallCaps w:val="false"/>
                <w:color w:val="004A7C"/>
                <w:sz w:val="19"/>
              </w:rPr>
              <w:t>Because</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our</w:t>
            </w:r>
            <w:r>
              <w:rPr>
                <w:rFonts w:ascii="Open Sans" w:hAnsi="Open Sans"/>
                <w:b w:val="false"/>
                <w:i w:val="false"/>
                <w:caps w:val="false"/>
                <w:smallCaps w:val="false"/>
                <w:color w:val="004A7C"/>
                <w:spacing w:val="13"/>
                <w:sz w:val="19"/>
              </w:rPr>
              <w:t xml:space="preserve"> </w:t>
            </w:r>
            <w:r>
              <w:rPr>
                <w:rFonts w:ascii="Open Sans" w:hAnsi="Open Sans"/>
                <w:b w:val="false"/>
                <w:i w:val="false"/>
                <w:caps w:val="false"/>
                <w:smallCaps w:val="false"/>
                <w:color w:val="004A7C"/>
                <w:sz w:val="19"/>
              </w:rPr>
              <w:t>actual performance</w:t>
            </w:r>
            <w:r>
              <w:rPr>
                <w:rFonts w:ascii="Open Sans" w:hAnsi="Open Sans"/>
                <w:b w:val="false"/>
                <w:i w:val="false"/>
                <w:caps w:val="false"/>
                <w:smallCaps w:val="false"/>
                <w:color w:val="004A7C"/>
                <w:spacing w:val="12"/>
                <w:sz w:val="19"/>
              </w:rPr>
              <w:t xml:space="preserve"> </w:t>
            </w:r>
            <w:r>
              <w:rPr>
                <w:rFonts w:ascii="Open Sans" w:hAnsi="Open Sans"/>
                <w:b w:val="false"/>
                <w:i w:val="false"/>
                <w:caps w:val="false"/>
                <w:smallCaps w:val="false"/>
                <w:color w:val="004A7C"/>
                <w:sz w:val="19"/>
              </w:rPr>
              <w:t>was</w:t>
            </w:r>
            <w:r>
              <w:rPr>
                <w:rFonts w:ascii="Open Sans" w:hAnsi="Open Sans"/>
                <w:b w:val="false"/>
                <w:i w:val="false"/>
                <w:caps w:val="false"/>
                <w:smallCaps w:val="false"/>
                <w:color w:val="004A7C"/>
                <w:spacing w:val="14"/>
                <w:sz w:val="19"/>
              </w:rPr>
              <w:t xml:space="preserve"> </w:t>
            </w:r>
            <w:r>
              <w:rPr>
                <w:rFonts w:ascii="Open Sans" w:hAnsi="Open Sans"/>
                <w:b w:val="false"/>
                <w:i w:val="false"/>
                <w:caps w:val="false"/>
                <w:smallCaps w:val="false"/>
                <w:color w:val="004A7C"/>
                <w:sz w:val="19"/>
              </w:rPr>
              <w:t>above</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the</w:t>
            </w:r>
            <w:r>
              <w:rPr>
                <w:rFonts w:ascii="Open Sans" w:hAnsi="Open Sans"/>
                <w:b w:val="false"/>
                <w:i w:val="false"/>
                <w:caps w:val="false"/>
                <w:smallCaps w:val="false"/>
                <w:color w:val="004A7C"/>
                <w:spacing w:val="14"/>
                <w:sz w:val="19"/>
              </w:rPr>
              <w:t xml:space="preserve"> </w:t>
            </w:r>
            <w:r>
              <w:rPr>
                <w:rFonts w:ascii="Open Sans" w:hAnsi="Open Sans"/>
                <w:b w:val="false"/>
                <w:i w:val="false"/>
                <w:caps w:val="false"/>
                <w:smallCaps w:val="false"/>
                <w:color w:val="004A7C"/>
                <w:sz w:val="19"/>
              </w:rPr>
              <w:t>target</w:t>
            </w:r>
            <w:r>
              <w:rPr>
                <w:rFonts w:ascii="Open Sans" w:hAnsi="Open Sans"/>
                <w:b w:val="false"/>
                <w:i w:val="false"/>
                <w:caps w:val="false"/>
                <w:smallCaps w:val="false"/>
                <w:color w:val="004A7C"/>
                <w:spacing w:val="14"/>
                <w:sz w:val="19"/>
              </w:rPr>
              <w:t xml:space="preserve"> </w:t>
            </w:r>
            <w:r>
              <w:rPr>
                <w:rFonts w:ascii="Open Sans" w:hAnsi="Open Sans"/>
                <w:b w:val="false"/>
                <w:i w:val="false"/>
                <w:caps w:val="false"/>
                <w:smallCaps w:val="false"/>
                <w:color w:val="004A7C"/>
                <w:sz w:val="19"/>
              </w:rPr>
              <w:t>level of</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performance,</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consistent</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with</w:t>
            </w:r>
            <w:r>
              <w:rPr>
                <w:rFonts w:ascii="Open Sans" w:hAnsi="Open Sans"/>
                <w:b w:val="false"/>
                <w:i w:val="false"/>
                <w:caps w:val="false"/>
                <w:smallCaps w:val="false"/>
                <w:color w:val="004A7C"/>
                <w:spacing w:val="15"/>
                <w:sz w:val="19"/>
              </w:rPr>
              <w:t xml:space="preserve"> </w:t>
            </w:r>
            <w:r>
              <w:rPr>
                <w:rFonts w:ascii="Open Sans" w:hAnsi="Open Sans"/>
                <w:b w:val="false"/>
                <w:i w:val="false"/>
                <w:caps w:val="false"/>
                <w:smallCaps w:val="false"/>
                <w:color w:val="004A7C"/>
                <w:sz w:val="19"/>
              </w:rPr>
              <w:t>our</w:t>
            </w:r>
            <w:r>
              <w:rPr>
                <w:rFonts w:ascii="Open Sans" w:hAnsi="Open Sans"/>
                <w:b w:val="false"/>
                <w:i w:val="false"/>
                <w:caps w:val="false"/>
                <w:smallCaps w:val="false"/>
                <w:color w:val="004A7C"/>
                <w:spacing w:val="16"/>
                <w:sz w:val="19"/>
              </w:rPr>
              <w:t xml:space="preserve"> </w:t>
            </w:r>
            <w:r>
              <w:rPr>
                <w:rFonts w:ascii="Open Sans" w:hAnsi="Open Sans"/>
                <w:b w:val="false"/>
                <w:i w:val="false"/>
                <w:caps w:val="false"/>
                <w:smallCaps w:val="false"/>
                <w:color w:val="004A7C"/>
                <w:sz w:val="19"/>
              </w:rPr>
              <w:t>pay-for-performance</w:t>
            </w:r>
            <w:r>
              <w:rPr>
                <w:rFonts w:ascii="Open Sans" w:hAnsi="Open Sans"/>
                <w:b w:val="false"/>
                <w:i w:val="false"/>
                <w:caps w:val="false"/>
                <w:smallCaps w:val="false"/>
                <w:color w:val="004A7C"/>
                <w:spacing w:val="21"/>
                <w:sz w:val="19"/>
              </w:rPr>
              <w:t xml:space="preserve"> </w:t>
            </w:r>
            <w:r>
              <w:rPr>
                <w:rFonts w:ascii="Open Sans" w:hAnsi="Open Sans"/>
                <w:b w:val="false"/>
                <w:i w:val="false"/>
                <w:caps w:val="false"/>
                <w:smallCaps w:val="false"/>
                <w:color w:val="004A7C"/>
                <w:sz w:val="19"/>
              </w:rPr>
              <w:t>philosophy,</w:t>
            </w:r>
            <w:r>
              <w:rPr>
                <w:rFonts w:ascii="Open Sans" w:hAnsi="Open Sans"/>
                <w:b w:val="false"/>
                <w:i w:val="false"/>
                <w:caps w:val="false"/>
                <w:smallCaps w:val="false"/>
                <w:color w:val="004A7C"/>
                <w:spacing w:val="23"/>
                <w:sz w:val="19"/>
              </w:rPr>
              <w:t xml:space="preserve"> </w:t>
            </w:r>
            <w:r>
              <w:rPr>
                <w:rFonts w:ascii="Open Sans" w:hAnsi="Open Sans"/>
                <w:b w:val="false"/>
                <w:i w:val="false"/>
                <w:caps w:val="false"/>
                <w:smallCaps w:val="false"/>
                <w:color w:val="004A7C"/>
                <w:sz w:val="19"/>
              </w:rPr>
              <w:t>the</w:t>
            </w:r>
            <w:r>
              <w:rPr>
                <w:rFonts w:ascii="Open Sans" w:hAnsi="Open Sans"/>
                <w:b w:val="false"/>
                <w:i w:val="false"/>
                <w:caps w:val="false"/>
                <w:smallCaps w:val="false"/>
                <w:color w:val="004A7C"/>
                <w:spacing w:val="22"/>
                <w:sz w:val="19"/>
              </w:rPr>
              <w:t xml:space="preserve"> </w:t>
            </w:r>
            <w:r>
              <w:rPr>
                <w:rFonts w:ascii="Open Sans" w:hAnsi="Open Sans"/>
                <w:b w:val="false"/>
                <w:i w:val="false"/>
                <w:caps w:val="false"/>
                <w:smallCaps w:val="false"/>
                <w:color w:val="004A7C"/>
                <w:sz w:val="19"/>
              </w:rPr>
              <w:t>resulting payout</w:t>
            </w:r>
            <w:r>
              <w:rPr>
                <w:rFonts w:ascii="Open Sans" w:hAnsi="Open Sans"/>
                <w:b w:val="false"/>
                <w:i w:val="false"/>
                <w:caps w:val="false"/>
                <w:smallCaps w:val="false"/>
                <w:color w:val="004A7C"/>
                <w:spacing w:val="9"/>
                <w:sz w:val="19"/>
              </w:rPr>
              <w:t xml:space="preserve"> </w:t>
            </w:r>
            <w:r>
              <w:rPr>
                <w:rFonts w:ascii="Open Sans" w:hAnsi="Open Sans"/>
                <w:b w:val="false"/>
                <w:i w:val="false"/>
                <w:caps w:val="false"/>
                <w:smallCaps w:val="false"/>
                <w:color w:val="004A7C"/>
                <w:sz w:val="19"/>
              </w:rPr>
              <w:t>based</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on</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RTSR</w:t>
            </w:r>
            <w:r>
              <w:rPr>
                <w:rFonts w:ascii="Open Sans" w:hAnsi="Open Sans"/>
                <w:b w:val="false"/>
                <w:i w:val="false"/>
                <w:caps w:val="false"/>
                <w:smallCaps w:val="false"/>
                <w:color w:val="004A7C"/>
                <w:spacing w:val="9"/>
                <w:sz w:val="19"/>
              </w:rPr>
              <w:t xml:space="preserve"> </w:t>
            </w:r>
            <w:r>
              <w:rPr>
                <w:rFonts w:ascii="Open Sans" w:hAnsi="Open Sans"/>
                <w:b w:val="false"/>
                <w:i w:val="false"/>
                <w:caps w:val="false"/>
                <w:smallCaps w:val="false"/>
                <w:color w:val="004A7C"/>
                <w:sz w:val="19"/>
              </w:rPr>
              <w:t>was</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142.2%</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of</w:t>
            </w:r>
            <w:r>
              <w:rPr>
                <w:rFonts w:ascii="Open Sans" w:hAnsi="Open Sans"/>
                <w:b w:val="false"/>
                <w:i w:val="false"/>
                <w:caps w:val="false"/>
                <w:smallCaps w:val="false"/>
                <w:color w:val="004A7C"/>
                <w:spacing w:val="10"/>
                <w:sz w:val="19"/>
              </w:rPr>
              <w:t xml:space="preserve"> </w:t>
            </w:r>
            <w:r>
              <w:rPr>
                <w:rFonts w:ascii="Open Sans" w:hAnsi="Open Sans"/>
                <w:b w:val="false"/>
                <w:i w:val="false"/>
                <w:caps w:val="false"/>
                <w:smallCaps w:val="false"/>
                <w:color w:val="004A7C"/>
                <w:sz w:val="19"/>
              </w:rPr>
              <w:t>the target</w:t>
            </w:r>
            <w:r>
              <w:rPr>
                <w:rFonts w:ascii="Open Sans" w:hAnsi="Open Sans"/>
                <w:b w:val="false"/>
                <w:i w:val="false"/>
                <w:caps w:val="false"/>
                <w:smallCaps w:val="false"/>
                <w:color w:val="004A7C"/>
                <w:spacing w:val="19"/>
                <w:sz w:val="19"/>
              </w:rPr>
              <w:t xml:space="preserve"> </w:t>
            </w:r>
            <w:r>
              <w:rPr>
                <w:rFonts w:ascii="Open Sans" w:hAnsi="Open Sans"/>
                <w:b w:val="false"/>
                <w:i w:val="false"/>
                <w:caps w:val="false"/>
                <w:smallCaps w:val="false"/>
                <w:color w:val="004A7C"/>
                <w:sz w:val="19"/>
              </w:rPr>
              <w:t>payout</w:t>
            </w:r>
            <w:r>
              <w:rPr>
                <w:rFonts w:ascii="Open Sans" w:hAnsi="Open Sans"/>
                <w:b w:val="false"/>
                <w:i w:val="false"/>
                <w:caps w:val="false"/>
                <w:smallCaps w:val="false"/>
                <w:color w:val="004A7C"/>
                <w:spacing w:val="20"/>
                <w:sz w:val="19"/>
              </w:rPr>
              <w:t xml:space="preserve"> </w:t>
            </w:r>
            <w:r>
              <w:rPr>
                <w:rFonts w:ascii="Open Sans" w:hAnsi="Open Sans"/>
                <w:b w:val="false"/>
                <w:i w:val="false"/>
                <w:caps w:val="false"/>
                <w:smallCaps w:val="false"/>
                <w:color w:val="004A7C"/>
                <w:sz w:val="19"/>
              </w:rPr>
              <w:t>amount.</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Less than 20th Percentile</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0% </w:t>
            </w:r>
          </w:p>
        </w:tc>
        <w:tc>
          <w:tcPr>
            <w:tcW w:w="280" w:type="dxa"/>
            <w:gridSpan w:val="2"/>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pPr>
            <w:r>
              <w:rPr/>
              <w:t> </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20th Percentile</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25% </w:t>
            </w:r>
          </w:p>
        </w:tc>
        <w:tc>
          <w:tcPr>
            <w:tcW w:w="280" w:type="dxa"/>
            <w:gridSpan w:val="2"/>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40th Percentile</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67% </w:t>
            </w:r>
          </w:p>
        </w:tc>
        <w:tc>
          <w:tcPr>
            <w:tcW w:w="280" w:type="dxa"/>
            <w:gridSpan w:val="2"/>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56th Percentile (T)</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100% </w:t>
            </w:r>
          </w:p>
        </w:tc>
        <w:tc>
          <w:tcPr>
            <w:tcW w:w="280" w:type="dxa"/>
            <w:gridSpan w:val="2"/>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60th Percentile</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108% </w:t>
            </w:r>
          </w:p>
        </w:tc>
        <w:tc>
          <w:tcPr>
            <w:tcW w:w="280" w:type="dxa"/>
            <w:gridSpan w:val="2"/>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76th Percentile</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142.2% </w:t>
            </w:r>
          </w:p>
        </w:tc>
        <w:tc>
          <w:tcPr>
            <w:tcW w:w="280"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1652" w:type="dxa"/>
            <w:tcBorders>
              <w:bottom w:val="single" w:sz="6" w:space="0" w:color="000000"/>
            </w:tcBorders>
            <w:shd w:fill="D8E1E9" w:val="clear"/>
            <w:tcMar>
              <w:bottom w:w="28" w:type="dxa"/>
            </w:tcMar>
            <w:vAlign w:val="center"/>
          </w:tcPr>
          <w:p>
            <w:pPr>
              <w:pStyle w:val="TableContents"/>
              <w:spacing w:lineRule="auto" w:line="288"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80th Percentile or higher</w:t>
            </w:r>
          </w:p>
        </w:tc>
        <w:tc>
          <w:tcPr>
            <w:tcW w:w="61" w:type="dxa"/>
            <w:tcBorders>
              <w:bottom w:val="single" w:sz="6" w:space="0" w:color="000000"/>
            </w:tcBorders>
            <w:shd w:fill="D8E1E9" w:val="clear"/>
            <w:tcMar>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08"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 xml:space="preserve">150% </w:t>
            </w:r>
          </w:p>
        </w:tc>
        <w:tc>
          <w:tcPr>
            <w:tcW w:w="280" w:type="dxa"/>
            <w:gridSpan w:val="2"/>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7089" w:type="dxa"/>
            <w:vMerge w:val="continue"/>
            <w:tcBorders/>
            <w:shd w:fill="auto" w:val="clear"/>
          </w:tcPr>
          <w:p>
            <w:pPr>
              <w:pStyle w:val="Normal"/>
              <w:rPr/>
            </w:pPr>
            <w:r>
              <w:rPr/>
            </w:r>
          </w:p>
        </w:tc>
        <w:tc>
          <w:tcPr>
            <w:tcW w:w="60" w:type="dxa"/>
            <w:tcBorders/>
            <w:shd w:fill="auto" w:val="clear"/>
          </w:tcPr>
          <w:p>
            <w:pPr>
              <w:pStyle w:val="TableContents"/>
              <w:spacing w:before="0" w:after="0"/>
              <w:ind w:left="0" w:right="0" w:hanging="0"/>
              <w:jc w:val="center"/>
              <w:rPr/>
            </w:pPr>
            <w:r>
              <w:rPr/>
              <w:t> </w:t>
            </w:r>
          </w:p>
        </w:tc>
        <w:tc>
          <w:tcPr>
            <w:tcW w:w="1652" w:type="dxa"/>
            <w:tcBorders/>
            <w:shd w:fill="auto" w:val="clear"/>
            <w:vAlign w:val="center"/>
          </w:tcPr>
          <w:p>
            <w:pPr>
              <w:pStyle w:val="TableContents"/>
              <w:spacing w:before="0" w:after="0"/>
              <w:ind w:left="0" w:right="0" w:hanging="0"/>
              <w:jc w:val="center"/>
              <w:rPr/>
            </w:pPr>
            <w:r>
              <w:rPr/>
              <w:t> </w:t>
            </w:r>
          </w:p>
        </w:tc>
        <w:tc>
          <w:tcPr>
            <w:tcW w:w="61" w:type="dxa"/>
            <w:tcBorders/>
            <w:shd w:fill="auto" w:val="clear"/>
            <w:vAlign w:val="center"/>
          </w:tcPr>
          <w:p>
            <w:pPr>
              <w:pStyle w:val="TableContents"/>
              <w:spacing w:before="0" w:after="0"/>
              <w:ind w:left="0" w:right="0" w:hanging="0"/>
              <w:jc w:val="center"/>
              <w:rPr/>
            </w:pPr>
            <w:r>
              <w:rPr/>
              <w:t> </w:t>
            </w:r>
          </w:p>
        </w:tc>
        <w:tc>
          <w:tcPr>
            <w:tcW w:w="508" w:type="dxa"/>
            <w:gridSpan w:val="2"/>
            <w:tcBorders>
              <w:top w:val="single" w:sz="6" w:space="0" w:color="D8E1E9"/>
            </w:tcBorders>
            <w:shd w:fill="FFFFFF" w:val="clear"/>
            <w:tcMar>
              <w:top w:w="28" w:type="dxa"/>
            </w:tcMar>
            <w:vAlign w:val="center"/>
          </w:tcPr>
          <w:p>
            <w:pPr>
              <w:pStyle w:val="TableContents"/>
              <w:spacing w:before="0" w:after="0"/>
              <w:ind w:left="0" w:right="0" w:hanging="0"/>
              <w:jc w:val="right"/>
              <w:rPr/>
            </w:pPr>
            <w:r>
              <w:rPr/>
              <w:t> </w:t>
            </w:r>
          </w:p>
        </w:tc>
        <w:tc>
          <w:tcPr>
            <w:tcW w:w="509" w:type="dxa"/>
            <w:gridSpan w:val="2"/>
            <w:tcBorders>
              <w:top w:val="single" w:sz="6" w:space="0" w:color="D8E1E9"/>
            </w:tcBorders>
            <w:shd w:fill="FFFFFF" w:val="clear"/>
            <w:tcMar>
              <w:top w:w="28" w:type="dxa"/>
            </w:tcMar>
            <w:vAlign w:val="bottom"/>
          </w:tcPr>
          <w:p>
            <w:pPr>
              <w:pStyle w:val="TableContents"/>
              <w:spacing w:before="0" w:after="0"/>
              <w:ind w:left="0" w:right="0" w:hanging="0"/>
              <w:rPr/>
            </w:pPr>
            <w:r>
              <w:rPr/>
              <w:t> </w:t>
            </w:r>
          </w:p>
        </w:tc>
        <w:tc>
          <w:tcPr>
            <w:tcW w:w="280" w:type="dxa"/>
            <w:gridSpan w:val="2"/>
            <w:tcBorders>
              <w:top w:val="single" w:sz="6" w:space="0" w:color="D8E1E9"/>
            </w:tcBorders>
            <w:shd w:fill="FFFFFF" w:val="clear"/>
            <w:tcMar>
              <w:top w:w="28" w:type="dxa"/>
            </w:tcMar>
            <w:vAlign w:val="bottom"/>
          </w:tcPr>
          <w:p>
            <w:pPr>
              <w:pStyle w:val="TableContents"/>
              <w:spacing w:before="0" w:after="0"/>
              <w:ind w:left="0" w:right="0" w:hanging="0"/>
              <w:rPr/>
            </w:pPr>
            <w:r>
              <w:rPr/>
              <w:t> </w:t>
            </w:r>
          </w:p>
        </w:tc>
        <w:tc>
          <w:tcPr>
            <w:tcW w:w="380" w:type="dxa"/>
            <w:tcBorders>
              <w:top w:val="single" w:sz="6" w:space="0" w:color="D8E1E9"/>
            </w:tcBorders>
            <w:shd w:fill="FFFFFF" w:val="clear"/>
            <w:tcMar>
              <w:top w:w="28" w:type="dxa"/>
            </w:tcMar>
            <w:vAlign w:val="bottom"/>
          </w:tcPr>
          <w:p>
            <w:pPr>
              <w:pStyle w:val="TableContents"/>
              <w:spacing w:before="0" w:after="0"/>
              <w:ind w:left="0" w:right="0" w:hanging="0"/>
              <w:rPr/>
            </w:pPr>
            <w:r>
              <w:rPr/>
              <w:t> </w:t>
            </w:r>
          </w:p>
        </w:tc>
      </w:tr>
      <w:tr>
        <w:trPr/>
        <w:tc>
          <w:tcPr>
            <w:tcW w:w="7089" w:type="dxa"/>
            <w:vMerge w:val="continue"/>
            <w:tcBorders/>
            <w:shd w:fill="auto" w:val="clear"/>
          </w:tcPr>
          <w:p>
            <w:pPr>
              <w:pStyle w:val="Normal"/>
              <w:rPr/>
            </w:pPr>
            <w:r>
              <w:rPr/>
            </w:r>
          </w:p>
        </w:tc>
        <w:tc>
          <w:tcPr>
            <w:tcW w:w="60" w:type="dxa"/>
            <w:tcBorders/>
            <w:shd w:fill="auto" w:val="clear"/>
          </w:tcPr>
          <w:p>
            <w:pPr>
              <w:pStyle w:val="TableContents"/>
              <w:spacing w:before="0" w:after="0"/>
              <w:ind w:left="0" w:right="0" w:hanging="0"/>
              <w:jc w:val="center"/>
              <w:rPr/>
            </w:pPr>
            <w:r>
              <w:rPr/>
              <w:t> </w:t>
            </w:r>
          </w:p>
        </w:tc>
        <w:tc>
          <w:tcPr>
            <w:tcW w:w="1652" w:type="dxa"/>
            <w:tcBorders/>
            <w:shd w:fill="auto" w:val="clear"/>
            <w:vAlign w:val="center"/>
          </w:tcPr>
          <w:p>
            <w:pPr>
              <w:pStyle w:val="TableContents"/>
              <w:spacing w:before="0" w:after="0"/>
              <w:ind w:left="0" w:right="0" w:hanging="0"/>
              <w:jc w:val="center"/>
              <w:rPr/>
            </w:pPr>
            <w:r>
              <w:rPr/>
              <w:t> </w:t>
            </w:r>
          </w:p>
        </w:tc>
        <w:tc>
          <w:tcPr>
            <w:tcW w:w="61" w:type="dxa"/>
            <w:tcBorders/>
            <w:shd w:fill="auto" w:val="clear"/>
            <w:vAlign w:val="center"/>
          </w:tcPr>
          <w:p>
            <w:pPr>
              <w:pStyle w:val="TableContents"/>
              <w:spacing w:before="0" w:after="0"/>
              <w:ind w:left="0" w:right="0" w:hanging="0"/>
              <w:jc w:val="center"/>
              <w:rPr/>
            </w:pPr>
            <w:r>
              <w:rPr/>
              <w:t> </w:t>
            </w:r>
          </w:p>
        </w:tc>
        <w:tc>
          <w:tcPr>
            <w:tcW w:w="508" w:type="dxa"/>
            <w:gridSpan w:val="2"/>
            <w:tcBorders/>
            <w:shd w:fill="FFFFFF" w:val="clear"/>
            <w:vAlign w:val="center"/>
          </w:tcPr>
          <w:p>
            <w:pPr>
              <w:pStyle w:val="TableContents"/>
              <w:spacing w:before="0" w:after="0"/>
              <w:ind w:left="0" w:right="0" w:hanging="0"/>
              <w:jc w:val="right"/>
              <w:rPr/>
            </w:pPr>
            <w:r>
              <w:rPr/>
              <w:t> </w:t>
            </w:r>
          </w:p>
        </w:tc>
        <w:tc>
          <w:tcPr>
            <w:tcW w:w="509" w:type="dxa"/>
            <w:gridSpan w:val="2"/>
            <w:tcBorders/>
            <w:shd w:fill="FFFFFF" w:val="clear"/>
            <w:vAlign w:val="bottom"/>
          </w:tcPr>
          <w:p>
            <w:pPr>
              <w:pStyle w:val="TableContents"/>
              <w:spacing w:before="0" w:after="0"/>
              <w:ind w:left="0" w:right="0" w:hanging="0"/>
              <w:rPr/>
            </w:pPr>
            <w:r>
              <w:rPr/>
              <w:t> </w:t>
            </w:r>
          </w:p>
        </w:tc>
        <w:tc>
          <w:tcPr>
            <w:tcW w:w="280" w:type="dxa"/>
            <w:gridSpan w:val="2"/>
            <w:tcBorders/>
            <w:shd w:fill="FFFFFF" w:val="clear"/>
            <w:vAlign w:val="bottom"/>
          </w:tcPr>
          <w:p>
            <w:pPr>
              <w:pStyle w:val="TableContents"/>
              <w:spacing w:before="0" w:after="0"/>
              <w:ind w:left="0" w:right="0" w:hanging="0"/>
              <w:rPr/>
            </w:pPr>
            <w:r>
              <w:rPr/>
              <w:t> </w:t>
            </w:r>
          </w:p>
        </w:tc>
        <w:tc>
          <w:tcPr>
            <w:tcW w:w="380" w:type="dxa"/>
            <w:tcBorders/>
            <w:shd w:fill="FFFFFF" w:val="cle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jc w:val="right"/>
        <w:rPr>
          <w:rFonts w:ascii="Open Sans" w:hAnsi="Open Sans"/>
          <w:b w:val="false"/>
          <w:i w:val="false"/>
          <w:caps w:val="false"/>
          <w:smallCaps w:val="false"/>
          <w:sz w:val="16"/>
        </w:rPr>
      </w:pPr>
      <w:r>
        <w:rPr>
          <w:rFonts w:ascii="Open Sans" w:hAnsi="Open Sans"/>
          <w:b w:val="false"/>
          <w:i w:val="false"/>
          <w:caps w:val="false"/>
          <w:smallCaps w:val="false"/>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w:t>
      </w:r>
      <w:r>
        <w:rPr>
          <w:rFonts w:ascii="Open Sans" w:hAnsi="Open Sans"/>
          <w:b w:val="false"/>
          <w:i w:val="false"/>
          <w:caps w:val="false"/>
          <w:smallCaps w:val="false"/>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leve</w:t>
      </w:r>
      <w:r>
        <w:rPr>
          <w:rFonts w:ascii="Open Sans" w:hAnsi="Open Sans"/>
          <w:b w:val="false"/>
          <w:i w:val="false"/>
          <w:caps w:val="false"/>
          <w:smallCaps w:val="false"/>
          <w:sz w:val="16"/>
        </w:rPr>
        <w:t>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w:t>
      </w:r>
      <w:r>
        <w:rPr>
          <w:rFonts w:ascii="Open Sans" w:hAnsi="Open Sans"/>
          <w:b w:val="false"/>
          <w:i w:val="false"/>
          <w:caps w:val="false"/>
          <w:smallCaps w:val="false"/>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100</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w:t>
      </w:r>
      <w:r>
        <w:rPr>
          <w:rFonts w:ascii="Open Sans" w:hAnsi="Open Sans"/>
          <w:b w:val="false"/>
          <w:i w:val="false"/>
          <w:caps w:val="false"/>
          <w:smallCaps w:val="false"/>
          <w:sz w:val="16"/>
        </w:rPr>
        <w:t>t</w:t>
      </w:r>
      <w:r>
        <w:rPr>
          <w:rFonts w:ascii="Open Sans" w:hAnsi="Open Sans"/>
          <w:b w:val="false"/>
          <w:i w:val="false"/>
          <w:caps w:val="false"/>
          <w:smallCaps w:val="false"/>
          <w:spacing w:val="-5"/>
          <w:sz w:val="16"/>
        </w:rPr>
        <w:t xml:space="preserve"> </w:t>
      </w:r>
    </w:p>
    <w:p>
      <w:pPr>
        <w:pStyle w:val="TextBody"/>
        <w:spacing w:before="0" w:after="0"/>
        <w:jc w:val="right"/>
        <w:rPr>
          <w:rFonts w:ascii="Open Sans" w:hAnsi="Open Sans"/>
          <w:b w:val="false"/>
          <w:i w:val="false"/>
          <w:caps w:val="false"/>
          <w:smallCaps w:val="false"/>
          <w:sz w:val="16"/>
        </w:rPr>
      </w:pPr>
      <w:r>
        <w:rPr>
          <w:rFonts w:ascii="Open Sans" w:hAnsi="Open Sans"/>
          <w:b w:val="false"/>
          <w:i w:val="false"/>
          <w:caps w:val="false"/>
          <w:smallCaps w:val="false"/>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w:t>
      </w:r>
      <w:r>
        <w:rPr>
          <w:rFonts w:ascii="Open Sans" w:hAnsi="Open Sans"/>
          <w:b w:val="false"/>
          <w:i w:val="false"/>
          <w:caps w:val="false"/>
          <w:smallCaps w:val="false"/>
          <w:sz w:val="16"/>
        </w:rPr>
        <w:t>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result</w:t>
      </w:r>
      <w:r>
        <w:rPr>
          <w:rFonts w:ascii="Open Sans" w:hAnsi="Open Sans"/>
          <w:b w:val="false"/>
          <w:i w:val="false"/>
          <w:caps w:val="false"/>
          <w:smallCaps w:val="false"/>
          <w:sz w:val="16"/>
        </w:rPr>
        <w: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w:t>
      </w:r>
      <w:r>
        <w:rPr>
          <w:rFonts w:ascii="Open Sans" w:hAnsi="Open Sans"/>
          <w:b w:val="false"/>
          <w:i w:val="false"/>
          <w:caps w:val="false"/>
          <w:smallCaps w:val="false"/>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2020-20</w:t>
      </w:r>
      <w:r>
        <w:rPr>
          <w:rFonts w:ascii="Open Sans" w:hAnsi="Open Sans"/>
          <w:b w:val="false"/>
          <w:i w:val="false"/>
          <w:caps w:val="false"/>
          <w:smallCaps w:val="false"/>
          <w:sz w:val="16"/>
        </w:rPr>
        <w:t>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w:t>
      </w:r>
      <w:r>
        <w:rPr>
          <w:rFonts w:ascii="Open Sans" w:hAnsi="Open Sans"/>
          <w:b w:val="false"/>
          <w:i w:val="false"/>
          <w:caps w:val="false"/>
          <w:smallCaps w:val="false"/>
          <w:sz w:val="16"/>
        </w:rPr>
        <w: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Taking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consideration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combined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CFVC,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ROIC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RTSR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2020-202</w:t>
      </w:r>
      <w:r>
        <w:rPr>
          <w:rFonts w:ascii="Open Sans" w:hAnsi="Open Sans"/>
          <w:b w:val="false"/>
          <w:i w:val="false"/>
          <w:caps w:val="false"/>
          <w:smallCaps w:val="false"/>
          <w:spacing w:val="-5"/>
          <w:sz w:val="16"/>
        </w:rPr>
        <w:t xml:space="preserve">2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combined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 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112.7%</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 and 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 on page 76.</w:t>
      </w:r>
    </w:p>
    <w:p>
      <w:pPr>
        <w:pStyle w:val="TextBody"/>
        <w:spacing w:before="0" w:after="0"/>
        <w:jc w:val="right"/>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65</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73" w:name="OR_BENEFITS"/>
      <w:bookmarkEnd w:id="73"/>
      <w:r>
        <w:rPr>
          <w:rFonts w:ascii="Open Sans" w:hAnsi="Open Sans"/>
          <w:b/>
          <w:i w:val="false"/>
          <w:caps w:val="false"/>
          <w:smallCaps w:val="false"/>
          <w:color w:val="004A7C"/>
          <w:sz w:val="27"/>
        </w:rPr>
        <w:t>Other Benefits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makes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available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medical,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dental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insurance,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life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insurance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long-term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disability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insurance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programs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employees.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eligible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programs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level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subsidy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general employee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population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those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subject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different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collective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bargaining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Like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 employees,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401(k)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portion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salary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 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maximum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defined level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specified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$20,500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additional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$6,500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those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50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above.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matches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first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three percent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50%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next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two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percent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matching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401(k) 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72.</w:t>
      </w:r>
    </w:p>
    <w:p>
      <w:pPr>
        <w:pStyle w:val="TextBody"/>
        <w:spacing w:before="120" w:after="0"/>
        <w:rPr>
          <w:rFonts w:ascii="Open Sans SemiBold" w:hAnsi="Open Sans SemiBold"/>
          <w:b w:val="false"/>
          <w:i w:val="false"/>
          <w:caps w:val="false"/>
          <w:smallCaps w:val="false"/>
          <w:color w:val="004A7C"/>
          <w:spacing w:val="2"/>
          <w:sz w:val="17"/>
        </w:rPr>
      </w:pPr>
      <w:bookmarkStart w:id="74" w:name="DEFERRED_COMPENSATION_PLAN_DEFERRED_COMP"/>
      <w:bookmarkEnd w:id="74"/>
      <w:r>
        <w:rPr>
          <w:rFonts w:ascii="Open Sans SemiBold" w:hAnsi="Open Sans SemiBold"/>
          <w:b w:val="false"/>
          <w:i w:val="false"/>
          <w:caps w:val="false"/>
          <w:smallCaps w:val="false"/>
          <w:color w:val="004A7C"/>
          <w:spacing w:val="2"/>
          <w:sz w:val="17"/>
        </w:rPr>
        <w:t>Deferred</w:t>
      </w:r>
      <w:r>
        <w:rPr>
          <w:rFonts w:ascii="Open Sans SemiBold" w:hAnsi="Open Sans SemiBold"/>
          <w:b w:val="false"/>
          <w:i w:val="false"/>
          <w:caps w:val="false"/>
          <w:smallCaps w:val="false"/>
          <w:color w:val="004A7C"/>
          <w:spacing w:val="34"/>
          <w:sz w:val="17"/>
        </w:rPr>
        <w:t xml:space="preserve"> </w:t>
      </w:r>
      <w:r>
        <w:rPr>
          <w:rFonts w:ascii="Open Sans SemiBold" w:hAnsi="Open Sans SemiBold"/>
          <w:b w:val="false"/>
          <w:i w:val="false"/>
          <w:caps w:val="false"/>
          <w:smallCaps w:val="false"/>
          <w:color w:val="004A7C"/>
          <w:spacing w:val="2"/>
          <w:sz w:val="17"/>
        </w:rPr>
        <w:t>Compensation</w:t>
      </w:r>
      <w:r>
        <w:rPr>
          <w:rFonts w:ascii="Open Sans SemiBold" w:hAnsi="Open Sans SemiBold"/>
          <w:b w:val="false"/>
          <w:i w:val="false"/>
          <w:caps w:val="false"/>
          <w:smallCaps w:val="false"/>
          <w:color w:val="004A7C"/>
          <w:spacing w:val="34"/>
          <w:sz w:val="17"/>
        </w:rPr>
        <w:t xml:space="preserve"> </w:t>
      </w:r>
      <w:r>
        <w:rPr>
          <w:rFonts w:ascii="Open Sans SemiBold" w:hAnsi="Open Sans SemiBold"/>
          <w:b w:val="false"/>
          <w:i w:val="false"/>
          <w:caps w:val="false"/>
          <w:smallCaps w:val="false"/>
          <w:color w:val="004A7C"/>
          <w:spacing w:val="2"/>
          <w:sz w:val="17"/>
        </w:rPr>
        <w:t>Plan</w:t>
      </w:r>
      <w:r>
        <w:rPr>
          <w:rFonts w:ascii="Open Sans SemiBold" w:hAnsi="Open Sans SemiBold"/>
          <w:b w:val="false"/>
          <w:i w:val="false"/>
          <w:caps w:val="false"/>
          <w:smallCaps w:val="false"/>
          <w:color w:val="004A7C"/>
          <w:spacing w:val="34"/>
          <w:sz w:val="17"/>
        </w:rPr>
        <w:t xml:space="preserve"> </w:t>
      </w:r>
      <w:r>
        <w:rPr>
          <w:rFonts w:ascii="Open Sans SemiBold" w:hAnsi="Open Sans SemiBold"/>
          <w:b w:val="false"/>
          <w:i w:val="false"/>
          <w:caps w:val="false"/>
          <w:smallCaps w:val="false"/>
          <w:color w:val="004A7C"/>
          <w:spacing w:val="2"/>
          <w:sz w:val="17"/>
        </w:rPr>
        <w:t>and</w:t>
      </w:r>
      <w:r>
        <w:rPr>
          <w:rFonts w:ascii="Open Sans SemiBold" w:hAnsi="Open Sans SemiBold"/>
          <w:b w:val="false"/>
          <w:i w:val="false"/>
          <w:caps w:val="false"/>
          <w:smallCaps w:val="false"/>
          <w:color w:val="004A7C"/>
          <w:spacing w:val="35"/>
          <w:sz w:val="17"/>
        </w:rPr>
        <w:t xml:space="preserve"> </w:t>
      </w:r>
      <w:r>
        <w:rPr>
          <w:rFonts w:ascii="Open Sans SemiBold" w:hAnsi="Open Sans SemiBold"/>
          <w:b w:val="false"/>
          <w:i w:val="false"/>
          <w:caps w:val="false"/>
          <w:smallCaps w:val="false"/>
          <w:color w:val="004A7C"/>
          <w:spacing w:val="2"/>
          <w:sz w:val="17"/>
        </w:rPr>
        <w:t>Deferred</w:t>
      </w:r>
      <w:r>
        <w:rPr>
          <w:rFonts w:ascii="Open Sans SemiBold" w:hAnsi="Open Sans SemiBold"/>
          <w:b w:val="false"/>
          <w:i w:val="false"/>
          <w:caps w:val="false"/>
          <w:smallCaps w:val="false"/>
          <w:color w:val="004A7C"/>
          <w:spacing w:val="34"/>
          <w:sz w:val="17"/>
        </w:rPr>
        <w:t xml:space="preserve"> </w:t>
      </w:r>
      <w:r>
        <w:rPr>
          <w:rFonts w:ascii="Open Sans SemiBold" w:hAnsi="Open Sans SemiBold"/>
          <w:b w:val="false"/>
          <w:i w:val="false"/>
          <w:caps w:val="false"/>
          <w:smallCaps w:val="false"/>
          <w:color w:val="004A7C"/>
          <w:spacing w:val="2"/>
          <w:sz w:val="17"/>
        </w:rPr>
        <w:t>Compensation</w:t>
      </w:r>
      <w:r>
        <w:rPr>
          <w:rFonts w:ascii="Open Sans SemiBold" w:hAnsi="Open Sans SemiBold"/>
          <w:b w:val="false"/>
          <w:i w:val="false"/>
          <w:caps w:val="false"/>
          <w:smallCaps w:val="false"/>
          <w:color w:val="004A7C"/>
          <w:spacing w:val="34"/>
          <w:sz w:val="17"/>
        </w:rPr>
        <w:t xml:space="preserve"> </w:t>
      </w:r>
      <w:r>
        <w:rPr>
          <w:rFonts w:ascii="Open Sans SemiBold" w:hAnsi="Open Sans SemiBold"/>
          <w:b w:val="false"/>
          <w:i w:val="false"/>
          <w:caps w:val="false"/>
          <w:smallCaps w:val="false"/>
          <w:color w:val="004A7C"/>
          <w:spacing w:val="2"/>
          <w:sz w:val="17"/>
        </w:rPr>
        <w:t>Savings</w:t>
      </w:r>
      <w:r>
        <w:rPr>
          <w:rFonts w:ascii="Open Sans SemiBold" w:hAnsi="Open Sans SemiBold"/>
          <w:b w:val="false"/>
          <w:i w:val="false"/>
          <w:caps w:val="false"/>
          <w:smallCaps w:val="false"/>
          <w:color w:val="004A7C"/>
          <w:spacing w:val="34"/>
          <w:sz w:val="17"/>
        </w:rPr>
        <w:t xml:space="preserve"> </w:t>
      </w:r>
      <w:r>
        <w:rPr>
          <w:rFonts w:ascii="Open Sans SemiBold" w:hAnsi="Open Sans SemiBold"/>
          <w:b w:val="false"/>
          <w:i w:val="false"/>
          <w:caps w:val="false"/>
          <w:smallCaps w:val="false"/>
          <w:color w:val="004A7C"/>
          <w:spacing w:val="2"/>
          <w:sz w:val="17"/>
        </w:rPr>
        <w:t>Program</w:t>
      </w:r>
      <w:r>
        <w:rPr>
          <w:rFonts w:ascii="Open Sans SemiBold" w:hAnsi="Open Sans SemiBold"/>
          <w:b w:val="false"/>
          <w:i w:val="false"/>
          <w:caps w:val="false"/>
          <w:smallCaps w:val="false"/>
          <w:color w:val="004A7C"/>
          <w:spacing w:val="35"/>
          <w:sz w:val="17"/>
        </w:rPr>
        <w:t xml:space="preserve"> </w:t>
      </w:r>
      <w:r>
        <w:rPr>
          <w:rFonts w:ascii="Open Sans SemiBold" w:hAnsi="Open Sans SemiBold"/>
          <w:b w:val="false"/>
          <w:i w:val="false"/>
          <w:caps w:val="false"/>
          <w:smallCaps w:val="false"/>
          <w:color w:val="004A7C"/>
          <w:spacing w:val="2"/>
          <w:sz w:val="17"/>
        </w:rPr>
        <w:t>Contributions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Eligible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limited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federal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law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401(k)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Accordingly,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established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 Deferred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(“DCP”)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permits certain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additional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tax</w:t>
      </w:r>
      <w:r>
        <w:rPr>
          <w:rFonts w:ascii="Open Sans" w:hAnsi="Open Sans"/>
          <w:b w:val="false"/>
          <w:i w:val="false"/>
          <w:caps w:val="false"/>
          <w:smallCaps w:val="false"/>
          <w:spacing w:val="-5"/>
          <w:sz w:val="16"/>
        </w:rPr>
        <w:t>-</w:t>
      </w:r>
      <w:r>
        <w:rPr>
          <w:rFonts w:ascii="Open Sans" w:hAnsi="Open Sans"/>
          <w:b w:val="false"/>
          <w:i w:val="false"/>
          <w:caps w:val="false"/>
          <w:smallCaps w:val="false"/>
          <w:spacing w:val="-3"/>
          <w:sz w:val="16"/>
        </w:rPr>
        <w:t>efficient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manner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savings.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most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eligible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matching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matching contribution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lesser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two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percent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eligible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established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401(k)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limit ($305,000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50%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deferrals,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excluding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deferred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stock-settled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addition,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make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discretionary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certain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senior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accounts in the D</w:t>
      </w:r>
      <w:r>
        <w:rPr>
          <w:rFonts w:ascii="Open Sans" w:hAnsi="Open Sans"/>
          <w:b w:val="false"/>
          <w:i w:val="false"/>
          <w:caps w:val="false"/>
          <w:smallCaps w:val="false"/>
          <w:spacing w:val="-3"/>
          <w:sz w:val="16"/>
        </w:rPr>
        <w:t>eferred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 (“DCSP 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reviews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DCSP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change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discontinue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DCSP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fixed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dollar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depends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organization, among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considerations.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Unless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otherwise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specified,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DCSP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ways: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upon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satisfying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service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requirements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necessary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qualify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event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death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disability,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immediately;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 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participant’s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terminated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“without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cause,”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vest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immediately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available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participant until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earlier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fifth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anniversary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become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eligible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 complete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transaction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deemed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change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control,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vest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immediately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paid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depending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upon 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original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participant.</w:t>
      </w:r>
      <w:r>
        <w:rPr>
          <w:rFonts w:ascii="Open Sans" w:hAnsi="Open Sans"/>
          <w:b w:val="false"/>
          <w:i w:val="false"/>
          <w:caps w:val="false"/>
          <w:smallCaps w:val="false"/>
          <w:spacing w:val="-5"/>
          <w:sz w:val="16"/>
        </w:rPr>
        <w:t xml:space="preserve"> Mr. Vander Ark received contributions of $100,000 in 2022 and $65,000 in 2021 and 2020. </w:t>
      </w:r>
      <w:r>
        <w:rPr>
          <w:rFonts w:ascii="Open Sans" w:hAnsi="Open Sans"/>
          <w:b w:val="false"/>
          <w:i w:val="false"/>
          <w:caps w:val="false"/>
          <w:smallCaps w:val="false"/>
          <w:spacing w:val="-3"/>
          <w:sz w:val="16"/>
        </w:rPr>
        <w:t>Ms. Ellingsen</w:t>
      </w:r>
      <w:r>
        <w:rPr>
          <w:rFonts w:ascii="Open Sans" w:hAnsi="Open Sans"/>
          <w:b w:val="false"/>
          <w:i w:val="false"/>
          <w:caps w:val="false"/>
          <w:smallCaps w:val="false"/>
          <w:spacing w:val="-5"/>
          <w:sz w:val="16"/>
        </w:rPr>
        <w:t xml:space="preserve"> and </w:t>
      </w:r>
      <w:r>
        <w:rPr>
          <w:rFonts w:ascii="Open Sans" w:hAnsi="Open Sans"/>
          <w:b w:val="false"/>
          <w:i w:val="false"/>
          <w:caps w:val="false"/>
          <w:smallCaps w:val="false"/>
          <w:spacing w:val="-3"/>
          <w:sz w:val="16"/>
        </w:rPr>
        <w:t>Messrs.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Bales, DelGhiaccio and Stuart 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received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$65,000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 2021 and 2022.</w:t>
      </w:r>
      <w:r>
        <w:rPr>
          <w:rFonts w:ascii="Open Sans" w:hAnsi="Open Sans"/>
          <w:b w:val="false"/>
          <w:i w:val="false"/>
          <w:caps w:val="false"/>
          <w:smallCaps w:val="false"/>
          <w:spacing w:val="-5"/>
          <w:sz w:val="16"/>
        </w:rPr>
        <w:t xml:space="preserve">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individual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participating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earnings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those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total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account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balances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2022, 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Nonqualified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Deferred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page 76. Republic’s matching contributions and the DCSP contributions are shown in the “All Other Compensation for 2022” table on page 72.</w:t>
      </w:r>
    </w:p>
    <w:p>
      <w:pPr>
        <w:pStyle w:val="TextBody"/>
        <w:spacing w:before="120" w:after="0"/>
        <w:rPr>
          <w:rFonts w:ascii="Open Sans SemiBold" w:hAnsi="Open Sans SemiBold"/>
          <w:b w:val="false"/>
          <w:i w:val="false"/>
          <w:caps w:val="false"/>
          <w:smallCaps w:val="false"/>
          <w:color w:val="004A7C"/>
          <w:spacing w:val="2"/>
          <w:sz w:val="17"/>
        </w:rPr>
      </w:pPr>
      <w:bookmarkStart w:id="75" w:name="MODEST_PERQUISITES"/>
      <w:bookmarkEnd w:id="75"/>
      <w:r>
        <w:rPr>
          <w:rFonts w:ascii="Open Sans SemiBold" w:hAnsi="Open Sans SemiBold"/>
          <w:b w:val="false"/>
          <w:i w:val="false"/>
          <w:caps w:val="false"/>
          <w:smallCaps w:val="false"/>
          <w:color w:val="004A7C"/>
          <w:spacing w:val="2"/>
          <w:sz w:val="17"/>
        </w:rPr>
        <w:t>Modest</w:t>
      </w:r>
      <w:r>
        <w:rPr>
          <w:rFonts w:ascii="Open Sans SemiBold" w:hAnsi="Open Sans SemiBold"/>
          <w:b w:val="false"/>
          <w:i w:val="false"/>
          <w:caps w:val="false"/>
          <w:smallCaps w:val="false"/>
          <w:color w:val="004A7C"/>
          <w:spacing w:val="11"/>
          <w:sz w:val="17"/>
        </w:rPr>
        <w:t xml:space="preserve"> </w:t>
      </w:r>
      <w:r>
        <w:rPr>
          <w:rFonts w:ascii="Open Sans SemiBold" w:hAnsi="Open Sans SemiBold"/>
          <w:b w:val="false"/>
          <w:i w:val="false"/>
          <w:caps w:val="false"/>
          <w:smallCaps w:val="false"/>
          <w:color w:val="004A7C"/>
          <w:spacing w:val="2"/>
          <w:sz w:val="17"/>
        </w:rPr>
        <w:t>Perquisites</w:t>
      </w:r>
    </w:p>
    <w:p>
      <w:pPr>
        <w:pStyle w:val="TextBody"/>
        <w:spacing w:before="120" w:after="0"/>
        <w:rPr>
          <w:rFonts w:ascii="Open Sans" w:hAnsi="Open Sans"/>
          <w:b w:val="false"/>
          <w:i w:val="false"/>
          <w:caps w:val="false"/>
          <w:smallCaps w:val="false"/>
          <w:spacing w:val="-2"/>
          <w:sz w:val="16"/>
        </w:rPr>
      </w:pPr>
      <w:r>
        <w:rPr>
          <w:rFonts w:ascii="Open Sans" w:hAnsi="Open Sans"/>
          <w:b w:val="false"/>
          <w:i w:val="false"/>
          <w:caps w:val="false"/>
          <w:smallCaps w:val="false"/>
          <w:spacing w:val="-2"/>
          <w:sz w:val="16"/>
        </w:rPr>
        <w:t>With</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exception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(1)</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certain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gross-up</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payments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pursuant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our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relocation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policy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that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are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applicable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all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eligible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employees,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(2)</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stipend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 cover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portion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monthly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health</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club</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dues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that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offered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same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terms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all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employees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our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corporate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office,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(3)</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concierge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medical services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available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vice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presidents,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senior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vice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presidents,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executive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vice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presidents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our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corporate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office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nominal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charge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paid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 Company,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Republic</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generally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does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not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offer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perquisites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other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personal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benefits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other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than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aircraft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usage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discussed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below.</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All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associated relocation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expenses,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are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reported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All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Other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Compensation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2022”</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table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page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3"/>
          <w:sz w:val="16"/>
        </w:rPr>
        <w:t>72</w:t>
      </w:r>
      <w:r>
        <w:rPr>
          <w:rFonts w:ascii="Open Sans" w:hAnsi="Open Sans"/>
          <w:b w:val="false"/>
          <w:i w:val="false"/>
          <w:caps w:val="false"/>
          <w:smallCaps w:val="false"/>
          <w:spacing w:val="-2"/>
          <w:sz w:val="16"/>
        </w:rPr>
        <w:t>.</w:t>
      </w:r>
      <w:r>
        <w:rPr>
          <w:rFonts w:ascii="Open Sans" w:hAnsi="Open Sans"/>
          <w:b w:val="false"/>
          <w:i w:val="false"/>
          <w:caps w:val="false"/>
          <w:smallCaps w:val="false"/>
          <w:spacing w:val="-4"/>
          <w:sz w:val="16"/>
        </w:rPr>
        <w:t xml:space="preserve"> We </w:t>
      </w:r>
      <w:r>
        <w:rPr>
          <w:rFonts w:ascii="Open Sans" w:hAnsi="Open Sans"/>
          <w:b w:val="false"/>
          <w:i w:val="false"/>
          <w:caps w:val="false"/>
          <w:smallCaps w:val="false"/>
          <w:spacing w:val="-2"/>
          <w:sz w:val="16"/>
        </w:rPr>
        <w:t>also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not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provide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additional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cash compensation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NEOs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reimburse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them</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income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tax</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liability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result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receipt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cash</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equity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compensation,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benefit 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 xml:space="preserve">perquisite.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use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airplane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non-business travel.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use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 airplane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non-business </w:t>
      </w:r>
      <w:r>
        <w:rPr>
          <w:rFonts w:ascii="Open Sans" w:hAnsi="Open Sans"/>
          <w:b w:val="false"/>
          <w:i w:val="false"/>
          <w:caps w:val="false"/>
          <w:smallCaps w:val="false"/>
          <w:spacing w:val="-3"/>
          <w:sz w:val="16"/>
        </w:rPr>
        <w:t>travel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aboard.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 a quarterly basis, 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Audit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reviews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non-business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use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airplane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by our CEO and other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reasonableness.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 amount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 “Perquisites and Other Personal Benefits” includes the incremental cost of providing aircraft to an NEO for non-business travel.</w:t>
      </w:r>
    </w:p>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66</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76" w:name="OR_COMPENSATION_POLICIES"/>
      <w:bookmarkEnd w:id="76"/>
      <w:r>
        <w:rPr>
          <w:rFonts w:ascii="Open Sans" w:hAnsi="Open Sans"/>
          <w:b/>
          <w:i w:val="false"/>
          <w:caps w:val="false"/>
          <w:smallCaps w:val="false"/>
          <w:color w:val="004A7C"/>
          <w:sz w:val="27"/>
        </w:rPr>
        <w:t>Other Compensation Policies</w:t>
      </w:r>
    </w:p>
    <w:p>
      <w:pPr>
        <w:pStyle w:val="TextBody"/>
        <w:spacing w:before="120" w:after="0"/>
        <w:rPr>
          <w:rFonts w:ascii="Open Sans SemiBold" w:hAnsi="Open Sans SemiBold"/>
          <w:b w:val="false"/>
          <w:i w:val="false"/>
          <w:caps w:val="false"/>
          <w:smallCaps w:val="false"/>
          <w:color w:val="004A7C"/>
          <w:spacing w:val="2"/>
          <w:sz w:val="17"/>
        </w:rPr>
      </w:pPr>
      <w:bookmarkStart w:id="77" w:name="STOCK_OWNERSHIP_GUIDELINES"/>
      <w:bookmarkEnd w:id="77"/>
      <w:r>
        <w:rPr>
          <w:rFonts w:ascii="Open Sans SemiBold" w:hAnsi="Open Sans SemiBold"/>
          <w:b w:val="false"/>
          <w:i w:val="false"/>
          <w:caps w:val="false"/>
          <w:smallCaps w:val="false"/>
          <w:color w:val="004A7C"/>
          <w:spacing w:val="2"/>
          <w:sz w:val="17"/>
        </w:rPr>
        <w:t>Stock</w:t>
      </w:r>
      <w:r>
        <w:rPr>
          <w:rFonts w:ascii="Open Sans SemiBold" w:hAnsi="Open Sans SemiBold"/>
          <w:b w:val="false"/>
          <w:i w:val="false"/>
          <w:caps w:val="false"/>
          <w:smallCaps w:val="false"/>
          <w:color w:val="004A7C"/>
          <w:spacing w:val="41"/>
          <w:sz w:val="17"/>
        </w:rPr>
        <w:t xml:space="preserve"> </w:t>
      </w:r>
      <w:r>
        <w:rPr>
          <w:rFonts w:ascii="Open Sans SemiBold" w:hAnsi="Open Sans SemiBold"/>
          <w:b w:val="false"/>
          <w:i w:val="false"/>
          <w:caps w:val="false"/>
          <w:smallCaps w:val="false"/>
          <w:color w:val="004A7C"/>
          <w:spacing w:val="2"/>
          <w:sz w:val="17"/>
        </w:rPr>
        <w:t>Ownership</w:t>
      </w:r>
      <w:r>
        <w:rPr>
          <w:rFonts w:ascii="Open Sans SemiBold" w:hAnsi="Open Sans SemiBold"/>
          <w:b w:val="false"/>
          <w:i w:val="false"/>
          <w:caps w:val="false"/>
          <w:smallCaps w:val="false"/>
          <w:color w:val="004A7C"/>
          <w:spacing w:val="42"/>
          <w:sz w:val="17"/>
        </w:rPr>
        <w:t xml:space="preserve"> </w:t>
      </w:r>
      <w:r>
        <w:rPr>
          <w:rFonts w:ascii="Open Sans SemiBold" w:hAnsi="Open Sans SemiBold"/>
          <w:b w:val="false"/>
          <w:i w:val="false"/>
          <w:caps w:val="false"/>
          <w:smallCaps w:val="false"/>
          <w:color w:val="004A7C"/>
          <w:spacing w:val="2"/>
          <w:sz w:val="17"/>
        </w:rPr>
        <w:t>Guidelines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recognizes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importance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ownership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further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link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interests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interests.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Accordingly, 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maintains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ownership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guidelines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senior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President and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Operating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 Financial Officer,</w:t>
      </w:r>
      <w:r>
        <w:rPr>
          <w:rFonts w:ascii="Open Sans" w:hAnsi="Open Sans"/>
          <w:b w:val="false"/>
          <w:i w:val="false"/>
          <w:caps w:val="false"/>
          <w:smallCaps w:val="false"/>
          <w:spacing w:val="-5"/>
          <w:sz w:val="16"/>
        </w:rPr>
        <w:t xml:space="preserve"> and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Legal Officer,</w:t>
      </w:r>
      <w:r>
        <w:rPr>
          <w:rFonts w:ascii="Open Sans" w:hAnsi="Open Sans"/>
          <w:b w:val="false"/>
          <w:i w:val="false"/>
          <w:caps w:val="false"/>
          <w:smallCaps w:val="false"/>
          <w:spacing w:val="-5"/>
          <w:sz w:val="16"/>
        </w:rPr>
        <w:t xml:space="preserve"> and any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Senior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President, and Market Vice President)</w:t>
      </w:r>
      <w:r>
        <w:rPr>
          <w:rFonts w:ascii="Open Sans" w:hAnsi="Open Sans"/>
          <w:b w:val="false"/>
          <w:i w:val="false"/>
          <w:caps w:val="false"/>
          <w:smallCaps w:val="false"/>
          <w:spacing w:val="-5"/>
          <w:sz w:val="16"/>
        </w:rPr>
        <w:t xml:space="preserve">. The guidelines </w:t>
      </w:r>
      <w:r>
        <w:rPr>
          <w:rFonts w:ascii="Open Sans" w:hAnsi="Open Sans"/>
          <w:b w:val="false"/>
          <w:i w:val="false"/>
          <w:caps w:val="false"/>
          <w:smallCaps w:val="false"/>
          <w:spacing w:val="-3"/>
          <w:sz w:val="16"/>
        </w:rPr>
        <w:t>require that senior management employees achieve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compliance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ownership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guidelines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becoming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covered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maintain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ownership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level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thereafter. </w:t>
      </w:r>
      <w:r>
        <w:rPr>
          <w:rFonts w:ascii="Open Sans" w:hAnsi="Open Sans"/>
          <w:b w:val="false"/>
          <w:i w:val="false"/>
          <w:caps w:val="false"/>
          <w:smallCaps w:val="false"/>
          <w:spacing w:val="-5"/>
          <w:sz w:val="16"/>
        </w:rPr>
        <w:t>S</w:t>
      </w:r>
      <w:r>
        <w:rPr>
          <w:rFonts w:ascii="Open Sans" w:hAnsi="Open Sans"/>
          <w:b w:val="false"/>
          <w:i w:val="false"/>
          <w:caps w:val="false"/>
          <w:smallCaps w:val="false"/>
          <w:spacing w:val="-3"/>
          <w:sz w:val="16"/>
        </w:rPr>
        <w:t>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calculation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compliance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ownership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guidelines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outright and through certain trusts,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held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401(k)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 equivalents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held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p>
    <w:p>
      <w:pPr>
        <w:pStyle w:val="TextBody"/>
        <w:spacing w:before="0" w:after="0"/>
        <w:rPr/>
      </w:pPr>
      <w:r>
        <w:rPr/>
        <w:t> </w:t>
      </w:r>
    </w:p>
    <w:tbl>
      <w:tblPr>
        <w:tblW w:w="5160" w:type="dxa"/>
        <w:jc w:val="left"/>
        <w:tblInd w:w="0" w:type="dxa"/>
        <w:tblCellMar>
          <w:top w:w="0" w:type="dxa"/>
          <w:left w:w="0" w:type="dxa"/>
          <w:bottom w:w="0" w:type="dxa"/>
          <w:right w:w="0" w:type="dxa"/>
        </w:tblCellMar>
      </w:tblPr>
      <w:tblGrid>
        <w:gridCol w:w="1850"/>
        <w:gridCol w:w="60"/>
        <w:gridCol w:w="1760"/>
        <w:gridCol w:w="1490"/>
      </w:tblGrid>
      <w:tr>
        <w:trPr/>
        <w:tc>
          <w:tcPr>
            <w:tcW w:w="185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MULTIPLE OF</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SALARY REQUIRED</w:t>
            </w:r>
          </w:p>
        </w:tc>
        <w:tc>
          <w:tcPr>
            <w:tcW w:w="149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IN COMPLIANCE</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OR ON TRACK</w:t>
            </w:r>
          </w:p>
        </w:tc>
      </w:tr>
      <w:tr>
        <w:trPr/>
        <w:tc>
          <w:tcPr>
            <w:tcW w:w="1850" w:type="dxa"/>
            <w:tcBorders>
              <w:bottom w:val="single" w:sz="6" w:space="0" w:color="FFFFFF"/>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49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5x</w:t>
            </w:r>
          </w:p>
        </w:tc>
        <w:tc>
          <w:tcPr>
            <w:tcW w:w="149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Yes</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3x</w:t>
            </w:r>
          </w:p>
        </w:tc>
        <w:tc>
          <w:tcPr>
            <w:tcW w:w="149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Yes</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3x</w:t>
            </w:r>
          </w:p>
        </w:tc>
        <w:tc>
          <w:tcPr>
            <w:tcW w:w="149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Yes</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3x</w:t>
            </w:r>
          </w:p>
        </w:tc>
        <w:tc>
          <w:tcPr>
            <w:tcW w:w="149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Yes</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7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3x</w:t>
            </w:r>
          </w:p>
        </w:tc>
        <w:tc>
          <w:tcPr>
            <w:tcW w:w="149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Yes</w:t>
            </w:r>
          </w:p>
        </w:tc>
      </w:tr>
    </w:tbl>
    <w:p>
      <w:pPr>
        <w:pStyle w:val="TextBody"/>
        <w:spacing w:before="0" w:after="0"/>
        <w:rPr/>
      </w:pPr>
      <w:r>
        <w:rPr/>
        <w:t> </w:t>
      </w:r>
    </w:p>
    <w:p>
      <w:pPr>
        <w:pStyle w:val="TextBody"/>
        <w:spacing w:before="0" w:after="0"/>
        <w:rPr>
          <w:rFonts w:ascii="Open Sans SemiBold" w:hAnsi="Open Sans SemiBold"/>
          <w:b w:val="false"/>
          <w:i w:val="false"/>
          <w:caps w:val="false"/>
          <w:smallCaps w:val="false"/>
          <w:color w:val="004A7C"/>
          <w:sz w:val="22"/>
        </w:rPr>
      </w:pPr>
      <w:bookmarkStart w:id="78" w:name="SECURITIES_TRADES_BY_EMPLOYEES"/>
      <w:bookmarkEnd w:id="78"/>
      <w:r>
        <w:rPr>
          <w:rFonts w:ascii="Open Sans SemiBold" w:hAnsi="Open Sans SemiBold"/>
          <w:b w:val="false"/>
          <w:i w:val="false"/>
          <w:caps w:val="false"/>
          <w:smallCaps w:val="false"/>
          <w:color w:val="004A7C"/>
          <w:spacing w:val="2"/>
          <w:sz w:val="17"/>
        </w:rPr>
        <w:t>Securitie</w:t>
      </w:r>
      <w:r>
        <w:rPr>
          <w:rFonts w:ascii="Open Sans SemiBold" w:hAnsi="Open Sans SemiBold"/>
          <w:b w:val="false"/>
          <w:i w:val="false"/>
          <w:caps w:val="false"/>
          <w:smallCaps w:val="false"/>
          <w:color w:val="004A7C"/>
          <w:sz w:val="17"/>
        </w:rPr>
        <w:t>s</w:t>
      </w:r>
      <w:r>
        <w:rPr>
          <w:rFonts w:ascii="Open Sans SemiBold" w:hAnsi="Open Sans SemiBold"/>
          <w:b w:val="false"/>
          <w:i w:val="false"/>
          <w:caps w:val="false"/>
          <w:smallCaps w:val="false"/>
          <w:color w:val="004A7C"/>
          <w:spacing w:val="32"/>
          <w:sz w:val="22"/>
        </w:rPr>
        <w:t xml:space="preserve"> </w:t>
      </w:r>
      <w:r>
        <w:rPr>
          <w:rFonts w:ascii="Open Sans SemiBold" w:hAnsi="Open Sans SemiBold"/>
          <w:b w:val="false"/>
          <w:i w:val="false"/>
          <w:caps w:val="false"/>
          <w:smallCaps w:val="false"/>
          <w:color w:val="004A7C"/>
          <w:spacing w:val="2"/>
          <w:sz w:val="17"/>
        </w:rPr>
        <w:t>Trade</w:t>
      </w:r>
      <w:r>
        <w:rPr>
          <w:rFonts w:ascii="Open Sans SemiBold" w:hAnsi="Open Sans SemiBold"/>
          <w:b w:val="false"/>
          <w:i w:val="false"/>
          <w:caps w:val="false"/>
          <w:smallCaps w:val="false"/>
          <w:color w:val="004A7C"/>
          <w:sz w:val="17"/>
        </w:rPr>
        <w:t>s</w:t>
      </w:r>
      <w:r>
        <w:rPr>
          <w:rFonts w:ascii="Open Sans SemiBold" w:hAnsi="Open Sans SemiBold"/>
          <w:b w:val="false"/>
          <w:i w:val="false"/>
          <w:caps w:val="false"/>
          <w:smallCaps w:val="false"/>
          <w:color w:val="004A7C"/>
          <w:spacing w:val="33"/>
          <w:sz w:val="22"/>
        </w:rPr>
        <w:t xml:space="preserve"> </w:t>
      </w:r>
      <w:r>
        <w:rPr>
          <w:rFonts w:ascii="Open Sans SemiBold" w:hAnsi="Open Sans SemiBold"/>
          <w:b w:val="false"/>
          <w:i w:val="false"/>
          <w:caps w:val="false"/>
          <w:smallCaps w:val="false"/>
          <w:color w:val="004A7C"/>
          <w:spacing w:val="2"/>
          <w:sz w:val="17"/>
        </w:rPr>
        <w:t>b</w:t>
      </w:r>
      <w:r>
        <w:rPr>
          <w:rFonts w:ascii="Open Sans SemiBold" w:hAnsi="Open Sans SemiBold"/>
          <w:b w:val="false"/>
          <w:i w:val="false"/>
          <w:caps w:val="false"/>
          <w:smallCaps w:val="false"/>
          <w:color w:val="004A7C"/>
          <w:sz w:val="17"/>
        </w:rPr>
        <w:t>y</w:t>
      </w:r>
      <w:r>
        <w:rPr>
          <w:rFonts w:ascii="Open Sans SemiBold" w:hAnsi="Open Sans SemiBold"/>
          <w:b w:val="false"/>
          <w:i w:val="false"/>
          <w:caps w:val="false"/>
          <w:smallCaps w:val="false"/>
          <w:color w:val="004A7C"/>
          <w:spacing w:val="33"/>
          <w:sz w:val="22"/>
        </w:rPr>
        <w:t xml:space="preserve"> </w:t>
      </w:r>
      <w:r>
        <w:rPr>
          <w:rFonts w:ascii="Open Sans SemiBold" w:hAnsi="Open Sans SemiBold"/>
          <w:b w:val="false"/>
          <w:i w:val="false"/>
          <w:caps w:val="false"/>
          <w:smallCaps w:val="false"/>
          <w:color w:val="004A7C"/>
          <w:spacing w:val="2"/>
          <w:sz w:val="17"/>
        </w:rPr>
        <w:t>Employees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take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seriously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responsibilities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obligations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exhibit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highest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standards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behavior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relative 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buying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selling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transactions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director</w:t>
      </w:r>
      <w:r>
        <w:rPr>
          <w:rFonts w:ascii="Open Sans" w:hAnsi="Open Sans"/>
          <w:b w:val="false"/>
          <w:i w:val="false"/>
          <w:caps w:val="false"/>
          <w:smallCaps w:val="false"/>
          <w:spacing w:val="-5"/>
          <w:sz w:val="16"/>
        </w:rPr>
        <w:t xml:space="preserve"> or </w:t>
      </w:r>
      <w:r>
        <w:rPr>
          <w:rFonts w:ascii="Open Sans" w:hAnsi="Open Sans"/>
          <w:b w:val="false"/>
          <w:i w:val="false"/>
          <w:caps w:val="false"/>
          <w:smallCaps w:val="false"/>
          <w:spacing w:val="-3"/>
          <w:sz w:val="16"/>
        </w:rPr>
        <w:t>officer as defined by Section 16 of the Exchange Act (“Insiders”)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must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pre-cleared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Chief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Legal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Further, Insiders</w:t>
      </w:r>
      <w:r>
        <w:rPr>
          <w:rFonts w:ascii="Open Sans" w:hAnsi="Open Sans"/>
          <w:b w:val="false"/>
          <w:i w:val="false"/>
          <w:caps w:val="false"/>
          <w:smallCaps w:val="false"/>
          <w:spacing w:val="-5"/>
          <w:sz w:val="16"/>
        </w:rPr>
        <w:t xml:space="preserve"> and other Company representatives are prohibited from trading any Republic stock </w:t>
      </w:r>
      <w:r>
        <w:rPr>
          <w:rFonts w:ascii="Open Sans" w:hAnsi="Open Sans"/>
          <w:b w:val="false"/>
          <w:i w:val="false"/>
          <w:caps w:val="false"/>
          <w:smallCaps w:val="false"/>
          <w:spacing w:val="-3"/>
          <w:sz w:val="16"/>
        </w:rPr>
        <w:t>while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possession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material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non-public information and are generally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prohibited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trading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quarterly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blackout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Additionally,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insider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trading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prohibits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Insiders,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members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immediate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family,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engaging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transactions relating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securities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derivatives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securities:</w:t>
      </w:r>
    </w:p>
    <w:tbl>
      <w:tblPr>
        <w:tblW w:w="2983" w:type="dxa"/>
        <w:jc w:val="left"/>
        <w:tblInd w:w="0" w:type="dxa"/>
        <w:tblCellMar>
          <w:top w:w="0" w:type="dxa"/>
          <w:left w:w="0" w:type="dxa"/>
          <w:bottom w:w="0" w:type="dxa"/>
          <w:right w:w="0" w:type="dxa"/>
        </w:tblCellMar>
      </w:tblPr>
      <w:tblGrid>
        <w:gridCol w:w="60"/>
        <w:gridCol w:w="110"/>
        <w:gridCol w:w="2813"/>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2813"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purchasin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sellin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put</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calls;</w:t>
            </w:r>
          </w:p>
        </w:tc>
      </w:tr>
    </w:tbl>
    <w:tbl>
      <w:tblPr>
        <w:tblW w:w="1144" w:type="dxa"/>
        <w:jc w:val="left"/>
        <w:tblInd w:w="0" w:type="dxa"/>
        <w:tblCellMar>
          <w:top w:w="0" w:type="dxa"/>
          <w:left w:w="0" w:type="dxa"/>
          <w:bottom w:w="0" w:type="dxa"/>
          <w:right w:w="0" w:type="dxa"/>
        </w:tblCellMar>
      </w:tblPr>
      <w:tblGrid>
        <w:gridCol w:w="60"/>
        <w:gridCol w:w="110"/>
        <w:gridCol w:w="974"/>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974"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shor</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sales;</w:t>
            </w:r>
          </w:p>
        </w:tc>
      </w:tr>
    </w:tbl>
    <w:tbl>
      <w:tblPr>
        <w:tblW w:w="5584" w:type="dxa"/>
        <w:jc w:val="left"/>
        <w:tblInd w:w="0" w:type="dxa"/>
        <w:tblCellMar>
          <w:top w:w="0" w:type="dxa"/>
          <w:left w:w="0" w:type="dxa"/>
          <w:bottom w:w="0" w:type="dxa"/>
          <w:right w:w="0" w:type="dxa"/>
        </w:tblCellMar>
      </w:tblPr>
      <w:tblGrid>
        <w:gridCol w:w="60"/>
        <w:gridCol w:w="110"/>
        <w:gridCol w:w="5414"/>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5414"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placin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orders</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othe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tha</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approve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10b5-</w:t>
            </w:r>
            <w:r>
              <w:rPr>
                <w:rFonts w:ascii="Open Sans" w:hAnsi="Open Sans"/>
                <w:b w:val="false"/>
                <w:i w:val="false"/>
                <w:caps w:val="false"/>
                <w:smallCaps w:val="false"/>
                <w:color w:val="000000"/>
                <w:spacing w:val="0"/>
                <w:sz w:val="16"/>
              </w:rPr>
              <w:t>1</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plans;</w:t>
            </w:r>
          </w:p>
        </w:tc>
      </w:tr>
    </w:tbl>
    <w:tbl>
      <w:tblPr>
        <w:tblW w:w="4030" w:type="dxa"/>
        <w:jc w:val="left"/>
        <w:tblInd w:w="0" w:type="dxa"/>
        <w:tblCellMar>
          <w:top w:w="0" w:type="dxa"/>
          <w:left w:w="0" w:type="dxa"/>
          <w:bottom w:w="0" w:type="dxa"/>
          <w:right w:w="0" w:type="dxa"/>
        </w:tblCellMar>
      </w:tblPr>
      <w:tblGrid>
        <w:gridCol w:w="60"/>
        <w:gridCol w:w="110"/>
        <w:gridCol w:w="3860"/>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3860"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engagin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short-ter</w:t>
            </w:r>
            <w:r>
              <w:rPr>
                <w:rFonts w:ascii="Open Sans" w:hAnsi="Open Sans"/>
                <w:b w:val="false"/>
                <w:i w:val="false"/>
                <w:caps w:val="false"/>
                <w:smallCaps w:val="false"/>
                <w:color w:val="000000"/>
                <w:spacing w:val="0"/>
                <w:sz w:val="16"/>
              </w:rPr>
              <w:t>m</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“in-and-out</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trading;</w:t>
            </w:r>
          </w:p>
        </w:tc>
      </w:tr>
    </w:tbl>
    <w:tbl>
      <w:tblPr>
        <w:tblW w:w="7420" w:type="dxa"/>
        <w:jc w:val="left"/>
        <w:tblInd w:w="0" w:type="dxa"/>
        <w:tblCellMar>
          <w:top w:w="0" w:type="dxa"/>
          <w:left w:w="0" w:type="dxa"/>
          <w:bottom w:w="0" w:type="dxa"/>
          <w:right w:w="0" w:type="dxa"/>
        </w:tblCellMar>
      </w:tblPr>
      <w:tblGrid>
        <w:gridCol w:w="60"/>
        <w:gridCol w:w="110"/>
        <w:gridCol w:w="7250"/>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7250"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holdin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securitie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derivative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Republi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securitie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margi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account; and</w:t>
            </w:r>
          </w:p>
        </w:tc>
      </w:tr>
    </w:tbl>
    <w:tbl>
      <w:tblPr>
        <w:tblW w:w="5485" w:type="dxa"/>
        <w:jc w:val="left"/>
        <w:tblInd w:w="0" w:type="dxa"/>
        <w:tblCellMar>
          <w:top w:w="0" w:type="dxa"/>
          <w:left w:w="0" w:type="dxa"/>
          <w:bottom w:w="0" w:type="dxa"/>
          <w:right w:w="0" w:type="dxa"/>
        </w:tblCellMar>
      </w:tblPr>
      <w:tblGrid>
        <w:gridCol w:w="60"/>
        <w:gridCol w:w="110"/>
        <w:gridCol w:w="5315"/>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5315"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pledgin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securitie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derivative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securities.</w:t>
            </w:r>
          </w:p>
        </w:tc>
      </w:tr>
    </w:tbl>
    <w:p>
      <w:pPr>
        <w:pStyle w:val="TextBody"/>
        <w:spacing w:before="120" w:after="0"/>
        <w:rPr>
          <w:rFonts w:ascii="Open Sans SemiBold" w:hAnsi="Open Sans SemiBold"/>
          <w:b w:val="false"/>
          <w:i w:val="false"/>
          <w:caps w:val="false"/>
          <w:smallCaps w:val="false"/>
          <w:color w:val="004A7C"/>
          <w:spacing w:val="2"/>
          <w:sz w:val="17"/>
        </w:rPr>
      </w:pPr>
      <w:bookmarkStart w:id="79" w:name="COMPENSATION_RECOUPMENT_CLAWBACK_POLICY"/>
      <w:bookmarkEnd w:id="79"/>
      <w:r>
        <w:rPr>
          <w:rFonts w:ascii="Open Sans SemiBold" w:hAnsi="Open Sans SemiBold"/>
          <w:b w:val="false"/>
          <w:i w:val="false"/>
          <w:caps w:val="false"/>
          <w:smallCaps w:val="false"/>
          <w:color w:val="004A7C"/>
          <w:spacing w:val="2"/>
          <w:sz w:val="17"/>
        </w:rPr>
        <w:t>REVISED Compensation Recoupment (Clawback) Policy</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established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Clawback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encourage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sound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increase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individual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accountability and updated it in 2022 to expand the triggering events to include additional Covered Events, as defined below.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more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described 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revised Clawback Policy,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 available on our website on the Investors page under Corporate Governance:</w:t>
      </w:r>
    </w:p>
    <w:tbl>
      <w:tblPr>
        <w:tblW w:w="9595" w:type="dxa"/>
        <w:jc w:val="left"/>
        <w:tblInd w:w="0" w:type="dxa"/>
        <w:tblCellMar>
          <w:top w:w="0" w:type="dxa"/>
          <w:left w:w="0" w:type="dxa"/>
          <w:bottom w:w="0" w:type="dxa"/>
          <w:right w:w="0" w:type="dxa"/>
        </w:tblCellMar>
      </w:tblPr>
      <w:tblGrid>
        <w:gridCol w:w="60"/>
        <w:gridCol w:w="110"/>
        <w:gridCol w:w="9425"/>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9425"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polic</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applie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Republic’</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officer</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0"/>
                <w:sz w:val="16"/>
              </w:rPr>
              <w:t xml:space="preserve">as defined by Rule 16(a)-1(f) under the Exchange Act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Officers”);</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polic</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applie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short- and long-term incentives and bonuses, stock options, PSUs, RSUs and other stock and stock-based awards (“Incentive Compensation”);</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polic</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triggere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accountin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restatemen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mus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mak</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du</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materia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noncomplianc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wit</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financia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reportin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requirement</w:t>
            </w:r>
            <w:r>
              <w:rPr>
                <w:rFonts w:ascii="Open Sans" w:hAnsi="Open Sans"/>
                <w:b w:val="false"/>
                <w:i w:val="false"/>
                <w:caps w:val="false"/>
                <w:smallCaps w:val="false"/>
                <w:color w:val="000000"/>
                <w:spacing w:val="0"/>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securitie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law</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“Restatement”) or another defined “Covered Event”, which includes conviction of certain crimes, a material violation of Company policies, rules, or guidelines, a breach of fiduciary duty or violation of a restrictive covenant and other conduct by a Covered Officer that exposes Republic to serious actual or potential injury;</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Restatemen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occurs</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 Talent &amp;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Compensatio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Committe</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generall</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mus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see</w:t>
            </w:r>
            <w:r>
              <w:rPr>
                <w:rFonts w:ascii="Open Sans" w:hAnsi="Open Sans"/>
                <w:b w:val="false"/>
                <w:i w:val="false"/>
                <w:caps w:val="false"/>
                <w:smallCaps w:val="false"/>
                <w:color w:val="000000"/>
                <w:spacing w:val="0"/>
                <w:sz w:val="16"/>
              </w:rPr>
              <w:t>k</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cla</w:t>
            </w:r>
            <w:r>
              <w:rPr>
                <w:rFonts w:ascii="Open Sans" w:hAnsi="Open Sans"/>
                <w:b w:val="false"/>
                <w:i w:val="false"/>
                <w:caps w:val="false"/>
                <w:smallCaps w:val="false"/>
                <w:color w:val="000000"/>
                <w:spacing w:val="0"/>
                <w:sz w:val="16"/>
              </w:rPr>
              <w:t>w</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bac</w:t>
            </w:r>
            <w:r>
              <w:rPr>
                <w:rFonts w:ascii="Open Sans" w:hAnsi="Open Sans"/>
                <w:b w:val="false"/>
                <w:i w:val="false"/>
                <w:caps w:val="false"/>
                <w:smallCaps w:val="false"/>
                <w:color w:val="000000"/>
                <w:spacing w:val="0"/>
                <w:sz w:val="16"/>
              </w:rPr>
              <w:t>k</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veste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unveste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Incentive Compensation, includin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gain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equity</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durin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3-yea</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perio</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precedin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Restatemen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dat</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exten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the</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excee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wha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woul</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hav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bee</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pai</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the 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Office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restate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financia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statements</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Thi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clawbac</w:t>
            </w:r>
            <w:r>
              <w:rPr>
                <w:rFonts w:ascii="Open Sans" w:hAnsi="Open Sans"/>
                <w:b w:val="false"/>
                <w:i w:val="false"/>
                <w:caps w:val="false"/>
                <w:smallCaps w:val="false"/>
                <w:color w:val="000000"/>
                <w:spacing w:val="0"/>
                <w:sz w:val="16"/>
              </w:rPr>
              <w:t>k</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applie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eithe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(1</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applicabl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Office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engage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frau</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intentiona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misconduc</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materiall</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contribute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the nee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Restatemen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(2</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futur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SE</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NYS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rule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requir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see</w:t>
            </w:r>
            <w:r>
              <w:rPr>
                <w:rFonts w:ascii="Open Sans" w:hAnsi="Open Sans"/>
                <w:b w:val="false"/>
                <w:i w:val="false"/>
                <w:caps w:val="false"/>
                <w:smallCaps w:val="false"/>
                <w:color w:val="000000"/>
                <w:spacing w:val="0"/>
                <w:sz w:val="16"/>
              </w:rPr>
              <w:t>k</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forfeiture; 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0000"/>
                <w:spacing w:val="-5"/>
                <w:sz w:val="16"/>
              </w:rPr>
            </w:pPr>
            <w:r>
              <w:rPr>
                <w:rFonts w:ascii="Open Sans" w:hAnsi="Open Sans"/>
                <w:b w:val="false"/>
                <w:i w:val="false"/>
                <w:caps w:val="false"/>
                <w:smallCaps w:val="false"/>
                <w:color w:val="000000"/>
                <w:spacing w:val="-5"/>
                <w:sz w:val="16"/>
              </w:rPr>
              <w:t>If a Covered Event occurs, the Talent &amp; Compensation Committee may review all Incentive Compensation, and seek to require the forfeiture or repayment of the award, vesting or amount of Incentive Compensation, in whole or in part, vested or unvested and including gains on equity, during the 3-year period preceding the Covered Event.</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67</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120" w:after="0"/>
        <w:rPr>
          <w:rFonts w:ascii="Open Sans" w:hAnsi="Open Sans"/>
          <w:b/>
          <w:i w:val="false"/>
          <w:caps w:val="false"/>
          <w:smallCaps w:val="false"/>
          <w:color w:val="004A7C"/>
          <w:sz w:val="31"/>
        </w:rPr>
      </w:pPr>
      <w:bookmarkStart w:id="80" w:name="COMPENSATION_PROCESS"/>
      <w:bookmarkEnd w:id="80"/>
      <w:r>
        <w:rPr>
          <w:rFonts w:ascii="Open Sans" w:hAnsi="Open Sans"/>
          <w:b/>
          <w:i w:val="false"/>
          <w:caps w:val="false"/>
          <w:smallCaps w:val="false"/>
          <w:color w:val="004A7C"/>
          <w:sz w:val="31"/>
        </w:rPr>
        <w:t>Compensation Process</w:t>
      </w:r>
    </w:p>
    <w:p>
      <w:pPr>
        <w:pStyle w:val="TextBody"/>
        <w:spacing w:before="120" w:after="0"/>
        <w:rPr>
          <w:rFonts w:ascii="Open Sans SemiBold" w:hAnsi="Open Sans SemiBold"/>
          <w:b w:val="false"/>
          <w:i w:val="false"/>
          <w:caps w:val="false"/>
          <w:smallCaps w:val="false"/>
          <w:color w:val="004A7C"/>
          <w:sz w:val="17"/>
        </w:rPr>
      </w:pPr>
      <w:bookmarkStart w:id="81" w:name="PEER_GROUP_COMPETITIVE_BENCHMARKING"/>
      <w:bookmarkEnd w:id="81"/>
      <w:r>
        <w:rPr>
          <w:rFonts w:ascii="Open Sans SemiBold" w:hAnsi="Open Sans SemiBold"/>
          <w:b w:val="false"/>
          <w:i w:val="false"/>
          <w:caps w:val="false"/>
          <w:smallCaps w:val="false"/>
          <w:color w:val="004A7C"/>
          <w:sz w:val="17"/>
        </w:rPr>
        <w:t>Peer Group and Competitive Benchmarking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consultation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independent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consultant,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reviews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composition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 used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reference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decisions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ensure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companies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comparable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terms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mix</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 xml:space="preserve">and </w:t>
      </w:r>
      <w:r>
        <w:rPr>
          <w:rFonts w:ascii="Open Sans" w:hAnsi="Open Sans"/>
          <w:b w:val="false"/>
          <w:i w:val="false"/>
          <w:caps w:val="false"/>
          <w:smallCaps w:val="false"/>
          <w:spacing w:val="-2"/>
          <w:sz w:val="16"/>
        </w:rPr>
        <w:t>complexity</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revenue</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marke</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capitalization</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geographi</w:t>
      </w:r>
      <w:r>
        <w:rPr>
          <w:rFonts w:ascii="Open Sans" w:hAnsi="Open Sans"/>
          <w:b w:val="false"/>
          <w:i w:val="false"/>
          <w:caps w:val="false"/>
          <w:smallCaps w:val="false"/>
          <w:spacing w:val="-3"/>
          <w:sz w:val="16"/>
        </w:rPr>
        <w:t>c</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footprint</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asset</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numbe</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employees</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followin</w:t>
      </w:r>
      <w:r>
        <w:rPr>
          <w:rFonts w:ascii="Open Sans" w:hAnsi="Open Sans"/>
          <w:b w:val="false"/>
          <w:i w:val="false"/>
          <w:caps w:val="false"/>
          <w:smallCaps w:val="false"/>
          <w:spacing w:val="-3"/>
          <w:sz w:val="16"/>
        </w:rPr>
        <w:t>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tabl</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reflect</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Pee</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Group</w:t>
      </w:r>
      <w:r>
        <w:rPr>
          <w:rFonts w:ascii="Open Sans" w:hAnsi="Open Sans"/>
          <w:b w:val="false"/>
          <w:i w:val="false"/>
          <w:caps w:val="false"/>
          <w:smallCaps w:val="false"/>
          <w:spacing w:val="-3"/>
          <w:sz w:val="16"/>
        </w:rPr>
        <w:t xml:space="preserve"> </w:t>
      </w:r>
      <w:r>
        <w:rPr>
          <w:rFonts w:ascii="Open Sans" w:hAnsi="Open Sans"/>
          <w:b w:val="false"/>
          <w:i w:val="false"/>
          <w:caps w:val="false"/>
          <w:smallCaps w:val="false"/>
          <w:spacing w:val="-2"/>
          <w:sz w:val="16"/>
        </w:rPr>
        <w:t>use</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2"/>
          <w:sz w:val="16"/>
        </w:rPr>
        <w:t>b</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9"/>
          <w:sz w:val="16"/>
        </w:rPr>
        <w:t xml:space="preserve"> Talent &amp; </w:t>
      </w:r>
      <w:r>
        <w:rPr>
          <w:rFonts w:ascii="Open Sans" w:hAnsi="Open Sans"/>
          <w:b w:val="false"/>
          <w:i w:val="false"/>
          <w:caps w:val="false"/>
          <w:smallCaps w:val="false"/>
          <w:spacing w:val="-2"/>
          <w:sz w:val="16"/>
        </w:rPr>
        <w:t>Compensatio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2"/>
          <w:sz w:val="16"/>
        </w:rPr>
        <w:t>Committe</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2"/>
          <w:sz w:val="16"/>
        </w:rPr>
        <w:t>t</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2"/>
          <w:sz w:val="16"/>
        </w:rPr>
        <w:t>establis</w:t>
      </w:r>
      <w:r>
        <w:rPr>
          <w:rFonts w:ascii="Open Sans" w:hAnsi="Open Sans"/>
          <w:b w:val="false"/>
          <w:i w:val="false"/>
          <w:caps w:val="false"/>
          <w:smallCaps w:val="false"/>
          <w:spacing w:val="-3"/>
          <w:sz w:val="16"/>
        </w:rPr>
        <w:t>h</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2"/>
          <w:sz w:val="16"/>
        </w:rPr>
        <w:t>20</w:t>
      </w:r>
      <w:r>
        <w:rPr>
          <w:rFonts w:ascii="Open Sans" w:hAnsi="Open Sans"/>
          <w:b w:val="false"/>
          <w:i w:val="false"/>
          <w:caps w:val="false"/>
          <w:smallCaps w:val="false"/>
          <w:spacing w:val="-3"/>
          <w:sz w:val="16"/>
        </w:rPr>
        <w:t>22</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2"/>
          <w:sz w:val="16"/>
        </w:rPr>
        <w:t xml:space="preserve">compensation. </w:t>
      </w:r>
    </w:p>
    <w:p>
      <w:pPr>
        <w:pStyle w:val="TextBody"/>
        <w:spacing w:before="0" w:after="0"/>
        <w:rPr/>
      </w:pPr>
      <w:r>
        <w:rPr/>
        <w:t> </w:t>
      </w:r>
    </w:p>
    <w:tbl>
      <w:tblPr>
        <w:tblW w:w="6010" w:type="dxa"/>
        <w:jc w:val="left"/>
        <w:tblInd w:w="0" w:type="dxa"/>
        <w:tblCellMar>
          <w:top w:w="0" w:type="dxa"/>
          <w:left w:w="0" w:type="dxa"/>
          <w:bottom w:w="0" w:type="dxa"/>
          <w:right w:w="28" w:type="dxa"/>
        </w:tblCellMar>
      </w:tblPr>
      <w:tblGrid>
        <w:gridCol w:w="3290"/>
        <w:gridCol w:w="2720"/>
      </w:tblGrid>
      <w:tr>
        <w:trPr/>
        <w:tc>
          <w:tcPr>
            <w:tcW w:w="3290" w:type="dxa"/>
            <w:tcBorders>
              <w:right w:val="single" w:sz="6" w:space="0" w:color="FFFFFF"/>
            </w:tcBorders>
            <w:shd w:fill="D8E1E9"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Air Products and Chemicals, Inc.</w:t>
            </w:r>
          </w:p>
        </w:tc>
        <w:tc>
          <w:tcPr>
            <w:tcW w:w="2720" w:type="dxa"/>
            <w:tcBorders>
              <w:left w:val="single" w:sz="6" w:space="0" w:color="FFFFFF"/>
            </w:tcBorders>
            <w:shd w:fill="D8E1E9"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FedEx Corporation</w:t>
            </w:r>
          </w:p>
        </w:tc>
      </w:tr>
      <w:tr>
        <w:trPr/>
        <w:tc>
          <w:tcPr>
            <w:tcW w:w="3290" w:type="dxa"/>
            <w:tcBorders>
              <w:right w:val="single" w:sz="6" w:space="0" w:color="D8E1E9"/>
            </w:tcBorders>
            <w:shd w:fill="auto"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American Electric Power Company, Inc.</w:t>
            </w:r>
          </w:p>
        </w:tc>
        <w:tc>
          <w:tcPr>
            <w:tcW w:w="2720" w:type="dxa"/>
            <w:tcBorders>
              <w:left w:val="single" w:sz="6" w:space="0" w:color="D8E1E9"/>
            </w:tcBorders>
            <w:shd w:fill="auto"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J.B. Hunt Transport Services, Inc.</w:t>
            </w:r>
          </w:p>
        </w:tc>
      </w:tr>
      <w:tr>
        <w:trPr/>
        <w:tc>
          <w:tcPr>
            <w:tcW w:w="3290" w:type="dxa"/>
            <w:tcBorders>
              <w:right w:val="single" w:sz="6" w:space="0" w:color="FFFFFF"/>
            </w:tcBorders>
            <w:shd w:fill="D8E1E9"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Canadian National Railway Company</w:t>
            </w:r>
          </w:p>
        </w:tc>
        <w:tc>
          <w:tcPr>
            <w:tcW w:w="2720" w:type="dxa"/>
            <w:tcBorders>
              <w:left w:val="single" w:sz="6" w:space="0" w:color="FFFFFF"/>
            </w:tcBorders>
            <w:shd w:fill="D8E1E9"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Norfolk Southern Corporation</w:t>
            </w:r>
          </w:p>
        </w:tc>
      </w:tr>
      <w:tr>
        <w:trPr/>
        <w:tc>
          <w:tcPr>
            <w:tcW w:w="3290" w:type="dxa"/>
            <w:tcBorders>
              <w:right w:val="single" w:sz="6" w:space="0" w:color="D8E1E9"/>
            </w:tcBorders>
            <w:shd w:fill="auto"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Canadian Pacific Railway Limited</w:t>
            </w:r>
          </w:p>
        </w:tc>
        <w:tc>
          <w:tcPr>
            <w:tcW w:w="2720" w:type="dxa"/>
            <w:tcBorders>
              <w:left w:val="single" w:sz="6" w:space="0" w:color="D8E1E9"/>
            </w:tcBorders>
            <w:shd w:fill="auto"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Ryder System, Inc.</w:t>
            </w:r>
          </w:p>
        </w:tc>
      </w:tr>
      <w:tr>
        <w:trPr/>
        <w:tc>
          <w:tcPr>
            <w:tcW w:w="3290" w:type="dxa"/>
            <w:tcBorders>
              <w:right w:val="single" w:sz="6" w:space="0" w:color="FFFFFF"/>
            </w:tcBorders>
            <w:shd w:fill="D8E1E9"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Cintas Corporation</w:t>
            </w:r>
          </w:p>
        </w:tc>
        <w:tc>
          <w:tcPr>
            <w:tcW w:w="2720" w:type="dxa"/>
            <w:tcBorders>
              <w:left w:val="single" w:sz="6" w:space="0" w:color="FFFFFF"/>
            </w:tcBorders>
            <w:shd w:fill="D8E1E9"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Sysco Corporation</w:t>
            </w:r>
          </w:p>
        </w:tc>
      </w:tr>
      <w:tr>
        <w:trPr/>
        <w:tc>
          <w:tcPr>
            <w:tcW w:w="3290" w:type="dxa"/>
            <w:tcBorders>
              <w:right w:val="single" w:sz="6" w:space="0" w:color="D8E1E9"/>
            </w:tcBorders>
            <w:shd w:fill="auto"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CSX Corporation</w:t>
            </w:r>
          </w:p>
        </w:tc>
        <w:tc>
          <w:tcPr>
            <w:tcW w:w="2720" w:type="dxa"/>
            <w:tcBorders>
              <w:left w:val="single" w:sz="6" w:space="0" w:color="D8E1E9"/>
            </w:tcBorders>
            <w:shd w:fill="auto"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W.W. Grainger, Inc.</w:t>
            </w:r>
          </w:p>
        </w:tc>
      </w:tr>
      <w:tr>
        <w:trPr/>
        <w:tc>
          <w:tcPr>
            <w:tcW w:w="3290" w:type="dxa"/>
            <w:tcBorders>
              <w:right w:val="single" w:sz="6" w:space="0" w:color="FFFFFF"/>
            </w:tcBorders>
            <w:shd w:fill="D8E1E9"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Ecolab Inc.</w:t>
            </w:r>
          </w:p>
        </w:tc>
        <w:tc>
          <w:tcPr>
            <w:tcW w:w="2720" w:type="dxa"/>
            <w:tcBorders>
              <w:left w:val="single" w:sz="6" w:space="0" w:color="FFFFFF"/>
            </w:tcBorders>
            <w:shd w:fill="D8E1E9"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Waste Connections, Inc.</w:t>
            </w:r>
          </w:p>
        </w:tc>
      </w:tr>
      <w:tr>
        <w:trPr/>
        <w:tc>
          <w:tcPr>
            <w:tcW w:w="3290" w:type="dxa"/>
            <w:tcBorders>
              <w:right w:val="single" w:sz="6" w:space="0" w:color="D8E1E9"/>
            </w:tcBorders>
            <w:shd w:fill="auto"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Entergy Corporation</w:t>
            </w:r>
          </w:p>
        </w:tc>
        <w:tc>
          <w:tcPr>
            <w:tcW w:w="2720" w:type="dxa"/>
            <w:tcBorders>
              <w:left w:val="single" w:sz="6" w:space="0" w:color="D8E1E9"/>
            </w:tcBorders>
            <w:shd w:fill="auto" w:val="clear"/>
            <w:tcMar>
              <w:left w:w="28" w:type="dxa"/>
              <w:right w:w="0"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Waste Management, Inc.</w:t>
            </w:r>
          </w:p>
        </w:tc>
      </w:tr>
      <w:tr>
        <w:trPr/>
        <w:tc>
          <w:tcPr>
            <w:tcW w:w="3290" w:type="dxa"/>
            <w:tcBorders>
              <w:right w:val="single" w:sz="6" w:space="0" w:color="FFFFFF"/>
            </w:tcBorders>
            <w:shd w:fill="D8E1E9" w:val="cle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Fastenal Company</w:t>
            </w:r>
          </w:p>
        </w:tc>
        <w:tc>
          <w:tcPr>
            <w:tcW w:w="2720" w:type="dxa"/>
            <w:tcBorders>
              <w:left w:val="single" w:sz="6" w:space="0" w:color="FFFFFF"/>
            </w:tcBorders>
            <w:shd w:fill="D8E1E9" w:val="clear"/>
            <w:tcMar>
              <w:left w:w="28" w:type="dxa"/>
              <w:right w:w="0" w:type="dxa"/>
            </w:tcMar>
            <w:vAlign w:val="center"/>
          </w:tcPr>
          <w:p>
            <w:pPr>
              <w:pStyle w:val="TableContents"/>
              <w:spacing w:before="0" w:after="0"/>
              <w:ind w:left="0" w:right="0" w:hanging="0"/>
              <w:jc w:val="center"/>
              <w:rPr/>
            </w:pPr>
            <w:r>
              <w:rPr/>
              <w:t> </w:t>
            </w:r>
          </w:p>
        </w:tc>
      </w:tr>
    </w:tbl>
    <w:p>
      <w:pPr>
        <w:pStyle w:val="TextBody"/>
        <w:spacing w:lineRule="auto" w:line="288"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 Talent &amp;</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considers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data</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analyses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prepared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independent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consultant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current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 prior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historical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NEO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appropriateness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compared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NEO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Peer 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general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surveys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compiled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external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consulting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firms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takes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 recommendations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himself.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surveys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 reference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specified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percentile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paid.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After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taking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factors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Company performance</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individual’s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contribution,</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experience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potential,</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10"/>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makes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decisions.</w:t>
      </w:r>
      <w:r>
        <w:rPr>
          <w:rFonts w:ascii="Open Sans" w:hAnsi="Open Sans"/>
          <w:b w:val="false"/>
          <w:i w:val="false"/>
          <w:caps w:val="false"/>
          <w:smallCaps w:val="false"/>
          <w:spacing w:val="-10"/>
          <w:sz w:val="16"/>
        </w:rPr>
        <w:t xml:space="preserve"> Based on the independent consultant’s analysis, our CEO’s 2022 Target TDC was positioned near the 38t h percentile of the Peer Group which is consistent with our approach of increasing pay over time commensurate with performance and experience.  </w:t>
      </w:r>
    </w:p>
    <w:p>
      <w:pPr>
        <w:pStyle w:val="TextBody"/>
        <w:spacing w:before="120" w:after="0"/>
        <w:rPr>
          <w:rFonts w:ascii="Open Sans SemiBold" w:hAnsi="Open Sans SemiBold"/>
          <w:b w:val="false"/>
          <w:i w:val="false"/>
          <w:caps w:val="false"/>
          <w:smallCaps w:val="false"/>
          <w:color w:val="004A7C"/>
          <w:sz w:val="17"/>
        </w:rPr>
      </w:pPr>
      <w:bookmarkStart w:id="82" w:name="EVALUATING_COMPANY_EXECUTIVE_PERFORMANCE"/>
      <w:bookmarkEnd w:id="82"/>
      <w:r>
        <w:rPr>
          <w:rFonts w:ascii="Open Sans SemiBold" w:hAnsi="Open Sans SemiBold"/>
          <w:b w:val="false"/>
          <w:i w:val="false"/>
          <w:caps w:val="false"/>
          <w:smallCaps w:val="false"/>
          <w:color w:val="004A7C"/>
          <w:sz w:val="17"/>
        </w:rPr>
        <w:t>Evaluating Company and Executive Performance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Committee, after consulting with the Board and management,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established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process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evaluating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Republic’s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well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our executive officers. 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strategic,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and sustainability </w:t>
      </w:r>
      <w:r>
        <w:rPr>
          <w:rFonts w:ascii="Open Sans" w:hAnsi="Open Sans"/>
          <w:b w:val="false"/>
          <w:i w:val="false"/>
          <w:caps w:val="false"/>
          <w:smallCaps w:val="false"/>
          <w:spacing w:val="-3"/>
          <w:sz w:val="16"/>
        </w:rPr>
        <w:t>objectives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 officers 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upcoming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long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term. </w:t>
      </w:r>
      <w:r>
        <w:rPr>
          <w:rFonts w:ascii="Open Sans" w:hAnsi="Open Sans"/>
          <w:b w:val="false"/>
          <w:i w:val="false"/>
          <w:caps w:val="false"/>
          <w:smallCaps w:val="false"/>
          <w:spacing w:val="-2"/>
          <w:sz w:val="16"/>
        </w:rPr>
        <w:t>I</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als</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review</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evaluate</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performanc</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agains</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thes</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strategi</w:t>
      </w:r>
      <w:r>
        <w:rPr>
          <w:rFonts w:ascii="Open Sans" w:hAnsi="Open Sans"/>
          <w:b w:val="false"/>
          <w:i w:val="false"/>
          <w:caps w:val="false"/>
          <w:smallCaps w:val="false"/>
          <w:spacing w:val="-3"/>
          <w:sz w:val="16"/>
        </w:rPr>
        <w:t>c</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financia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objective</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prio</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year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w:t>
      </w:r>
      <w:r>
        <w:rPr>
          <w:rFonts w:ascii="Open Sans" w:hAnsi="Open Sans"/>
          <w:b w:val="false"/>
          <w:i w:val="false"/>
          <w:caps w:val="false"/>
          <w:smallCaps w:val="false"/>
          <w:spacing w:val="-3"/>
          <w:sz w:val="16"/>
        </w:rPr>
        <w:t>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review</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interi</w:t>
      </w:r>
      <w:r>
        <w:rPr>
          <w:rFonts w:ascii="Open Sans" w:hAnsi="Open Sans"/>
          <w:b w:val="false"/>
          <w:i w:val="false"/>
          <w:caps w:val="false"/>
          <w:smallCaps w:val="false"/>
          <w:spacing w:val="-3"/>
          <w:sz w:val="16"/>
        </w:rPr>
        <w:t>m</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progress</w:t>
      </w:r>
      <w:r>
        <w:rPr>
          <w:rFonts w:ascii="Open Sans" w:hAnsi="Open Sans"/>
          <w:b w:val="false"/>
          <w:i w:val="false"/>
          <w:caps w:val="false"/>
          <w:smallCaps w:val="false"/>
          <w:spacing w:val="-3"/>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open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three-year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assessment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strategic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objectives 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individual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executive officers.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considers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factors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reaching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 decisions.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routinely</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meets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session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without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presence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when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considering compensation</w:t>
      </w:r>
      <w:r>
        <w:rPr>
          <w:rFonts w:ascii="Open Sans" w:hAnsi="Open Sans"/>
          <w:b w:val="false"/>
          <w:i w:val="false"/>
          <w:caps w:val="false"/>
          <w:smallCaps w:val="false"/>
          <w:spacing w:val="-16"/>
          <w:sz w:val="16"/>
        </w:rPr>
        <w:t xml:space="preserve"> </w:t>
      </w:r>
      <w:r>
        <w:rPr>
          <w:rFonts w:ascii="Open Sans" w:hAnsi="Open Sans"/>
          <w:b w:val="false"/>
          <w:i w:val="false"/>
          <w:caps w:val="false"/>
          <w:smallCaps w:val="false"/>
          <w:spacing w:val="-3"/>
          <w:sz w:val="16"/>
        </w:rPr>
        <w:t>matters.</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68</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rPr>
          <w:rFonts w:ascii="Open Sans" w:hAnsi="Open Sans"/>
          <w:b w:val="false"/>
          <w:i w:val="false"/>
          <w:caps w:val="false"/>
          <w:smallCaps w:val="false"/>
          <w:color w:val="004A7C"/>
          <w:spacing w:val="9"/>
          <w:sz w:val="17"/>
        </w:rPr>
      </w:pPr>
      <w:r>
        <w:rPr>
          <w:rFonts w:ascii="Open Sans" w:hAnsi="Open Sans"/>
          <w:b w:val="false"/>
          <w:i w:val="false"/>
          <w:caps w:val="false"/>
          <w:smallCaps w:val="false"/>
          <w:color w:val="004A7C"/>
          <w:spacing w:val="9"/>
          <w:sz w:val="17"/>
        </w:rPr>
        <w:t>EVALUATING COMPANY AND EXECUTIVE PERFORMANCE</w:t>
      </w:r>
    </w:p>
    <w:p>
      <w:pPr>
        <w:pStyle w:val="TextBody"/>
        <w:spacing w:before="0" w:after="0"/>
        <w:rPr/>
      </w:pPr>
      <w:r>
        <w:rPr/>
        <w:t> </w:t>
      </w:r>
    </w:p>
    <w:p>
      <w:pPr>
        <w:pStyle w:val="TextBody"/>
        <w:spacing w:before="0" w:after="0"/>
        <w:jc w:val="center"/>
        <w:rPr>
          <w:caps w:val="false"/>
          <w:smallCaps w:val="false"/>
          <w:color w:val="00497C"/>
        </w:rPr>
      </w:pPr>
      <w:r>
        <w:rPr>
          <w:caps w:val="false"/>
          <w:smallCaps w:val="false"/>
          <w:color w:val="00497C"/>
        </w:rPr>
        <w:drawing>
          <wp:inline distT="0" distB="0" distL="0" distR="0">
            <wp:extent cx="5924550" cy="107632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5924550" cy="1076325"/>
                    </a:xfrm>
                    <a:prstGeom prst="rect">
                      <a:avLst/>
                    </a:prstGeom>
                  </pic:spPr>
                </pic:pic>
              </a:graphicData>
            </a:graphic>
          </wp:inline>
        </w:drawing>
      </w:r>
    </w:p>
    <w:p>
      <w:pPr>
        <w:pStyle w:val="TextBody"/>
        <w:spacing w:before="0" w:after="0"/>
        <w:rPr/>
      </w:pPr>
      <w:r>
        <w:rPr/>
        <w:t> </w:t>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 xml:space="preserve">Compensation committee ceo </w:t>
      </w:r>
    </w:p>
    <w:p>
      <w:pPr>
        <w:pStyle w:val="TextBody"/>
        <w:spacing w:before="0" w:after="0"/>
        <w:rPr>
          <w:rFonts w:ascii="Open Sans SemiBold" w:hAnsi="Open Sans SemiBold"/>
          <w:b w:val="false"/>
          <w:i w:val="false"/>
          <w:caps w:val="false"/>
          <w:smallCaps w:val="false"/>
          <w:color w:val="004A7C"/>
          <w:sz w:val="17"/>
        </w:rPr>
      </w:pPr>
      <w:bookmarkStart w:id="83" w:name="ROLE__INDEPENDENT_COMPENSATION_CONSULTAN"/>
      <w:bookmarkEnd w:id="83"/>
      <w:r>
        <w:rPr>
          <w:rFonts w:ascii="Open Sans SemiBold" w:hAnsi="Open Sans SemiBold"/>
          <w:b w:val="false"/>
          <w:i w:val="false"/>
          <w:caps w:val="false"/>
          <w:smallCaps w:val="false"/>
          <w:color w:val="004A7C"/>
          <w:sz w:val="17"/>
        </w:rPr>
        <w:t>Role of the Independent Compensation Consultant and Other Advisors</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Since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Talent &amp;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retained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Meyer &amp; Partners, LLC (“Pearl Meyer”)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assist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review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related matters.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retains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Meyer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directly,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supervises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work</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done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Meyer,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reviews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approves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work invoices.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While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Meyer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provides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data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analyses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makes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recommendations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amount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 Talent &amp; Compensation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makes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decisions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regarding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NEOs.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Meyer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advised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variety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subjects,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design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trends,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pay-for-performance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analytics,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benchmarking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related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matters.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Meyer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reports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directly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Committee, participates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requested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communicates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between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necessary.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Meyer 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advice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Governance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regarding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Pearl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Meyer did not provide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services 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considered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independent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conflict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Dodd-Frank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Street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Consumer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Protection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associated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standards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NYSE.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market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Equilar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Mercer and Willis Tower Watson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benchmarking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purposes. This benchmarking data consists of information that is generally available to other Equilar, Mercer, and Willis Tower Watson clients. None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these consulting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firms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recommendations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group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composition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 design</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11"/>
          <w:sz w:val="16"/>
        </w:rPr>
        <w:t xml:space="preserve"> or director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2022.</w:t>
      </w:r>
    </w:p>
    <w:p>
      <w:pPr>
        <w:pStyle w:val="TextBody"/>
        <w:spacing w:before="120" w:after="0"/>
        <w:rPr>
          <w:rFonts w:ascii="Open Sans" w:hAnsi="Open Sans"/>
          <w:b/>
          <w:i w:val="false"/>
          <w:caps w:val="false"/>
          <w:smallCaps w:val="false"/>
          <w:color w:val="004A7C"/>
          <w:sz w:val="31"/>
        </w:rPr>
      </w:pPr>
      <w:bookmarkStart w:id="84" w:name="OR_CONSIDERATIONS"/>
      <w:bookmarkEnd w:id="84"/>
      <w:r>
        <w:rPr>
          <w:rFonts w:ascii="Open Sans" w:hAnsi="Open Sans"/>
          <w:b/>
          <w:i w:val="false"/>
          <w:caps w:val="false"/>
          <w:smallCaps w:val="false"/>
          <w:color w:val="004A7C"/>
          <w:sz w:val="31"/>
        </w:rPr>
        <w:t>Other Considerations</w:t>
      </w:r>
    </w:p>
    <w:p>
      <w:pPr>
        <w:pStyle w:val="TextBody"/>
        <w:spacing w:before="120" w:after="0"/>
        <w:rPr>
          <w:rFonts w:ascii="Open Sans SemiBold" w:hAnsi="Open Sans SemiBold"/>
          <w:b w:val="false"/>
          <w:i w:val="false"/>
          <w:caps w:val="false"/>
          <w:smallCaps w:val="false"/>
          <w:color w:val="004A7C"/>
          <w:sz w:val="17"/>
        </w:rPr>
      </w:pPr>
      <w:bookmarkStart w:id="85" w:name="EMPLOYMENT_AGREEMENTS_EXECUTIVE_SEPARATI"/>
      <w:bookmarkEnd w:id="85"/>
      <w:r>
        <w:rPr>
          <w:rFonts w:ascii="Open Sans SemiBold" w:hAnsi="Open Sans SemiBold"/>
          <w:b w:val="false"/>
          <w:i w:val="false"/>
          <w:caps w:val="false"/>
          <w:smallCaps w:val="false"/>
          <w:color w:val="004A7C"/>
          <w:sz w:val="17"/>
        </w:rPr>
        <w:t>Employment Agreements and Executive Separation Policy</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Except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limited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circumstances,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enter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instead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eligible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participate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Policy. They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non-competition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non-solicitation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more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regarding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agreements 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p>
    <w:p>
      <w:pPr>
        <w:pStyle w:val="TextBody"/>
        <w:spacing w:before="120" w:after="0"/>
        <w:rPr>
          <w:rFonts w:ascii="Open Sans SemiBold" w:hAnsi="Open Sans SemiBold"/>
          <w:b w:val="false"/>
          <w:i w:val="false"/>
          <w:caps w:val="false"/>
          <w:smallCaps w:val="false"/>
          <w:color w:val="004A7C"/>
          <w:sz w:val="17"/>
        </w:rPr>
      </w:pPr>
      <w:bookmarkStart w:id="86" w:name="ANNUAL_RISK_ASSESSMENT"/>
      <w:bookmarkEnd w:id="86"/>
      <w:r>
        <w:rPr>
          <w:rFonts w:ascii="Open Sans SemiBold" w:hAnsi="Open Sans SemiBold"/>
          <w:b w:val="false"/>
          <w:i w:val="false"/>
          <w:caps w:val="false"/>
          <w:smallCaps w:val="false"/>
          <w:color w:val="004A7C"/>
          <w:sz w:val="17"/>
        </w:rPr>
        <w:t>Annual Risk Assessment</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Management conducted a risk assessment of Republic’s policies and programs relating to the compensation of employees, including those that apply to our executive officers. In particular, management considered the following factors of our compensation policies, practices and programs:  the Talent &amp; Compensation Committee’s robust governance controls; our balanced mix of long-term and short-term programs; our use of objective standards that are applied consistently from year to year; peer group benchmarking for stock performance; caps on PSU awards and annual incentives to limit windfalls; and clawback provisions designed to recoup compensation in circumstances set forth in the Company’s clawback policy.</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Management discussed the findings of the risk assessment with the Talent &amp; Compensation Committee. Based on the assessment, we believe that our compensation policies and practices create an appropriate balance between our base salary compensation, short-term incentive compensation and long-term incentive compensation, thereby reducing the possibility of imprudent risk-taking and that our compensation policies and practices do not create risks that are reasonably likely to have a material adverse effect on Republic.</w:t>
      </w:r>
    </w:p>
    <w:p>
      <w:pPr>
        <w:pStyle w:val="TextBody"/>
        <w:spacing w:before="120" w:after="0"/>
        <w:rPr>
          <w:rFonts w:ascii="Open Sans SemiBold" w:hAnsi="Open Sans SemiBold"/>
          <w:b w:val="false"/>
          <w:i w:val="false"/>
          <w:caps w:val="false"/>
          <w:smallCaps w:val="false"/>
          <w:color w:val="004A7C"/>
          <w:sz w:val="17"/>
        </w:rPr>
      </w:pPr>
      <w:bookmarkStart w:id="87" w:name="EQUITY_USAGE_BURN_RATE_DILUTION"/>
      <w:bookmarkEnd w:id="87"/>
      <w:r>
        <w:rPr>
          <w:rFonts w:ascii="Open Sans SemiBold" w:hAnsi="Open Sans SemiBold"/>
          <w:b w:val="false"/>
          <w:i w:val="false"/>
          <w:caps w:val="false"/>
          <w:smallCaps w:val="false"/>
          <w:color w:val="004A7C"/>
          <w:sz w:val="17"/>
        </w:rPr>
        <w:t>Equity Usage (Burn Rate and Dilution)</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total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 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equity-based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approximately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0.09%</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diluted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weighted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average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outstanding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within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limitations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total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issued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SIP,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predecessor plans,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approximately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diluted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weighted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average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outstanding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diluted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EPS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 potentially</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dilutive</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shares.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69</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w:hAnsi="Open Sans"/>
          <w:b/>
          <w:i w:val="false"/>
          <w:caps w:val="false"/>
          <w:smallCaps w:val="false"/>
          <w:color w:val="004A7C"/>
          <w:sz w:val="27"/>
        </w:rPr>
      </w:pPr>
      <w:bookmarkStart w:id="88" w:name="COMPENSATION_COMMITTEE_INTERLOCKS_INSIDE"/>
      <w:bookmarkEnd w:id="88"/>
      <w:r>
        <w:rPr>
          <w:rFonts w:ascii="Open Sans" w:hAnsi="Open Sans"/>
          <w:b/>
          <w:i w:val="false"/>
          <w:caps w:val="false"/>
          <w:smallCaps w:val="false"/>
          <w:color w:val="004A7C"/>
          <w:sz w:val="27"/>
        </w:rPr>
        <w:t>Talent &amp; Compensation Committee Interlocks and Insider Participation</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Messrs.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Handley,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Larson and Snee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Pegula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Weymouth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members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 No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equivalent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functions)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 another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entity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where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entity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either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Talent &amp;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p>
    <w:p>
      <w:pPr>
        <w:pStyle w:val="TextBody"/>
        <w:spacing w:before="120" w:after="0"/>
        <w:rPr>
          <w:rFonts w:ascii="Open Sans" w:hAnsi="Open Sans"/>
          <w:b/>
          <w:i w:val="false"/>
          <w:caps w:val="false"/>
          <w:smallCaps w:val="false"/>
          <w:color w:val="004A7C"/>
          <w:sz w:val="27"/>
        </w:rPr>
      </w:pPr>
      <w:bookmarkStart w:id="89" w:name="COMPENSATION_COMMITTEE_REPORT"/>
      <w:bookmarkEnd w:id="89"/>
      <w:r>
        <w:rPr>
          <w:rFonts w:ascii="Open Sans" w:hAnsi="Open Sans"/>
          <w:b/>
          <w:i w:val="false"/>
          <w:caps w:val="false"/>
          <w:smallCaps w:val="false"/>
          <w:color w:val="004A7C"/>
          <w:sz w:val="27"/>
        </w:rPr>
        <w:t>Talent &amp; Compensation Committee Report</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statement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Talent &amp;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deemed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incorporated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reference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filing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Securities Act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Exchange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otherwise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deemed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either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reviewed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discussed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Discussion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Analysis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required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Item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402(b) 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Regulation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review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discussions,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recommended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CD&amp;A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 this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Statement.</w:t>
      </w:r>
    </w:p>
    <w:p>
      <w:pPr>
        <w:pStyle w:val="TextBody"/>
        <w:spacing w:before="0" w:after="0"/>
        <w:rPr/>
      </w:pPr>
      <w:r>
        <w:rPr/>
        <w:t> </w:t>
      </w:r>
    </w:p>
    <w:p>
      <w:pPr>
        <w:pStyle w:val="TextBody"/>
        <w:spacing w:before="0" w:after="0"/>
        <w:rPr>
          <w:rFonts w:ascii="Open Sans" w:hAnsi="Open Sans"/>
          <w:b w:val="false"/>
          <w:i w:val="false"/>
          <w:caps w:val="false"/>
          <w:smallCaps w:val="false"/>
          <w:color w:val="004A7C"/>
          <w:spacing w:val="-3"/>
          <w:sz w:val="16"/>
        </w:rPr>
      </w:pPr>
      <w:r>
        <w:rPr>
          <w:rFonts w:ascii="Open Sans" w:hAnsi="Open Sans"/>
          <w:b w:val="false"/>
          <w:i w:val="false"/>
          <w:caps w:val="false"/>
          <w:smallCaps w:val="false"/>
          <w:color w:val="004A7C"/>
          <w:spacing w:val="-3"/>
          <w:sz w:val="16"/>
        </w:rPr>
        <w:t>Submitted</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by</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the</w:t>
      </w:r>
      <w:r>
        <w:rPr>
          <w:rFonts w:ascii="Open Sans" w:hAnsi="Open Sans"/>
          <w:b w:val="false"/>
          <w:i w:val="false"/>
          <w:caps w:val="false"/>
          <w:smallCaps w:val="false"/>
          <w:color w:val="004A7C"/>
          <w:spacing w:val="-5"/>
          <w:sz w:val="16"/>
        </w:rPr>
        <w:t xml:space="preserve"> Talent &amp; </w:t>
      </w:r>
      <w:r>
        <w:rPr>
          <w:rFonts w:ascii="Open Sans" w:hAnsi="Open Sans"/>
          <w:b w:val="false"/>
          <w:i w:val="false"/>
          <w:caps w:val="false"/>
          <w:smallCaps w:val="false"/>
          <w:color w:val="004A7C"/>
          <w:spacing w:val="-3"/>
          <w:sz w:val="16"/>
        </w:rPr>
        <w:t>Compensation</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Committee</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as</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of</w:t>
      </w:r>
      <w:r>
        <w:rPr>
          <w:rFonts w:ascii="Open Sans" w:hAnsi="Open Sans"/>
          <w:b w:val="false"/>
          <w:i w:val="false"/>
          <w:caps w:val="false"/>
          <w:smallCaps w:val="false"/>
          <w:color w:val="004A7C"/>
          <w:spacing w:val="-5"/>
          <w:sz w:val="16"/>
        </w:rPr>
        <w:t xml:space="preserve"> March 26, 2023:</w:t>
      </w:r>
    </w:p>
    <w:p>
      <w:pPr>
        <w:pStyle w:val="TextBody"/>
        <w:spacing w:before="120" w:after="0"/>
        <w:rPr>
          <w:rFonts w:ascii="Open Sans" w:hAnsi="Open Sans"/>
          <w:b w:val="false"/>
          <w:i w:val="false"/>
          <w:caps w:val="false"/>
          <w:smallCaps w:val="false"/>
          <w:color w:val="004A7C"/>
          <w:spacing w:val="-3"/>
          <w:sz w:val="16"/>
        </w:rPr>
      </w:pPr>
      <w:r>
        <w:rPr>
          <w:rFonts w:ascii="Open Sans" w:hAnsi="Open Sans"/>
          <w:b w:val="false"/>
          <w:i w:val="false"/>
          <w:caps w:val="false"/>
          <w:smallCaps w:val="false"/>
          <w:color w:val="004A7C"/>
          <w:spacing w:val="-3"/>
          <w:sz w:val="16"/>
        </w:rPr>
        <w:t>Thomas</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W.</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Handley</w:t>
      </w:r>
      <w:r>
        <w:rPr>
          <w:rFonts w:ascii="Open Sans" w:hAnsi="Open Sans"/>
          <w:b w:val="false"/>
          <w:i w:val="false"/>
          <w:caps w:val="false"/>
          <w:smallCaps w:val="false"/>
          <w:color w:val="004A7C"/>
          <w:spacing w:val="-5"/>
          <w:sz w:val="16"/>
        </w:rPr>
        <w:t xml:space="preserve"> </w:t>
      </w:r>
      <w:r>
        <w:rPr>
          <w:rFonts w:ascii="Open Sans" w:hAnsi="Open Sans"/>
          <w:b w:val="false"/>
          <w:i w:val="false"/>
          <w:caps w:val="false"/>
          <w:smallCaps w:val="false"/>
          <w:color w:val="004A7C"/>
          <w:spacing w:val="-3"/>
          <w:sz w:val="16"/>
        </w:rPr>
        <w:t>(Chair)</w:t>
      </w:r>
    </w:p>
    <w:p>
      <w:pPr>
        <w:pStyle w:val="TextBody"/>
        <w:spacing w:before="120" w:after="0"/>
        <w:rPr>
          <w:rFonts w:ascii="Open Sans" w:hAnsi="Open Sans"/>
          <w:b w:val="false"/>
          <w:i w:val="false"/>
          <w:caps w:val="false"/>
          <w:smallCaps w:val="false"/>
          <w:color w:val="004A7C"/>
          <w:spacing w:val="-3"/>
          <w:sz w:val="16"/>
        </w:rPr>
      </w:pPr>
      <w:r>
        <w:rPr>
          <w:rFonts w:ascii="Open Sans" w:hAnsi="Open Sans"/>
          <w:b w:val="false"/>
          <w:i w:val="false"/>
          <w:caps w:val="false"/>
          <w:smallCaps w:val="false"/>
          <w:color w:val="004A7C"/>
          <w:spacing w:val="-3"/>
          <w:sz w:val="16"/>
        </w:rPr>
        <w:t>Michael</w:t>
      </w:r>
      <w:r>
        <w:rPr>
          <w:rFonts w:ascii="Open Sans" w:hAnsi="Open Sans"/>
          <w:b w:val="false"/>
          <w:i w:val="false"/>
          <w:caps w:val="false"/>
          <w:smallCaps w:val="false"/>
          <w:color w:val="004A7C"/>
          <w:spacing w:val="-11"/>
          <w:sz w:val="16"/>
        </w:rPr>
        <w:t xml:space="preserve"> </w:t>
      </w:r>
      <w:r>
        <w:rPr>
          <w:rFonts w:ascii="Open Sans" w:hAnsi="Open Sans"/>
          <w:b w:val="false"/>
          <w:i w:val="false"/>
          <w:caps w:val="false"/>
          <w:smallCaps w:val="false"/>
          <w:color w:val="004A7C"/>
          <w:spacing w:val="-3"/>
          <w:sz w:val="16"/>
        </w:rPr>
        <w:t>Larson</w:t>
      </w:r>
    </w:p>
    <w:p>
      <w:pPr>
        <w:pStyle w:val="TextBody"/>
        <w:spacing w:before="120" w:after="0"/>
        <w:rPr>
          <w:rFonts w:ascii="Open Sans" w:hAnsi="Open Sans"/>
          <w:b w:val="false"/>
          <w:i w:val="false"/>
          <w:caps w:val="false"/>
          <w:smallCaps w:val="false"/>
          <w:color w:val="004A7C"/>
          <w:spacing w:val="-3"/>
          <w:sz w:val="16"/>
        </w:rPr>
      </w:pPr>
      <w:r>
        <w:rPr>
          <w:rFonts w:ascii="Open Sans" w:hAnsi="Open Sans"/>
          <w:b w:val="false"/>
          <w:i w:val="false"/>
          <w:caps w:val="false"/>
          <w:smallCaps w:val="false"/>
          <w:color w:val="004A7C"/>
          <w:spacing w:val="-3"/>
          <w:sz w:val="16"/>
        </w:rPr>
        <w:t>James P. Snee</w:t>
      </w:r>
    </w:p>
    <w:p>
      <w:pPr>
        <w:pStyle w:val="TextBody"/>
        <w:spacing w:before="120" w:after="0"/>
        <w:rPr>
          <w:rFonts w:ascii="Open Sans" w:hAnsi="Open Sans"/>
          <w:b w:val="false"/>
          <w:i w:val="false"/>
          <w:caps w:val="false"/>
          <w:smallCaps w:val="false"/>
          <w:color w:val="004A7C"/>
          <w:spacing w:val="-3"/>
          <w:sz w:val="16"/>
        </w:rPr>
      </w:pPr>
      <w:r>
        <w:rPr>
          <w:rFonts w:ascii="Open Sans" w:hAnsi="Open Sans"/>
          <w:b w:val="false"/>
          <w:i w:val="false"/>
          <w:caps w:val="false"/>
          <w:smallCaps w:val="false"/>
          <w:color w:val="004A7C"/>
          <w:spacing w:val="-3"/>
          <w:sz w:val="16"/>
        </w:rPr>
        <w:t>Katharine</w:t>
      </w:r>
      <w:r>
        <w:rPr>
          <w:rFonts w:ascii="Open Sans" w:hAnsi="Open Sans"/>
          <w:b w:val="false"/>
          <w:i w:val="false"/>
          <w:caps w:val="false"/>
          <w:smallCaps w:val="false"/>
          <w:color w:val="004A7C"/>
          <w:spacing w:val="-13"/>
          <w:sz w:val="16"/>
        </w:rPr>
        <w:t xml:space="preserve"> </w:t>
      </w:r>
      <w:r>
        <w:rPr>
          <w:rFonts w:ascii="Open Sans" w:hAnsi="Open Sans"/>
          <w:b w:val="false"/>
          <w:i w:val="false"/>
          <w:caps w:val="false"/>
          <w:smallCaps w:val="false"/>
          <w:color w:val="004A7C"/>
          <w:spacing w:val="-3"/>
          <w:sz w:val="16"/>
        </w:rPr>
        <w:t>B.</w:t>
      </w:r>
      <w:r>
        <w:rPr>
          <w:rFonts w:ascii="Open Sans" w:hAnsi="Open Sans"/>
          <w:b w:val="false"/>
          <w:i w:val="false"/>
          <w:caps w:val="false"/>
          <w:smallCaps w:val="false"/>
          <w:color w:val="004A7C"/>
          <w:spacing w:val="-13"/>
          <w:sz w:val="16"/>
        </w:rPr>
        <w:t xml:space="preserve"> </w:t>
      </w:r>
      <w:r>
        <w:rPr>
          <w:rFonts w:ascii="Open Sans" w:hAnsi="Open Sans"/>
          <w:b w:val="false"/>
          <w:i w:val="false"/>
          <w:caps w:val="false"/>
          <w:smallCaps w:val="false"/>
          <w:color w:val="004A7C"/>
          <w:spacing w:val="-3"/>
          <w:sz w:val="16"/>
        </w:rPr>
        <w:t>Weymouth</w:t>
      </w:r>
    </w:p>
    <w:p>
      <w:pPr>
        <w:pStyle w:val="TextBody"/>
        <w:spacing w:before="0" w:after="0"/>
        <w:jc w:val="center"/>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70</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90" w:name="N2021_SUMMARY_COMPENSATION_TABLE"/>
      <w:bookmarkEnd w:id="90"/>
      <w:r>
        <w:rPr>
          <w:rFonts w:ascii="Open Sans" w:hAnsi="Open Sans"/>
          <w:b/>
          <w:i w:val="false"/>
          <w:caps w:val="false"/>
          <w:smallCaps w:val="false"/>
          <w:color w:val="004A7C"/>
          <w:sz w:val="27"/>
        </w:rPr>
        <w:t>2022 Summary Compensation Table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Summary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shows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about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paid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CEO,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CFO</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named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executive officers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2021 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individuals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named executive officers (“</w:t>
      </w:r>
      <w:r>
        <w:rPr>
          <w:rFonts w:ascii="Open Sans" w:hAnsi="Open Sans"/>
          <w:b w:val="false"/>
          <w:i w:val="false"/>
          <w:caps w:val="false"/>
          <w:smallCaps w:val="false"/>
          <w:spacing w:val="-3"/>
          <w:sz w:val="16"/>
        </w:rPr>
        <w:t xml:space="preserve">NEOs”). </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4374"/>
        <w:gridCol w:w="60"/>
        <w:gridCol w:w="440"/>
        <w:gridCol w:w="60"/>
        <w:gridCol w:w="845"/>
        <w:gridCol w:w="60"/>
        <w:gridCol w:w="60"/>
        <w:gridCol w:w="60"/>
        <w:gridCol w:w="845"/>
        <w:gridCol w:w="60"/>
        <w:gridCol w:w="60"/>
        <w:gridCol w:w="81"/>
        <w:gridCol w:w="1154"/>
        <w:gridCol w:w="60"/>
        <w:gridCol w:w="60"/>
        <w:gridCol w:w="84"/>
        <w:gridCol w:w="980"/>
        <w:gridCol w:w="84"/>
        <w:gridCol w:w="87"/>
        <w:gridCol w:w="60"/>
        <w:gridCol w:w="845"/>
        <w:gridCol w:w="60"/>
        <w:gridCol w:w="60"/>
      </w:tblGrid>
      <w:tr>
        <w:trPr/>
        <w:tc>
          <w:tcPr>
            <w:tcW w:w="4374" w:type="dxa"/>
            <w:tcBorders/>
            <w:shd w:fill="FFFFFF" w:val="clear"/>
            <w:vAlign w:val="bottom"/>
          </w:tcPr>
          <w:p>
            <w:pPr>
              <w:pStyle w:val="TableContents"/>
              <w:spacing w:before="0" w:after="0"/>
              <w:ind w:left="137" w:right="0" w:hanging="0"/>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NAME AND PRINCIPAL</w:t>
            </w:r>
          </w:p>
          <w:p>
            <w:pPr>
              <w:pStyle w:val="TableContents"/>
              <w:spacing w:before="0" w:after="0"/>
              <w:ind w:left="137" w:right="0" w:hanging="0"/>
              <w:rPr>
                <w:rFonts w:ascii="Open Sans SemiBold" w:hAnsi="Open Sans SemiBold"/>
                <w:b w:val="false"/>
                <w:i w:val="false"/>
                <w:caps w:val="false"/>
                <w:smallCaps w:val="false"/>
                <w:color w:val="004A7C"/>
                <w:sz w:val="16"/>
              </w:rPr>
            </w:pPr>
            <w:r>
              <w:rPr>
                <w:rFonts w:ascii="Open Sans SemiBold" w:hAnsi="Open Sans SemiBold"/>
                <w:b w:val="false"/>
                <w:i w:val="false"/>
                <w:caps w:val="false"/>
                <w:smallCaps w:val="false"/>
                <w:color w:val="004A7C"/>
                <w:sz w:val="16"/>
              </w:rPr>
              <w:t>2022 POSITIONS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Year</w:t>
            </w:r>
          </w:p>
        </w:tc>
        <w:tc>
          <w:tcPr>
            <w:tcW w:w="102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Salary</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102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Stock</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Awards</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w:t>
            </w:r>
          </w:p>
        </w:tc>
        <w:tc>
          <w:tcPr>
            <w:tcW w:w="1235"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Non-Equity</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Incentive Plan</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Compensation</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3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All Other</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Compensation</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w:t>
            </w:r>
          </w:p>
        </w:tc>
        <w:tc>
          <w:tcPr>
            <w:tcW w:w="102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w:t>
            </w:r>
          </w:p>
        </w:tc>
      </w:tr>
      <w:tr>
        <w:trPr/>
        <w:tc>
          <w:tcPr>
            <w:tcW w:w="437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54"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7"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top w:val="single" w:sz="6" w:space="0" w:color="D8E1E9"/>
              <w:bottom w:val="single" w:sz="6" w:space="0" w:color="000000"/>
            </w:tcBorders>
            <w:shd w:fill="D8E1E9" w:val="clear"/>
            <w:tcMar>
              <w:top w:w="28" w:type="dxa"/>
              <w:bottom w:w="28" w:type="dxa"/>
            </w:tcMar>
            <w:vAlign w:val="center"/>
          </w:tcPr>
          <w:p>
            <w:pPr>
              <w:pStyle w:val="TableContents"/>
              <w:spacing w:lineRule="auto" w:line="288" w:before="0" w:after="0"/>
              <w:ind w:left="137" w:right="0" w:hanging="0"/>
              <w:rPr>
                <w:rFonts w:ascii="Open Sans SemiBold" w:hAnsi="Open Sans SemiBold"/>
                <w:b/>
                <w:i w:val="false"/>
                <w:caps w:val="false"/>
                <w:smallCaps w:val="false"/>
                <w:color w:val="004A7C"/>
                <w:sz w:val="17"/>
              </w:rPr>
            </w:pPr>
            <w:r>
              <w:rPr>
                <w:rFonts w:ascii="Open Sans SemiBold" w:hAnsi="Open Sans SemiBold"/>
                <w:b/>
                <w:i w:val="false"/>
                <w:caps w:val="false"/>
                <w:smallCaps w:val="false"/>
                <w:color w:val="004A7C"/>
                <w:sz w:val="17"/>
              </w:rPr>
              <w:t>Jon Vander Ark</w:t>
            </w:r>
            <w:r>
              <w:rPr>
                <w:rFonts w:ascii="Open Sans" w:hAnsi="Open Sans"/>
                <w:b w:val="false"/>
                <w:i w:val="false"/>
                <w:caps w:val="false"/>
                <w:smallCaps w:val="false"/>
                <w:color w:val="004A7C"/>
                <w:sz w:val="17"/>
              </w:rPr>
              <w:t>(4)</w:t>
            </w:r>
          </w:p>
        </w:tc>
        <w:tc>
          <w:tcPr>
            <w:tcW w:w="60" w:type="dxa"/>
            <w:tcBorders>
              <w:top w:val="single" w:sz="6" w:space="0" w:color="D8E1E9"/>
              <w:bottom w:val="single" w:sz="6" w:space="0" w:color="000000"/>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2022</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1,075,000</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5,660,534</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2,849,000</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250,787</w:t>
            </w:r>
          </w:p>
        </w:tc>
        <w:tc>
          <w:tcPr>
            <w:tcW w:w="8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9,835,321</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President and Chief Executive</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2021</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906,539</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4,613,538</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2,191,780</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161,803</w:t>
            </w:r>
          </w:p>
        </w:tc>
        <w:tc>
          <w:tcPr>
            <w:tcW w:w="8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7,873,660</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Officer</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FFFFFF"/>
              <w:left w:val="single" w:sz="6" w:space="0" w:color="FFFFFF"/>
              <w:bottom w:val="single" w:sz="6" w:space="0" w:color="D8E1E9"/>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2020</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799,327</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2,555,906</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950,000</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4"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113,890</w:t>
            </w:r>
          </w:p>
        </w:tc>
        <w:tc>
          <w:tcPr>
            <w:tcW w:w="8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4,419,123</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bottom w:val="single" w:sz="6" w:space="0" w:color="000000"/>
            </w:tcBorders>
            <w:shd w:fill="FFFFFF" w:val="clear"/>
            <w:tcMar>
              <w:bottom w:w="28" w:type="dxa"/>
            </w:tcMar>
            <w:vAlign w:val="center"/>
          </w:tcPr>
          <w:p>
            <w:pPr>
              <w:pStyle w:val="TableContents"/>
              <w:spacing w:before="0" w:after="0"/>
              <w:ind w:left="137" w:right="0" w:hanging="0"/>
              <w:rPr>
                <w:rFonts w:ascii="Open Sans SemiBold" w:hAnsi="Open Sans SemiBold"/>
                <w:b/>
                <w:i w:val="false"/>
                <w:caps w:val="false"/>
                <w:smallCaps w:val="false"/>
                <w:color w:val="004A7C"/>
                <w:sz w:val="17"/>
              </w:rPr>
            </w:pPr>
            <w:r>
              <w:rPr>
                <w:rFonts w:ascii="Open Sans SemiBold" w:hAnsi="Open Sans SemiBold"/>
                <w:b/>
                <w:i w:val="false"/>
                <w:caps w:val="false"/>
                <w:smallCaps w:val="false"/>
                <w:color w:val="004A7C"/>
                <w:sz w:val="17"/>
              </w:rPr>
              <w:t>Brian M. DelGhiaccio</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2022</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610,866</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1,837,795</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FFFFFF"/>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1,380,550</w:t>
            </w:r>
          </w:p>
        </w:tc>
        <w:tc>
          <w:tcPr>
            <w:tcW w:w="60"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106,877</w:t>
            </w:r>
          </w:p>
        </w:tc>
        <w:tc>
          <w:tcPr>
            <w:tcW w:w="8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3,936,088</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FFFFFF"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Executive Vice President,</w:t>
            </w:r>
          </w:p>
        </w:tc>
        <w:tc>
          <w:tcPr>
            <w:tcW w:w="60" w:type="dxa"/>
            <w:tcBorders>
              <w:bottom w:val="single" w:sz="6" w:space="0" w:color="000000"/>
              <w:right w:val="single" w:sz="6" w:space="0" w:color="D8E1E9"/>
            </w:tcBorders>
            <w:shd w:fill="FFFFFF"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2021</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569,308</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1,485,304</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1,132,033</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94,760</w:t>
            </w:r>
          </w:p>
        </w:tc>
        <w:tc>
          <w:tcPr>
            <w:tcW w:w="8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3,281,405</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FFFFFF"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Chief Financial Officer</w:t>
            </w:r>
          </w:p>
        </w:tc>
        <w:tc>
          <w:tcPr>
            <w:tcW w:w="60" w:type="dxa"/>
            <w:tcBorders>
              <w:bottom w:val="single" w:sz="6" w:space="0" w:color="000000"/>
              <w:right w:val="single" w:sz="6" w:space="0" w:color="D8E1E9"/>
            </w:tcBorders>
            <w:shd w:fill="FFFFFF"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2020</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497,212</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862,926</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601,083</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4"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91,230</w:t>
            </w:r>
          </w:p>
        </w:tc>
        <w:tc>
          <w:tcPr>
            <w:tcW w:w="8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2,052,451</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lineRule="auto" w:line="288" w:before="0" w:after="0"/>
              <w:ind w:left="137" w:right="0" w:hanging="0"/>
              <w:rPr>
                <w:rFonts w:ascii="Open Sans SemiBold" w:hAnsi="Open Sans SemiBold"/>
                <w:b/>
                <w:i w:val="false"/>
                <w:caps w:val="false"/>
                <w:smallCaps w:val="false"/>
                <w:color w:val="004A7C"/>
                <w:sz w:val="17"/>
              </w:rPr>
            </w:pPr>
            <w:r>
              <w:rPr>
                <w:rFonts w:ascii="Open Sans SemiBold" w:hAnsi="Open Sans SemiBold"/>
                <w:b/>
                <w:i w:val="false"/>
                <w:caps w:val="false"/>
                <w:smallCaps w:val="false"/>
                <w:color w:val="004A7C"/>
                <w:sz w:val="17"/>
              </w:rPr>
              <w:t>Brian A. Bales(5)</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2022</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509,423</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1,033,815</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769,600</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104,150</w:t>
            </w:r>
          </w:p>
        </w:tc>
        <w:tc>
          <w:tcPr>
            <w:tcW w:w="8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2,416,988</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Executive Vice President,</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2021</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5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8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7"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Chief Development Officer</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FFFFFF"/>
              <w:left w:val="single" w:sz="6" w:space="0" w:color="FFFFFF"/>
              <w:bottom w:val="single" w:sz="6" w:space="0" w:color="D8E1E9"/>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2020</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5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8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7"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bottom w:val="single" w:sz="6" w:space="0" w:color="000000"/>
            </w:tcBorders>
            <w:shd w:fill="FFFFFF" w:val="clear"/>
            <w:tcMar>
              <w:bottom w:w="28" w:type="dxa"/>
            </w:tcMar>
            <w:vAlign w:val="center"/>
          </w:tcPr>
          <w:p>
            <w:pPr>
              <w:pStyle w:val="TableContents"/>
              <w:spacing w:before="0" w:after="0"/>
              <w:ind w:left="137" w:right="0" w:hanging="0"/>
              <w:rPr>
                <w:rFonts w:ascii="Open Sans SemiBold" w:hAnsi="Open Sans SemiBold"/>
                <w:b/>
                <w:i w:val="false"/>
                <w:caps w:val="false"/>
                <w:smallCaps w:val="false"/>
                <w:color w:val="004A7C"/>
                <w:sz w:val="17"/>
              </w:rPr>
            </w:pPr>
            <w:r>
              <w:rPr>
                <w:rFonts w:ascii="Open Sans SemiBold" w:hAnsi="Open Sans SemiBold"/>
                <w:b/>
                <w:i w:val="false"/>
                <w:caps w:val="false"/>
                <w:smallCaps w:val="false"/>
                <w:color w:val="004A7C"/>
                <w:sz w:val="17"/>
              </w:rPr>
              <w:t>Catharine D. Ellingsen</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2022</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558,077</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1,476,037</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843,600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111,230</w:t>
            </w:r>
          </w:p>
        </w:tc>
        <w:tc>
          <w:tcPr>
            <w:tcW w:w="8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2,988,944</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FFFFFF"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Executive Vice President, Chief Legal Officer, Chief</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2021</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544,654</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1,474,013</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872,000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100,268</w:t>
            </w:r>
          </w:p>
        </w:tc>
        <w:tc>
          <w:tcPr>
            <w:tcW w:w="8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2,990,935</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FFFFFF"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Ethics &amp; Compliance Officer and Corporate Secretary</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2020</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534,462</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1,360,545</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535,000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116,791</w:t>
            </w:r>
          </w:p>
        </w:tc>
        <w:tc>
          <w:tcPr>
            <w:tcW w:w="8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2,546,798</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SemiBold" w:hAnsi="Open Sans SemiBold"/>
                <w:b/>
                <w:i w:val="false"/>
                <w:caps w:val="false"/>
                <w:smallCaps w:val="false"/>
                <w:color w:val="004A7C"/>
                <w:sz w:val="17"/>
              </w:rPr>
            </w:pPr>
            <w:r>
              <w:rPr>
                <w:rFonts w:ascii="Open Sans SemiBold" w:hAnsi="Open Sans SemiBold"/>
                <w:b/>
                <w:i w:val="false"/>
                <w:caps w:val="false"/>
                <w:smallCaps w:val="false"/>
                <w:color w:val="004A7C"/>
                <w:sz w:val="17"/>
              </w:rPr>
              <w:t>Timothy E. Stuart</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2022</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680,481</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2,334,395</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1,157,176</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109,672</w:t>
            </w:r>
          </w:p>
        </w:tc>
        <w:tc>
          <w:tcPr>
            <w:tcW w:w="8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4,281,724</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Executive Vice President,</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2021</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664,481</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2,368,419</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1,197,000</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98,529</w:t>
            </w:r>
          </w:p>
        </w:tc>
        <w:tc>
          <w:tcPr>
            <w:tcW w:w="8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4,328,429</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4374" w:type="dxa"/>
            <w:tcBorders>
              <w:bottom w:val="single" w:sz="6" w:space="0" w:color="000000"/>
            </w:tcBorders>
            <w:shd w:fill="D8E1E9" w:val="clear"/>
            <w:tcMar>
              <w:bottom w:w="28" w:type="dxa"/>
            </w:tcMar>
            <w:vAlign w:val="center"/>
          </w:tcPr>
          <w:p>
            <w:pPr>
              <w:pStyle w:val="TableContents"/>
              <w:spacing w:before="0" w:after="0"/>
              <w:ind w:left="13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Chief Operating Officer</w:t>
            </w:r>
          </w:p>
        </w:tc>
        <w:tc>
          <w:tcPr>
            <w:tcW w:w="60" w:type="dxa"/>
            <w:tcBorders>
              <w:bottom w:val="single" w:sz="6" w:space="0" w:color="000000"/>
              <w:right w:val="single" w:sz="6" w:space="0" w:color="FFFFFF"/>
            </w:tcBorders>
            <w:shd w:fill="D8E1E9" w:val="clear"/>
            <w:tcMar>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44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2020</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649,327</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2,196,069</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5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690,625</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4"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98,619</w:t>
            </w:r>
          </w:p>
        </w:tc>
        <w:tc>
          <w:tcPr>
            <w:tcW w:w="8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7"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3,634,640</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bl>
    <w:p>
      <w:pPr>
        <w:pStyle w:val="TextBody"/>
        <w:spacing w:before="0" w:after="0"/>
        <w:rPr/>
      </w:pPr>
      <w:r>
        <w:rPr/>
        <w:t> </w:t>
      </w:r>
    </w:p>
    <w:tbl>
      <w:tblPr>
        <w:tblW w:w="3891" w:type="dxa"/>
        <w:jc w:val="left"/>
        <w:tblInd w:w="0" w:type="dxa"/>
        <w:tblCellMar>
          <w:top w:w="0" w:type="dxa"/>
          <w:left w:w="0" w:type="dxa"/>
          <w:bottom w:w="0" w:type="dxa"/>
          <w:right w:w="0" w:type="dxa"/>
        </w:tblCellMar>
      </w:tblPr>
      <w:tblGrid>
        <w:gridCol w:w="241"/>
        <w:gridCol w:w="3650"/>
      </w:tblGrid>
      <w:tr>
        <w:trPr/>
        <w:tc>
          <w:tcPr>
            <w:tcW w:w="241"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(1)</w:t>
            </w:r>
          </w:p>
        </w:tc>
        <w:tc>
          <w:tcPr>
            <w:tcW w:w="3650"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Amounts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reflect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base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salary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paid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year.</w:t>
            </w:r>
          </w:p>
        </w:tc>
      </w:tr>
    </w:tbl>
    <w:tbl>
      <w:tblPr>
        <w:tblW w:w="10539" w:type="dxa"/>
        <w:jc w:val="left"/>
        <w:tblInd w:w="0" w:type="dxa"/>
        <w:tblCellMar>
          <w:top w:w="0" w:type="dxa"/>
          <w:left w:w="0" w:type="dxa"/>
          <w:bottom w:w="0" w:type="dxa"/>
          <w:right w:w="0" w:type="dxa"/>
        </w:tblCellMar>
      </w:tblPr>
      <w:tblGrid>
        <w:gridCol w:w="190"/>
        <w:gridCol w:w="10349"/>
      </w:tblGrid>
      <w:tr>
        <w:trPr/>
        <w:tc>
          <w:tcPr>
            <w:tcW w:w="190"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(2)</w:t>
            </w:r>
          </w:p>
        </w:tc>
        <w:tc>
          <w:tcPr>
            <w:tcW w:w="10349"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Included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Stock</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column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grant date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fair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values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RSU and PSU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granted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2022,</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2021</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2020,</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determined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accordance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with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FASB</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ASC</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Topic</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718.</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Note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12</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Consolidated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Financial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Statements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included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our Form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10-K</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fiscal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year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ended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December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31,</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2022 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discussion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relevant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assumptions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used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calculating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grant date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fair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value.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The amounts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shown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table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above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reflect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grant date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fair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value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not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correspond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actual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value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will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be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realized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by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NEOs.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For purposes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calculating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grant date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fair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value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PSU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have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assumed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will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achieve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target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performance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levels. The grant date fair values of the PSU awards have been restated from prior year disclosures.</w:t>
            </w:r>
          </w:p>
        </w:tc>
      </w:tr>
    </w:tbl>
    <w:tbl>
      <w:tblPr>
        <w:tblW w:w="10539" w:type="dxa"/>
        <w:jc w:val="left"/>
        <w:tblInd w:w="0" w:type="dxa"/>
        <w:tblCellMar>
          <w:top w:w="0" w:type="dxa"/>
          <w:left w:w="0" w:type="dxa"/>
          <w:bottom w:w="0" w:type="dxa"/>
          <w:right w:w="0" w:type="dxa"/>
        </w:tblCellMar>
      </w:tblPr>
      <w:tblGrid>
        <w:gridCol w:w="190"/>
        <w:gridCol w:w="10349"/>
      </w:tblGrid>
      <w:tr>
        <w:trPr/>
        <w:tc>
          <w:tcPr>
            <w:tcW w:w="190"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(3)</w:t>
            </w:r>
          </w:p>
        </w:tc>
        <w:tc>
          <w:tcPr>
            <w:tcW w:w="10349"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The amounts shown for each of the years reflect the annual cash incentive earned for the year and, if applicable, the three-year long-term cash incentive earned for the performance cycle that ended in that year. At the time of his promotion to Executive Vice President, Chief Financial Officer in June 2020, Mr. DelGhiaccio was granted long-term cash incentives (“Supplemental LTIP”) for the 2018-2020, 2019-2021, and 2020-2022 performance periods. The Supplemental LTIP awards were granted in addition to his PSU and annual cash incentive awards for the applicable performance periods and increased his target awards for such periods to take into account his time in his new role for a portion of the applicable performance periods.</w:t>
            </w:r>
          </w:p>
        </w:tc>
      </w:tr>
    </w:tbl>
    <w:tbl>
      <w:tblPr>
        <w:tblW w:w="7480" w:type="dxa"/>
        <w:jc w:val="left"/>
        <w:tblInd w:w="0" w:type="dxa"/>
        <w:tblCellMar>
          <w:top w:w="0" w:type="dxa"/>
          <w:left w:w="0" w:type="dxa"/>
          <w:bottom w:w="0" w:type="dxa"/>
          <w:right w:w="0" w:type="dxa"/>
        </w:tblCellMar>
      </w:tblPr>
      <w:tblGrid>
        <w:gridCol w:w="241"/>
        <w:gridCol w:w="7239"/>
      </w:tblGrid>
      <w:tr>
        <w:trPr/>
        <w:tc>
          <w:tcPr>
            <w:tcW w:w="241"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(4)</w:t>
            </w:r>
          </w:p>
        </w:tc>
        <w:tc>
          <w:tcPr>
            <w:tcW w:w="7239"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 xml:space="preserve">Mr. Vander Ark was named President and Chief Executive Officer effective June 25, 2021. </w:t>
            </w:r>
          </w:p>
        </w:tc>
      </w:tr>
    </w:tbl>
    <w:tbl>
      <w:tblPr>
        <w:tblW w:w="3818" w:type="dxa"/>
        <w:jc w:val="left"/>
        <w:tblInd w:w="0" w:type="dxa"/>
        <w:tblCellMar>
          <w:top w:w="0" w:type="dxa"/>
          <w:left w:w="0" w:type="dxa"/>
          <w:bottom w:w="0" w:type="dxa"/>
          <w:right w:w="0" w:type="dxa"/>
        </w:tblCellMar>
      </w:tblPr>
      <w:tblGrid>
        <w:gridCol w:w="241"/>
        <w:gridCol w:w="3577"/>
      </w:tblGrid>
      <w:tr>
        <w:trPr/>
        <w:tc>
          <w:tcPr>
            <w:tcW w:w="241"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(5)</w:t>
            </w:r>
          </w:p>
        </w:tc>
        <w:tc>
          <w:tcPr>
            <w:tcW w:w="3577"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Mr. Bales was not an NEO in 2020 and 2021.</w:t>
            </w:r>
          </w:p>
        </w:tc>
      </w:tr>
    </w:tbl>
    <w:p>
      <w:pPr>
        <w:pStyle w:val="TextBody"/>
        <w:spacing w:before="0" w:after="0"/>
        <w:rPr/>
      </w:pPr>
      <w:r>
        <w:rPr/>
        <w:t> </w:t>
      </w:r>
    </w:p>
    <w:p>
      <w:pPr>
        <w:pStyle w:val="TextBody"/>
        <w:spacing w:before="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non-equity incentive plan compensation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below:</w:t>
      </w:r>
    </w:p>
    <w:p>
      <w:pPr>
        <w:pStyle w:val="TextBody"/>
        <w:spacing w:before="0" w:after="0"/>
        <w:rPr/>
      </w:pPr>
      <w:r>
        <w:rPr/>
        <w:t> </w:t>
      </w:r>
    </w:p>
    <w:tbl>
      <w:tblPr>
        <w:tblW w:w="6265" w:type="dxa"/>
        <w:jc w:val="left"/>
        <w:tblInd w:w="0" w:type="dxa"/>
        <w:tblCellMar>
          <w:top w:w="0" w:type="dxa"/>
          <w:left w:w="0" w:type="dxa"/>
          <w:bottom w:w="0" w:type="dxa"/>
          <w:right w:w="0" w:type="dxa"/>
        </w:tblCellMar>
      </w:tblPr>
      <w:tblGrid>
        <w:gridCol w:w="1850"/>
        <w:gridCol w:w="60"/>
        <w:gridCol w:w="112"/>
        <w:gridCol w:w="1586"/>
        <w:gridCol w:w="112"/>
        <w:gridCol w:w="112"/>
        <w:gridCol w:w="60"/>
        <w:gridCol w:w="158"/>
        <w:gridCol w:w="1838"/>
        <w:gridCol w:w="158"/>
        <w:gridCol w:w="159"/>
        <w:gridCol w:w="60"/>
      </w:tblGrid>
      <w:tr>
        <w:trPr/>
        <w:tc>
          <w:tcPr>
            <w:tcW w:w="185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922" w:type="dxa"/>
            <w:gridSpan w:val="4"/>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2022 ANNUAL</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CASH INCENTIVE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313" w:type="dxa"/>
            <w:gridSpan w:val="4"/>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2020 – 2022</w:t>
            </w:r>
          </w:p>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SUPPLEMENTAL LTIP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86"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bottom w:val="single" w:sz="6" w:space="0" w:color="D8E1E9"/>
              <w:right w:val="single" w:sz="6" w:space="0" w:color="FFFFFF"/>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2" w:type="dxa"/>
            <w:tcBorders>
              <w:left w:val="single" w:sz="6" w:space="0" w:color="FFFFFF"/>
              <w:bottom w:val="single" w:sz="6" w:space="0" w:color="D8E1E9"/>
            </w:tcBorders>
            <w:shd w:fill="FFFFFF" w:val="clear"/>
            <w:tcMar>
              <w:left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83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8" w:type="dxa"/>
            <w:tcBorders>
              <w:bottom w:val="single" w:sz="6" w:space="0" w:color="D8E1E9"/>
              <w:right w:val="single" w:sz="6" w:space="0" w:color="FFFFFF"/>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left w:val="single" w:sz="6" w:space="0" w:color="FFFFFF"/>
              <w:bottom w:val="single" w:sz="6" w:space="0" w:color="D8E1E9"/>
            </w:tcBorders>
            <w:shd w:fill="FFFFFF" w:val="clear"/>
            <w:tcMar>
              <w:left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bottom w:val="single" w:sz="6" w:space="0" w:color="FFFFFF"/>
            </w:tcBorders>
            <w:shd w:fill="D8E1E9"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60" w:type="dxa"/>
            <w:tcBorders>
              <w:bottom w:val="single" w:sz="6" w:space="0" w:color="FFFFFF"/>
              <w:right w:val="single" w:sz="6" w:space="0" w:color="D8E1E9"/>
            </w:tcBorders>
            <w:shd w:fill="D8E1E9" w:val="clear"/>
            <w:tcMar>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58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2,849,000</w:t>
            </w:r>
          </w:p>
        </w:tc>
        <w:tc>
          <w:tcPr>
            <w:tcW w:w="112" w:type="dxa"/>
            <w:tcBorders>
              <w:top w:val="single" w:sz="6" w:space="0" w:color="D8E1E9"/>
              <w:bottom w:val="single" w:sz="6" w:space="0" w:color="D8E1E9"/>
              <w:right w:val="single" w:sz="6" w:space="0" w:color="FFFFFF"/>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2"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996"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58"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58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982,813</w:t>
            </w:r>
          </w:p>
        </w:tc>
        <w:tc>
          <w:tcPr>
            <w:tcW w:w="112" w:type="dxa"/>
            <w:tcBorders>
              <w:top w:val="single" w:sz="6" w:space="0" w:color="D8E1E9"/>
              <w:bottom w:val="single" w:sz="6" w:space="0" w:color="D8E1E9"/>
              <w:right w:val="single" w:sz="6" w:space="0" w:color="FFFFFF"/>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2"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8"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83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397,737</w:t>
            </w:r>
          </w:p>
        </w:tc>
        <w:tc>
          <w:tcPr>
            <w:tcW w:w="158"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59"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58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769,600</w:t>
            </w:r>
          </w:p>
        </w:tc>
        <w:tc>
          <w:tcPr>
            <w:tcW w:w="112" w:type="dxa"/>
            <w:tcBorders>
              <w:top w:val="single" w:sz="6" w:space="0" w:color="D8E1E9"/>
              <w:bottom w:val="single" w:sz="6" w:space="0" w:color="D8E1E9"/>
              <w:right w:val="single" w:sz="6" w:space="0" w:color="FFFFFF"/>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2"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996"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58"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58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843,600</w:t>
            </w:r>
          </w:p>
        </w:tc>
        <w:tc>
          <w:tcPr>
            <w:tcW w:w="112" w:type="dxa"/>
            <w:tcBorders>
              <w:top w:val="single" w:sz="6" w:space="0" w:color="D8E1E9"/>
              <w:bottom w:val="single" w:sz="6" w:space="0" w:color="D8E1E9"/>
              <w:right w:val="single" w:sz="6" w:space="0" w:color="FFFFFF"/>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2"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996"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58"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58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1,157,176</w:t>
            </w:r>
          </w:p>
        </w:tc>
        <w:tc>
          <w:tcPr>
            <w:tcW w:w="112" w:type="dxa"/>
            <w:tcBorders>
              <w:top w:val="single" w:sz="6" w:space="0" w:color="D8E1E9"/>
              <w:bottom w:val="single" w:sz="6" w:space="0" w:color="D8E1E9"/>
              <w:right w:val="single" w:sz="6" w:space="0" w:color="FFFFFF"/>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2"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996" w:type="dxa"/>
            <w:gridSpan w:val="2"/>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w:t>
            </w:r>
          </w:p>
        </w:tc>
        <w:tc>
          <w:tcPr>
            <w:tcW w:w="158"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71</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91" w:name="ALL_OR_COMPENSATION_FOR_2018"/>
      <w:bookmarkEnd w:id="91"/>
      <w:r>
        <w:rPr>
          <w:rFonts w:ascii="Open Sans" w:hAnsi="Open Sans"/>
          <w:b/>
          <w:i w:val="false"/>
          <w:caps w:val="false"/>
          <w:smallCaps w:val="false"/>
          <w:color w:val="004A7C"/>
          <w:sz w:val="27"/>
        </w:rPr>
        <w:t>All Other Compensation for 2022</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672"/>
        <w:gridCol w:w="104"/>
        <w:gridCol w:w="1034"/>
        <w:gridCol w:w="104"/>
        <w:gridCol w:w="105"/>
        <w:gridCol w:w="97"/>
        <w:gridCol w:w="963"/>
        <w:gridCol w:w="97"/>
        <w:gridCol w:w="98"/>
        <w:gridCol w:w="85"/>
        <w:gridCol w:w="998"/>
        <w:gridCol w:w="85"/>
        <w:gridCol w:w="88"/>
        <w:gridCol w:w="136"/>
        <w:gridCol w:w="766"/>
        <w:gridCol w:w="136"/>
        <w:gridCol w:w="138"/>
        <w:gridCol w:w="220"/>
        <w:gridCol w:w="2174"/>
        <w:gridCol w:w="220"/>
        <w:gridCol w:w="224"/>
        <w:gridCol w:w="72"/>
        <w:gridCol w:w="849"/>
        <w:gridCol w:w="74"/>
      </w:tblGrid>
      <w:tr>
        <w:trPr/>
        <w:tc>
          <w:tcPr>
            <w:tcW w:w="1672"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1347"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Matching</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Contribution</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 401(k) Plan ($)</w:t>
            </w:r>
          </w:p>
        </w:tc>
        <w:tc>
          <w:tcPr>
            <w:tcW w:w="125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Matching</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Contribution to</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Compensation</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Plan ($)</w:t>
            </w:r>
          </w:p>
        </w:tc>
        <w:tc>
          <w:tcPr>
            <w:tcW w:w="1256"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Retirement</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Contribution to</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Compensation</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Plan ($)</w:t>
            </w:r>
          </w:p>
        </w:tc>
        <w:tc>
          <w:tcPr>
            <w:tcW w:w="1176"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Value of</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Life Insurance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Premiums ($)</w:t>
            </w:r>
          </w:p>
        </w:tc>
        <w:tc>
          <w:tcPr>
            <w:tcW w:w="2838"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Perquisites and Other Personal Benefits</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921" w:type="dxa"/>
            <w:gridSpan w:val="2"/>
            <w:tcBorders/>
            <w:shd w:fill="FFFFFF" w:val="clear"/>
            <w:vAlign w:val="bottom"/>
          </w:tcPr>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($)(2)</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72"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0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034"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0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0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3"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9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3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174"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24"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2"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4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72" w:type="dxa"/>
            <w:tcBorders>
              <w:top w:val="single" w:sz="6" w:space="0" w:color="D8E1E9"/>
              <w:bottom w:val="single" w:sz="6" w:space="0" w:color="FFFFFF"/>
              <w:right w:val="single" w:sz="6" w:space="0" w:color="D8E1E9"/>
            </w:tcBorders>
            <w:shd w:fill="D8E1E9" w:val="clear"/>
            <w:tcMar>
              <w:top w:w="28" w:type="dxa"/>
              <w:bottom w:w="28"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104"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3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12,200</w:t>
            </w:r>
          </w:p>
        </w:tc>
        <w:tc>
          <w:tcPr>
            <w:tcW w:w="10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63"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83,094</w:t>
            </w:r>
          </w:p>
        </w:tc>
        <w:tc>
          <w:tcPr>
            <w:tcW w:w="97"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9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100,000</w:t>
            </w:r>
          </w:p>
        </w:tc>
        <w:tc>
          <w:tcPr>
            <w:tcW w:w="85"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6"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760</w:t>
            </w:r>
          </w:p>
        </w:tc>
        <w:tc>
          <w:tcPr>
            <w:tcW w:w="13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3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17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54,733</w:t>
            </w:r>
          </w:p>
        </w:tc>
        <w:tc>
          <w:tcPr>
            <w:tcW w:w="22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2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2"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849"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250,787</w:t>
            </w:r>
          </w:p>
        </w:tc>
        <w:tc>
          <w:tcPr>
            <w:tcW w:w="7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672" w:type="dxa"/>
            <w:tcBorders>
              <w:top w:val="single" w:sz="6" w:space="0" w:color="FFFFFF"/>
              <w:bottom w:val="single" w:sz="6" w:space="0" w:color="FFFFFF"/>
              <w:right w:val="single" w:sz="6" w:space="0" w:color="D8E1E9"/>
            </w:tcBorders>
            <w:shd w:fill="D8E1E9" w:val="clear"/>
            <w:tcMar>
              <w:top w:w="28" w:type="dxa"/>
              <w:bottom w:w="28"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104"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3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12,200</w:t>
            </w:r>
          </w:p>
        </w:tc>
        <w:tc>
          <w:tcPr>
            <w:tcW w:w="10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63"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28,998</w:t>
            </w:r>
          </w:p>
        </w:tc>
        <w:tc>
          <w:tcPr>
            <w:tcW w:w="97"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9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65,000</w:t>
            </w:r>
          </w:p>
        </w:tc>
        <w:tc>
          <w:tcPr>
            <w:tcW w:w="85"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36"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679</w:t>
            </w:r>
          </w:p>
        </w:tc>
        <w:tc>
          <w:tcPr>
            <w:tcW w:w="13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3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17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2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2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72"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849"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106,877</w:t>
            </w:r>
          </w:p>
        </w:tc>
        <w:tc>
          <w:tcPr>
            <w:tcW w:w="7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672"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104"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3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12,200</w:t>
            </w:r>
          </w:p>
        </w:tc>
        <w:tc>
          <w:tcPr>
            <w:tcW w:w="10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63"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26,385</w:t>
            </w:r>
          </w:p>
        </w:tc>
        <w:tc>
          <w:tcPr>
            <w:tcW w:w="97"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9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65,000</w:t>
            </w:r>
          </w:p>
        </w:tc>
        <w:tc>
          <w:tcPr>
            <w:tcW w:w="85"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36"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565</w:t>
            </w:r>
          </w:p>
        </w:tc>
        <w:tc>
          <w:tcPr>
            <w:tcW w:w="13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3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17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2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2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72"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849"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104,150</w:t>
            </w:r>
          </w:p>
        </w:tc>
        <w:tc>
          <w:tcPr>
            <w:tcW w:w="7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672" w:type="dxa"/>
            <w:tcBorders>
              <w:top w:val="single" w:sz="6" w:space="0" w:color="FFFFFF"/>
              <w:bottom w:val="single" w:sz="6" w:space="0" w:color="FFFFFF"/>
              <w:right w:val="single" w:sz="6" w:space="0" w:color="D8E1E9"/>
            </w:tcBorders>
            <w:shd w:fill="D8E1E9" w:val="clear"/>
            <w:tcMar>
              <w:top w:w="28" w:type="dxa"/>
              <w:bottom w:w="28"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104"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3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12,200</w:t>
            </w:r>
          </w:p>
        </w:tc>
        <w:tc>
          <w:tcPr>
            <w:tcW w:w="10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63"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33,411</w:t>
            </w:r>
          </w:p>
        </w:tc>
        <w:tc>
          <w:tcPr>
            <w:tcW w:w="97"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9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65,000</w:t>
            </w:r>
          </w:p>
        </w:tc>
        <w:tc>
          <w:tcPr>
            <w:tcW w:w="85"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6"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619</w:t>
            </w:r>
          </w:p>
        </w:tc>
        <w:tc>
          <w:tcPr>
            <w:tcW w:w="13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3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17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2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2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2"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849"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111,230</w:t>
            </w:r>
          </w:p>
        </w:tc>
        <w:tc>
          <w:tcPr>
            <w:tcW w:w="7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672" w:type="dxa"/>
            <w:tcBorders>
              <w:top w:val="single" w:sz="6" w:space="0" w:color="FFFFFF"/>
              <w:bottom w:val="single" w:sz="6" w:space="0" w:color="D8E1E9"/>
              <w:right w:val="single" w:sz="6" w:space="0" w:color="D8E1E9"/>
            </w:tcBorders>
            <w:shd w:fill="D8E1E9" w:val="clear"/>
            <w:tcMar>
              <w:top w:w="28" w:type="dxa"/>
              <w:bottom w:w="28" w:type="dxa"/>
              <w:right w:w="28" w:type="dxa"/>
            </w:tcMa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104"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3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12,200</w:t>
            </w:r>
          </w:p>
        </w:tc>
        <w:tc>
          <w:tcPr>
            <w:tcW w:w="10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05"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7"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63"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31,717</w:t>
            </w:r>
          </w:p>
        </w:tc>
        <w:tc>
          <w:tcPr>
            <w:tcW w:w="97"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9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9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65,000</w:t>
            </w:r>
          </w:p>
        </w:tc>
        <w:tc>
          <w:tcPr>
            <w:tcW w:w="85"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6"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76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755</w:t>
            </w:r>
          </w:p>
        </w:tc>
        <w:tc>
          <w:tcPr>
            <w:tcW w:w="136"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138"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20"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17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2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22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2"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c>
          <w:tcPr>
            <w:tcW w:w="849"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109,672</w:t>
            </w:r>
          </w:p>
        </w:tc>
        <w:tc>
          <w:tcPr>
            <w:tcW w:w="74"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97C"/>
              </w:rPr>
            </w:pPr>
            <w:r>
              <w:rPr>
                <w:caps w:val="false"/>
                <w:smallCaps w:val="false"/>
                <w:color w:val="0049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91"/>
        <w:gridCol w:w="10348"/>
      </w:tblGrid>
      <w:tr>
        <w:trPr/>
        <w:tc>
          <w:tcPr>
            <w:tcW w:w="191"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(1)</w:t>
            </w:r>
          </w:p>
        </w:tc>
        <w:tc>
          <w:tcPr>
            <w:tcW w:w="10348"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Includes perquisites and personal benefits received by an NEO, to the extent that the total value of such perquisites and personal benefits was at least $10,000. The amounts shown for Mr. Vander Ark reflect the incremental cost of providing Company-owned aircraft for non-business travel. This valuation differs from the valuation under applicable tax guidelines. Aggregate incremental cost includes the cost of in-flight catering, landing and ground handling fees, hangar or parking costs, and fuel costs based on the average annual cost of fuel per hour flown. Fixed costs that do not change based on usage are not included.</w:t>
            </w:r>
          </w:p>
        </w:tc>
      </w:tr>
    </w:tbl>
    <w:tbl>
      <w:tblPr>
        <w:tblW w:w="10539" w:type="dxa"/>
        <w:jc w:val="left"/>
        <w:tblInd w:w="0" w:type="dxa"/>
        <w:tblCellMar>
          <w:top w:w="0" w:type="dxa"/>
          <w:left w:w="0" w:type="dxa"/>
          <w:bottom w:w="0" w:type="dxa"/>
          <w:right w:w="0" w:type="dxa"/>
        </w:tblCellMar>
      </w:tblPr>
      <w:tblGrid>
        <w:gridCol w:w="210"/>
        <w:gridCol w:w="10329"/>
      </w:tblGrid>
      <w:tr>
        <w:trPr/>
        <w:tc>
          <w:tcPr>
            <w:tcW w:w="210"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(2)</w:t>
            </w:r>
          </w:p>
        </w:tc>
        <w:tc>
          <w:tcPr>
            <w:tcW w:w="10329"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NEOs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other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executives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entitled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participate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concierge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medical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services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program</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estimated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participant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$162. 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4"/>
                <w:sz w:val="16"/>
              </w:rPr>
              <w:t>cost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i</w:t>
            </w:r>
            <w:r>
              <w:rPr>
                <w:rFonts w:ascii="Open Sans" w:hAnsi="Open Sans"/>
                <w:b w:val="false"/>
                <w:i w:val="false"/>
                <w:caps w:val="false"/>
                <w:smallCaps w:val="false"/>
                <w:spacing w:val="-4"/>
                <w:sz w:val="16"/>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pai</w:t>
            </w:r>
            <w:r>
              <w:rPr>
                <w:rFonts w:ascii="Open Sans" w:hAnsi="Open Sans"/>
                <w:b w:val="false"/>
                <w:i w:val="false"/>
                <w:caps w:val="false"/>
                <w:smallCaps w:val="false"/>
                <w:spacing w:val="-4"/>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b</w:t>
            </w:r>
            <w:r>
              <w:rPr>
                <w:rFonts w:ascii="Open Sans" w:hAnsi="Open Sans"/>
                <w:b w:val="false"/>
                <w:i w:val="false"/>
                <w:caps w:val="false"/>
                <w:smallCaps w:val="false"/>
                <w:spacing w:val="-4"/>
                <w:sz w:val="16"/>
              </w:rPr>
              <w: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Compan</w:t>
            </w:r>
            <w:r>
              <w:rPr>
                <w:rFonts w:ascii="Open Sans" w:hAnsi="Open Sans"/>
                <w:b w:val="false"/>
                <w:i w:val="false"/>
                <w:caps w:val="false"/>
                <w:smallCaps w:val="false"/>
                <w:spacing w:val="-4"/>
                <w:sz w:val="16"/>
              </w:rPr>
              <w: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pacing w:val="-4"/>
                <w:sz w:val="16"/>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behal</w:t>
            </w:r>
            <w:r>
              <w:rPr>
                <w:rFonts w:ascii="Open Sans" w:hAnsi="Open Sans"/>
                <w:b w:val="false"/>
                <w:i w:val="false"/>
                <w:caps w:val="false"/>
                <w:smallCaps w:val="false"/>
                <w:spacing w:val="-4"/>
                <w:sz w:val="16"/>
              </w:rPr>
              <w:t>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pacing w:val="-4"/>
                <w:sz w:val="16"/>
              </w:rPr>
              <w:t>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participan</w:t>
            </w:r>
            <w:r>
              <w:rPr>
                <w:rFonts w:ascii="Open Sans" w:hAnsi="Open Sans"/>
                <w:b w:val="false"/>
                <w:i w:val="false"/>
                <w:caps w:val="false"/>
                <w:smallCaps w:val="false"/>
                <w:spacing w:val="-4"/>
                <w:sz w:val="16"/>
              </w:rPr>
              <w:t>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an</w:t>
            </w:r>
            <w:r>
              <w:rPr>
                <w:rFonts w:ascii="Open Sans" w:hAnsi="Open Sans"/>
                <w:b w:val="false"/>
                <w:i w:val="false"/>
                <w:caps w:val="false"/>
                <w:smallCaps w:val="false"/>
                <w:spacing w:val="-4"/>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i</w:t>
            </w:r>
            <w:r>
              <w:rPr>
                <w:rFonts w:ascii="Open Sans" w:hAnsi="Open Sans"/>
                <w:b w:val="false"/>
                <w:i w:val="false"/>
                <w:caps w:val="false"/>
                <w:smallCaps w:val="false"/>
                <w:spacing w:val="-4"/>
                <w:sz w:val="16"/>
              </w:rPr>
              <w:t>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5"/>
                <w:sz w:val="16"/>
              </w:rPr>
              <w:t>i</w:t>
            </w:r>
            <w:r>
              <w:rPr>
                <w:rFonts w:ascii="Open Sans" w:hAnsi="Open Sans"/>
                <w:b w:val="false"/>
                <w:i w:val="false"/>
                <w:caps w:val="false"/>
                <w:smallCaps w:val="false"/>
                <w:spacing w:val="-4"/>
                <w:sz w:val="16"/>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no</w:t>
            </w:r>
            <w:r>
              <w:rPr>
                <w:rFonts w:ascii="Open Sans" w:hAnsi="Open Sans"/>
                <w:b w:val="false"/>
                <w:i w:val="false"/>
                <w:caps w:val="false"/>
                <w:smallCaps w:val="false"/>
                <w:spacing w:val="-4"/>
                <w:sz w:val="16"/>
              </w:rPr>
              <w:t>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include</w:t>
            </w:r>
            <w:r>
              <w:rPr>
                <w:rFonts w:ascii="Open Sans" w:hAnsi="Open Sans"/>
                <w:b w:val="false"/>
                <w:i w:val="false"/>
                <w:caps w:val="false"/>
                <w:smallCaps w:val="false"/>
                <w:spacing w:val="-4"/>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i</w:t>
            </w:r>
            <w:r>
              <w:rPr>
                <w:rFonts w:ascii="Open Sans" w:hAnsi="Open Sans"/>
                <w:b w:val="false"/>
                <w:i w:val="false"/>
                <w:caps w:val="false"/>
                <w:smallCaps w:val="false"/>
                <w:spacing w:val="-4"/>
                <w:sz w:val="16"/>
              </w:rPr>
              <w:t>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tabl</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show</w:t>
            </w:r>
            <w:r>
              <w:rPr>
                <w:rFonts w:ascii="Open Sans" w:hAnsi="Open Sans"/>
                <w:b w:val="false"/>
                <w:i w:val="false"/>
                <w:caps w:val="false"/>
                <w:smallCaps w:val="false"/>
                <w:spacing w:val="-4"/>
                <w:sz w:val="16"/>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above.</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72</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92" w:name="GRANTS_PLANBASED_AWARDS_IN_2018"/>
      <w:bookmarkEnd w:id="92"/>
      <w:r>
        <w:rPr>
          <w:rFonts w:ascii="Open Sans" w:hAnsi="Open Sans"/>
          <w:b/>
          <w:i w:val="false"/>
          <w:caps w:val="false"/>
          <w:smallCaps w:val="false"/>
          <w:color w:val="004A7C"/>
          <w:sz w:val="27"/>
        </w:rPr>
        <w:t>Grants of Plan-Based Awards in 2022</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concerning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 under</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Plan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SIP.</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regarding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plans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 Discussion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Analysis.</w:t>
      </w:r>
    </w:p>
    <w:p>
      <w:pPr>
        <w:pStyle w:val="TextBody"/>
        <w:spacing w:before="0" w:after="0"/>
        <w:rPr/>
      </w:pPr>
      <w:r>
        <w:rPr/>
        <w:t> </w:t>
      </w:r>
    </w:p>
    <w:tbl>
      <w:tblPr>
        <w:tblW w:w="10028" w:type="dxa"/>
        <w:jc w:val="left"/>
        <w:tblInd w:w="0" w:type="dxa"/>
        <w:tblCellMar>
          <w:top w:w="0" w:type="dxa"/>
          <w:left w:w="0" w:type="dxa"/>
          <w:bottom w:w="0" w:type="dxa"/>
          <w:right w:w="0" w:type="dxa"/>
        </w:tblCellMar>
      </w:tblPr>
      <w:tblGrid>
        <w:gridCol w:w="935"/>
        <w:gridCol w:w="60"/>
        <w:gridCol w:w="1610"/>
        <w:gridCol w:w="60"/>
        <w:gridCol w:w="740"/>
        <w:gridCol w:w="60"/>
        <w:gridCol w:w="60"/>
        <w:gridCol w:w="605"/>
        <w:gridCol w:w="60"/>
        <w:gridCol w:w="60"/>
        <w:gridCol w:w="60"/>
        <w:gridCol w:w="740"/>
        <w:gridCol w:w="60"/>
        <w:gridCol w:w="60"/>
        <w:gridCol w:w="60"/>
        <w:gridCol w:w="740"/>
        <w:gridCol w:w="60"/>
        <w:gridCol w:w="60"/>
        <w:gridCol w:w="71"/>
        <w:gridCol w:w="504"/>
        <w:gridCol w:w="61"/>
        <w:gridCol w:w="61"/>
        <w:gridCol w:w="61"/>
        <w:gridCol w:w="528"/>
        <w:gridCol w:w="61"/>
        <w:gridCol w:w="61"/>
        <w:gridCol w:w="61"/>
        <w:gridCol w:w="528"/>
        <w:gridCol w:w="60"/>
        <w:gridCol w:w="60"/>
        <w:gridCol w:w="69"/>
        <w:gridCol w:w="592"/>
        <w:gridCol w:w="69"/>
        <w:gridCol w:w="69"/>
        <w:gridCol w:w="66"/>
        <w:gridCol w:w="824"/>
        <w:gridCol w:w="66"/>
        <w:gridCol w:w="66"/>
      </w:tblGrid>
      <w:tr>
        <w:trPr/>
        <w:tc>
          <w:tcPr>
            <w:tcW w:w="93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10" w:type="dxa"/>
            <w:tcBorders/>
            <w:shd w:fill="FFFFFF" w:val="cle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4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505" w:type="dxa"/>
            <w:gridSpan w:val="10"/>
            <w:tcBorders>
              <w:left w:val="single" w:sz="6" w:space="0" w:color="004A7C"/>
            </w:tcBorders>
            <w:shd w:fill="FFFFFF" w:val="clear"/>
            <w:tcMar>
              <w:left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Estimated Future Payouts</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Under Non-Equity</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997" w:type="dxa"/>
            <w:gridSpan w:val="10"/>
            <w:tcBorders>
              <w:left w:val="single" w:sz="6" w:space="0" w:color="004A7C"/>
            </w:tcBorders>
            <w:shd w:fill="FFFFFF" w:val="clear"/>
            <w:tcMar>
              <w:left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Estimated Future Payouts</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Under Equity Incentive</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99" w:type="dxa"/>
            <w:gridSpan w:val="4"/>
            <w:tcBorders>
              <w:left w:val="single" w:sz="6" w:space="0" w:color="004A7C"/>
            </w:tcBorders>
            <w:shd w:fill="FFFFFF" w:val="clear"/>
            <w:tcMar>
              <w:left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All Other</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Stock</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Awards:</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Number of</w:t>
            </w:r>
          </w:p>
        </w:tc>
        <w:tc>
          <w:tcPr>
            <w:tcW w:w="1022" w:type="dxa"/>
            <w:gridSpan w:val="4"/>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Grant Date</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Fair Value</w:t>
            </w:r>
          </w:p>
        </w:tc>
      </w:tr>
      <w:tr>
        <w:trPr/>
        <w:tc>
          <w:tcPr>
            <w:tcW w:w="935"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10" w:type="dxa"/>
            <w:tcBorders/>
            <w:shd w:fill="FFFFFF" w:val="cle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4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505" w:type="dxa"/>
            <w:gridSpan w:val="10"/>
            <w:tcBorders>
              <w:left w:val="single" w:sz="6" w:space="0" w:color="004A7C"/>
            </w:tcBorders>
            <w:shd w:fill="FFFFFF" w:val="clear"/>
            <w:tcMar>
              <w:left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Incentive Plan Awards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117" w:type="dxa"/>
            <w:gridSpan w:val="12"/>
            <w:tcBorders>
              <w:left w:val="single" w:sz="6" w:space="0" w:color="004A7C"/>
              <w:right w:val="single" w:sz="6" w:space="0" w:color="004A7C"/>
            </w:tcBorders>
            <w:shd w:fill="FFFFFF" w:val="clear"/>
            <w:tcMar>
              <w:left w:w="28" w:type="dxa"/>
              <w:right w:w="28" w:type="dxa"/>
            </w:tcM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Plan Awards(4)(5)</w:t>
            </w:r>
          </w:p>
        </w:tc>
        <w:tc>
          <w:tcPr>
            <w:tcW w:w="799" w:type="dxa"/>
            <w:gridSpan w:val="4"/>
            <w:tcBorders>
              <w:left w:val="single" w:sz="6" w:space="0" w:color="004A7C"/>
            </w:tcBorders>
            <w:shd w:fill="FFFFFF" w:val="clear"/>
            <w:tcMar>
              <w:left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Shares of</w:t>
            </w:r>
          </w:p>
        </w:tc>
        <w:tc>
          <w:tcPr>
            <w:tcW w:w="1022" w:type="dxa"/>
            <w:gridSpan w:val="4"/>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of Stock</w:t>
            </w:r>
          </w:p>
        </w:tc>
      </w:tr>
      <w:tr>
        <w:trPr/>
        <w:tc>
          <w:tcPr>
            <w:tcW w:w="935"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NAME</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1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Award</w:t>
            </w:r>
          </w:p>
          <w:p>
            <w:pPr>
              <w:pStyle w:val="TableContents"/>
              <w:spacing w:lineRule="auto" w:line="288"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Type (1)</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4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Grant</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Date</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65" w:type="dxa"/>
            <w:gridSpan w:val="2"/>
            <w:tcBorders>
              <w:left w:val="single" w:sz="6" w:space="0" w:color="004A7C"/>
            </w:tcBorders>
            <w:shd w:fill="FFFFFF" w:val="clear"/>
            <w:tcMar>
              <w:left w:w="28" w:type="dxa"/>
            </w:tcMar>
            <w:vAlign w:val="bottom"/>
          </w:tcPr>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Threshold</w:t>
            </w:r>
          </w:p>
          <w:p>
            <w:pPr>
              <w:pStyle w:val="TableContents"/>
              <w:spacing w:lineRule="auto" w:line="288"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00" w:type="dxa"/>
            <w:gridSpan w:val="2"/>
            <w:tcBorders/>
            <w:shd w:fill="FFFFFF" w:val="clear"/>
            <w:vAlign w:val="bottom"/>
          </w:tcPr>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Target</w:t>
            </w:r>
          </w:p>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00" w:type="dxa"/>
            <w:gridSpan w:val="2"/>
            <w:tcBorders/>
            <w:shd w:fill="FFFFFF" w:val="clear"/>
            <w:vAlign w:val="bottom"/>
          </w:tcPr>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Maximum</w:t>
            </w:r>
          </w:p>
          <w:p>
            <w:pPr>
              <w:pStyle w:val="TableContents"/>
              <w:spacing w:lineRule="auto" w:line="288"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75" w:type="dxa"/>
            <w:gridSpan w:val="2"/>
            <w:tcBorders>
              <w:left w:val="single" w:sz="6" w:space="0" w:color="004A7C"/>
            </w:tcBorders>
            <w:shd w:fill="FFFFFF" w:val="clear"/>
            <w:tcMar>
              <w:left w:w="28" w:type="dxa"/>
            </w:tcMar>
            <w:vAlign w:val="bottom"/>
          </w:tcPr>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Threshold</w:t>
            </w:r>
          </w:p>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w:t>
            </w:r>
          </w:p>
        </w:tc>
        <w:tc>
          <w:tcPr>
            <w:tcW w:w="6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89" w:type="dxa"/>
            <w:gridSpan w:val="2"/>
            <w:tcBorders/>
            <w:shd w:fill="FFFFFF" w:val="clear"/>
            <w:vAlign w:val="bottom"/>
          </w:tcPr>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Target</w:t>
            </w:r>
          </w:p>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w:t>
            </w:r>
          </w:p>
        </w:tc>
        <w:tc>
          <w:tcPr>
            <w:tcW w:w="6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589" w:type="dxa"/>
            <w:gridSpan w:val="2"/>
            <w:tcBorders/>
            <w:shd w:fill="FFFFFF" w:val="clear"/>
            <w:vAlign w:val="bottom"/>
          </w:tcPr>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Maximum</w:t>
            </w:r>
          </w:p>
          <w:p>
            <w:pPr>
              <w:pStyle w:val="TableContents"/>
              <w:spacing w:before="0" w:after="0"/>
              <w:ind w:left="0" w:right="0" w:hanging="0"/>
              <w:jc w:val="center"/>
              <w:rPr>
                <w:rFonts w:ascii="Calibri" w:hAnsi="Calibri"/>
                <w:b w:val="false"/>
                <w:i w:val="false"/>
                <w:caps w:val="false"/>
                <w:smallCaps w:val="false"/>
                <w:color w:val="004A7C"/>
                <w:sz w:val="14"/>
              </w:rPr>
            </w:pPr>
            <w:r>
              <w:rPr>
                <w:rFonts w:ascii="Calibri" w:hAnsi="Calibri"/>
                <w:b w:val="false"/>
                <w:i w:val="false"/>
                <w:caps w:val="false"/>
                <w:smallCaps w:val="false"/>
                <w:color w:val="004A7C"/>
                <w:sz w:val="14"/>
              </w:rPr>
              <w:t>(#)</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right w:val="single" w:sz="6" w:space="0" w:color="004A7C"/>
            </w:tcBorders>
            <w:shd w:fill="FFFFFF" w:val="clear"/>
            <w:tcMar>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99" w:type="dxa"/>
            <w:gridSpan w:val="4"/>
            <w:tcBorders>
              <w:left w:val="single" w:sz="6" w:space="0" w:color="004A7C"/>
            </w:tcBorders>
            <w:shd w:fill="FFFFFF" w:val="clear"/>
            <w:tcMar>
              <w:left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Stock or</w:t>
            </w:r>
          </w:p>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Units (#)</w:t>
            </w:r>
          </w:p>
        </w:tc>
        <w:tc>
          <w:tcPr>
            <w:tcW w:w="1022" w:type="dxa"/>
            <w:gridSpan w:val="4"/>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and Option</w:t>
            </w:r>
          </w:p>
          <w:p>
            <w:pPr>
              <w:pStyle w:val="TableContents"/>
              <w:spacing w:lineRule="auto" w:line="288"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Awards(6) ($)</w:t>
            </w:r>
          </w:p>
        </w:tc>
      </w:tr>
      <w:tr>
        <w:trPr/>
        <w:tc>
          <w:tcPr>
            <w:tcW w:w="93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1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right w:val="single" w:sz="6" w:space="0" w:color="004A7C"/>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left w:val="single" w:sz="6" w:space="0" w:color="004A7C"/>
              <w:bottom w:val="single" w:sz="6" w:space="0" w:color="D8E1E9"/>
            </w:tcBorders>
            <w:shd w:fill="FFFFFF" w:val="clear"/>
            <w:tcMar>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right w:val="single" w:sz="6" w:space="0" w:color="004A7C"/>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left w:val="single" w:sz="6" w:space="0" w:color="004A7C"/>
              <w:bottom w:val="single" w:sz="6" w:space="0" w:color="D8E1E9"/>
            </w:tcBorders>
            <w:shd w:fill="FFFFFF" w:val="clear"/>
            <w:tcMar>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right w:val="single" w:sz="6" w:space="0" w:color="004A7C"/>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left w:val="single" w:sz="6" w:space="0" w:color="004A7C"/>
              <w:bottom w:val="single" w:sz="6" w:space="0" w:color="D8E1E9"/>
            </w:tcBorders>
            <w:shd w:fill="FFFFFF" w:val="clear"/>
            <w:tcMar>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935"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000000"/>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RSUs</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14,146</w:t>
            </w:r>
          </w:p>
        </w:tc>
        <w:tc>
          <w:tcPr>
            <w:tcW w:w="69"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2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1,700,066</w:t>
            </w:r>
          </w:p>
        </w:tc>
        <w:tc>
          <w:tcPr>
            <w:tcW w:w="66" w:type="dxa"/>
            <w:tcBorders>
              <w:top w:val="single" w:sz="6" w:space="0" w:color="D8E1E9"/>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left w:val="single" w:sz="6" w:space="0" w:color="D8E1E9"/>
              <w:bottom w:val="single" w:sz="6" w:space="0" w:color="FFFFFF"/>
              <w:right w:val="single" w:sz="6" w:space="0" w:color="FFFFFF"/>
            </w:tcBorders>
            <w:shd w:fill="D8E1E9" w:val="clear"/>
            <w:tcMar>
              <w:left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935" w:type="dxa"/>
            <w:tcBorders>
              <w:bottom w:val="single" w:sz="6" w:space="0" w:color="000000"/>
            </w:tcBorders>
            <w:shd w:fill="D8E1E9" w:val="clear"/>
            <w:tcMar>
              <w:bottom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Jon</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PSUs</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8,321</w:t>
            </w:r>
          </w:p>
        </w:tc>
        <w:tc>
          <w:tcPr>
            <w:tcW w:w="6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33,284</w:t>
            </w:r>
          </w:p>
        </w:tc>
        <w:tc>
          <w:tcPr>
            <w:tcW w:w="6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49,926</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2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3,960,468</w:t>
            </w:r>
          </w:p>
        </w:tc>
        <w:tc>
          <w:tcPr>
            <w:tcW w:w="66"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FFFFFF"/>
              <w:left w:val="single" w:sz="6" w:space="0" w:color="D8E1E9"/>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935" w:type="dxa"/>
            <w:tcBorders>
              <w:bottom w:val="single" w:sz="6" w:space="0" w:color="000000"/>
            </w:tcBorders>
            <w:shd w:fill="D8E1E9" w:val="clear"/>
            <w:tcMar>
              <w:bottom w:w="28" w:type="dxa"/>
            </w:tcMar>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Vander Ark</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Annual Cash Incentive</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192,500</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1,540,000</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3,080,000</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bottom w:val="single" w:sz="6" w:space="0" w:color="D8E1E9"/>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D8E1E9"/>
              <w:bottom w:val="single" w:sz="6" w:space="0" w:color="D8E1E9"/>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RSUs</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4,993</w:t>
            </w:r>
          </w:p>
        </w:tc>
        <w:tc>
          <w:tcPr>
            <w:tcW w:w="6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600,059</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Brian M.</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PSUs</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2,601</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10,402</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15,603</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1,237,736</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FFFFFF" w:val="clear"/>
            <w:tcMar>
              <w:bottom w:w="28" w:type="dxa"/>
            </w:tcMar>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DelGhiaccio</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Annual Cash Incentive</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66,406</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531,250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1,062,500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RSUs</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3,329</w:t>
            </w:r>
          </w:p>
        </w:tc>
        <w:tc>
          <w:tcPr>
            <w:tcW w:w="69"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2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400,079</w:t>
            </w:r>
          </w:p>
        </w:tc>
        <w:tc>
          <w:tcPr>
            <w:tcW w:w="66" w:type="dxa"/>
            <w:tcBorders>
              <w:top w:val="single" w:sz="6" w:space="0" w:color="D8E1E9"/>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left w:val="single" w:sz="6" w:space="0" w:color="D8E1E9"/>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935" w:type="dxa"/>
            <w:tcBorders>
              <w:bottom w:val="single" w:sz="6" w:space="0" w:color="000000"/>
            </w:tcBorders>
            <w:shd w:fill="D8E1E9" w:val="clear"/>
            <w:tcMar>
              <w:bottom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Brian A.</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PSUs</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1,332</w:t>
            </w:r>
          </w:p>
        </w:tc>
        <w:tc>
          <w:tcPr>
            <w:tcW w:w="6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5,326</w:t>
            </w:r>
          </w:p>
        </w:tc>
        <w:tc>
          <w:tcPr>
            <w:tcW w:w="6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7,989</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2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633,736</w:t>
            </w:r>
          </w:p>
        </w:tc>
        <w:tc>
          <w:tcPr>
            <w:tcW w:w="66"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FFFFFF"/>
              <w:left w:val="single" w:sz="6" w:space="0" w:color="D8E1E9"/>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935" w:type="dxa"/>
            <w:tcBorders>
              <w:bottom w:val="single" w:sz="6" w:space="0" w:color="000000"/>
            </w:tcBorders>
            <w:shd w:fill="D8E1E9" w:val="clear"/>
            <w:tcMar>
              <w:bottom w:w="28" w:type="dxa"/>
            </w:tcMar>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Bales</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Annual Cash Incentive</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004A7C"/>
              <w:bottom w:val="single" w:sz="6" w:space="0" w:color="000000"/>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FFFFFF"/>
              <w:bottom w:val="single" w:sz="6" w:space="0" w:color="000000"/>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52,000</w:t>
            </w:r>
          </w:p>
        </w:tc>
        <w:tc>
          <w:tcPr>
            <w:tcW w:w="60" w:type="dxa"/>
            <w:tcBorders>
              <w:top w:val="single" w:sz="6" w:space="0" w:color="FFFFFF"/>
              <w:bottom w:val="single" w:sz="6" w:space="0" w:color="000000"/>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416,000</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832,000</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bottom w:val="single" w:sz="6" w:space="0" w:color="D8E1E9"/>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D8E1E9"/>
              <w:bottom w:val="single" w:sz="6" w:space="0" w:color="D8E1E9"/>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RSUs</w:t>
            </w:r>
          </w:p>
        </w:tc>
        <w:tc>
          <w:tcPr>
            <w:tcW w:w="60" w:type="dxa"/>
            <w:tcBorders>
              <w:top w:val="single" w:sz="6" w:space="0" w:color="FFFFFF"/>
              <w:bottom w:val="single" w:sz="6" w:space="0" w:color="FFFFFF"/>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left w:val="single" w:sz="6" w:space="0" w:color="004A7C"/>
              <w:bottom w:val="single" w:sz="6" w:space="0" w:color="D8E1E9"/>
            </w:tcBorders>
            <w:shd w:fill="FFFFFF" w:val="clear"/>
            <w:tcMar>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bottom w:val="single" w:sz="6" w:space="0" w:color="D8E1E9"/>
            </w:tcBorders>
            <w:shd w:fill="FFFFFF" w:val="clear"/>
            <w:tcMar>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4,868</w:t>
            </w:r>
          </w:p>
        </w:tc>
        <w:tc>
          <w:tcPr>
            <w:tcW w:w="6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585,036</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Catharine D.</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PSUs</w:t>
            </w:r>
          </w:p>
        </w:tc>
        <w:tc>
          <w:tcPr>
            <w:tcW w:w="60" w:type="dxa"/>
            <w:tcBorders>
              <w:top w:val="single" w:sz="6" w:space="0" w:color="FFFFFF"/>
              <w:bottom w:val="single" w:sz="6" w:space="0" w:color="FFFFFF"/>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1,872</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7,488</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11,232</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891,001</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FFFFFF" w:val="clear"/>
            <w:tcMar>
              <w:bottom w:w="28" w:type="dxa"/>
            </w:tcMar>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Ellingsen</w:t>
            </w:r>
          </w:p>
        </w:tc>
        <w:tc>
          <w:tcPr>
            <w:tcW w:w="6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Annual Cash Incentive</w:t>
            </w:r>
          </w:p>
        </w:tc>
        <w:tc>
          <w:tcPr>
            <w:tcW w:w="60" w:type="dxa"/>
            <w:tcBorders>
              <w:top w:val="single" w:sz="6" w:space="0" w:color="FFFFFF"/>
              <w:bottom w:val="single" w:sz="6" w:space="0" w:color="FFFFFF"/>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57,000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456,000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912,000</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004A7C"/>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935"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RSUs</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6,241</w:t>
            </w:r>
          </w:p>
        </w:tc>
        <w:tc>
          <w:tcPr>
            <w:tcW w:w="69"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24"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750,043</w:t>
            </w:r>
          </w:p>
        </w:tc>
        <w:tc>
          <w:tcPr>
            <w:tcW w:w="66" w:type="dxa"/>
            <w:tcBorders>
              <w:top w:val="single" w:sz="6" w:space="0" w:color="D8E1E9"/>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D8E1E9"/>
              <w:left w:val="single" w:sz="6" w:space="0" w:color="D8E1E9"/>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935" w:type="dxa"/>
            <w:tcBorders>
              <w:bottom w:val="single" w:sz="6" w:space="0" w:color="000000"/>
            </w:tcBorders>
            <w:shd w:fill="D8E1E9" w:val="clear"/>
            <w:tcMar>
              <w:bottom w:w="28" w:type="dxa"/>
            </w:tcMar>
            <w:vAlign w:val="bottom"/>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Timothy E.</w:t>
            </w:r>
          </w:p>
        </w:tc>
        <w:tc>
          <w:tcPr>
            <w:tcW w:w="60"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PSUs</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2/11/2022</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3,329</w:t>
            </w:r>
          </w:p>
        </w:tc>
        <w:tc>
          <w:tcPr>
            <w:tcW w:w="6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13,315</w:t>
            </w:r>
          </w:p>
        </w:tc>
        <w:tc>
          <w:tcPr>
            <w:tcW w:w="6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19,973</w:t>
            </w:r>
          </w:p>
        </w:tc>
        <w:tc>
          <w:tcPr>
            <w:tcW w:w="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left w:val="single" w:sz="6" w:space="0" w:color="004A7C"/>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24"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1,584,352</w:t>
            </w:r>
          </w:p>
        </w:tc>
        <w:tc>
          <w:tcPr>
            <w:tcW w:w="66"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6" w:type="dxa"/>
            <w:tcBorders>
              <w:top w:val="single" w:sz="6" w:space="0" w:color="FFFFFF"/>
              <w:left w:val="single" w:sz="6" w:space="0" w:color="D8E1E9"/>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935" w:type="dxa"/>
            <w:tcBorders>
              <w:bottom w:val="single" w:sz="6" w:space="0" w:color="D8E1E9"/>
            </w:tcBorders>
            <w:shd w:fill="D8E1E9" w:val="clear"/>
            <w:tcMar>
              <w:bottom w:w="28" w:type="dxa"/>
            </w:tcMar>
          </w:tcPr>
          <w:p>
            <w:pPr>
              <w:pStyle w:val="TableContents"/>
              <w:spacing w:before="0" w:after="0"/>
              <w:ind w:left="0" w:right="0" w:hanging="0"/>
              <w:jc w:val="center"/>
              <w:rPr>
                <w:rFonts w:ascii="Open Sans" w:hAnsi="Open Sans"/>
                <w:b/>
                <w:i w:val="false"/>
                <w:caps w:val="false"/>
                <w:smallCaps w:val="false"/>
                <w:color w:val="004A7C"/>
                <w:sz w:val="14"/>
              </w:rPr>
            </w:pPr>
            <w:r>
              <w:rPr>
                <w:rFonts w:ascii="Open Sans" w:hAnsi="Open Sans"/>
                <w:b/>
                <w:i w:val="false"/>
                <w:caps w:val="false"/>
                <w:smallCaps w:val="false"/>
                <w:color w:val="004A7C"/>
                <w:sz w:val="14"/>
              </w:rPr>
              <w:t>Stuart</w:t>
            </w:r>
          </w:p>
        </w:tc>
        <w:tc>
          <w:tcPr>
            <w:tcW w:w="60" w:type="dxa"/>
            <w:tcBorders>
              <w:bottom w:val="single" w:sz="6" w:space="0" w:color="D8E1E9"/>
              <w:right w:val="single" w:sz="6" w:space="0" w:color="FFFFFF"/>
            </w:tcBorders>
            <w:shd w:fill="D8E1E9"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1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Annual Cash Incentive</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78,188</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625,500</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1,251,000</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0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28"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004A7C"/>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left w:val="single" w:sz="6" w:space="0" w:color="004A7C"/>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592"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9" w:type="dxa"/>
            <w:tcBorders>
              <w:top w:val="single" w:sz="6" w:space="0" w:color="FFFFFF"/>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824"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bottom w:val="single" w:sz="6" w:space="0" w:color="D8E1E9"/>
              <w:right w:val="single" w:sz="6" w:space="0" w:color="D8E1E9"/>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6" w:type="dxa"/>
            <w:tcBorders>
              <w:top w:val="single" w:sz="6" w:space="0" w:color="FFFFFF"/>
              <w:left w:val="single" w:sz="6" w:space="0" w:color="D8E1E9"/>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93"/>
        <w:gridCol w:w="10346"/>
      </w:tblGrid>
      <w:tr>
        <w:trPr/>
        <w:tc>
          <w:tcPr>
            <w:tcW w:w="193" w:type="dxa"/>
            <w:tcBorders/>
            <w:shd w:fill="auto" w:val="clear"/>
          </w:tcPr>
          <w:p>
            <w:pPr>
              <w:pStyle w:val="TableContents"/>
              <w:spacing w:lineRule="auto" w:line="288"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(1)</w:t>
            </w:r>
          </w:p>
        </w:tc>
        <w:tc>
          <w:tcPr>
            <w:tcW w:w="10346" w:type="dxa"/>
            <w:tcBorders/>
            <w:shd w:fill="auto" w:val="clear"/>
          </w:tcPr>
          <w:p>
            <w:pPr>
              <w:pStyle w:val="TableContents"/>
              <w:spacing w:before="0" w:after="0"/>
              <w:rPr>
                <w:rFonts w:ascii="Open Sans" w:hAnsi="Open Sans"/>
                <w:b w:val="false"/>
                <w:i w:val="false"/>
                <w:caps w:val="false"/>
                <w:smallCaps w:val="false"/>
                <w:spacing w:val="-4"/>
                <w:sz w:val="16"/>
              </w:rPr>
            </w:pPr>
            <w:r>
              <w:rPr>
                <w:rFonts w:ascii="Open Sans" w:hAnsi="Open Sans"/>
                <w:b w:val="false"/>
                <w:i w:val="false"/>
                <w:caps w:val="false"/>
                <w:smallCaps w:val="false"/>
                <w:spacing w:val="-4"/>
                <w:sz w:val="16"/>
              </w:rPr>
              <w:t>All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equity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granted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2022</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were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granted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under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SIP. 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NEOs,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annua</w:t>
            </w:r>
            <w:r>
              <w:rPr>
                <w:rFonts w:ascii="Open Sans" w:hAnsi="Open Sans"/>
                <w:b w:val="false"/>
                <w:i w:val="false"/>
                <w:caps w:val="false"/>
                <w:smallCaps w:val="false"/>
                <w:spacing w:val="-4"/>
                <w:sz w:val="16"/>
              </w:rPr>
              <w:t>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cash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incentiv</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award</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4"/>
                <w:sz w:val="16"/>
              </w:rPr>
              <w:t>was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grante</w:t>
            </w:r>
            <w:r>
              <w:rPr>
                <w:rFonts w:ascii="Open Sans" w:hAnsi="Open Sans"/>
                <w:b w:val="false"/>
                <w:i w:val="false"/>
                <w:caps w:val="false"/>
                <w:smallCaps w:val="false"/>
                <w:spacing w:val="-4"/>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under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Executiv</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5"/>
                <w:sz w:val="16"/>
              </w:rPr>
              <w:t>Incentiv</w:t>
            </w:r>
            <w:r>
              <w:rPr>
                <w:rFonts w:ascii="Open Sans" w:hAnsi="Open Sans"/>
                <w:b w:val="false"/>
                <w:i w:val="false"/>
                <w:caps w:val="false"/>
                <w:smallCaps w:val="false"/>
                <w:spacing w:val="-4"/>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Plan.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4"/>
                <w:sz w:val="16"/>
              </w:rPr>
              <w:t>For</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5"/>
                <w:sz w:val="16"/>
              </w:rPr>
              <w:t>furthe</w:t>
            </w:r>
            <w:r>
              <w:rPr>
                <w:rFonts w:ascii="Open Sans" w:hAnsi="Open Sans"/>
                <w:b w:val="false"/>
                <w:i w:val="false"/>
                <w:caps w:val="false"/>
                <w:smallCaps w:val="false"/>
                <w:spacing w:val="-4"/>
                <w:sz w:val="16"/>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detail</w:t>
            </w:r>
            <w:r>
              <w:rPr>
                <w:rFonts w:ascii="Open Sans" w:hAnsi="Open Sans"/>
                <w:b w:val="false"/>
                <w:i w:val="false"/>
                <w:caps w:val="false"/>
                <w:smallCaps w:val="false"/>
                <w:spacing w:val="-4"/>
                <w:sz w:val="16"/>
              </w:rPr>
              <w:t>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5"/>
                <w:sz w:val="16"/>
              </w:rPr>
              <w:t>regardin</w:t>
            </w:r>
            <w:r>
              <w:rPr>
                <w:rFonts w:ascii="Open Sans" w:hAnsi="Open Sans"/>
                <w:b w:val="false"/>
                <w:i w:val="false"/>
                <w:caps w:val="false"/>
                <w:smallCaps w:val="false"/>
                <w:spacing w:val="-4"/>
                <w:sz w:val="16"/>
              </w:rPr>
              <w:t>g</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5"/>
                <w:sz w:val="16"/>
              </w:rPr>
              <w:t>annual</w:t>
            </w:r>
            <w:r>
              <w:rPr>
                <w:rFonts w:ascii="Open Sans" w:hAnsi="Open Sans"/>
                <w:b w:val="false"/>
                <w:i w:val="false"/>
                <w:caps w:val="false"/>
                <w:smallCaps w:val="false"/>
                <w:spacing w:val="-4"/>
                <w:sz w:val="16"/>
              </w:rPr>
              <w:t xml:space="preserve"> 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see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“Executive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Compensation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 xml:space="preserve">Components </w:t>
            </w:r>
            <w:r>
              <w:rPr>
                <w:rFonts w:ascii="Open Sans" w:hAnsi="Open Sans"/>
                <w:b w:val="false"/>
                <w:i w:val="false"/>
                <w:caps w:val="false"/>
                <w:smallCaps w:val="false"/>
                <w:spacing w:val="-5"/>
                <w:sz w:val="16"/>
              </w:rPr>
              <w:t>o</w:t>
            </w:r>
            <w:r>
              <w:rPr>
                <w:rFonts w:ascii="Open Sans" w:hAnsi="Open Sans"/>
                <w:b w:val="false"/>
                <w:i w:val="false"/>
                <w:caps w:val="false"/>
                <w:smallCaps w:val="false"/>
                <w:spacing w:val="-4"/>
                <w:sz w:val="16"/>
              </w:rPr>
              <w:t>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5"/>
              </w:rPr>
              <w:t>Executiv</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5"/>
              </w:rPr>
              <w:t>Compensation.</w:t>
            </w:r>
            <w:r>
              <w:rPr>
                <w:rFonts w:ascii="Open Sans" w:hAnsi="Open Sans"/>
                <w:b w:val="false"/>
                <w:i w:val="false"/>
                <w:caps w:val="false"/>
                <w:smallCaps w:val="false"/>
                <w:spacing w:val="-4"/>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RSU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awards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5"/>
              </w:rPr>
              <w:t>show</w:t>
            </w:r>
            <w:r>
              <w:rPr>
                <w:rFonts w:ascii="Open Sans" w:hAnsi="Open Sans"/>
                <w:b w:val="false"/>
                <w:i w:val="false"/>
                <w:caps w:val="false"/>
                <w:smallCaps w:val="false"/>
                <w:spacing w:val="-4"/>
                <w:sz w:val="15"/>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5"/>
              </w:rPr>
              <w:t>abov</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are scheduled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vest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equal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annual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installments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over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four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years, beginning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first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anniversary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grant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date.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PSU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awards shown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above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scheduled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vest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end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5"/>
              </w:rPr>
              <w:t>three-year performance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period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based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for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2022-2024</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4"/>
                <w:sz w:val="15"/>
              </w:rPr>
              <w:t>period.</w:t>
            </w:r>
          </w:p>
        </w:tc>
      </w:tr>
    </w:tbl>
    <w:tbl>
      <w:tblPr>
        <w:tblW w:w="10539" w:type="dxa"/>
        <w:jc w:val="left"/>
        <w:tblInd w:w="0" w:type="dxa"/>
        <w:tblCellMar>
          <w:top w:w="0" w:type="dxa"/>
          <w:left w:w="0" w:type="dxa"/>
          <w:bottom w:w="0" w:type="dxa"/>
          <w:right w:w="0" w:type="dxa"/>
        </w:tblCellMar>
      </w:tblPr>
      <w:tblGrid>
        <w:gridCol w:w="206"/>
        <w:gridCol w:w="10333"/>
      </w:tblGrid>
      <w:tr>
        <w:trPr/>
        <w:tc>
          <w:tcPr>
            <w:tcW w:w="206"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(2)</w:t>
            </w:r>
          </w:p>
        </w:tc>
        <w:tc>
          <w:tcPr>
            <w:tcW w:w="10333"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5"/>
                <w:sz w:val="15"/>
              </w:rPr>
              <w:t>Thi</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colum</w:t>
            </w:r>
            <w:r>
              <w:rPr>
                <w:rFonts w:ascii="Open Sans" w:hAnsi="Open Sans"/>
                <w:b w:val="false"/>
                <w:i w:val="false"/>
                <w:caps w:val="false"/>
                <w:smallCaps w:val="false"/>
                <w:spacing w:val="-4"/>
                <w:sz w:val="15"/>
              </w:rPr>
              <w:t>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show</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annua</w:t>
            </w:r>
            <w:r>
              <w:rPr>
                <w:rFonts w:ascii="Open Sans" w:hAnsi="Open Sans"/>
                <w:b w:val="false"/>
                <w:i w:val="false"/>
                <w:caps w:val="false"/>
                <w:smallCaps w:val="false"/>
                <w:spacing w:val="-4"/>
                <w:sz w:val="15"/>
              </w:rPr>
              <w:t>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cash</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incentiv</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payout</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tha</w:t>
            </w:r>
            <w:r>
              <w:rPr>
                <w:rFonts w:ascii="Open Sans" w:hAnsi="Open Sans"/>
                <w:b w:val="false"/>
                <w:i w:val="false"/>
                <w:caps w:val="false"/>
                <w:smallCaps w:val="false"/>
                <w:spacing w:val="-4"/>
                <w:sz w:val="15"/>
              </w:rPr>
              <w:t>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would</w:t>
            </w:r>
            <w:r>
              <w:rPr>
                <w:rFonts w:ascii="Open Sans" w:hAnsi="Open Sans"/>
                <w:b w:val="false"/>
                <w:i w:val="false"/>
                <w:caps w:val="false"/>
                <w:smallCaps w:val="false"/>
                <w:spacing w:val="-4"/>
                <w:sz w:val="15"/>
              </w:rPr>
              <w:t xml:space="preserve"> </w:t>
            </w:r>
            <w:r>
              <w:rPr>
                <w:rFonts w:ascii="Open Sans" w:hAnsi="Open Sans"/>
                <w:b w:val="false"/>
                <w:i w:val="false"/>
                <w:caps w:val="false"/>
                <w:smallCaps w:val="false"/>
                <w:spacing w:val="-5"/>
                <w:sz w:val="15"/>
              </w:rPr>
              <w:t>be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earne</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minimu</w:t>
            </w:r>
            <w:r>
              <w:rPr>
                <w:rFonts w:ascii="Open Sans" w:hAnsi="Open Sans"/>
                <w:b w:val="false"/>
                <w:i w:val="false"/>
                <w:caps w:val="false"/>
                <w:smallCaps w:val="false"/>
                <w:spacing w:val="-4"/>
                <w:sz w:val="15"/>
              </w:rPr>
              <w:t>m</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leve</w:t>
            </w:r>
            <w:r>
              <w:rPr>
                <w:rFonts w:ascii="Open Sans" w:hAnsi="Open Sans"/>
                <w:b w:val="false"/>
                <w:i w:val="false"/>
                <w:caps w:val="false"/>
                <w:smallCaps w:val="false"/>
                <w:spacing w:val="-4"/>
                <w:sz w:val="15"/>
              </w:rPr>
              <w:t>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were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achieved.</w:t>
            </w:r>
            <w:r>
              <w:rPr>
                <w:rFonts w:ascii="Open Sans" w:hAnsi="Open Sans"/>
                <w:b w:val="false"/>
                <w:i w:val="false"/>
                <w:caps w:val="false"/>
                <w:smallCaps w:val="false"/>
                <w:spacing w:val="-4"/>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at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least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minimu</w:t>
            </w:r>
            <w:r>
              <w:rPr>
                <w:rFonts w:ascii="Open Sans" w:hAnsi="Open Sans"/>
                <w:b w:val="false"/>
                <w:i w:val="false"/>
                <w:caps w:val="false"/>
                <w:smallCaps w:val="false"/>
                <w:spacing w:val="-4"/>
                <w:sz w:val="15"/>
              </w:rPr>
              <w:t>m</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leve</w:t>
            </w:r>
            <w:r>
              <w:rPr>
                <w:rFonts w:ascii="Open Sans" w:hAnsi="Open Sans"/>
                <w:b w:val="false"/>
                <w:i w:val="false"/>
                <w:caps w:val="false"/>
                <w:smallCaps w:val="false"/>
                <w:spacing w:val="-4"/>
                <w:sz w:val="15"/>
              </w:rPr>
              <w:t>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o</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no</w:t>
            </w:r>
            <w:r>
              <w:rPr>
                <w:rFonts w:ascii="Open Sans" w:hAnsi="Open Sans"/>
                <w:b w:val="false"/>
                <w:i w:val="false"/>
                <w:caps w:val="false"/>
                <w:smallCaps w:val="false"/>
                <w:spacing w:val="-4"/>
                <w:sz w:val="15"/>
              </w:rPr>
              <w:t>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achieved</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no</w:t>
            </w:r>
            <w:r>
              <w:rPr>
                <w:rFonts w:ascii="Open Sans" w:hAnsi="Open Sans"/>
                <w:b w:val="false"/>
                <w:i w:val="false"/>
                <w:caps w:val="false"/>
                <w:smallCaps w:val="false"/>
                <w:spacing w:val="-4"/>
                <w:sz w:val="15"/>
              </w:rPr>
              <w:t xml:space="preserve"> </w:t>
            </w:r>
            <w:r>
              <w:rPr>
                <w:rFonts w:ascii="Open Sans" w:hAnsi="Open Sans"/>
                <w:b w:val="false"/>
                <w:i w:val="false"/>
                <w:caps w:val="false"/>
                <w:smallCaps w:val="false"/>
                <w:spacing w:val="-5"/>
                <w:sz w:val="15"/>
              </w:rPr>
              <w:t>payou</w:t>
            </w:r>
            <w:r>
              <w:rPr>
                <w:rFonts w:ascii="Open Sans" w:hAnsi="Open Sans"/>
                <w:b w:val="false"/>
                <w:i w:val="false"/>
                <w:caps w:val="false"/>
                <w:smallCaps w:val="false"/>
                <w:spacing w:val="-4"/>
                <w:sz w:val="15"/>
              </w:rPr>
              <w:t>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is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made.</w:t>
            </w:r>
          </w:p>
        </w:tc>
      </w:tr>
    </w:tbl>
    <w:tbl>
      <w:tblPr>
        <w:tblW w:w="9914" w:type="dxa"/>
        <w:jc w:val="left"/>
        <w:tblInd w:w="0" w:type="dxa"/>
        <w:tblCellMar>
          <w:top w:w="0" w:type="dxa"/>
          <w:left w:w="0" w:type="dxa"/>
          <w:bottom w:w="0" w:type="dxa"/>
          <w:right w:w="0" w:type="dxa"/>
        </w:tblCellMar>
      </w:tblPr>
      <w:tblGrid>
        <w:gridCol w:w="226"/>
        <w:gridCol w:w="9688"/>
      </w:tblGrid>
      <w:tr>
        <w:trPr/>
        <w:tc>
          <w:tcPr>
            <w:tcW w:w="226"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(3)</w:t>
            </w:r>
          </w:p>
        </w:tc>
        <w:tc>
          <w:tcPr>
            <w:tcW w:w="9688"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If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maximum</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level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achieved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under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 xml:space="preserve">the </w:t>
            </w:r>
            <w:r>
              <w:rPr>
                <w:rFonts w:ascii="Open Sans" w:hAnsi="Open Sans"/>
                <w:b w:val="false"/>
                <w:i w:val="false"/>
                <w:caps w:val="false"/>
                <w:smallCaps w:val="false"/>
                <w:spacing w:val="-5"/>
                <w:sz w:val="15"/>
              </w:rPr>
              <w:t>annua</w:t>
            </w:r>
            <w:r>
              <w:rPr>
                <w:rFonts w:ascii="Open Sans" w:hAnsi="Open Sans"/>
                <w:b w:val="false"/>
                <w:i w:val="false"/>
                <w:caps w:val="false"/>
                <w:smallCaps w:val="false"/>
                <w:spacing w:val="-4"/>
                <w:sz w:val="15"/>
              </w:rPr>
              <w:t>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cash</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incentiv</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plan</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maximum</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payou</w:t>
            </w:r>
            <w:r>
              <w:rPr>
                <w:rFonts w:ascii="Open Sans" w:hAnsi="Open Sans"/>
                <w:b w:val="false"/>
                <w:i w:val="false"/>
                <w:caps w:val="false"/>
                <w:smallCaps w:val="false"/>
                <w:spacing w:val="-4"/>
                <w:sz w:val="15"/>
              </w:rPr>
              <w:t>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woul</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be</w:t>
            </w:r>
            <w:r>
              <w:rPr>
                <w:rFonts w:ascii="Open Sans" w:hAnsi="Open Sans"/>
                <w:b w:val="false"/>
                <w:i w:val="false"/>
                <w:caps w:val="false"/>
                <w:smallCaps w:val="false"/>
                <w:spacing w:val="-4"/>
                <w:sz w:val="15"/>
              </w:rPr>
              <w:t xml:space="preserve"> </w:t>
            </w:r>
            <w:r>
              <w:rPr>
                <w:rFonts w:ascii="Open Sans" w:hAnsi="Open Sans"/>
                <w:b w:val="false"/>
                <w:i w:val="false"/>
                <w:caps w:val="false"/>
                <w:smallCaps w:val="false"/>
                <w:spacing w:val="-5"/>
                <w:sz w:val="15"/>
              </w:rPr>
              <w:t>200</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o</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target.</w:t>
            </w:r>
          </w:p>
        </w:tc>
      </w:tr>
    </w:tbl>
    <w:tbl>
      <w:tblPr>
        <w:tblW w:w="10539" w:type="dxa"/>
        <w:jc w:val="left"/>
        <w:tblInd w:w="0" w:type="dxa"/>
        <w:tblCellMar>
          <w:top w:w="0" w:type="dxa"/>
          <w:left w:w="0" w:type="dxa"/>
          <w:bottom w:w="0" w:type="dxa"/>
          <w:right w:w="0" w:type="dxa"/>
        </w:tblCellMar>
      </w:tblPr>
      <w:tblGrid>
        <w:gridCol w:w="176"/>
        <w:gridCol w:w="10363"/>
      </w:tblGrid>
      <w:tr>
        <w:trPr/>
        <w:tc>
          <w:tcPr>
            <w:tcW w:w="176"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(4)</w:t>
            </w:r>
          </w:p>
        </w:tc>
        <w:tc>
          <w:tcPr>
            <w:tcW w:w="10363"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Represents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potential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number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shares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earned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based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 xml:space="preserve">on </w:t>
            </w:r>
            <w:r>
              <w:rPr>
                <w:rFonts w:ascii="Open Sans" w:hAnsi="Open Sans"/>
                <w:b w:val="false"/>
                <w:i w:val="false"/>
                <w:caps w:val="false"/>
                <w:smallCaps w:val="false"/>
                <w:spacing w:val="-5"/>
                <w:sz w:val="15"/>
              </w:rPr>
              <w:t>achievemen</w:t>
            </w:r>
            <w:r>
              <w:rPr>
                <w:rFonts w:ascii="Open Sans" w:hAnsi="Open Sans"/>
                <w:b w:val="false"/>
                <w:i w:val="false"/>
                <w:caps w:val="false"/>
                <w:smallCaps w:val="false"/>
                <w:spacing w:val="-4"/>
                <w:sz w:val="15"/>
              </w:rPr>
              <w:t>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o</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criteria</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for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PS</w:t>
            </w:r>
            <w:r>
              <w:rPr>
                <w:rFonts w:ascii="Open Sans" w:hAnsi="Open Sans"/>
                <w:b w:val="false"/>
                <w:i w:val="false"/>
                <w:caps w:val="false"/>
                <w:smallCaps w:val="false"/>
                <w:spacing w:val="-4"/>
                <w:sz w:val="15"/>
              </w:rPr>
              <w:t>U</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awards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grante</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under the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SIP</w:t>
            </w:r>
            <w:r>
              <w:rPr>
                <w:rFonts w:ascii="Open Sans" w:hAnsi="Open Sans"/>
                <w:b w:val="false"/>
                <w:i w:val="false"/>
                <w:caps w:val="false"/>
                <w:smallCaps w:val="false"/>
                <w:spacing w:val="-4"/>
                <w:sz w:val="15"/>
              </w:rPr>
              <w:t>. T</w:t>
            </w:r>
            <w:r>
              <w:rPr>
                <w:rFonts w:ascii="Open Sans" w:hAnsi="Open Sans"/>
                <w:b w:val="false"/>
                <w:i w:val="false"/>
                <w:caps w:val="false"/>
                <w:smallCaps w:val="false"/>
                <w:spacing w:val="-5"/>
                <w:sz w:val="15"/>
              </w:rPr>
              <w: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earne</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numbe</w:t>
            </w:r>
            <w:r>
              <w:rPr>
                <w:rFonts w:ascii="Open Sans" w:hAnsi="Open Sans"/>
                <w:b w:val="false"/>
                <w:i w:val="false"/>
                <w:caps w:val="false"/>
                <w:smallCaps w:val="false"/>
                <w:spacing w:val="-4"/>
                <w:sz w:val="15"/>
              </w:rPr>
              <w:t>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o</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shares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payabl</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half</w:t>
            </w:r>
            <w:r>
              <w:rPr>
                <w:rFonts w:ascii="Open Sans" w:hAnsi="Open Sans"/>
                <w:b w:val="false"/>
                <w:i w:val="false"/>
                <w:caps w:val="false"/>
                <w:smallCaps w:val="false"/>
                <w:spacing w:val="-4"/>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cash</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an</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hal</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 xml:space="preserve">shares for all NEOs. </w:t>
            </w:r>
            <w:r>
              <w:rPr>
                <w:rFonts w:ascii="Open Sans" w:hAnsi="Open Sans"/>
                <w:b w:val="false"/>
                <w:i w:val="false"/>
                <w:caps w:val="false"/>
                <w:smallCaps w:val="false"/>
                <w:spacing w:val="-5"/>
                <w:sz w:val="15"/>
              </w:rPr>
              <w:t>N</w:t>
            </w:r>
            <w:r>
              <w:rPr>
                <w:rFonts w:ascii="Open Sans" w:hAnsi="Open Sans"/>
                <w:b w:val="false"/>
                <w:i w:val="false"/>
                <w:caps w:val="false"/>
                <w:smallCaps w:val="false"/>
                <w:spacing w:val="-4"/>
                <w:sz w:val="15"/>
              </w:rPr>
              <w:t>o</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exercise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price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other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consideration</w:t>
            </w:r>
            <w:r>
              <w:rPr>
                <w:rFonts w:ascii="Open Sans" w:hAnsi="Open Sans"/>
                <w:b w:val="false"/>
                <w:i w:val="false"/>
                <w:caps w:val="false"/>
                <w:smallCaps w:val="false"/>
                <w:spacing w:val="-4"/>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pai</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b</w:t>
            </w:r>
            <w:r>
              <w:rPr>
                <w:rFonts w:ascii="Open Sans" w:hAnsi="Open Sans"/>
                <w:b w:val="false"/>
                <w:i w:val="false"/>
                <w:caps w:val="false"/>
                <w:smallCaps w:val="false"/>
                <w:spacing w:val="-4"/>
                <w:sz w:val="15"/>
              </w:rPr>
              <w:t>y</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NEO</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wit</w:t>
            </w:r>
            <w:r>
              <w:rPr>
                <w:rFonts w:ascii="Open Sans" w:hAnsi="Open Sans"/>
                <w:b w:val="false"/>
                <w:i w:val="false"/>
                <w:caps w:val="false"/>
                <w:smallCaps w:val="false"/>
                <w:spacing w:val="-4"/>
                <w:sz w:val="15"/>
              </w:rPr>
              <w:t>h</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respect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to</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PS</w:t>
            </w:r>
            <w:r>
              <w:rPr>
                <w:rFonts w:ascii="Open Sans" w:hAnsi="Open Sans"/>
                <w:b w:val="false"/>
                <w:i w:val="false"/>
                <w:caps w:val="false"/>
                <w:smallCaps w:val="false"/>
                <w:spacing w:val="-4"/>
                <w:sz w:val="15"/>
              </w:rPr>
              <w:t>U</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awards.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PS</w:t>
            </w:r>
            <w:r>
              <w:rPr>
                <w:rFonts w:ascii="Open Sans" w:hAnsi="Open Sans"/>
                <w:b w:val="false"/>
                <w:i w:val="false"/>
                <w:caps w:val="false"/>
                <w:smallCaps w:val="false"/>
                <w:spacing w:val="-4"/>
                <w:sz w:val="15"/>
              </w:rPr>
              <w:t>U</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award measurement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period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three-year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period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beginning</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January</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1, 2022</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and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ending</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December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31,</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2024.</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PSUs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accrue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dividend equivalents,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which</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are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paid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out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based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number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 xml:space="preserve">shares </w:t>
            </w:r>
            <w:r>
              <w:rPr>
                <w:rFonts w:ascii="Open Sans" w:hAnsi="Open Sans"/>
                <w:b w:val="false"/>
                <w:i w:val="false"/>
                <w:caps w:val="false"/>
                <w:smallCaps w:val="false"/>
                <w:spacing w:val="-5"/>
                <w:sz w:val="15"/>
              </w:rPr>
              <w:t>actuall</w:t>
            </w:r>
            <w:r>
              <w:rPr>
                <w:rFonts w:ascii="Open Sans" w:hAnsi="Open Sans"/>
                <w:b w:val="false"/>
                <w:i w:val="false"/>
                <w:caps w:val="false"/>
                <w:smallCaps w:val="false"/>
                <w:spacing w:val="-4"/>
                <w:sz w:val="15"/>
              </w:rPr>
              <w:t>y</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earned,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any</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en</w:t>
            </w:r>
            <w:r>
              <w:rPr>
                <w:rFonts w:ascii="Open Sans" w:hAnsi="Open Sans"/>
                <w:b w:val="false"/>
                <w:i w:val="false"/>
                <w:caps w:val="false"/>
                <w:smallCaps w:val="false"/>
                <w:spacing w:val="-4"/>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o</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period</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at least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th</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minimu</w:t>
            </w:r>
            <w:r>
              <w:rPr>
                <w:rFonts w:ascii="Open Sans" w:hAnsi="Open Sans"/>
                <w:b w:val="false"/>
                <w:i w:val="false"/>
                <w:caps w:val="false"/>
                <w:smallCaps w:val="false"/>
                <w:spacing w:val="-4"/>
                <w:sz w:val="15"/>
              </w:rPr>
              <w:t>m</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leve</w:t>
            </w:r>
            <w:r>
              <w:rPr>
                <w:rFonts w:ascii="Open Sans" w:hAnsi="Open Sans"/>
                <w:b w:val="false"/>
                <w:i w:val="false"/>
                <w:caps w:val="false"/>
                <w:smallCaps w:val="false"/>
                <w:spacing w:val="-4"/>
                <w:sz w:val="15"/>
              </w:rPr>
              <w:t>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o</w:t>
            </w:r>
            <w:r>
              <w:rPr>
                <w:rFonts w:ascii="Open Sans" w:hAnsi="Open Sans"/>
                <w:b w:val="false"/>
                <w:i w:val="false"/>
                <w:caps w:val="false"/>
                <w:smallCaps w:val="false"/>
                <w:spacing w:val="-4"/>
                <w:sz w:val="15"/>
              </w:rPr>
              <w:t>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i</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no</w:t>
            </w:r>
            <w:r>
              <w:rPr>
                <w:rFonts w:ascii="Open Sans" w:hAnsi="Open Sans"/>
                <w:b w:val="false"/>
                <w:i w:val="false"/>
                <w:caps w:val="false"/>
                <w:smallCaps w:val="false"/>
                <w:spacing w:val="-4"/>
                <w:sz w:val="15"/>
              </w:rPr>
              <w:t>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5"/>
                <w:sz w:val="15"/>
              </w:rPr>
              <w:t>achieved</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n</w:t>
            </w:r>
            <w:r>
              <w:rPr>
                <w:rFonts w:ascii="Open Sans" w:hAnsi="Open Sans"/>
                <w:b w:val="false"/>
                <w:i w:val="false"/>
                <w:caps w:val="false"/>
                <w:smallCaps w:val="false"/>
                <w:spacing w:val="-4"/>
                <w:sz w:val="15"/>
              </w:rPr>
              <w:t>o</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payout</w:t>
            </w:r>
            <w:r>
              <w:rPr>
                <w:rFonts w:ascii="Open Sans" w:hAnsi="Open Sans"/>
                <w:b w:val="false"/>
                <w:i w:val="false"/>
                <w:caps w:val="false"/>
                <w:smallCaps w:val="false"/>
                <w:spacing w:val="-4"/>
                <w:sz w:val="15"/>
              </w:rPr>
              <w:t xml:space="preserve"> will be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made.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See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“Executive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Compensation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Components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 xml:space="preserve">of </w:t>
            </w:r>
            <w:r>
              <w:rPr>
                <w:rFonts w:ascii="Open Sans" w:hAnsi="Open Sans"/>
                <w:b w:val="false"/>
                <w:i w:val="false"/>
                <w:caps w:val="false"/>
                <w:smallCaps w:val="false"/>
                <w:spacing w:val="-5"/>
                <w:sz w:val="15"/>
              </w:rPr>
              <w:t>Executiv</w:t>
            </w:r>
            <w:r>
              <w:rPr>
                <w:rFonts w:ascii="Open Sans" w:hAnsi="Open Sans"/>
                <w:b w:val="false"/>
                <w:i w:val="false"/>
                <w:caps w:val="false"/>
                <w:smallCaps w:val="false"/>
                <w:spacing w:val="-4"/>
                <w:sz w:val="15"/>
              </w:rPr>
              <w: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Compensation</w:t>
            </w:r>
            <w:r>
              <w:rPr>
                <w:rFonts w:ascii="Open Sans" w:hAnsi="Open Sans"/>
                <w:b w:val="false"/>
                <w:i w:val="false"/>
                <w:caps w:val="false"/>
                <w:smallCaps w:val="false"/>
                <w:spacing w:val="-4"/>
                <w:sz w:val="15"/>
              </w:rPr>
              <w:t>”</w:t>
            </w:r>
            <w:r>
              <w:rPr>
                <w:rFonts w:ascii="Open Sans" w:hAnsi="Open Sans"/>
                <w:b w:val="false"/>
                <w:i w:val="false"/>
                <w:caps w:val="false"/>
                <w:smallCaps w:val="false"/>
                <w:spacing w:val="-6"/>
                <w:sz w:val="15"/>
              </w:rPr>
              <w:t xml:space="preserve"> </w:t>
            </w:r>
            <w:r>
              <w:rPr>
                <w:rFonts w:ascii="Open Sans" w:hAnsi="Open Sans"/>
                <w:b w:val="false"/>
                <w:i w:val="false"/>
                <w:caps w:val="false"/>
                <w:smallCaps w:val="false"/>
                <w:spacing w:val="-4"/>
                <w:sz w:val="15"/>
              </w:rPr>
              <w:t>for</w:t>
            </w:r>
            <w:r>
              <w:rPr>
                <w:rFonts w:ascii="Open Sans" w:hAnsi="Open Sans"/>
                <w:b w:val="false"/>
                <w:i w:val="false"/>
                <w:caps w:val="false"/>
                <w:smallCaps w:val="false"/>
                <w:spacing w:val="-6"/>
                <w:sz w:val="15"/>
              </w:rPr>
              <w:t xml:space="preserve"> </w:t>
            </w:r>
            <w:r>
              <w:rPr>
                <w:rFonts w:ascii="Open Sans" w:hAnsi="Open Sans"/>
                <w:b w:val="false"/>
                <w:i w:val="false"/>
                <w:caps w:val="false"/>
                <w:smallCaps w:val="false"/>
                <w:spacing w:val="-5"/>
                <w:sz w:val="15"/>
              </w:rPr>
              <w:t>furthe</w:t>
            </w:r>
            <w:r>
              <w:rPr>
                <w:rFonts w:ascii="Open Sans" w:hAnsi="Open Sans"/>
                <w:b w:val="false"/>
                <w:i w:val="false"/>
                <w:caps w:val="false"/>
                <w:smallCaps w:val="false"/>
                <w:spacing w:val="-4"/>
                <w:sz w:val="15"/>
              </w:rPr>
              <w:t>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5"/>
                <w:sz w:val="15"/>
              </w:rPr>
              <w:t>detail</w:t>
            </w:r>
            <w:r>
              <w:rPr>
                <w:rFonts w:ascii="Open Sans" w:hAnsi="Open Sans"/>
                <w:b w:val="false"/>
                <w:i w:val="false"/>
                <w:caps w:val="false"/>
                <w:smallCaps w:val="false"/>
                <w:spacing w:val="-4"/>
                <w:sz w:val="15"/>
              </w:rPr>
              <w:t>s</w:t>
            </w:r>
            <w:r>
              <w:rPr>
                <w:rFonts w:ascii="Open Sans" w:hAnsi="Open Sans"/>
                <w:b w:val="false"/>
                <w:i w:val="false"/>
                <w:caps w:val="false"/>
                <w:smallCaps w:val="false"/>
                <w:spacing w:val="-6"/>
                <w:sz w:val="15"/>
              </w:rPr>
              <w:t xml:space="preserve"> </w:t>
            </w:r>
            <w:r>
              <w:rPr>
                <w:rFonts w:ascii="Open Sans" w:hAnsi="Open Sans"/>
                <w:b w:val="false"/>
                <w:i w:val="false"/>
                <w:caps w:val="false"/>
                <w:smallCaps w:val="false"/>
                <w:spacing w:val="-5"/>
                <w:sz w:val="15"/>
              </w:rPr>
              <w:t>regardin</w:t>
            </w:r>
            <w:r>
              <w:rPr>
                <w:rFonts w:ascii="Open Sans" w:hAnsi="Open Sans"/>
                <w:b w:val="false"/>
                <w:i w:val="false"/>
                <w:caps w:val="false"/>
                <w:smallCaps w:val="false"/>
                <w:spacing w:val="-4"/>
                <w:sz w:val="15"/>
              </w:rPr>
              <w:t>g</w:t>
            </w:r>
            <w:r>
              <w:rPr>
                <w:rFonts w:ascii="Open Sans" w:hAnsi="Open Sans"/>
                <w:b w:val="false"/>
                <w:i w:val="false"/>
                <w:caps w:val="false"/>
                <w:smallCaps w:val="false"/>
                <w:spacing w:val="-6"/>
                <w:sz w:val="15"/>
              </w:rPr>
              <w:t xml:space="preserve"> </w:t>
            </w:r>
            <w:r>
              <w:rPr>
                <w:rFonts w:ascii="Open Sans" w:hAnsi="Open Sans"/>
                <w:b w:val="false"/>
                <w:i w:val="false"/>
                <w:caps w:val="false"/>
                <w:smallCaps w:val="false"/>
                <w:spacing w:val="-4"/>
                <w:sz w:val="15"/>
              </w:rPr>
              <w:t>PSUs.</w:t>
            </w:r>
          </w:p>
        </w:tc>
      </w:tr>
    </w:tbl>
    <w:tbl>
      <w:tblPr>
        <w:tblW w:w="10539" w:type="dxa"/>
        <w:jc w:val="left"/>
        <w:tblInd w:w="0" w:type="dxa"/>
        <w:tblCellMar>
          <w:top w:w="0" w:type="dxa"/>
          <w:left w:w="0" w:type="dxa"/>
          <w:bottom w:w="0" w:type="dxa"/>
          <w:right w:w="0" w:type="dxa"/>
        </w:tblCellMar>
      </w:tblPr>
      <w:tblGrid>
        <w:gridCol w:w="177"/>
        <w:gridCol w:w="10362"/>
      </w:tblGrid>
      <w:tr>
        <w:trPr/>
        <w:tc>
          <w:tcPr>
            <w:tcW w:w="177"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(5)</w:t>
            </w:r>
          </w:p>
        </w:tc>
        <w:tc>
          <w:tcPr>
            <w:tcW w:w="10362"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Included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Estimated Future Payouts Under Equity Incentive Plan Awards </w:t>
            </w:r>
            <w:r>
              <w:rPr>
                <w:rFonts w:ascii="Open Sans" w:hAnsi="Open Sans"/>
                <w:b w:val="false"/>
                <w:i w:val="false"/>
                <w:caps w:val="false"/>
                <w:smallCaps w:val="false"/>
                <w:spacing w:val="-4"/>
                <w:sz w:val="15"/>
              </w:rPr>
              <w:t>column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are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grant date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fair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values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RSU and PSU</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awards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granted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2022,</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2021</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and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2020,</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determined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accordance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with</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FASB</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ASC</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Topic</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718.</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See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Note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12</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to</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our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Consolidated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Financial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Statements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included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our Form</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10-K</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for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fiscal</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year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ended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December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31,</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2022 for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a</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discussion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relevant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assumptions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used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calculating</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grant date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fair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value.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4"/>
                <w:sz w:val="15"/>
              </w:rPr>
              <w:t>The amounts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shown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in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table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above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reflect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grant date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fair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value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and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may</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not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correspond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to</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actual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value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that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will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be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realized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by</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NEOs.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For purposes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calculating</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grant date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fair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value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of</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PSU</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awards,</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have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assumed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that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will</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achieve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target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performance</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4"/>
                <w:sz w:val="15"/>
              </w:rPr>
              <w:t>levels.</w:t>
            </w:r>
          </w:p>
        </w:tc>
      </w:tr>
    </w:tbl>
    <w:tbl>
      <w:tblPr>
        <w:tblW w:w="10539" w:type="dxa"/>
        <w:jc w:val="left"/>
        <w:tblInd w:w="0" w:type="dxa"/>
        <w:tblCellMar>
          <w:top w:w="0" w:type="dxa"/>
          <w:left w:w="0" w:type="dxa"/>
          <w:bottom w:w="0" w:type="dxa"/>
          <w:right w:w="0" w:type="dxa"/>
        </w:tblCellMar>
      </w:tblPr>
      <w:tblGrid>
        <w:gridCol w:w="193"/>
        <w:gridCol w:w="10346"/>
      </w:tblGrid>
      <w:tr>
        <w:trPr/>
        <w:tc>
          <w:tcPr>
            <w:tcW w:w="193" w:type="dxa"/>
            <w:tcBorders/>
            <w:shd w:fill="auto" w:val="clear"/>
          </w:tcPr>
          <w:p>
            <w:pPr>
              <w:pStyle w:val="TableContents"/>
              <w:spacing w:lineRule="auto" w:line="288"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(6)</w:t>
            </w:r>
          </w:p>
        </w:tc>
        <w:tc>
          <w:tcPr>
            <w:tcW w:w="10346" w:type="dxa"/>
            <w:tcBorders/>
            <w:shd w:fill="auto" w:val="clear"/>
          </w:tcPr>
          <w:p>
            <w:pPr>
              <w:pStyle w:val="TableContents"/>
              <w:spacing w:before="0" w:after="0"/>
              <w:rPr>
                <w:rFonts w:ascii="Open Sans" w:hAnsi="Open Sans"/>
                <w:b w:val="false"/>
                <w:i w:val="false"/>
                <w:caps w:val="false"/>
                <w:smallCaps w:val="false"/>
                <w:spacing w:val="-4"/>
                <w:sz w:val="15"/>
              </w:rPr>
            </w:pPr>
            <w:r>
              <w:rPr>
                <w:rFonts w:ascii="Open Sans" w:hAnsi="Open Sans"/>
                <w:b w:val="false"/>
                <w:i w:val="false"/>
                <w:caps w:val="false"/>
                <w:smallCaps w:val="false"/>
                <w:spacing w:val="-4"/>
                <w:sz w:val="15"/>
              </w:rPr>
              <w:t xml:space="preserve">The value of PSUs will differ from the grant date fair value of PSUs shown in the Long-Term Incentive Awards table.  A portion of the grant date fair value </w:t>
            </w:r>
            <w:r>
              <w:rPr>
                <w:rFonts w:ascii="Open Sans" w:hAnsi="Open Sans"/>
                <w:b w:val="false"/>
                <w:i w:val="false"/>
                <w:caps w:val="false"/>
                <w:smallCaps w:val="false"/>
                <w:spacing w:val="-4"/>
                <w:sz w:val="16"/>
              </w:rPr>
              <w:t>of PSUs shown here reflects total shareholder return relative to the S&amp;P 500, and is based on a Monte Carlo valuation model.</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73</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120" w:after="0"/>
        <w:rPr>
          <w:rFonts w:ascii="Open Sans" w:hAnsi="Open Sans"/>
          <w:b/>
          <w:i w:val="false"/>
          <w:caps w:val="false"/>
          <w:smallCaps w:val="false"/>
          <w:color w:val="004A7C"/>
          <w:sz w:val="27"/>
        </w:rPr>
      </w:pPr>
      <w:bookmarkStart w:id="93" w:name="OUTSTING_EQUITY_AWARDS_AT_FISCAL_YEAR_EN"/>
      <w:bookmarkEnd w:id="93"/>
      <w:r>
        <w:rPr>
          <w:rFonts w:ascii="Open Sans" w:hAnsi="Open Sans"/>
          <w:b/>
          <w:i w:val="false"/>
          <w:caps w:val="false"/>
          <w:smallCaps w:val="false"/>
          <w:color w:val="004A7C"/>
          <w:sz w:val="27"/>
        </w:rPr>
        <w:t>Outstanding Equity Awards at Fiscal Year End</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reflects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granted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outstanding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361"/>
        <w:gridCol w:w="875"/>
        <w:gridCol w:w="60"/>
        <w:gridCol w:w="121"/>
        <w:gridCol w:w="1199"/>
        <w:gridCol w:w="121"/>
        <w:gridCol w:w="121"/>
        <w:gridCol w:w="111"/>
        <w:gridCol w:w="1572"/>
        <w:gridCol w:w="111"/>
        <w:gridCol w:w="111"/>
        <w:gridCol w:w="168"/>
        <w:gridCol w:w="1660"/>
        <w:gridCol w:w="168"/>
        <w:gridCol w:w="171"/>
        <w:gridCol w:w="152"/>
        <w:gridCol w:w="2146"/>
        <w:gridCol w:w="152"/>
        <w:gridCol w:w="159"/>
      </w:tblGrid>
      <w:tr>
        <w:trPr/>
        <w:tc>
          <w:tcPr>
            <w:tcW w:w="10539" w:type="dxa"/>
            <w:gridSpan w:val="19"/>
            <w:tcBorders/>
            <w:shd w:fill="FFFFFF" w:val="cle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STOCK AWARDS(1)(2)</w:t>
            </w:r>
          </w:p>
        </w:tc>
      </w:tr>
      <w:tr>
        <w:trPr/>
        <w:tc>
          <w:tcPr>
            <w:tcW w:w="1361"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2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8"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8"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2"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2"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361"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935"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Grant Date</w:t>
            </w:r>
          </w:p>
        </w:tc>
        <w:tc>
          <w:tcPr>
            <w:tcW w:w="1562"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Number of Shares or Units of Stock that Have Not Vested</w:t>
            </w:r>
          </w:p>
        </w:tc>
        <w:tc>
          <w:tcPr>
            <w:tcW w:w="190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Market Value of Shares or Units of Stock that Have Not Vested ($)</w:t>
            </w:r>
          </w:p>
        </w:tc>
        <w:tc>
          <w:tcPr>
            <w:tcW w:w="2167"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Equity Incentive Plan Awards: Number of Shares, Units or Other Rights that Have Not Vested</w:t>
            </w:r>
          </w:p>
        </w:tc>
        <w:tc>
          <w:tcPr>
            <w:tcW w:w="2609"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Equity Incentive Plan: Market or Payout Value of Unearned Shares, Units or Rights that Have Not Vested ($)</w:t>
            </w:r>
          </w:p>
        </w:tc>
      </w:tr>
      <w:tr>
        <w:trPr/>
        <w:tc>
          <w:tcPr>
            <w:tcW w:w="1361"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2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1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6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2"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2"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1361" w:type="dxa"/>
            <w:tcBorders>
              <w:top w:val="single" w:sz="6" w:space="0" w:color="D8E1E9"/>
              <w:bottom w:val="single" w:sz="6" w:space="0" w:color="000000"/>
              <w:right w:val="single" w:sz="6" w:space="0" w:color="FFFFFF"/>
            </w:tcBorders>
            <w:shd w:fill="D8E1E9" w:val="clear"/>
            <w:tcMar>
              <w:top w:w="28" w:type="dxa"/>
              <w:bottom w:w="28" w:type="dxa"/>
              <w:right w:w="28" w:type="dxa"/>
            </w:tcMar>
          </w:tcPr>
          <w:p>
            <w:pPr>
              <w:pStyle w:val="TableContents"/>
              <w:spacing w:before="0" w:after="0"/>
              <w:ind w:left="0" w:right="0" w:hanging="0"/>
              <w:jc w:val="center"/>
              <w:rPr>
                <w:rFonts w:ascii="Open Sans SemiBold" w:hAnsi="Open Sans SemiBold"/>
                <w:b/>
                <w:i w:val="false"/>
                <w:caps w:val="false"/>
                <w:smallCaps w:val="false"/>
                <w:color w:val="004A7C"/>
                <w:sz w:val="16"/>
              </w:rPr>
            </w:pPr>
            <w:r>
              <w:rPr>
                <w:rFonts w:ascii="Open Sans SemiBold" w:hAnsi="Open Sans SemiBold"/>
                <w:b/>
                <w:i w:val="false"/>
                <w:caps w:val="false"/>
                <w:smallCaps w:val="false"/>
                <w:color w:val="004A7C"/>
                <w:sz w:val="16"/>
              </w:rPr>
              <w:t>Jon Vander Ark</w:t>
            </w:r>
          </w:p>
        </w:tc>
        <w:tc>
          <w:tcPr>
            <w:tcW w:w="875"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2/8/2019</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2,344</w:t>
            </w:r>
          </w:p>
        </w:tc>
        <w:tc>
          <w:tcPr>
            <w:tcW w:w="12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302,353</w:t>
            </w:r>
          </w:p>
        </w:tc>
        <w:tc>
          <w:tcPr>
            <w:tcW w:w="11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6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5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2/14/2020</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4,167</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537,501</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17,774</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2,292,668</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2/23/2021</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8,653</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1,116,150</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27,968</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3,607,592</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6/25/2021</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2,819</w:t>
            </w:r>
          </w:p>
        </w:tc>
        <w:tc>
          <w:tcPr>
            <w:tcW w:w="121"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363,623</w:t>
            </w:r>
          </w:p>
        </w:tc>
        <w:tc>
          <w:tcPr>
            <w:tcW w:w="111"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8,015</w:t>
            </w:r>
          </w:p>
        </w:tc>
        <w:tc>
          <w:tcPr>
            <w:tcW w:w="1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1,033,855</w:t>
            </w:r>
          </w:p>
        </w:tc>
        <w:tc>
          <w:tcPr>
            <w:tcW w:w="152"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2/11/2022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14,301</w:t>
            </w:r>
          </w:p>
        </w:tc>
        <w:tc>
          <w:tcPr>
            <w:tcW w:w="121"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D8E1E9"/>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1,844,686</w:t>
            </w:r>
          </w:p>
        </w:tc>
        <w:tc>
          <w:tcPr>
            <w:tcW w:w="111"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D8E1E9"/>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33,784</w:t>
            </w:r>
          </w:p>
        </w:tc>
        <w:tc>
          <w:tcPr>
            <w:tcW w:w="168"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D8E1E9"/>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4,357,798</w:t>
            </w:r>
          </w:p>
        </w:tc>
        <w:tc>
          <w:tcPr>
            <w:tcW w:w="152"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lineRule="auto" w:line="288" w:before="0" w:after="0"/>
              <w:ind w:left="0" w:right="0" w:hanging="0"/>
              <w:jc w:val="center"/>
              <w:rPr>
                <w:rFonts w:ascii="Open Sans SemiBold" w:hAnsi="Open Sans SemiBold"/>
                <w:b/>
                <w:i w:val="false"/>
                <w:caps w:val="false"/>
                <w:smallCaps w:val="false"/>
                <w:color w:val="004A7C"/>
                <w:sz w:val="16"/>
              </w:rPr>
            </w:pPr>
            <w:r>
              <w:rPr>
                <w:rFonts w:ascii="Open Sans SemiBold" w:hAnsi="Open Sans SemiBold"/>
                <w:b/>
                <w:i w:val="false"/>
                <w:caps w:val="false"/>
                <w:smallCaps w:val="false"/>
                <w:color w:val="004A7C"/>
                <w:sz w:val="16"/>
              </w:rPr>
              <w:t>Brian M. DelGhiaccio (3)</w:t>
            </w:r>
          </w:p>
        </w:tc>
        <w:tc>
          <w:tcPr>
            <w:tcW w:w="875" w:type="dxa"/>
            <w:tcBorders>
              <w:top w:val="single" w:sz="6" w:space="0" w:color="FFFFFF"/>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2/8/2019</w:t>
            </w:r>
          </w:p>
        </w:tc>
        <w:tc>
          <w:tcPr>
            <w:tcW w:w="60" w:type="dxa"/>
            <w:tcBorders>
              <w:top w:val="single" w:sz="6" w:space="0" w:color="FFFFFF"/>
              <w:bottom w:val="single" w:sz="6" w:space="0" w:color="D8E1E9"/>
              <w:right w:val="single" w:sz="6" w:space="0" w:color="D8E1E9"/>
            </w:tcBorders>
            <w:shd w:fill="FFFFFF"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556</w:t>
            </w:r>
          </w:p>
        </w:tc>
        <w:tc>
          <w:tcPr>
            <w:tcW w:w="121" w:type="dxa"/>
            <w:tcBorders>
              <w:top w:val="single" w:sz="6" w:space="0" w:color="FFFFFF"/>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71,718</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2/14/2020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1,355</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174,781</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4,078</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526,021</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6/1/2020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1,224</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157,884</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2/23/2021</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4,978</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642,112</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10,787</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1,391,415</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2/11/2022</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FFFFFF"/>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5,049</w:t>
            </w:r>
          </w:p>
        </w:tc>
        <w:tc>
          <w:tcPr>
            <w:tcW w:w="121"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FFFFFF"/>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FFFFFF"/>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651,271</w:t>
            </w:r>
          </w:p>
        </w:tc>
        <w:tc>
          <w:tcPr>
            <w:tcW w:w="111"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FFFFFF"/>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FFFFFF"/>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10,558</w:t>
            </w:r>
          </w:p>
        </w:tc>
        <w:tc>
          <w:tcPr>
            <w:tcW w:w="168"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FFFFFF"/>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FFFFFF"/>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1,361,876</w:t>
            </w:r>
          </w:p>
        </w:tc>
        <w:tc>
          <w:tcPr>
            <w:tcW w:w="152" w:type="dxa"/>
            <w:tcBorders>
              <w:top w:val="single" w:sz="6" w:space="0" w:color="D8E1E9"/>
              <w:bottom w:val="single" w:sz="6" w:space="0" w:color="FFFFFF"/>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FFFFFF"/>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vAlign w:val="bottom"/>
          </w:tcPr>
          <w:p>
            <w:pPr>
              <w:pStyle w:val="TableContents"/>
              <w:spacing w:lineRule="auto" w:line="288" w:before="0" w:after="0"/>
              <w:ind w:left="0" w:right="0" w:hanging="0"/>
              <w:jc w:val="center"/>
              <w:rPr>
                <w:rFonts w:ascii="Open Sans SemiBold" w:hAnsi="Open Sans SemiBold"/>
                <w:b/>
                <w:i w:val="false"/>
                <w:caps w:val="false"/>
                <w:smallCaps w:val="false"/>
                <w:color w:val="004A7C"/>
                <w:sz w:val="16"/>
              </w:rPr>
            </w:pPr>
            <w:r>
              <w:rPr>
                <w:rFonts w:ascii="Open Sans SemiBold" w:hAnsi="Open Sans SemiBold"/>
                <w:b/>
                <w:i w:val="false"/>
                <w:caps w:val="false"/>
                <w:smallCaps w:val="false"/>
                <w:color w:val="004A7C"/>
                <w:sz w:val="16"/>
              </w:rPr>
              <w:t>Brian A. Bales (4)</w:t>
            </w:r>
          </w:p>
        </w:tc>
        <w:tc>
          <w:tcPr>
            <w:tcW w:w="875"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2/8/2019</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1,302</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167,945</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2/14/2020</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1,954</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252,046</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5,857</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755,494</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2/23/2021</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3,460</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446,305</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7,991</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1,030,759</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2/11/2022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3,366</w:t>
            </w:r>
          </w:p>
        </w:tc>
        <w:tc>
          <w:tcPr>
            <w:tcW w:w="12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434,180</w:t>
            </w:r>
          </w:p>
        </w:tc>
        <w:tc>
          <w:tcPr>
            <w:tcW w:w="111"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5,406</w:t>
            </w:r>
          </w:p>
        </w:tc>
        <w:tc>
          <w:tcPr>
            <w:tcW w:w="168"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D8E1E9"/>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697,320</w:t>
            </w:r>
          </w:p>
        </w:tc>
        <w:tc>
          <w:tcPr>
            <w:tcW w:w="152"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rFonts w:ascii="Open Sans SemiBold" w:hAnsi="Open Sans SemiBold"/>
                <w:b/>
                <w:i w:val="false"/>
                <w:caps w:val="false"/>
                <w:smallCaps w:val="false"/>
                <w:color w:val="004A7C"/>
                <w:sz w:val="16"/>
              </w:rPr>
            </w:pPr>
            <w:r>
              <w:rPr>
                <w:rFonts w:ascii="Open Sans SemiBold" w:hAnsi="Open Sans SemiBold"/>
                <w:b/>
                <w:i w:val="false"/>
                <w:caps w:val="false"/>
                <w:smallCaps w:val="false"/>
                <w:color w:val="004A7C"/>
                <w:sz w:val="16"/>
              </w:rPr>
              <w:t>Catharine D. Ellingsen</w:t>
            </w:r>
          </w:p>
        </w:tc>
        <w:tc>
          <w:tcPr>
            <w:tcW w:w="875" w:type="dxa"/>
            <w:tcBorders>
              <w:top w:val="single" w:sz="6" w:space="0" w:color="FFFFFF"/>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2/8/2019</w:t>
            </w:r>
          </w:p>
        </w:tc>
        <w:tc>
          <w:tcPr>
            <w:tcW w:w="60" w:type="dxa"/>
            <w:tcBorders>
              <w:top w:val="single" w:sz="6" w:space="0" w:color="FFFFFF"/>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1,737</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224,056</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2/14/2020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2,916</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376,135</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8,105</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1,045,464</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2/23/2021</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4,974</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641,596</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10,656</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1,374,517</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2/11/2022</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4,921</w:t>
            </w:r>
          </w:p>
        </w:tc>
        <w:tc>
          <w:tcPr>
            <w:tcW w:w="12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634,760</w:t>
            </w:r>
          </w:p>
        </w:tc>
        <w:tc>
          <w:tcPr>
            <w:tcW w:w="111"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7,601</w:t>
            </w:r>
          </w:p>
        </w:tc>
        <w:tc>
          <w:tcPr>
            <w:tcW w:w="16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980,453</w:t>
            </w:r>
          </w:p>
        </w:tc>
        <w:tc>
          <w:tcPr>
            <w:tcW w:w="15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D8E1E9"/>
              <w:right w:val="single" w:sz="6" w:space="0" w:color="FFFFFF"/>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tcPr>
          <w:p>
            <w:pPr>
              <w:pStyle w:val="TableContents"/>
              <w:spacing w:before="0" w:after="0"/>
              <w:ind w:left="0" w:right="0" w:hanging="0"/>
              <w:jc w:val="center"/>
              <w:rPr>
                <w:rFonts w:ascii="Open Sans SemiBold" w:hAnsi="Open Sans SemiBold"/>
                <w:b/>
                <w:i w:val="false"/>
                <w:caps w:val="false"/>
                <w:smallCaps w:val="false"/>
                <w:color w:val="004A7C"/>
                <w:sz w:val="16"/>
              </w:rPr>
            </w:pPr>
            <w:r>
              <w:rPr>
                <w:rFonts w:ascii="Open Sans SemiBold" w:hAnsi="Open Sans SemiBold"/>
                <w:b/>
                <w:i w:val="false"/>
                <w:caps w:val="false"/>
                <w:smallCaps w:val="false"/>
                <w:color w:val="004A7C"/>
                <w:sz w:val="16"/>
              </w:rPr>
              <w:t>Timothy E. Stuart</w:t>
            </w:r>
          </w:p>
        </w:tc>
        <w:tc>
          <w:tcPr>
            <w:tcW w:w="875"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2/8/2019</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1,947</w:t>
            </w:r>
          </w:p>
        </w:tc>
        <w:tc>
          <w:tcPr>
            <w:tcW w:w="12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251,144</w:t>
            </w:r>
          </w:p>
        </w:tc>
        <w:tc>
          <w:tcPr>
            <w:tcW w:w="111"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68"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D8E1E9"/>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152"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D8E1E9"/>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2/14/2020</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3,905</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503,706</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14,639</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1,888,285</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2/23/2021</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6,488</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836,887</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19,180</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2,474,028</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361" w:type="dxa"/>
            <w:tcBorders>
              <w:bottom w:val="single" w:sz="6" w:space="0" w:color="000000"/>
              <w:right w:val="single" w:sz="6" w:space="0" w:color="FFFFFF"/>
            </w:tcBorders>
            <w:shd w:fill="D8E1E9" w:val="clear"/>
            <w:tcMar>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75"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2/11/2022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99"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6,309</w:t>
            </w:r>
          </w:p>
        </w:tc>
        <w:tc>
          <w:tcPr>
            <w:tcW w:w="12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2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7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813,798</w:t>
            </w:r>
          </w:p>
        </w:tc>
        <w:tc>
          <w:tcPr>
            <w:tcW w:w="111"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8"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66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13,514</w:t>
            </w:r>
          </w:p>
        </w:tc>
        <w:tc>
          <w:tcPr>
            <w:tcW w:w="168"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71"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2" w:type="dxa"/>
            <w:tcBorders>
              <w:top w:val="single" w:sz="6" w:space="0" w:color="FFFFFF"/>
              <w:left w:val="single" w:sz="6" w:space="0" w:color="FFFFFF"/>
              <w:bottom w:val="single" w:sz="6" w:space="0" w:color="FFFFFF"/>
            </w:tcBorders>
            <w:shd w:fill="D8E1E9" w:val="clear"/>
            <w:tcMar>
              <w:top w:w="28" w:type="dxa"/>
              <w:left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146"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1,743,171</w:t>
            </w:r>
          </w:p>
        </w:tc>
        <w:tc>
          <w:tcPr>
            <w:tcW w:w="152"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59"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31"/>
        <w:gridCol w:w="10308"/>
      </w:tblGrid>
      <w:tr>
        <w:trPr/>
        <w:tc>
          <w:tcPr>
            <w:tcW w:w="231" w:type="dxa"/>
            <w:tcBorders/>
            <w:shd w:fill="auto" w:val="clear"/>
          </w:tcPr>
          <w:p>
            <w:pPr>
              <w:pStyle w:val="TableContents"/>
              <w:spacing w:lineRule="auto" w:line="288" w:before="0" w:after="0"/>
              <w:rPr>
                <w:rFonts w:ascii="Open Sans" w:hAnsi="Open Sans"/>
                <w:b w:val="false"/>
                <w:i w:val="false"/>
                <w:caps w:val="false"/>
                <w:smallCaps w:val="false"/>
                <w:spacing w:val="-2"/>
                <w:sz w:val="16"/>
              </w:rPr>
            </w:pPr>
            <w:r>
              <w:rPr>
                <w:rFonts w:ascii="Open Sans" w:hAnsi="Open Sans"/>
                <w:b w:val="false"/>
                <w:i w:val="false"/>
                <w:caps w:val="false"/>
                <w:smallCaps w:val="false"/>
                <w:spacing w:val="-2"/>
                <w:sz w:val="16"/>
              </w:rPr>
              <w:t>(1)</w:t>
            </w:r>
          </w:p>
        </w:tc>
        <w:tc>
          <w:tcPr>
            <w:tcW w:w="10308" w:type="dxa"/>
            <w:tcBorders/>
            <w:shd w:fill="auto" w:val="clear"/>
          </w:tcPr>
          <w:p>
            <w:pPr>
              <w:pStyle w:val="TableContents"/>
              <w:spacing w:before="0" w:after="0"/>
              <w:rPr>
                <w:rFonts w:ascii="Open Sans" w:hAnsi="Open Sans"/>
                <w:b w:val="false"/>
                <w:i w:val="false"/>
                <w:caps w:val="false"/>
                <w:smallCaps w:val="false"/>
                <w:spacing w:val="-2"/>
                <w:sz w:val="16"/>
              </w:rPr>
            </w:pP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value</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RSU</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an</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PSU</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ar</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base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$128.99</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pe</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share</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whic</w:t>
            </w:r>
            <w:r>
              <w:rPr>
                <w:rFonts w:ascii="Open Sans" w:hAnsi="Open Sans"/>
                <w:b w:val="false"/>
                <w:i w:val="false"/>
                <w:caps w:val="false"/>
                <w:smallCaps w:val="false"/>
                <w:spacing w:val="-2"/>
                <w:sz w:val="15"/>
              </w:rPr>
              <w:t>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wa</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closin</w:t>
            </w:r>
            <w:r>
              <w:rPr>
                <w:rFonts w:ascii="Open Sans" w:hAnsi="Open Sans"/>
                <w:b w:val="false"/>
                <w:i w:val="false"/>
                <w:caps w:val="false"/>
                <w:smallCaps w:val="false"/>
                <w:spacing w:val="-2"/>
                <w:sz w:val="15"/>
              </w:rPr>
              <w:t>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pric</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Republic’</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stoc</w:t>
            </w:r>
            <w:r>
              <w:rPr>
                <w:rFonts w:ascii="Open Sans" w:hAnsi="Open Sans"/>
                <w:b w:val="false"/>
                <w:i w:val="false"/>
                <w:caps w:val="false"/>
                <w:smallCaps w:val="false"/>
                <w:spacing w:val="-2"/>
                <w:sz w:val="15"/>
              </w:rPr>
              <w:t>k</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Decembe</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30</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2022</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last</w:t>
            </w:r>
            <w:r>
              <w:rPr>
                <w:rFonts w:ascii="Open Sans" w:hAnsi="Open Sans"/>
                <w:b w:val="false"/>
                <w:i w:val="false"/>
                <w:caps w:val="false"/>
                <w:smallCaps w:val="false"/>
                <w:spacing w:val="-2"/>
                <w:sz w:val="16"/>
              </w:rPr>
              <w:t xml:space="preserve"> </w:t>
            </w:r>
            <w:r>
              <w:rPr>
                <w:rFonts w:ascii="Open Sans" w:hAnsi="Open Sans"/>
                <w:b w:val="false"/>
                <w:i w:val="false"/>
                <w:caps w:val="false"/>
                <w:smallCaps w:val="false"/>
                <w:spacing w:val="-3"/>
                <w:sz w:val="15"/>
              </w:rPr>
              <w:t>tradin</w:t>
            </w:r>
            <w:r>
              <w:rPr>
                <w:rFonts w:ascii="Open Sans" w:hAnsi="Open Sans"/>
                <w:b w:val="false"/>
                <w:i w:val="false"/>
                <w:caps w:val="false"/>
                <w:smallCaps w:val="false"/>
                <w:spacing w:val="-2"/>
                <w:sz w:val="15"/>
              </w:rPr>
              <w:t>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5"/>
              </w:rPr>
              <w:t>da</w:t>
            </w:r>
            <w:r>
              <w:rPr>
                <w:rFonts w:ascii="Open Sans" w:hAnsi="Open Sans"/>
                <w:b w:val="false"/>
                <w:i w:val="false"/>
                <w:caps w:val="false"/>
                <w:smallCaps w:val="false"/>
                <w:spacing w:val="-2"/>
                <w:sz w:val="15"/>
              </w:rPr>
              <w: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ou</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fisca</w:t>
            </w:r>
            <w:r>
              <w:rPr>
                <w:rFonts w:ascii="Open Sans" w:hAnsi="Open Sans"/>
                <w:b w:val="false"/>
                <w:i w:val="false"/>
                <w:caps w:val="false"/>
                <w:smallCaps w:val="false"/>
                <w:spacing w:val="-2"/>
                <w:sz w:val="15"/>
              </w:rPr>
              <w:t>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5"/>
              </w:rPr>
              <w:t>year.</w:t>
            </w:r>
          </w:p>
        </w:tc>
      </w:tr>
    </w:tbl>
    <w:tbl>
      <w:tblPr>
        <w:tblW w:w="10539" w:type="dxa"/>
        <w:jc w:val="left"/>
        <w:tblInd w:w="0" w:type="dxa"/>
        <w:tblCellMar>
          <w:top w:w="0" w:type="dxa"/>
          <w:left w:w="0" w:type="dxa"/>
          <w:bottom w:w="0" w:type="dxa"/>
          <w:right w:w="0" w:type="dxa"/>
        </w:tblCellMar>
      </w:tblPr>
      <w:tblGrid>
        <w:gridCol w:w="182"/>
        <w:gridCol w:w="10357"/>
      </w:tblGrid>
      <w:tr>
        <w:trPr/>
        <w:tc>
          <w:tcPr>
            <w:tcW w:w="182" w:type="dxa"/>
            <w:tcBorders/>
            <w:shd w:fill="auto" w:val="clear"/>
          </w:tcPr>
          <w:p>
            <w:pPr>
              <w:pStyle w:val="TableContents"/>
              <w:spacing w:lineRule="auto" w:line="288" w:before="0" w:after="0"/>
              <w:rPr>
                <w:rFonts w:ascii="Open Sans" w:hAnsi="Open Sans"/>
                <w:b w:val="false"/>
                <w:i w:val="false"/>
                <w:caps w:val="false"/>
                <w:smallCaps w:val="false"/>
                <w:spacing w:val="-2"/>
                <w:sz w:val="15"/>
              </w:rPr>
            </w:pPr>
            <w:r>
              <w:rPr>
                <w:rFonts w:ascii="Open Sans" w:hAnsi="Open Sans"/>
                <w:b w:val="false"/>
                <w:i w:val="false"/>
                <w:caps w:val="false"/>
                <w:smallCaps w:val="false"/>
                <w:spacing w:val="-2"/>
                <w:sz w:val="15"/>
              </w:rPr>
              <w:t>(2)</w:t>
            </w:r>
          </w:p>
        </w:tc>
        <w:tc>
          <w:tcPr>
            <w:tcW w:w="10357" w:type="dxa"/>
            <w:tcBorders/>
            <w:shd w:fill="auto" w:val="clear"/>
          </w:tcPr>
          <w:p>
            <w:pPr>
              <w:pStyle w:val="TableContents"/>
              <w:spacing w:before="0" w:after="0"/>
              <w:rPr>
                <w:rFonts w:ascii="Open Sans" w:hAnsi="Open Sans"/>
                <w:b w:val="false"/>
                <w:i w:val="false"/>
                <w:caps w:val="false"/>
                <w:smallCaps w:val="false"/>
                <w:spacing w:val="-2"/>
                <w:sz w:val="15"/>
              </w:rPr>
            </w:pPr>
            <w:r>
              <w:rPr>
                <w:rFonts w:ascii="Open Sans" w:hAnsi="Open Sans"/>
                <w:b w:val="false"/>
                <w:i w:val="false"/>
                <w:caps w:val="false"/>
                <w:smallCaps w:val="false"/>
                <w:spacing w:val="-3"/>
                <w:sz w:val="15"/>
              </w:rPr>
              <w:t>Include</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PSU</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fo</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2021-2023</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an</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2022-2024</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performanc</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periods</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Subsequen</w:t>
            </w:r>
            <w:r>
              <w:rPr>
                <w:rFonts w:ascii="Open Sans" w:hAnsi="Open Sans"/>
                <w:b w:val="false"/>
                <w:i w:val="false"/>
                <w:caps w:val="false"/>
                <w:smallCaps w:val="false"/>
                <w:spacing w:val="-2"/>
                <w:sz w:val="15"/>
              </w:rPr>
              <w:t>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t</w:t>
            </w:r>
            <w:r>
              <w:rPr>
                <w:rFonts w:ascii="Open Sans" w:hAnsi="Open Sans"/>
                <w:b w:val="false"/>
                <w:i w:val="false"/>
                <w:caps w:val="false"/>
                <w:smallCaps w:val="false"/>
                <w:spacing w:val="-2"/>
                <w:sz w:val="15"/>
              </w:rPr>
              <w:t>o</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en</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2"/>
                <w:sz w:val="15"/>
              </w:rPr>
              <w:t>a</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performanc</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period</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PS</w:t>
            </w:r>
            <w:r>
              <w:rPr>
                <w:rFonts w:ascii="Open Sans" w:hAnsi="Open Sans"/>
                <w:b w:val="false"/>
                <w:i w:val="false"/>
                <w:caps w:val="false"/>
                <w:smallCaps w:val="false"/>
                <w:spacing w:val="-2"/>
                <w:sz w:val="15"/>
              </w:rPr>
              <w:t>U</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payout</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ar</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generally</w:t>
            </w:r>
            <w:r>
              <w:rPr>
                <w:rFonts w:ascii="Open Sans" w:hAnsi="Open Sans"/>
                <w:b w:val="false"/>
                <w:i w:val="false"/>
                <w:caps w:val="false"/>
                <w:smallCaps w:val="false"/>
                <w:spacing w:val="-2"/>
                <w:sz w:val="15"/>
              </w:rPr>
              <w:t xml:space="preserve"> </w:t>
            </w:r>
            <w:r>
              <w:rPr>
                <w:rFonts w:ascii="Open Sans" w:hAnsi="Open Sans"/>
                <w:b w:val="false"/>
                <w:i w:val="false"/>
                <w:caps w:val="false"/>
                <w:smallCaps w:val="false"/>
                <w:spacing w:val="-3"/>
                <w:sz w:val="15"/>
              </w:rPr>
              <w:t>mad</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i</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Februar</w:t>
            </w:r>
            <w:r>
              <w:rPr>
                <w:rFonts w:ascii="Open Sans" w:hAnsi="Open Sans"/>
                <w:b w:val="false"/>
                <w:i w:val="false"/>
                <w:caps w:val="false"/>
                <w:smallCaps w:val="false"/>
                <w:spacing w:val="-2"/>
                <w:sz w:val="15"/>
              </w:rPr>
              <w:t>y</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succeedin</w:t>
            </w:r>
            <w:r>
              <w:rPr>
                <w:rFonts w:ascii="Open Sans" w:hAnsi="Open Sans"/>
                <w:b w:val="false"/>
                <w:i w:val="false"/>
                <w:caps w:val="false"/>
                <w:smallCaps w:val="false"/>
                <w:spacing w:val="-2"/>
                <w:sz w:val="15"/>
              </w:rPr>
              <w:t>g</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yea</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afte</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Talent &amp; </w:t>
            </w:r>
            <w:r>
              <w:rPr>
                <w:rFonts w:ascii="Open Sans" w:hAnsi="Open Sans"/>
                <w:b w:val="false"/>
                <w:i w:val="false"/>
                <w:caps w:val="false"/>
                <w:smallCaps w:val="false"/>
                <w:spacing w:val="-3"/>
                <w:sz w:val="15"/>
              </w:rPr>
              <w:t>Compensatio</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Committe</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ha</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determine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achievemen</w:t>
            </w:r>
            <w:r>
              <w:rPr>
                <w:rFonts w:ascii="Open Sans" w:hAnsi="Open Sans"/>
                <w:b w:val="false"/>
                <w:i w:val="false"/>
                <w:caps w:val="false"/>
                <w:smallCaps w:val="false"/>
                <w:spacing w:val="-2"/>
                <w:sz w:val="15"/>
              </w:rPr>
              <w:t>t</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performanc</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metrics</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9"/>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PSUs</w:t>
            </w:r>
            <w:r>
              <w:rPr>
                <w:rFonts w:ascii="Open Sans" w:hAnsi="Open Sans"/>
                <w:b w:val="false"/>
                <w:i w:val="false"/>
                <w:caps w:val="false"/>
                <w:smallCaps w:val="false"/>
                <w:spacing w:val="-2"/>
                <w:sz w:val="15"/>
              </w:rPr>
              <w:t xml:space="preserve"> </w:t>
            </w:r>
            <w:r>
              <w:rPr>
                <w:rFonts w:ascii="Open Sans" w:hAnsi="Open Sans"/>
                <w:b w:val="false"/>
                <w:i w:val="false"/>
                <w:caps w:val="false"/>
                <w:smallCaps w:val="false"/>
                <w:spacing w:val="-3"/>
                <w:sz w:val="15"/>
              </w:rPr>
              <w:t>fo</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2020-2022</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performanc</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perio</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ar</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no</w:t>
            </w:r>
            <w:r>
              <w:rPr>
                <w:rFonts w:ascii="Open Sans" w:hAnsi="Open Sans"/>
                <w:b w:val="false"/>
                <w:i w:val="false"/>
                <w:caps w:val="false"/>
                <w:smallCaps w:val="false"/>
                <w:spacing w:val="-2"/>
                <w:sz w:val="15"/>
              </w:rPr>
              <w:t>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include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i</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tabl</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the</w:t>
            </w:r>
            <w:r>
              <w:rPr>
                <w:rFonts w:ascii="Open Sans" w:hAnsi="Open Sans"/>
                <w:b w:val="false"/>
                <w:i w:val="false"/>
                <w:caps w:val="false"/>
                <w:smallCaps w:val="false"/>
                <w:spacing w:val="-2"/>
                <w:sz w:val="15"/>
              </w:rPr>
              <w:t>y</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ar</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considere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veste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o</w:t>
            </w:r>
            <w:r>
              <w:rPr>
                <w:rFonts w:ascii="Open Sans" w:hAnsi="Open Sans"/>
                <w:b w:val="false"/>
                <w:i w:val="false"/>
                <w:caps w:val="false"/>
                <w:smallCaps w:val="false"/>
                <w:spacing w:val="-2"/>
                <w:sz w:val="15"/>
              </w:rPr>
              <w:t>f</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Decembe</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31</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2022</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fo</w:t>
            </w:r>
            <w:r>
              <w:rPr>
                <w:rFonts w:ascii="Open Sans" w:hAnsi="Open Sans"/>
                <w:b w:val="false"/>
                <w:i w:val="false"/>
                <w:caps w:val="false"/>
                <w:smallCaps w:val="false"/>
                <w:spacing w:val="-2"/>
                <w:sz w:val="15"/>
              </w:rPr>
              <w:t>r</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prox</w:t>
            </w:r>
            <w:r>
              <w:rPr>
                <w:rFonts w:ascii="Open Sans" w:hAnsi="Open Sans"/>
                <w:b w:val="false"/>
                <w:i w:val="false"/>
                <w:caps w:val="false"/>
                <w:smallCaps w:val="false"/>
                <w:spacing w:val="-2"/>
                <w:sz w:val="15"/>
              </w:rPr>
              <w:t>y</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statement</w:t>
            </w:r>
            <w:r>
              <w:rPr>
                <w:rFonts w:ascii="Open Sans" w:hAnsi="Open Sans"/>
                <w:b w:val="false"/>
                <w:i w:val="false"/>
                <w:caps w:val="false"/>
                <w:smallCaps w:val="false"/>
                <w:spacing w:val="-2"/>
                <w:sz w:val="15"/>
              </w:rPr>
              <w:t xml:space="preserve"> </w:t>
            </w:r>
            <w:r>
              <w:rPr>
                <w:rFonts w:ascii="Open Sans" w:hAnsi="Open Sans"/>
                <w:b w:val="false"/>
                <w:i w:val="false"/>
                <w:caps w:val="false"/>
                <w:smallCaps w:val="false"/>
                <w:spacing w:val="-3"/>
                <w:sz w:val="15"/>
              </w:rPr>
              <w:t>disclosur</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purposes</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instead</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suc</w:t>
            </w:r>
            <w:r>
              <w:rPr>
                <w:rFonts w:ascii="Open Sans" w:hAnsi="Open Sans"/>
                <w:b w:val="false"/>
                <w:i w:val="false"/>
                <w:caps w:val="false"/>
                <w:smallCaps w:val="false"/>
                <w:spacing w:val="-2"/>
                <w:sz w:val="15"/>
              </w:rPr>
              <w:t>h</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PSU</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ar</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include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i</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th</w:t>
            </w:r>
            <w:r>
              <w:rPr>
                <w:rFonts w:ascii="Open Sans" w:hAnsi="Open Sans"/>
                <w:b w:val="false"/>
                <w:i w:val="false"/>
                <w:caps w:val="false"/>
                <w:smallCaps w:val="false"/>
                <w:spacing w:val="-2"/>
                <w:sz w:val="15"/>
              </w:rPr>
              <w:t>e</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“Optio</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Exercise</w:t>
            </w:r>
            <w:r>
              <w:rPr>
                <w:rFonts w:ascii="Open Sans" w:hAnsi="Open Sans"/>
                <w:b w:val="false"/>
                <w:i w:val="false"/>
                <w:caps w:val="false"/>
                <w:smallCaps w:val="false"/>
                <w:spacing w:val="-2"/>
                <w:sz w:val="15"/>
              </w:rPr>
              <w:t>s</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an</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Stoc</w:t>
            </w:r>
            <w:r>
              <w:rPr>
                <w:rFonts w:ascii="Open Sans" w:hAnsi="Open Sans"/>
                <w:b w:val="false"/>
                <w:i w:val="false"/>
                <w:caps w:val="false"/>
                <w:smallCaps w:val="false"/>
                <w:spacing w:val="-2"/>
                <w:sz w:val="15"/>
              </w:rPr>
              <w:t>k</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Veste</w:t>
            </w:r>
            <w:r>
              <w:rPr>
                <w:rFonts w:ascii="Open Sans" w:hAnsi="Open Sans"/>
                <w:b w:val="false"/>
                <w:i w:val="false"/>
                <w:caps w:val="false"/>
                <w:smallCaps w:val="false"/>
                <w:spacing w:val="-2"/>
                <w:sz w:val="15"/>
              </w:rPr>
              <w:t>d</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I</w:t>
            </w:r>
            <w:r>
              <w:rPr>
                <w:rFonts w:ascii="Open Sans" w:hAnsi="Open Sans"/>
                <w:b w:val="false"/>
                <w:i w:val="false"/>
                <w:caps w:val="false"/>
                <w:smallCaps w:val="false"/>
                <w:spacing w:val="-2"/>
                <w:sz w:val="15"/>
              </w:rPr>
              <w:t>n</w:t>
            </w:r>
            <w:r>
              <w:rPr>
                <w:rFonts w:ascii="Open Sans" w:hAnsi="Open Sans"/>
                <w:b w:val="false"/>
                <w:i w:val="false"/>
                <w:caps w:val="false"/>
                <w:smallCaps w:val="false"/>
                <w:spacing w:val="-8"/>
                <w:sz w:val="15"/>
              </w:rPr>
              <w:t xml:space="preserve"> </w:t>
            </w:r>
            <w:r>
              <w:rPr>
                <w:rFonts w:ascii="Open Sans" w:hAnsi="Open Sans"/>
                <w:b w:val="false"/>
                <w:i w:val="false"/>
                <w:caps w:val="false"/>
                <w:smallCaps w:val="false"/>
                <w:spacing w:val="-3"/>
                <w:sz w:val="15"/>
              </w:rPr>
              <w:t>2022</w:t>
            </w:r>
            <w:r>
              <w:rPr>
                <w:rFonts w:ascii="Open Sans" w:hAnsi="Open Sans"/>
                <w:b w:val="false"/>
                <w:i w:val="false"/>
                <w:caps w:val="false"/>
                <w:smallCaps w:val="false"/>
                <w:spacing w:val="-2"/>
                <w:sz w:val="15"/>
              </w:rPr>
              <w:t>”</w:t>
            </w:r>
            <w:r>
              <w:rPr>
                <w:rFonts w:ascii="Open Sans" w:hAnsi="Open Sans"/>
                <w:b w:val="false"/>
                <w:i w:val="false"/>
                <w:caps w:val="false"/>
                <w:smallCaps w:val="false"/>
                <w:spacing w:val="-7"/>
                <w:sz w:val="15"/>
              </w:rPr>
              <w:t xml:space="preserve"> </w:t>
            </w:r>
            <w:r>
              <w:rPr>
                <w:rFonts w:ascii="Open Sans" w:hAnsi="Open Sans"/>
                <w:b w:val="false"/>
                <w:i w:val="false"/>
                <w:caps w:val="false"/>
                <w:smallCaps w:val="false"/>
                <w:spacing w:val="-3"/>
                <w:sz w:val="15"/>
              </w:rPr>
              <w:t>table.</w:t>
            </w:r>
          </w:p>
        </w:tc>
      </w:tr>
    </w:tbl>
    <w:tbl>
      <w:tblPr>
        <w:tblW w:w="9439" w:type="dxa"/>
        <w:jc w:val="left"/>
        <w:tblInd w:w="0" w:type="dxa"/>
        <w:tblCellMar>
          <w:top w:w="0" w:type="dxa"/>
          <w:left w:w="0" w:type="dxa"/>
          <w:bottom w:w="0" w:type="dxa"/>
          <w:right w:w="0" w:type="dxa"/>
        </w:tblCellMar>
      </w:tblPr>
      <w:tblGrid>
        <w:gridCol w:w="227"/>
        <w:gridCol w:w="9212"/>
      </w:tblGrid>
      <w:tr>
        <w:trPr/>
        <w:tc>
          <w:tcPr>
            <w:tcW w:w="227" w:type="dxa"/>
            <w:tcBorders/>
            <w:shd w:fill="auto" w:val="clear"/>
          </w:tcPr>
          <w:p>
            <w:pPr>
              <w:pStyle w:val="TableContents"/>
              <w:spacing w:lineRule="auto" w:line="288" w:before="0" w:after="0"/>
              <w:rPr>
                <w:rFonts w:ascii="Open Sans" w:hAnsi="Open Sans"/>
                <w:b w:val="false"/>
                <w:i w:val="false"/>
                <w:caps w:val="false"/>
                <w:smallCaps w:val="false"/>
                <w:spacing w:val="-3"/>
                <w:sz w:val="15"/>
              </w:rPr>
            </w:pPr>
            <w:r>
              <w:rPr>
                <w:rFonts w:ascii="Open Sans" w:hAnsi="Open Sans"/>
                <w:b w:val="false"/>
                <w:i w:val="false"/>
                <w:caps w:val="false"/>
                <w:smallCaps w:val="false"/>
                <w:spacing w:val="-3"/>
                <w:sz w:val="15"/>
              </w:rPr>
              <w:t>(3)</w:t>
            </w:r>
          </w:p>
        </w:tc>
        <w:tc>
          <w:tcPr>
            <w:tcW w:w="9212" w:type="dxa"/>
            <w:tcBorders/>
            <w:shd w:fill="auto" w:val="clear"/>
          </w:tcPr>
          <w:p>
            <w:pPr>
              <w:pStyle w:val="TableContents"/>
              <w:spacing w:before="0" w:after="0"/>
              <w:rPr>
                <w:rFonts w:ascii="Open Sans" w:hAnsi="Open Sans"/>
                <w:b w:val="false"/>
                <w:i w:val="false"/>
                <w:caps w:val="false"/>
                <w:smallCaps w:val="false"/>
                <w:spacing w:val="-3"/>
                <w:sz w:val="15"/>
              </w:rPr>
            </w:pPr>
            <w:r>
              <w:rPr>
                <w:rFonts w:ascii="Open Sans" w:hAnsi="Open Sans"/>
                <w:b w:val="false"/>
                <w:i w:val="false"/>
                <w:caps w:val="false"/>
                <w:smallCaps w:val="false"/>
                <w:spacing w:val="-3"/>
                <w:sz w:val="15"/>
              </w:rPr>
              <w:t>Mr. DelGhiaccio deferred 100% of his RSU award granted in 2019 and deferred 50% of his RSU award granted in 2021 and 2022.</w:t>
            </w:r>
          </w:p>
        </w:tc>
      </w:tr>
    </w:tbl>
    <w:tbl>
      <w:tblPr>
        <w:tblW w:w="5830" w:type="dxa"/>
        <w:jc w:val="left"/>
        <w:tblInd w:w="0" w:type="dxa"/>
        <w:tblCellMar>
          <w:top w:w="0" w:type="dxa"/>
          <w:left w:w="0" w:type="dxa"/>
          <w:bottom w:w="0" w:type="dxa"/>
          <w:right w:w="0" w:type="dxa"/>
        </w:tblCellMar>
      </w:tblPr>
      <w:tblGrid>
        <w:gridCol w:w="230"/>
        <w:gridCol w:w="5600"/>
      </w:tblGrid>
      <w:tr>
        <w:trPr/>
        <w:tc>
          <w:tcPr>
            <w:tcW w:w="230" w:type="dxa"/>
            <w:tcBorders/>
            <w:shd w:fill="auto" w:val="clear"/>
          </w:tcPr>
          <w:p>
            <w:pPr>
              <w:pStyle w:val="TableContents"/>
              <w:spacing w:lineRule="auto" w:line="288" w:before="0" w:after="0"/>
              <w:rPr>
                <w:rFonts w:ascii="Open Sans" w:hAnsi="Open Sans"/>
                <w:b w:val="false"/>
                <w:i w:val="false"/>
                <w:caps w:val="false"/>
                <w:smallCaps w:val="false"/>
                <w:sz w:val="15"/>
              </w:rPr>
            </w:pPr>
            <w:r>
              <w:rPr>
                <w:rFonts w:ascii="Open Sans" w:hAnsi="Open Sans"/>
                <w:b w:val="false"/>
                <w:i w:val="false"/>
                <w:caps w:val="false"/>
                <w:smallCaps w:val="false"/>
                <w:sz w:val="15"/>
              </w:rPr>
              <w:t>(4)</w:t>
            </w:r>
          </w:p>
        </w:tc>
        <w:tc>
          <w:tcPr>
            <w:tcW w:w="5600" w:type="dxa"/>
            <w:tcBorders/>
            <w:shd w:fill="auto" w:val="clear"/>
          </w:tcPr>
          <w:p>
            <w:pPr>
              <w:pStyle w:val="TableContents"/>
              <w:spacing w:before="0" w:after="0"/>
              <w:rPr>
                <w:rFonts w:ascii="Open Sans" w:hAnsi="Open Sans"/>
                <w:b w:val="false"/>
                <w:i w:val="false"/>
                <w:caps w:val="false"/>
                <w:smallCaps w:val="false"/>
                <w:sz w:val="15"/>
              </w:rPr>
            </w:pPr>
            <w:r>
              <w:rPr>
                <w:rFonts w:ascii="Open Sans" w:hAnsi="Open Sans"/>
                <w:b w:val="false"/>
                <w:i w:val="false"/>
                <w:caps w:val="false"/>
                <w:smallCaps w:val="false"/>
                <w:sz w:val="15"/>
              </w:rPr>
              <w:t>Mr. Bales deferred 100% of his RSU award granted in 2019, 2021, and 2022.</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74</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vesting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dates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vesting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shown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table.</w:t>
      </w:r>
    </w:p>
    <w:p>
      <w:pPr>
        <w:pStyle w:val="TextBody"/>
        <w:spacing w:before="0" w:after="0"/>
        <w:rPr/>
      </w:pPr>
      <w:r>
        <w:rPr/>
        <w:t> </w:t>
      </w:r>
    </w:p>
    <w:tbl>
      <w:tblPr>
        <w:tblW w:w="5828" w:type="dxa"/>
        <w:jc w:val="left"/>
        <w:tblInd w:w="0" w:type="dxa"/>
        <w:tblCellMar>
          <w:top w:w="0" w:type="dxa"/>
          <w:left w:w="0" w:type="dxa"/>
          <w:bottom w:w="0" w:type="dxa"/>
          <w:right w:w="0" w:type="dxa"/>
        </w:tblCellMar>
      </w:tblPr>
      <w:tblGrid>
        <w:gridCol w:w="1610"/>
        <w:gridCol w:w="950"/>
        <w:gridCol w:w="155"/>
        <w:gridCol w:w="944"/>
        <w:gridCol w:w="60"/>
        <w:gridCol w:w="950"/>
        <w:gridCol w:w="131"/>
        <w:gridCol w:w="968"/>
        <w:gridCol w:w="60"/>
      </w:tblGrid>
      <w:tr>
        <w:trPr/>
        <w:tc>
          <w:tcPr>
            <w:tcW w:w="1610"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2049" w:type="dxa"/>
            <w:gridSpan w:val="3"/>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3"/>
              </w:rPr>
            </w:pPr>
            <w:r>
              <w:rPr>
                <w:rFonts w:ascii="Open Sans" w:hAnsi="Open Sans"/>
                <w:b/>
                <w:i w:val="false"/>
                <w:caps w:val="false"/>
                <w:smallCaps w:val="false"/>
                <w:color w:val="004A7C"/>
                <w:sz w:val="13"/>
              </w:rPr>
              <w:t>RSUs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049" w:type="dxa"/>
            <w:gridSpan w:val="3"/>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3"/>
              </w:rPr>
            </w:pPr>
            <w:r>
              <w:rPr>
                <w:rFonts w:ascii="Open Sans" w:hAnsi="Open Sans"/>
                <w:b/>
                <w:i w:val="false"/>
                <w:caps w:val="false"/>
                <w:smallCaps w:val="false"/>
                <w:color w:val="004A7C"/>
                <w:sz w:val="13"/>
              </w:rPr>
              <w:t>PSUs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shd w:fill="FFFFFF" w:val="clear"/>
            <w:vAlign w:val="center"/>
          </w:tcPr>
          <w:p>
            <w:pPr>
              <w:pStyle w:val="TableContents"/>
              <w:spacing w:before="0" w:after="0"/>
              <w:ind w:left="0" w:right="0" w:hanging="0"/>
              <w:jc w:val="center"/>
              <w:rPr>
                <w:rFonts w:ascii="Open Sans" w:hAnsi="Open Sans"/>
                <w:b/>
                <w:i w:val="false"/>
                <w:caps w:val="false"/>
                <w:smallCaps w:val="false"/>
                <w:color w:val="004A7C"/>
                <w:sz w:val="12"/>
              </w:rPr>
            </w:pPr>
            <w:r>
              <w:rPr>
                <w:rFonts w:ascii="Open Sans" w:hAnsi="Open Sans"/>
                <w:b/>
                <w:i w:val="false"/>
                <w:caps w:val="false"/>
                <w:smallCaps w:val="false"/>
                <w:color w:val="004A7C"/>
                <w:sz w:val="12"/>
              </w:rPr>
              <w:t>NAME</w:t>
            </w:r>
          </w:p>
        </w:tc>
        <w:tc>
          <w:tcPr>
            <w:tcW w:w="950"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3"/>
              </w:rPr>
            </w:pPr>
            <w:r>
              <w:rPr>
                <w:rFonts w:ascii="Open Sans" w:hAnsi="Open Sans"/>
                <w:b w:val="false"/>
                <w:i w:val="false"/>
                <w:caps w:val="false"/>
                <w:smallCaps w:val="false"/>
                <w:color w:val="004A7C"/>
                <w:sz w:val="13"/>
              </w:rPr>
              <w:t>Vesting Date</w:t>
            </w:r>
          </w:p>
        </w:tc>
        <w:tc>
          <w:tcPr>
            <w:tcW w:w="1099"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3"/>
              </w:rPr>
            </w:pPr>
            <w:r>
              <w:rPr>
                <w:rFonts w:ascii="Open Sans" w:hAnsi="Open Sans"/>
                <w:b w:val="false"/>
                <w:i w:val="false"/>
                <w:caps w:val="false"/>
                <w:smallCaps w:val="false"/>
                <w:color w:val="004A7C"/>
                <w:sz w:val="13"/>
              </w:rPr>
              <w:t>Shares Vesting</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3"/>
              </w:rPr>
            </w:pPr>
            <w:r>
              <w:rPr>
                <w:rFonts w:ascii="Open Sans" w:hAnsi="Open Sans"/>
                <w:b w:val="false"/>
                <w:i w:val="false"/>
                <w:caps w:val="false"/>
                <w:smallCaps w:val="false"/>
                <w:color w:val="004A7C"/>
                <w:sz w:val="13"/>
              </w:rPr>
              <w:t>Vesting Date</w:t>
            </w:r>
          </w:p>
        </w:tc>
        <w:tc>
          <w:tcPr>
            <w:tcW w:w="1099"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3"/>
              </w:rPr>
            </w:pPr>
            <w:r>
              <w:rPr>
                <w:rFonts w:ascii="Open Sans" w:hAnsi="Open Sans"/>
                <w:b w:val="false"/>
                <w:i w:val="false"/>
                <w:caps w:val="false"/>
                <w:smallCaps w:val="false"/>
                <w:color w:val="004A7C"/>
                <w:sz w:val="13"/>
              </w:rPr>
              <w:t>Shares Vesting</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5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2/8/2023</w:t>
            </w:r>
          </w:p>
        </w:tc>
        <w:tc>
          <w:tcPr>
            <w:tcW w:w="155" w:type="dxa"/>
            <w:tcBorders>
              <w:top w:val="single" w:sz="6" w:space="0" w:color="D8E1E9"/>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2,344</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12/31/2023</w:t>
            </w:r>
          </w:p>
        </w:tc>
        <w:tc>
          <w:tcPr>
            <w:tcW w:w="131" w:type="dxa"/>
            <w:tcBorders>
              <w:top w:val="single" w:sz="6" w:space="0" w:color="D8E1E9"/>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35,983</w:t>
            </w:r>
          </w:p>
        </w:tc>
        <w:tc>
          <w:tcPr>
            <w:tcW w:w="60"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3,574</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12/31/2024</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33,784</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2,083</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2,883</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6/25/2023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939</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3,575</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2"/>
              </w:rPr>
            </w:pPr>
            <w:r>
              <w:rPr>
                <w:rFonts w:ascii="Open Sans" w:hAnsi="Open Sans"/>
                <w:b/>
                <w:i w:val="false"/>
                <w:caps w:val="false"/>
                <w:smallCaps w:val="false"/>
                <w:color w:val="004A7C"/>
                <w:sz w:val="12"/>
              </w:rPr>
              <w:t>Jon Vander Ark</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2,083</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2,884</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6/25/2024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939</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3,575</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2,884</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6/25/2025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941</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2/11/2026</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3,576</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D8E1E9"/>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D8E1E9"/>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000000"/>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2/8/2023</w:t>
            </w:r>
          </w:p>
        </w:tc>
        <w:tc>
          <w:tcPr>
            <w:tcW w:w="155" w:type="dxa"/>
            <w:tcBorders>
              <w:top w:val="single" w:sz="6" w:space="0" w:color="FFFFFF"/>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556</w:t>
            </w:r>
          </w:p>
        </w:tc>
        <w:tc>
          <w:tcPr>
            <w:tcW w:w="60" w:type="dxa"/>
            <w:tcBorders>
              <w:top w:val="single" w:sz="6" w:space="0" w:color="FFFFFF"/>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12/31/2023</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10,787</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1,260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12/31/2024</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10,558</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677</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1,658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6/1/2023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611</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center"/>
          </w:tcPr>
          <w:p>
            <w:pPr>
              <w:pStyle w:val="TableContents"/>
              <w:spacing w:lineRule="auto" w:line="288" w:before="0" w:after="0"/>
              <w:ind w:left="0" w:right="0" w:hanging="0"/>
              <w:jc w:val="center"/>
              <w:rPr>
                <w:rFonts w:ascii="Open Sans" w:hAnsi="Open Sans"/>
                <w:b/>
                <w:i w:val="false"/>
                <w:caps w:val="false"/>
                <w:smallCaps w:val="false"/>
                <w:color w:val="004A7C"/>
                <w:sz w:val="12"/>
              </w:rPr>
            </w:pPr>
            <w:r>
              <w:rPr>
                <w:rFonts w:ascii="Open Sans" w:hAnsi="Open Sans"/>
                <w:b/>
                <w:i w:val="false"/>
                <w:caps w:val="false"/>
                <w:smallCaps w:val="false"/>
                <w:color w:val="004A7C"/>
                <w:sz w:val="12"/>
              </w:rPr>
              <w:t>Brian M. DelGhiaccio</w:t>
            </w:r>
            <w:r>
              <w:rPr>
                <w:rFonts w:ascii="Open Sans" w:hAnsi="Open Sans"/>
                <w:b w:val="false"/>
                <w:i w:val="false"/>
                <w:caps w:val="false"/>
                <w:smallCaps w:val="false"/>
                <w:color w:val="004A7C"/>
                <w:sz w:val="12"/>
              </w:rPr>
              <w:t>(1)</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1,262</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677</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1,658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6/1/2024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612</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2/11/2025</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1,262</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2/23/2025</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1,658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D8E1E9"/>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2/11/2026</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1,264</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2/8/2023</w:t>
            </w:r>
          </w:p>
        </w:tc>
        <w:tc>
          <w:tcPr>
            <w:tcW w:w="155" w:type="dxa"/>
            <w:tcBorders>
              <w:top w:val="single" w:sz="6" w:space="0" w:color="D8E1E9"/>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1,302</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12/31/2023</w:t>
            </w:r>
          </w:p>
        </w:tc>
        <w:tc>
          <w:tcPr>
            <w:tcW w:w="131" w:type="dxa"/>
            <w:tcBorders>
              <w:top w:val="single" w:sz="6" w:space="0" w:color="D8E1E9"/>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7,991</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840</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12/31/2024</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5,406</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977</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1,153</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lineRule="auto" w:line="288" w:before="0" w:after="0"/>
              <w:ind w:left="0" w:right="0" w:hanging="0"/>
              <w:jc w:val="center"/>
              <w:rPr>
                <w:rFonts w:ascii="Open Sans" w:hAnsi="Open Sans"/>
                <w:b/>
                <w:i w:val="false"/>
                <w:caps w:val="false"/>
                <w:smallCaps w:val="false"/>
                <w:color w:val="004A7C"/>
                <w:sz w:val="12"/>
              </w:rPr>
            </w:pPr>
            <w:r>
              <w:rPr>
                <w:rFonts w:ascii="Open Sans" w:hAnsi="Open Sans"/>
                <w:b/>
                <w:i w:val="false"/>
                <w:caps w:val="false"/>
                <w:smallCaps w:val="false"/>
                <w:color w:val="004A7C"/>
                <w:sz w:val="12"/>
              </w:rPr>
              <w:t>Brian A. Bales</w:t>
            </w:r>
            <w:r>
              <w:rPr>
                <w:rFonts w:ascii="Open Sans" w:hAnsi="Open Sans"/>
                <w:b w:val="false"/>
                <w:i w:val="false"/>
                <w:caps w:val="false"/>
                <w:smallCaps w:val="false"/>
                <w:color w:val="004A7C"/>
                <w:sz w:val="12"/>
              </w:rPr>
              <w:t>(2)</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841</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977</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1,153</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842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1,154</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2/11/2026</w:t>
            </w:r>
          </w:p>
        </w:tc>
        <w:tc>
          <w:tcPr>
            <w:tcW w:w="155" w:type="dxa"/>
            <w:tcBorders>
              <w:top w:val="single" w:sz="6" w:space="0" w:color="FFFFFF"/>
              <w:left w:val="single" w:sz="6" w:space="0" w:color="FFFFFF"/>
              <w:bottom w:val="single" w:sz="6" w:space="0" w:color="D8E1E9"/>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842</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D8E1E9"/>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D8E1E9"/>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D8E1E9"/>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000000"/>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1,737</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12/31/2023</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10,656</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12/31/2024</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7,601</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1,458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2/23/2023</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1,657</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center"/>
          </w:tcPr>
          <w:p>
            <w:pPr>
              <w:pStyle w:val="TableContents"/>
              <w:spacing w:before="0" w:after="0"/>
              <w:ind w:left="0" w:right="0" w:hanging="0"/>
              <w:jc w:val="center"/>
              <w:rPr>
                <w:rFonts w:ascii="Open Sans" w:hAnsi="Open Sans"/>
                <w:b/>
                <w:i w:val="false"/>
                <w:caps w:val="false"/>
                <w:smallCaps w:val="false"/>
                <w:color w:val="004A7C"/>
                <w:sz w:val="12"/>
              </w:rPr>
            </w:pPr>
            <w:r>
              <w:rPr>
                <w:rFonts w:ascii="Open Sans" w:hAnsi="Open Sans"/>
                <w:b/>
                <w:i w:val="false"/>
                <w:caps w:val="false"/>
                <w:smallCaps w:val="false"/>
                <w:color w:val="004A7C"/>
                <w:sz w:val="12"/>
              </w:rPr>
              <w:t>Catharine D. Ellingsen</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1,458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2/23/2024</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1,658</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2/11/2025</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000000"/>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2/23/2025</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1,659</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bottom w:val="single" w:sz="6" w:space="0" w:color="D8E1E9"/>
              <w:right w:val="single" w:sz="6" w:space="0" w:color="D8E1E9"/>
            </w:tcBorders>
            <w:shd w:fill="FFFFFF" w:val="clear"/>
            <w:tcMar>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2/11/2026</w:t>
            </w:r>
          </w:p>
        </w:tc>
        <w:tc>
          <w:tcPr>
            <w:tcW w:w="155"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D8E1E9"/>
              <w:bottom w:val="single" w:sz="6" w:space="0" w:color="D8E1E9"/>
              <w:right w:val="single" w:sz="6" w:space="0" w:color="D8E1E9"/>
            </w:tcBorders>
            <w:shd w:fill="FFFFFF"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D8E1E9"/>
              <w:left w:val="single" w:sz="6" w:space="0" w:color="D8E1E9"/>
              <w:bottom w:val="single" w:sz="6" w:space="0" w:color="D8E1E9"/>
            </w:tcBorders>
            <w:shd w:fill="FFFFFF"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FFFFFF"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2/8/2023</w:t>
            </w:r>
          </w:p>
        </w:tc>
        <w:tc>
          <w:tcPr>
            <w:tcW w:w="155" w:type="dxa"/>
            <w:tcBorders>
              <w:top w:val="single" w:sz="6" w:space="0" w:color="D8E1E9"/>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1,947</w:t>
            </w:r>
          </w:p>
        </w:tc>
        <w:tc>
          <w:tcPr>
            <w:tcW w:w="60" w:type="dxa"/>
            <w:tcBorders>
              <w:top w:val="single" w:sz="6" w:space="0" w:color="D8E1E9"/>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D8E1E9"/>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12/31/2023</w:t>
            </w:r>
          </w:p>
        </w:tc>
        <w:tc>
          <w:tcPr>
            <w:tcW w:w="131" w:type="dxa"/>
            <w:tcBorders>
              <w:top w:val="single" w:sz="6" w:space="0" w:color="D8E1E9"/>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19,180</w:t>
            </w:r>
          </w:p>
        </w:tc>
        <w:tc>
          <w:tcPr>
            <w:tcW w:w="60" w:type="dxa"/>
            <w:tcBorders>
              <w:top w:val="single" w:sz="6" w:space="0" w:color="D8E1E9"/>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1,576</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12/31/2024</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13,514</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1,952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2/23/2023</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2,162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rFonts w:ascii="Open Sans" w:hAnsi="Open Sans"/>
                <w:b/>
                <w:i w:val="false"/>
                <w:caps w:val="false"/>
                <w:smallCaps w:val="false"/>
                <w:color w:val="004A7C"/>
                <w:sz w:val="12"/>
              </w:rPr>
            </w:pPr>
            <w:r>
              <w:rPr>
                <w:rFonts w:ascii="Open Sans" w:hAnsi="Open Sans"/>
                <w:b/>
                <w:i w:val="false"/>
                <w:caps w:val="false"/>
                <w:smallCaps w:val="false"/>
                <w:color w:val="004A7C"/>
                <w:sz w:val="12"/>
              </w:rPr>
              <w:t>Timothy E. Stuart</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1,577</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2/14/2024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1,952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2/23/2024</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2,162</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1,577</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2/23/2025</w:t>
            </w:r>
          </w:p>
        </w:tc>
        <w:tc>
          <w:tcPr>
            <w:tcW w:w="155"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2,164</w:t>
            </w:r>
          </w:p>
        </w:tc>
        <w:tc>
          <w:tcPr>
            <w:tcW w:w="60" w:type="dxa"/>
            <w:tcBorders>
              <w:top w:val="single" w:sz="6" w:space="0" w:color="FFFFFF"/>
              <w:bottom w:val="single" w:sz="6" w:space="0" w:color="FFFFFF"/>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FFFFFF"/>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610" w:type="dxa"/>
            <w:tcBorders>
              <w:top w:val="single" w:sz="6" w:space="0" w:color="D8E1E9"/>
              <w:bottom w:val="single" w:sz="6" w:space="0" w:color="D8E1E9"/>
            </w:tcBorders>
            <w:shd w:fill="D8E1E9" w:val="clear"/>
            <w:tcMar>
              <w:top w:w="28" w:type="dxa"/>
              <w:bottom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50" w:type="dxa"/>
            <w:tcBorders>
              <w:top w:val="single" w:sz="6" w:space="0" w:color="FFFFFF"/>
              <w:bottom w:val="single" w:sz="6" w:space="0" w:color="000000"/>
              <w:right w:val="single" w:sz="6" w:space="0" w:color="FFFFFF"/>
            </w:tcBorders>
            <w:shd w:fill="D8E1E9" w:val="clear"/>
            <w:tcMar>
              <w:top w:w="28" w:type="dxa"/>
              <w:bottom w:w="28" w:type="dxa"/>
              <w:right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2/11/2026</w:t>
            </w:r>
          </w:p>
        </w:tc>
        <w:tc>
          <w:tcPr>
            <w:tcW w:w="155" w:type="dxa"/>
            <w:tcBorders>
              <w:top w:val="single" w:sz="6" w:space="0" w:color="FFFFFF"/>
              <w:left w:val="single" w:sz="6" w:space="0" w:color="FFFFFF"/>
              <w:bottom w:val="single" w:sz="6" w:space="0" w:color="000000"/>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4" w:type="dxa"/>
            <w:tcBorders>
              <w:top w:val="single" w:sz="6" w:space="0" w:color="FFFFFF"/>
              <w:bottom w:val="single" w:sz="6" w:space="0" w:color="000000"/>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1,578</w:t>
            </w:r>
          </w:p>
        </w:tc>
        <w:tc>
          <w:tcPr>
            <w:tcW w:w="60" w:type="dxa"/>
            <w:tcBorders>
              <w:top w:val="single" w:sz="6" w:space="0" w:color="FFFFFF"/>
              <w:bottom w:val="single" w:sz="6" w:space="0" w:color="000000"/>
              <w:right w:val="single" w:sz="6" w:space="0" w:color="FFFFFF"/>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50" w:type="dxa"/>
            <w:tcBorders>
              <w:top w:val="single" w:sz="6" w:space="0" w:color="FFFFFF"/>
              <w:left w:val="single" w:sz="6" w:space="0" w:color="FFFFFF"/>
              <w:bottom w:val="single" w:sz="6" w:space="0" w:color="000000"/>
              <w:right w:val="single" w:sz="6" w:space="0" w:color="FFFFFF"/>
            </w:tcBorders>
            <w:shd w:fill="D8E1E9" w:val="clear"/>
            <w:tcMar>
              <w:top w:w="28" w:type="dxa"/>
              <w:left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31" w:type="dxa"/>
            <w:tcBorders>
              <w:top w:val="single" w:sz="6" w:space="0" w:color="FFFFFF"/>
              <w:left w:val="single" w:sz="6" w:space="0" w:color="FFFFFF"/>
              <w:bottom w:val="single" w:sz="6" w:space="0" w:color="000000"/>
            </w:tcBorders>
            <w:shd w:fill="D8E1E9"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8" w:type="dxa"/>
            <w:tcBorders>
              <w:top w:val="single" w:sz="6" w:space="0" w:color="FFFFFF"/>
              <w:bottom w:val="single" w:sz="6" w:space="0" w:color="000000"/>
            </w:tcBorders>
            <w:shd w:fill="D8E1E9" w:val="clear"/>
            <w:tcMar>
              <w:top w:w="28" w:type="dxa"/>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FFFFFF"/>
              <w:bottom w:val="single" w:sz="6" w:space="0" w:color="000000"/>
            </w:tcBorders>
            <w:shd w:fill="D8E1E9" w:val="clear"/>
            <w:tcMar>
              <w:top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50"/>
        <w:gridCol w:w="10289"/>
      </w:tblGrid>
      <w:tr>
        <w:trPr/>
        <w:tc>
          <w:tcPr>
            <w:tcW w:w="25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289" w:type="dxa"/>
            <w:tcBorders/>
            <w:shd w:fill="auto" w:val="clear"/>
          </w:tcPr>
          <w:p>
            <w:pPr>
              <w:pStyle w:val="TableContents"/>
              <w:spacing w:before="0" w:after="0"/>
              <w:jc w:val="left"/>
              <w:rPr>
                <w:rFonts w:ascii="Open Sans" w:hAnsi="Open Sans"/>
                <w:b w:val="false"/>
                <w:i w:val="false"/>
                <w:caps w:val="false"/>
                <w:smallCaps w:val="false"/>
                <w:color w:val="000000"/>
                <w:sz w:val="13"/>
              </w:rPr>
            </w:pPr>
            <w:r>
              <w:rPr>
                <w:rFonts w:ascii="Open Sans" w:hAnsi="Open Sans"/>
                <w:b w:val="false"/>
                <w:i w:val="false"/>
                <w:caps w:val="false"/>
                <w:smallCaps w:val="false"/>
                <w:color w:val="000000"/>
                <w:sz w:val="13"/>
              </w:rPr>
              <w:t xml:space="preserve">Mr. DelGhiaccio has deferral arrangements for his awards with the following vesting dates:  2/8/23: Deferred 100%; 2/11/23: Deferred 50%; 2/23/23: Deferred 50%; 2/11/24: Deferred 50%; 2/23/24: Deferred 50%; 2/11/25: Deferred 50%; 2/23/25: Deferred 50%, 2/11/26: Deferred 50%. </w:t>
            </w:r>
          </w:p>
        </w:tc>
      </w:tr>
    </w:tbl>
    <w:tbl>
      <w:tblPr>
        <w:tblW w:w="10539" w:type="dxa"/>
        <w:jc w:val="left"/>
        <w:tblInd w:w="0" w:type="dxa"/>
        <w:tblCellMar>
          <w:top w:w="0" w:type="dxa"/>
          <w:left w:w="0" w:type="dxa"/>
          <w:bottom w:w="0" w:type="dxa"/>
          <w:right w:w="0" w:type="dxa"/>
        </w:tblCellMar>
      </w:tblPr>
      <w:tblGrid>
        <w:gridCol w:w="250"/>
        <w:gridCol w:w="10289"/>
      </w:tblGrid>
      <w:tr>
        <w:trPr/>
        <w:tc>
          <w:tcPr>
            <w:tcW w:w="25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289" w:type="dxa"/>
            <w:tcBorders/>
            <w:shd w:fill="auto" w:val="clear"/>
          </w:tcPr>
          <w:p>
            <w:pPr>
              <w:pStyle w:val="TableContents"/>
              <w:spacing w:before="0" w:after="0"/>
              <w:jc w:val="left"/>
              <w:rPr>
                <w:rFonts w:ascii="Open Sans" w:hAnsi="Open Sans"/>
                <w:b w:val="false"/>
                <w:i w:val="false"/>
                <w:caps w:val="false"/>
                <w:smallCaps w:val="false"/>
                <w:color w:val="000000"/>
                <w:sz w:val="13"/>
              </w:rPr>
            </w:pPr>
            <w:r>
              <w:rPr>
                <w:rFonts w:ascii="Open Sans" w:hAnsi="Open Sans"/>
                <w:b w:val="false"/>
                <w:i w:val="false"/>
                <w:caps w:val="false"/>
                <w:smallCaps w:val="false"/>
                <w:color w:val="000000"/>
                <w:sz w:val="13"/>
              </w:rPr>
              <w:t>Mr. Bales has deferral arrangements for his RSU awards with the following vesting dates: 2/8/23: Deferred 100%; 2/11/23: Deferred 100%; 2/23/23: Deferred 100%; 2/11/24: Deferred 100%; 2/23/24: Deferred 100%; 2/11/25: Deferred 100%; 2/23/25: Deferred 100%, 2/11/26: Deferred 100%.</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75</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w:hAnsi="Open Sans"/>
          <w:b/>
          <w:i w:val="false"/>
          <w:caps w:val="false"/>
          <w:smallCaps w:val="false"/>
          <w:color w:val="004A7C"/>
          <w:sz w:val="27"/>
        </w:rPr>
      </w:pPr>
      <w:bookmarkStart w:id="94" w:name="PSUS_RSUS_VESTED_IN_2021"/>
      <w:bookmarkEnd w:id="94"/>
      <w:r>
        <w:rPr>
          <w:rFonts w:ascii="Open Sans" w:hAnsi="Open Sans"/>
          <w:b/>
          <w:i w:val="false"/>
          <w:caps w:val="false"/>
          <w:smallCaps w:val="false"/>
          <w:color w:val="004A7C"/>
          <w:sz w:val="27"/>
        </w:rPr>
        <w:t>PSUs and RSUs Vested in 2022</w:t>
      </w:r>
    </w:p>
    <w:p>
      <w:pPr>
        <w:pStyle w:val="TextBody"/>
        <w:spacing w:before="120" w:after="0"/>
        <w:rPr>
          <w:rFonts w:ascii="Open Sans" w:hAnsi="Open Sans"/>
          <w:b w:val="false"/>
          <w:i w:val="false"/>
          <w:caps w:val="false"/>
          <w:smallCaps w:val="false"/>
          <w:spacing w:val="-2"/>
          <w:sz w:val="16"/>
        </w:rPr>
      </w:pP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following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table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reflects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vesting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previously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granted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RSUs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PSUs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for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each</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NEOs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during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year ended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December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31,</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2022.</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value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represented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vesting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RSUs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PSUs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is based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on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closing</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price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of</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our</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stock</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on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2"/>
          <w:sz w:val="16"/>
        </w:rPr>
        <w:t>vesting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2"/>
          <w:sz w:val="16"/>
        </w:rPr>
        <w:t>date.</w:t>
      </w:r>
    </w:p>
    <w:p>
      <w:pPr>
        <w:pStyle w:val="TextBody"/>
        <w:spacing w:before="0" w:after="0"/>
        <w:rPr/>
      </w:pPr>
      <w:r>
        <w:rPr/>
        <w:t> </w:t>
      </w:r>
    </w:p>
    <w:tbl>
      <w:tblPr>
        <w:tblW w:w="4574" w:type="dxa"/>
        <w:jc w:val="left"/>
        <w:tblInd w:w="0" w:type="dxa"/>
        <w:tblCellMar>
          <w:top w:w="0" w:type="dxa"/>
          <w:left w:w="0" w:type="dxa"/>
          <w:bottom w:w="0" w:type="dxa"/>
          <w:right w:w="0" w:type="dxa"/>
        </w:tblCellMar>
      </w:tblPr>
      <w:tblGrid>
        <w:gridCol w:w="1850"/>
        <w:gridCol w:w="96"/>
        <w:gridCol w:w="1112"/>
        <w:gridCol w:w="96"/>
        <w:gridCol w:w="96"/>
        <w:gridCol w:w="75"/>
        <w:gridCol w:w="1189"/>
        <w:gridCol w:w="60"/>
      </w:tblGrid>
      <w:tr>
        <w:trPr/>
        <w:tc>
          <w:tcPr>
            <w:tcW w:w="185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664" w:type="dxa"/>
            <w:gridSpan w:val="6"/>
            <w:tcBorders/>
            <w:shd w:fill="FFFFFF" w:val="cle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STOCK AWARDS(1)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1400"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Number of</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Shares Acquired</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on Vesting</w:t>
            </w:r>
          </w:p>
        </w:tc>
        <w:tc>
          <w:tcPr>
            <w:tcW w:w="1264"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Value Realized</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on Vesting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bottom w:val="single" w:sz="6" w:space="0" w:color="FFFFFF"/>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12"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9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6"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8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96"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1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117,995</w:t>
            </w:r>
          </w:p>
        </w:tc>
        <w:tc>
          <w:tcPr>
            <w:tcW w:w="9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6"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15,659,965</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96"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1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8,378</w:t>
            </w:r>
          </w:p>
        </w:tc>
        <w:tc>
          <w:tcPr>
            <w:tcW w:w="9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6"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1,059,907</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bottom w:val="single" w:sz="6" w:space="0" w:color="FFFFFF"/>
              <w:right w:val="single" w:sz="6" w:space="0" w:color="FFFFFF"/>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96"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1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15,586</w:t>
            </w:r>
          </w:p>
        </w:tc>
        <w:tc>
          <w:tcPr>
            <w:tcW w:w="9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6"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1,944,321</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96"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1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11,440</w:t>
            </w:r>
          </w:p>
        </w:tc>
        <w:tc>
          <w:tcPr>
            <w:tcW w:w="9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6"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1,426,265</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left w:val="single" w:sz="6" w:space="0" w:color="FFFFFF"/>
              <w:bottom w:val="single" w:sz="6" w:space="0" w:color="FFFFFF"/>
              <w:right w:val="single" w:sz="6" w:space="0" w:color="FFFFFF"/>
            </w:tcBorders>
            <w:shd w:fill="D8E1E9" w:val="clear"/>
            <w:tcMar>
              <w:top w:w="28" w:type="dxa"/>
              <w:left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96" w:type="dxa"/>
            <w:tcBorders>
              <w:top w:val="single" w:sz="6" w:space="0" w:color="D8E1E9"/>
              <w:left w:val="single" w:sz="6" w:space="0" w:color="FFFFFF"/>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12"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76,995</w:t>
            </w:r>
          </w:p>
        </w:tc>
        <w:tc>
          <w:tcPr>
            <w:tcW w:w="96"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6"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center"/>
              <w:rPr>
                <w:caps w:val="false"/>
                <w:smallCaps w:val="false"/>
                <w:color w:val="00497C"/>
              </w:rPr>
            </w:pPr>
            <w:r>
              <w:rPr>
                <w:caps w:val="false"/>
                <w:smallCaps w:val="false"/>
                <w:color w:val="00497C"/>
              </w:rPr>
              <w:t> </w:t>
            </w:r>
          </w:p>
        </w:tc>
        <w:tc>
          <w:tcPr>
            <w:tcW w:w="75"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1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10,170,382</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15"/>
        <w:gridCol w:w="10324"/>
      </w:tblGrid>
      <w:tr>
        <w:trPr/>
        <w:tc>
          <w:tcPr>
            <w:tcW w:w="215" w:type="dxa"/>
            <w:tcBorders/>
            <w:shd w:fill="auto" w:val="clear"/>
          </w:tcPr>
          <w:p>
            <w:pPr>
              <w:pStyle w:val="TableContents"/>
              <w:spacing w:lineRule="auto" w:line="288" w:before="0" w:after="0"/>
              <w:rPr>
                <w:rFonts w:ascii="Open Sans" w:hAnsi="Open Sans"/>
                <w:b w:val="false"/>
                <w:i w:val="false"/>
                <w:caps w:val="false"/>
                <w:smallCaps w:val="false"/>
                <w:sz w:val="16"/>
              </w:rPr>
            </w:pPr>
            <w:r>
              <w:rPr>
                <w:rFonts w:ascii="Open Sans" w:hAnsi="Open Sans"/>
                <w:b w:val="false"/>
                <w:i w:val="false"/>
                <w:caps w:val="false"/>
                <w:smallCaps w:val="false"/>
                <w:sz w:val="16"/>
              </w:rPr>
              <w:t>(1)</w:t>
            </w:r>
          </w:p>
        </w:tc>
        <w:tc>
          <w:tcPr>
            <w:tcW w:w="10324" w:type="dxa"/>
            <w:tcBorders/>
            <w:shd w:fill="auto" w:val="clear"/>
          </w:tcPr>
          <w:p>
            <w:pPr>
              <w:pStyle w:val="TableContents"/>
              <w:spacing w:before="0" w:after="0"/>
              <w:rPr>
                <w:rFonts w:ascii="Open Sans" w:hAnsi="Open Sans"/>
                <w:b w:val="false"/>
                <w:i w:val="false"/>
                <w:caps w:val="false"/>
                <w:smallCaps w:val="false"/>
                <w:sz w:val="15"/>
              </w:rPr>
            </w:pPr>
            <w:r>
              <w:rPr>
                <w:rFonts w:ascii="Open Sans" w:hAnsi="Open Sans"/>
                <w:b w:val="false"/>
                <w:i w:val="false"/>
                <w:caps w:val="false"/>
                <w:smallCaps w:val="false"/>
                <w:sz w:val="15"/>
              </w:rPr>
              <w:t xml:space="preserve">The amounts reflected in this table include the vesting in 2022 of PSUs granted for the 2020-2022 performance period. Upon vesting, 50% of the PSU awards settled in cash on February 8, 2023, and 50% of the PSU awards settled in shares on February 17, 2023. </w:t>
            </w:r>
          </w:p>
        </w:tc>
      </w:tr>
    </w:tbl>
    <w:p>
      <w:pPr>
        <w:pStyle w:val="TextBody"/>
        <w:spacing w:before="120" w:after="0"/>
        <w:rPr>
          <w:rFonts w:ascii="Open Sans" w:hAnsi="Open Sans"/>
          <w:b/>
          <w:i w:val="false"/>
          <w:caps w:val="false"/>
          <w:smallCaps w:val="false"/>
          <w:color w:val="004A7C"/>
          <w:sz w:val="27"/>
        </w:rPr>
      </w:pPr>
      <w:bookmarkStart w:id="95" w:name="NONQUALIFIED_DEFERRED_COMPENSATION_IN_20"/>
      <w:bookmarkEnd w:id="95"/>
      <w:r>
        <w:rPr>
          <w:rFonts w:ascii="Open Sans" w:hAnsi="Open Sans"/>
          <w:b/>
          <w:i w:val="false"/>
          <w:caps w:val="false"/>
          <w:smallCaps w:val="false"/>
          <w:color w:val="004A7C"/>
          <w:sz w:val="27"/>
        </w:rPr>
        <w:t>Nonqualified Deferred Compensation in 2022</w:t>
      </w:r>
    </w:p>
    <w:p>
      <w:pPr>
        <w:pStyle w:val="TextBody"/>
        <w:spacing w:before="120" w:after="0"/>
        <w:rPr/>
      </w:pPr>
      <w:r>
        <w:rPr/>
        <w:t>The following table reflects information concerning the participation of our NEOs in our nonqualified Deferred Compensation Plan. For a description of that plan, see “Executive Compensation — Compensation Discussion and Analysis — Components of Executive Compensation — Deferred Compensation Plan and Deferred Compensation Savings Program Contributions.”</w:t>
      </w:r>
    </w:p>
    <w:p>
      <w:pPr>
        <w:pStyle w:val="TextBody"/>
        <w:spacing w:before="0" w:after="0"/>
        <w:rPr/>
      </w:pPr>
      <w:r>
        <w:rPr/>
        <w:t> </w:t>
      </w:r>
    </w:p>
    <w:tbl>
      <w:tblPr>
        <w:tblW w:w="7910" w:type="dxa"/>
        <w:jc w:val="left"/>
        <w:tblInd w:w="0" w:type="dxa"/>
        <w:tblCellMar>
          <w:top w:w="0" w:type="dxa"/>
          <w:left w:w="0" w:type="dxa"/>
          <w:bottom w:w="0" w:type="dxa"/>
          <w:right w:w="0" w:type="dxa"/>
        </w:tblCellMar>
      </w:tblPr>
      <w:tblGrid>
        <w:gridCol w:w="1850"/>
        <w:gridCol w:w="67"/>
        <w:gridCol w:w="943"/>
        <w:gridCol w:w="67"/>
        <w:gridCol w:w="68"/>
        <w:gridCol w:w="78"/>
        <w:gridCol w:w="909"/>
        <w:gridCol w:w="78"/>
        <w:gridCol w:w="80"/>
        <w:gridCol w:w="60"/>
        <w:gridCol w:w="755"/>
        <w:gridCol w:w="80"/>
        <w:gridCol w:w="60"/>
        <w:gridCol w:w="251"/>
        <w:gridCol w:w="1089"/>
        <w:gridCol w:w="60"/>
        <w:gridCol w:w="60"/>
        <w:gridCol w:w="76"/>
        <w:gridCol w:w="1219"/>
        <w:gridCol w:w="60"/>
      </w:tblGrid>
      <w:tr>
        <w:trPr/>
        <w:tc>
          <w:tcPr>
            <w:tcW w:w="185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NAME</w:t>
            </w:r>
          </w:p>
        </w:tc>
        <w:tc>
          <w:tcPr>
            <w:tcW w:w="114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Contributions</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 Last Fiscal</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Year ($)(1)</w:t>
            </w:r>
          </w:p>
        </w:tc>
        <w:tc>
          <w:tcPr>
            <w:tcW w:w="114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Registrant</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Contributions</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in Last Fiscal</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Year ($)(2)</w:t>
            </w:r>
          </w:p>
        </w:tc>
        <w:tc>
          <w:tcPr>
            <w:tcW w:w="955" w:type="dxa"/>
            <w:gridSpan w:val="4"/>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Aggregate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Earnings in</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Last Fiscal</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Year ($)(3)</w:t>
            </w:r>
          </w:p>
        </w:tc>
        <w:tc>
          <w:tcPr>
            <w:tcW w:w="1340"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Aggregate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Withdrawals/</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Distributions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1295" w:type="dxa"/>
            <w:gridSpan w:val="2"/>
            <w:tcBorders/>
            <w:shd w:fill="FFFFFF" w:val="clear"/>
            <w:vAlign w:val="bottom"/>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Aggregate</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Balance at Last</w:t>
            </w:r>
          </w:p>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Fiscal Year End</w:t>
            </w:r>
          </w:p>
          <w:p>
            <w:pPr>
              <w:pStyle w:val="TableContents"/>
              <w:spacing w:lineRule="auto" w:line="288"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0" w:type="dxa"/>
            <w:tcBorders>
              <w:bottom w:val="single" w:sz="6" w:space="0" w:color="FFFFFF"/>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43"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7"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8"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0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8"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8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251"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08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76"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19"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185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6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43"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167,426</w:t>
            </w:r>
          </w:p>
        </w:tc>
        <w:tc>
          <w:tcPr>
            <w:tcW w:w="67"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8"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0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183,094</w:t>
            </w:r>
          </w:p>
        </w:tc>
        <w:tc>
          <w:tcPr>
            <w:tcW w:w="7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5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(430,047</w:t>
            </w:r>
          </w:p>
        </w:tc>
        <w:tc>
          <w:tcPr>
            <w:tcW w:w="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5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3,709,209</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M. DelGhiaccio</w:t>
            </w:r>
          </w:p>
        </w:tc>
        <w:tc>
          <w:tcPr>
            <w:tcW w:w="6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43"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522,873</w:t>
            </w:r>
          </w:p>
        </w:tc>
        <w:tc>
          <w:tcPr>
            <w:tcW w:w="67"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8"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0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93,998</w:t>
            </w:r>
          </w:p>
        </w:tc>
        <w:tc>
          <w:tcPr>
            <w:tcW w:w="7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5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(462,250</w:t>
            </w:r>
          </w:p>
        </w:tc>
        <w:tc>
          <w:tcPr>
            <w:tcW w:w="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5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4,923,206</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A. Bales</w:t>
            </w:r>
          </w:p>
        </w:tc>
        <w:tc>
          <w:tcPr>
            <w:tcW w:w="6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43"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891,919</w:t>
            </w:r>
          </w:p>
        </w:tc>
        <w:tc>
          <w:tcPr>
            <w:tcW w:w="67"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8"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0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91,385</w:t>
            </w:r>
          </w:p>
        </w:tc>
        <w:tc>
          <w:tcPr>
            <w:tcW w:w="7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5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(940,370</w:t>
            </w:r>
          </w:p>
        </w:tc>
        <w:tc>
          <w:tcPr>
            <w:tcW w:w="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5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13,319,247</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Catharine D. Ellingsen</w:t>
            </w:r>
          </w:p>
        </w:tc>
        <w:tc>
          <w:tcPr>
            <w:tcW w:w="6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43"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77,742</w:t>
            </w:r>
          </w:p>
        </w:tc>
        <w:tc>
          <w:tcPr>
            <w:tcW w:w="67"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8"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0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98,411</w:t>
            </w:r>
          </w:p>
        </w:tc>
        <w:tc>
          <w:tcPr>
            <w:tcW w:w="7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5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(452,154</w:t>
            </w:r>
          </w:p>
        </w:tc>
        <w:tc>
          <w:tcPr>
            <w:tcW w:w="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5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3,951,420</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r>
        <w:trPr/>
        <w:tc>
          <w:tcPr>
            <w:tcW w:w="1850" w:type="dxa"/>
            <w:tcBorders>
              <w:top w:val="single" w:sz="6" w:space="0" w:color="FFFFFF"/>
              <w:bottom w:val="single" w:sz="6" w:space="0" w:color="FFFFFF"/>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Timothy E. Stuart</w:t>
            </w:r>
          </w:p>
        </w:tc>
        <w:tc>
          <w:tcPr>
            <w:tcW w:w="67"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43"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1,832,611</w:t>
            </w:r>
          </w:p>
        </w:tc>
        <w:tc>
          <w:tcPr>
            <w:tcW w:w="67"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8"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8"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90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96,717</w:t>
            </w:r>
          </w:p>
        </w:tc>
        <w:tc>
          <w:tcPr>
            <w:tcW w:w="78"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8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60"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755"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(514,622</w:t>
            </w:r>
          </w:p>
        </w:tc>
        <w:tc>
          <w:tcPr>
            <w:tcW w:w="8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251"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08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w:t>
            </w:r>
          </w:p>
        </w:tc>
        <w:tc>
          <w:tcPr>
            <w:tcW w:w="60"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jc w:val="right"/>
              <w:rPr>
                <w:caps w:val="false"/>
                <w:smallCaps w:val="false"/>
                <w:color w:val="00497C"/>
              </w:rPr>
            </w:pPr>
            <w:r>
              <w:rPr>
                <w:caps w:val="false"/>
                <w:smallCaps w:val="false"/>
                <w:color w:val="00497C"/>
              </w:rPr>
              <w:t> </w:t>
            </w:r>
          </w:p>
        </w:tc>
        <w:tc>
          <w:tcPr>
            <w:tcW w:w="76" w:type="dxa"/>
            <w:tcBorders>
              <w:top w:val="single" w:sz="6" w:space="0" w:color="D8E1E9"/>
              <w:left w:val="single" w:sz="6" w:space="0" w:color="D8E1E9"/>
              <w:bottom w:val="single" w:sz="6" w:space="0" w:color="D8E1E9"/>
            </w:tcBorders>
            <w:shd w:fill="FFFFFF" w:val="clear"/>
            <w:tcMar>
              <w:top w:w="28" w:type="dxa"/>
              <w:left w:w="28" w:type="dxa"/>
              <w:bottom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c>
          <w:tcPr>
            <w:tcW w:w="1219" w:type="dxa"/>
            <w:tcBorders>
              <w:top w:val="single" w:sz="6" w:space="0" w:color="D8E1E9"/>
              <w:bottom w:val="single" w:sz="6" w:space="0" w:color="D8E1E9"/>
            </w:tcBorders>
            <w:shd w:fill="FFFFFF"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97C"/>
                <w:sz w:val="17"/>
              </w:rPr>
            </w:pPr>
            <w:r>
              <w:rPr>
                <w:rFonts w:ascii="Open Sans" w:hAnsi="Open Sans"/>
                <w:b w:val="false"/>
                <w:i w:val="false"/>
                <w:caps w:val="false"/>
                <w:smallCaps w:val="false"/>
                <w:color w:val="00497C"/>
                <w:sz w:val="17"/>
              </w:rPr>
              <w:t>5,709,866</w:t>
            </w:r>
          </w:p>
        </w:tc>
        <w:tc>
          <w:tcPr>
            <w:tcW w:w="60" w:type="dxa"/>
            <w:tcBorders>
              <w:top w:val="single" w:sz="6" w:space="0" w:color="D8E1E9"/>
              <w:bottom w:val="single" w:sz="6" w:space="0" w:color="D8E1E9"/>
              <w:right w:val="single" w:sz="6" w:space="0" w:color="D8E1E9"/>
            </w:tcBorders>
            <w:shd w:fill="FFFFFF" w:val="clear"/>
            <w:tcMar>
              <w:top w:w="28" w:type="dxa"/>
              <w:bottom w:w="28" w:type="dxa"/>
              <w:right w:w="28" w:type="dxa"/>
            </w:tcMar>
            <w:vAlign w:val="center"/>
          </w:tcPr>
          <w:p>
            <w:pPr>
              <w:pStyle w:val="TableContents"/>
              <w:spacing w:before="0" w:after="0"/>
              <w:ind w:left="0" w:right="0" w:hanging="0"/>
              <w:rPr>
                <w:caps w:val="false"/>
                <w:smallCaps w:val="false"/>
                <w:color w:val="00497C"/>
              </w:rPr>
            </w:pPr>
            <w:r>
              <w:rPr>
                <w:caps w:val="false"/>
                <w:smallCaps w:val="false"/>
                <w:color w:val="0049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29"/>
        <w:gridCol w:w="10310"/>
      </w:tblGrid>
      <w:tr>
        <w:trPr/>
        <w:tc>
          <w:tcPr>
            <w:tcW w:w="229" w:type="dxa"/>
            <w:tcBorders/>
            <w:shd w:fill="auto" w:val="clear"/>
          </w:tcPr>
          <w:p>
            <w:pPr>
              <w:pStyle w:val="TableContents"/>
              <w:spacing w:lineRule="auto" w:line="288" w:before="0" w:after="0"/>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(1)</w:t>
            </w:r>
          </w:p>
        </w:tc>
        <w:tc>
          <w:tcPr>
            <w:tcW w:w="10310" w:type="dxa"/>
            <w:tcBorders/>
            <w:shd w:fill="auto" w:val="clear"/>
          </w:tcPr>
          <w:p>
            <w:pPr>
              <w:pStyle w:val="TableContents"/>
              <w:spacing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All amounts contributed to the DCP by the NEOs in 2022 have been included in the Summary Compensation Table as Salary, Stock Awards or Non-Equity Incentive Plan Compensation.  </w:t>
            </w:r>
          </w:p>
        </w:tc>
      </w:tr>
    </w:tbl>
    <w:tbl>
      <w:tblPr>
        <w:tblW w:w="10539" w:type="dxa"/>
        <w:jc w:val="left"/>
        <w:tblInd w:w="0" w:type="dxa"/>
        <w:tblCellMar>
          <w:top w:w="0" w:type="dxa"/>
          <w:left w:w="0" w:type="dxa"/>
          <w:bottom w:w="0" w:type="dxa"/>
          <w:right w:w="0" w:type="dxa"/>
        </w:tblCellMar>
      </w:tblPr>
      <w:tblGrid>
        <w:gridCol w:w="186"/>
        <w:gridCol w:w="10353"/>
      </w:tblGrid>
      <w:tr>
        <w:trPr/>
        <w:tc>
          <w:tcPr>
            <w:tcW w:w="186" w:type="dxa"/>
            <w:tcBorders/>
            <w:shd w:fill="auto" w:val="clear"/>
          </w:tcPr>
          <w:p>
            <w:pPr>
              <w:pStyle w:val="TableContents"/>
              <w:spacing w:lineRule="auto" w:line="288"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(2)</w:t>
            </w:r>
          </w:p>
        </w:tc>
        <w:tc>
          <w:tcPr>
            <w:tcW w:w="10353" w:type="dxa"/>
            <w:tcBorders/>
            <w:shd w:fill="auto" w:val="clear"/>
          </w:tcPr>
          <w:p>
            <w:pPr>
              <w:pStyle w:val="TableContents"/>
              <w:spacing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 xml:space="preserve">This column includes retirement contributions of $100,000 for Mr. Vander Ark and $65,000 for each of Ms. Ellingsen and Messrs. DelGhiaccio, Bales and Stuart that were made by Republic to the plan on behalf of the executive. These amounts vest in accordance with the terms of the plan described in the CD&amp;A. All other amounts in this column relate to matching contributions made by Republic during 2023 that are attributable to 2022 executive contributions. </w:t>
            </w:r>
          </w:p>
        </w:tc>
      </w:tr>
    </w:tbl>
    <w:tbl>
      <w:tblPr>
        <w:tblW w:w="10539" w:type="dxa"/>
        <w:jc w:val="left"/>
        <w:tblInd w:w="0" w:type="dxa"/>
        <w:tblCellMar>
          <w:top w:w="0" w:type="dxa"/>
          <w:left w:w="0" w:type="dxa"/>
          <w:bottom w:w="0" w:type="dxa"/>
          <w:right w:w="0" w:type="dxa"/>
        </w:tblCellMar>
      </w:tblPr>
      <w:tblGrid>
        <w:gridCol w:w="200"/>
        <w:gridCol w:w="10339"/>
      </w:tblGrid>
      <w:tr>
        <w:trPr/>
        <w:tc>
          <w:tcPr>
            <w:tcW w:w="200" w:type="dxa"/>
            <w:tcBorders/>
            <w:shd w:fill="auto" w:val="clear"/>
          </w:tcPr>
          <w:p>
            <w:pPr>
              <w:pStyle w:val="TableContents"/>
              <w:spacing w:lineRule="auto" w:line="288"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(3)</w:t>
            </w:r>
          </w:p>
        </w:tc>
        <w:tc>
          <w:tcPr>
            <w:tcW w:w="10339" w:type="dxa"/>
            <w:tcBorders/>
            <w:shd w:fill="auto" w:val="clear"/>
          </w:tcPr>
          <w:p>
            <w:pPr>
              <w:pStyle w:val="TableContents"/>
              <w:spacing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 xml:space="preserve">For deferrals of RSUs and stock-settled PSUs, earnings are calculated based on the change in the price of our common stock during 2022. For cash deferrals, earnings are calculated based on the performance of the measurement funds selected by the participants. </w:t>
            </w:r>
          </w:p>
        </w:tc>
      </w:tr>
    </w:tbl>
    <w:tbl>
      <w:tblPr>
        <w:tblW w:w="10539" w:type="dxa"/>
        <w:jc w:val="left"/>
        <w:tblInd w:w="0" w:type="dxa"/>
        <w:tblCellMar>
          <w:top w:w="0" w:type="dxa"/>
          <w:left w:w="0" w:type="dxa"/>
          <w:bottom w:w="0" w:type="dxa"/>
          <w:right w:w="0" w:type="dxa"/>
        </w:tblCellMar>
      </w:tblPr>
      <w:tblGrid>
        <w:gridCol w:w="195"/>
        <w:gridCol w:w="10344"/>
      </w:tblGrid>
      <w:tr>
        <w:trPr/>
        <w:tc>
          <w:tcPr>
            <w:tcW w:w="195" w:type="dxa"/>
            <w:tcBorders/>
            <w:shd w:fill="auto" w:val="clear"/>
          </w:tcPr>
          <w:p>
            <w:pPr>
              <w:pStyle w:val="TableContents"/>
              <w:spacing w:lineRule="auto" w:line="288"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(4)</w:t>
            </w:r>
          </w:p>
        </w:tc>
        <w:tc>
          <w:tcPr>
            <w:tcW w:w="10344" w:type="dxa"/>
            <w:tcBorders/>
            <w:shd w:fill="auto" w:val="clear"/>
          </w:tcPr>
          <w:p>
            <w:pPr>
              <w:pStyle w:val="TableContents"/>
              <w:spacing w:before="0" w:after="0"/>
              <w:rPr>
                <w:rFonts w:ascii="Open Sans" w:hAnsi="Open Sans"/>
                <w:b w:val="false"/>
                <w:i w:val="false"/>
                <w:caps w:val="false"/>
                <w:smallCaps w:val="false"/>
                <w:color w:val="000000"/>
                <w:sz w:val="15"/>
              </w:rPr>
            </w:pPr>
            <w:r>
              <w:rPr>
                <w:rFonts w:ascii="Open Sans" w:hAnsi="Open Sans"/>
                <w:b w:val="false"/>
                <w:i w:val="false"/>
                <w:caps w:val="false"/>
                <w:smallCaps w:val="false"/>
                <w:color w:val="000000"/>
                <w:sz w:val="15"/>
              </w:rPr>
              <w:t>For Ms. Ellingsen and Messrs. Vander Ark, DelGhiaccio and Stuart, these amounts include the following amounts reported as compensation in 2020 and 2021 in the Summary Compensation Table:  Mr. Vander Ark:  $177,513; Mr. DelGhiaccio: $847,532; Ms. Ellingsen:  $207,207; and Mr. Stuart:  $206,789.</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76</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96" w:name="EMPLOYMENT_AGREEMENTS_POSTEMPLOYMENT_COM"/>
      <w:bookmarkEnd w:id="96"/>
      <w:r>
        <w:rPr>
          <w:rFonts w:ascii="Open Sans" w:hAnsi="Open Sans"/>
          <w:b/>
          <w:i w:val="false"/>
          <w:caps w:val="false"/>
          <w:smallCaps w:val="false"/>
          <w:color w:val="004A7C"/>
          <w:sz w:val="27"/>
        </w:rPr>
        <w:t>Employment Agreements and Post-Employment Compensation</w:t>
      </w:r>
    </w:p>
    <w:p>
      <w:pPr>
        <w:pStyle w:val="TextBody"/>
        <w:spacing w:before="120" w:after="0"/>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Employment</w:t>
      </w:r>
      <w:r>
        <w:rPr>
          <w:rFonts w:ascii="Open Sans SemiBold" w:hAnsi="Open Sans SemiBold"/>
          <w:b w:val="false"/>
          <w:i w:val="false"/>
          <w:caps w:val="false"/>
          <w:smallCaps w:val="false"/>
          <w:color w:val="004A7C"/>
          <w:spacing w:val="28"/>
          <w:sz w:val="17"/>
        </w:rPr>
        <w:t xml:space="preserve"> </w:t>
      </w:r>
      <w:r>
        <w:rPr>
          <w:rFonts w:ascii="Open Sans SemiBold" w:hAnsi="Open Sans SemiBold"/>
          <w:b w:val="false"/>
          <w:i w:val="false"/>
          <w:caps w:val="false"/>
          <w:smallCaps w:val="false"/>
          <w:color w:val="004A7C"/>
          <w:sz w:val="17"/>
        </w:rPr>
        <w:t>Agreements</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 of our NEOs.</w:t>
      </w:r>
    </w:p>
    <w:p>
      <w:pPr>
        <w:pStyle w:val="TextBody"/>
        <w:spacing w:before="120" w:after="0"/>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Executive</w:t>
      </w:r>
      <w:r>
        <w:rPr>
          <w:rFonts w:ascii="Open Sans SemiBold" w:hAnsi="Open Sans SemiBold"/>
          <w:b w:val="false"/>
          <w:i w:val="false"/>
          <w:caps w:val="false"/>
          <w:smallCaps w:val="false"/>
          <w:color w:val="004A7C"/>
          <w:spacing w:val="15"/>
          <w:sz w:val="17"/>
        </w:rPr>
        <w:t xml:space="preserve"> </w:t>
      </w:r>
      <w:r>
        <w:rPr>
          <w:rFonts w:ascii="Open Sans SemiBold" w:hAnsi="Open Sans SemiBold"/>
          <w:b w:val="false"/>
          <w:i w:val="false"/>
          <w:caps w:val="false"/>
          <w:smallCaps w:val="false"/>
          <w:color w:val="004A7C"/>
          <w:sz w:val="17"/>
        </w:rPr>
        <w:t>Separation</w:t>
      </w:r>
      <w:r>
        <w:rPr>
          <w:rFonts w:ascii="Open Sans SemiBold" w:hAnsi="Open Sans SemiBold"/>
          <w:b w:val="false"/>
          <w:i w:val="false"/>
          <w:caps w:val="false"/>
          <w:smallCaps w:val="false"/>
          <w:color w:val="004A7C"/>
          <w:spacing w:val="15"/>
          <w:sz w:val="17"/>
        </w:rPr>
        <w:t xml:space="preserve"> </w:t>
      </w:r>
      <w:r>
        <w:rPr>
          <w:rFonts w:ascii="Open Sans SemiBold" w:hAnsi="Open Sans SemiBold"/>
          <w:b w:val="false"/>
          <w:i w:val="false"/>
          <w:caps w:val="false"/>
          <w:smallCaps w:val="false"/>
          <w:color w:val="004A7C"/>
          <w:sz w:val="17"/>
        </w:rPr>
        <w:t>Policy</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adopted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 revised Executive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February </w:t>
      </w:r>
      <w:r>
        <w:rPr>
          <w:rFonts w:ascii="Open Sans" w:hAnsi="Open Sans"/>
          <w:b w:val="false"/>
          <w:i w:val="false"/>
          <w:caps w:val="false"/>
          <w:smallCaps w:val="false"/>
          <w:spacing w:val="-3"/>
          <w:sz w:val="16"/>
        </w:rPr>
        <w:t>2023</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ensure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able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attract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 retain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most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qualified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capable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professionals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key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positions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maximize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benefit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effect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Executive Officers,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Vice President who is not an Executive Officer,</w:t>
      </w:r>
      <w:r>
        <w:rPr>
          <w:rFonts w:ascii="Open Sans" w:hAnsi="Open Sans"/>
          <w:b w:val="false"/>
          <w:i w:val="false"/>
          <w:caps w:val="false"/>
          <w:smallCaps w:val="false"/>
          <w:spacing w:val="-9"/>
          <w:sz w:val="16"/>
        </w:rPr>
        <w:t xml:space="preserve"> and each </w:t>
      </w:r>
      <w:r>
        <w:rPr>
          <w:rFonts w:ascii="Open Sans" w:hAnsi="Open Sans"/>
          <w:b w:val="false"/>
          <w:i w:val="false"/>
          <w:caps w:val="false"/>
          <w:smallCaps w:val="false"/>
          <w:spacing w:val="-3"/>
          <w:sz w:val="16"/>
        </w:rPr>
        <w:t>Senior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Vice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President,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President and Vice President.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Talent &amp; </w:t>
      </w:r>
      <w:r>
        <w:rPr>
          <w:rFonts w:ascii="Open Sans" w:hAnsi="Open Sans"/>
          <w:b w:val="false"/>
          <w:i w:val="false"/>
          <w:caps w:val="false"/>
          <w:smallCaps w:val="false"/>
          <w:spacing w:val="-3"/>
          <w:sz w:val="16"/>
        </w:rPr>
        <w:t>Compensation Committee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discretion,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make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applicable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members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management.</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Each of our NEOs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(collectively,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“Covered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participate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Policy. Severance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benefits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subject to the following requirements: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containing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non-solicitation,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confidentiality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arbitration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provisions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appropriate,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non-competition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provision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agreement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containing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 full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release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legal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claims;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refraining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disparaging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reasonable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cooperation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assistance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concerning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legal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requested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Under</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the</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Separation</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Policy,</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together</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with</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the</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applicable</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plans</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and</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award</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agreements,</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the</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Covered</w:t>
      </w:r>
      <w:r>
        <w:rPr>
          <w:rFonts w:ascii="Open Sans SemiBold" w:hAnsi="Open Sans SemiBold"/>
          <w:b w:val="false"/>
          <w:i w:val="false"/>
          <w:caps w:val="false"/>
          <w:smallCaps w:val="false"/>
          <w:color w:val="004A7C"/>
          <w:spacing w:val="26"/>
          <w:sz w:val="17"/>
        </w:rPr>
        <w:t xml:space="preserve"> </w:t>
      </w:r>
      <w:r>
        <w:rPr>
          <w:rFonts w:ascii="Open Sans SemiBold" w:hAnsi="Open Sans SemiBold"/>
          <w:b w:val="false"/>
          <w:i w:val="false"/>
          <w:caps w:val="false"/>
          <w:smallCaps w:val="false"/>
          <w:color w:val="004A7C"/>
          <w:spacing w:val="2"/>
          <w:sz w:val="17"/>
        </w:rPr>
        <w:t>Executive</w:t>
      </w:r>
      <w:r>
        <w:rPr>
          <w:rFonts w:ascii="Open Sans SemiBold" w:hAnsi="Open Sans SemiBold"/>
          <w:b w:val="false"/>
          <w:i w:val="false"/>
          <w:caps w:val="false"/>
          <w:smallCaps w:val="false"/>
          <w:color w:val="004A7C"/>
          <w:spacing w:val="25"/>
          <w:sz w:val="17"/>
        </w:rPr>
        <w:t xml:space="preserve"> </w:t>
      </w:r>
      <w:r>
        <w:rPr>
          <w:rFonts w:ascii="Open Sans SemiBold" w:hAnsi="Open Sans SemiBold"/>
          <w:b w:val="false"/>
          <w:i w:val="false"/>
          <w:caps w:val="false"/>
          <w:smallCaps w:val="false"/>
          <w:color w:val="004A7C"/>
          <w:spacing w:val="2"/>
          <w:sz w:val="17"/>
        </w:rPr>
        <w:t>will</w:t>
      </w:r>
      <w:r>
        <w:rPr>
          <w:rFonts w:ascii="Open Sans SemiBold" w:hAnsi="Open Sans SemiBold"/>
          <w:b w:val="false"/>
          <w:i w:val="false"/>
          <w:caps w:val="false"/>
          <w:smallCaps w:val="false"/>
          <w:color w:val="004A7C"/>
          <w:spacing w:val="3"/>
          <w:sz w:val="17"/>
        </w:rPr>
        <w:t xml:space="preserve"> </w:t>
      </w:r>
      <w:r>
        <w:rPr>
          <w:rFonts w:ascii="Open Sans SemiBold" w:hAnsi="Open Sans SemiBold"/>
          <w:b w:val="false"/>
          <w:i w:val="false"/>
          <w:caps w:val="false"/>
          <w:smallCaps w:val="false"/>
          <w:color w:val="004A7C"/>
          <w:spacing w:val="2"/>
          <w:sz w:val="17"/>
        </w:rPr>
        <w:t>receive</w:t>
      </w:r>
      <w:r>
        <w:rPr>
          <w:rFonts w:ascii="Open Sans SemiBold" w:hAnsi="Open Sans SemiBold"/>
          <w:b w:val="false"/>
          <w:i w:val="false"/>
          <w:caps w:val="false"/>
          <w:smallCaps w:val="false"/>
          <w:color w:val="004A7C"/>
          <w:spacing w:val="30"/>
          <w:sz w:val="17"/>
        </w:rPr>
        <w:t xml:space="preserve"> </w:t>
      </w:r>
      <w:r>
        <w:rPr>
          <w:rFonts w:ascii="Open Sans SemiBold" w:hAnsi="Open Sans SemiBold"/>
          <w:b w:val="false"/>
          <w:i w:val="false"/>
          <w:caps w:val="false"/>
          <w:smallCaps w:val="false"/>
          <w:color w:val="004A7C"/>
          <w:spacing w:val="2"/>
          <w:sz w:val="17"/>
        </w:rPr>
        <w:t>the</w:t>
      </w:r>
      <w:r>
        <w:rPr>
          <w:rFonts w:ascii="Open Sans SemiBold" w:hAnsi="Open Sans SemiBold"/>
          <w:b w:val="false"/>
          <w:i w:val="false"/>
          <w:caps w:val="false"/>
          <w:smallCaps w:val="false"/>
          <w:color w:val="004A7C"/>
          <w:spacing w:val="29"/>
          <w:sz w:val="17"/>
        </w:rPr>
        <w:t xml:space="preserve"> </w:t>
      </w:r>
      <w:r>
        <w:rPr>
          <w:rFonts w:ascii="Open Sans SemiBold" w:hAnsi="Open Sans SemiBold"/>
          <w:b w:val="false"/>
          <w:i w:val="false"/>
          <w:caps w:val="false"/>
          <w:smallCaps w:val="false"/>
          <w:color w:val="004A7C"/>
          <w:spacing w:val="2"/>
          <w:sz w:val="17"/>
        </w:rPr>
        <w:t>following</w:t>
      </w:r>
      <w:r>
        <w:rPr>
          <w:rFonts w:ascii="Open Sans SemiBold" w:hAnsi="Open Sans SemiBold"/>
          <w:b w:val="false"/>
          <w:i w:val="false"/>
          <w:caps w:val="false"/>
          <w:smallCaps w:val="false"/>
          <w:color w:val="004A7C"/>
          <w:spacing w:val="30"/>
          <w:sz w:val="17"/>
        </w:rPr>
        <w:t xml:space="preserve"> </w:t>
      </w:r>
      <w:r>
        <w:rPr>
          <w:rFonts w:ascii="Open Sans SemiBold" w:hAnsi="Open Sans SemiBold"/>
          <w:b w:val="false"/>
          <w:i w:val="false"/>
          <w:caps w:val="false"/>
          <w:smallCaps w:val="false"/>
          <w:color w:val="004A7C"/>
          <w:spacing w:val="2"/>
          <w:sz w:val="17"/>
        </w:rPr>
        <w:t>compensation</w:t>
      </w:r>
      <w:r>
        <w:rPr>
          <w:rFonts w:ascii="Open Sans SemiBold" w:hAnsi="Open Sans SemiBold"/>
          <w:b w:val="false"/>
          <w:i w:val="false"/>
          <w:caps w:val="false"/>
          <w:smallCaps w:val="false"/>
          <w:color w:val="004A7C"/>
          <w:spacing w:val="30"/>
          <w:sz w:val="17"/>
        </w:rPr>
        <w:t xml:space="preserve"> </w:t>
      </w:r>
      <w:r>
        <w:rPr>
          <w:rFonts w:ascii="Open Sans SemiBold" w:hAnsi="Open Sans SemiBold"/>
          <w:b w:val="false"/>
          <w:i w:val="false"/>
          <w:caps w:val="false"/>
          <w:smallCaps w:val="false"/>
          <w:color w:val="004A7C"/>
          <w:spacing w:val="2"/>
          <w:sz w:val="17"/>
        </w:rPr>
        <w:t>for</w:t>
      </w:r>
      <w:r>
        <w:rPr>
          <w:rFonts w:ascii="Open Sans SemiBold" w:hAnsi="Open Sans SemiBold"/>
          <w:b w:val="false"/>
          <w:i w:val="false"/>
          <w:caps w:val="false"/>
          <w:smallCaps w:val="false"/>
          <w:color w:val="004A7C"/>
          <w:spacing w:val="30"/>
          <w:sz w:val="17"/>
        </w:rPr>
        <w:t xml:space="preserve"> </w:t>
      </w:r>
      <w:r>
        <w:rPr>
          <w:rFonts w:ascii="Open Sans SemiBold" w:hAnsi="Open Sans SemiBold"/>
          <w:b w:val="false"/>
          <w:i w:val="false"/>
          <w:caps w:val="false"/>
          <w:smallCaps w:val="false"/>
          <w:color w:val="004A7C"/>
          <w:spacing w:val="2"/>
          <w:sz w:val="17"/>
        </w:rPr>
        <w:t>each</w:t>
      </w:r>
      <w:r>
        <w:rPr>
          <w:rFonts w:ascii="Open Sans SemiBold" w:hAnsi="Open Sans SemiBold"/>
          <w:b w:val="false"/>
          <w:i w:val="false"/>
          <w:caps w:val="false"/>
          <w:smallCaps w:val="false"/>
          <w:color w:val="004A7C"/>
          <w:spacing w:val="30"/>
          <w:sz w:val="17"/>
        </w:rPr>
        <w:t xml:space="preserve"> </w:t>
      </w:r>
      <w:r>
        <w:rPr>
          <w:rFonts w:ascii="Open Sans SemiBold" w:hAnsi="Open Sans SemiBold"/>
          <w:b w:val="false"/>
          <w:i w:val="false"/>
          <w:caps w:val="false"/>
          <w:smallCaps w:val="false"/>
          <w:color w:val="004A7C"/>
          <w:spacing w:val="2"/>
          <w:sz w:val="17"/>
        </w:rPr>
        <w:t>respective</w:t>
      </w:r>
      <w:r>
        <w:rPr>
          <w:rFonts w:ascii="Open Sans SemiBold" w:hAnsi="Open Sans SemiBold"/>
          <w:b w:val="false"/>
          <w:i w:val="false"/>
          <w:caps w:val="false"/>
          <w:smallCaps w:val="false"/>
          <w:color w:val="004A7C"/>
          <w:spacing w:val="30"/>
          <w:sz w:val="17"/>
        </w:rPr>
        <w:t xml:space="preserve"> </w:t>
      </w:r>
      <w:r>
        <w:rPr>
          <w:rFonts w:ascii="Open Sans SemiBold" w:hAnsi="Open Sans SemiBold"/>
          <w:b w:val="false"/>
          <w:i w:val="false"/>
          <w:caps w:val="false"/>
          <w:smallCaps w:val="false"/>
          <w:color w:val="004A7C"/>
          <w:spacing w:val="2"/>
          <w:sz w:val="17"/>
        </w:rPr>
        <w:t>scenario:</w:t>
      </w:r>
    </w:p>
    <w:p>
      <w:pPr>
        <w:pStyle w:val="TextBody"/>
        <w:spacing w:before="80" w:after="0"/>
        <w:rPr>
          <w:rFonts w:ascii="Open Sans" w:hAnsi="Open Sans"/>
          <w:b/>
          <w:i w:val="false"/>
          <w:caps w:val="false"/>
          <w:smallCaps w:val="false"/>
          <w:spacing w:val="-3"/>
          <w:sz w:val="16"/>
        </w:rPr>
      </w:pPr>
      <w:r>
        <w:rPr>
          <w:rFonts w:ascii="Open Sans" w:hAnsi="Open Sans"/>
          <w:b/>
          <w:i w:val="false"/>
          <w:caps w:val="false"/>
          <w:smallCaps w:val="false"/>
          <w:spacing w:val="-3"/>
          <w:sz w:val="16"/>
        </w:rPr>
        <w:t>Death:</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Upon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Covered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death:</w:t>
      </w:r>
    </w:p>
    <w:tbl>
      <w:tblPr>
        <w:tblW w:w="5269" w:type="dxa"/>
        <w:jc w:val="left"/>
        <w:tblInd w:w="0" w:type="dxa"/>
        <w:tblCellMar>
          <w:top w:w="0" w:type="dxa"/>
          <w:left w:w="0" w:type="dxa"/>
          <w:bottom w:w="0" w:type="dxa"/>
          <w:right w:w="0" w:type="dxa"/>
        </w:tblCellMar>
      </w:tblPr>
      <w:tblGrid>
        <w:gridCol w:w="60"/>
        <w:gridCol w:w="110"/>
        <w:gridCol w:w="509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09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ye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paid;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employe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contribution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DC</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mad</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behal</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earning</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thos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amounts;</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annua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cas</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incentiv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target</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excep</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determine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prior 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deat</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applicabl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performanc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perio</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actua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amoun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determined;</w:t>
            </w:r>
          </w:p>
        </w:tc>
      </w:tr>
    </w:tbl>
    <w:tbl>
      <w:tblPr>
        <w:tblW w:w="6232" w:type="dxa"/>
        <w:jc w:val="left"/>
        <w:tblInd w:w="0" w:type="dxa"/>
        <w:tblCellMar>
          <w:top w:w="0" w:type="dxa"/>
          <w:left w:w="0" w:type="dxa"/>
          <w:bottom w:w="0" w:type="dxa"/>
          <w:right w:w="0" w:type="dxa"/>
        </w:tblCellMar>
      </w:tblPr>
      <w:tblGrid>
        <w:gridCol w:w="60"/>
        <w:gridCol w:w="110"/>
        <w:gridCol w:w="6062"/>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6062"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equit</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immediatel</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vest;</w:t>
            </w:r>
          </w:p>
        </w:tc>
      </w:tr>
    </w:tbl>
    <w:tbl>
      <w:tblPr>
        <w:tblW w:w="5986" w:type="dxa"/>
        <w:jc w:val="left"/>
        <w:tblInd w:w="0" w:type="dxa"/>
        <w:tblCellMar>
          <w:top w:w="0" w:type="dxa"/>
          <w:left w:w="0" w:type="dxa"/>
          <w:bottom w:w="0" w:type="dxa"/>
          <w:right w:w="0" w:type="dxa"/>
        </w:tblCellMar>
      </w:tblPr>
      <w:tblGrid>
        <w:gridCol w:w="60"/>
        <w:gridCol w:w="110"/>
        <w:gridCol w:w="5816"/>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816"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earne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PSU</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schedule;</w:t>
            </w:r>
          </w:p>
        </w:tc>
      </w:tr>
    </w:tbl>
    <w:tbl>
      <w:tblPr>
        <w:tblW w:w="7114" w:type="dxa"/>
        <w:jc w:val="left"/>
        <w:tblInd w:w="0" w:type="dxa"/>
        <w:tblCellMar>
          <w:top w:w="0" w:type="dxa"/>
          <w:left w:w="0" w:type="dxa"/>
          <w:bottom w:w="0" w:type="dxa"/>
          <w:right w:w="0" w:type="dxa"/>
        </w:tblCellMar>
      </w:tblPr>
      <w:tblGrid>
        <w:gridCol w:w="60"/>
        <w:gridCol w:w="110"/>
        <w:gridCol w:w="6944"/>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6944"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Mr</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DelGhiaccio</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Supplementa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LTI</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awar</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schedule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5"/>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s qualified beneficiaries </w:t>
            </w:r>
            <w:r>
              <w:rPr>
                <w:rFonts w:ascii="Open Sans" w:hAnsi="Open Sans"/>
                <w:b w:val="false"/>
                <w:i w:val="false"/>
                <w:caps w:val="false"/>
                <w:smallCaps w:val="false"/>
                <w:color w:val="000000"/>
                <w:spacing w:val="-5"/>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continue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coverag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certai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welfar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plan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accordanc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wit</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benefi</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continuatio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polic</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COBRA.</w:t>
            </w:r>
          </w:p>
        </w:tc>
      </w:tr>
    </w:tbl>
    <w:p>
      <w:pPr>
        <w:pStyle w:val="TextBody"/>
        <w:spacing w:before="120" w:after="0"/>
        <w:rPr>
          <w:rFonts w:ascii="Open Sans" w:hAnsi="Open Sans"/>
          <w:b/>
          <w:i w:val="false"/>
          <w:caps w:val="false"/>
          <w:smallCaps w:val="false"/>
          <w:spacing w:val="-3"/>
          <w:sz w:val="16"/>
        </w:rPr>
      </w:pPr>
      <w:r>
        <w:rPr>
          <w:rFonts w:ascii="Open Sans" w:hAnsi="Open Sans"/>
          <w:b/>
          <w:i w:val="false"/>
          <w:caps w:val="false"/>
          <w:smallCaps w:val="false"/>
          <w:spacing w:val="-3"/>
          <w:sz w:val="16"/>
        </w:rPr>
        <w:t>Disability:</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Covered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terminated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due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disability:</w:t>
      </w:r>
    </w:p>
    <w:tbl>
      <w:tblPr>
        <w:tblW w:w="5269" w:type="dxa"/>
        <w:jc w:val="left"/>
        <w:tblInd w:w="0" w:type="dxa"/>
        <w:tblCellMar>
          <w:top w:w="0" w:type="dxa"/>
          <w:left w:w="0" w:type="dxa"/>
          <w:bottom w:w="0" w:type="dxa"/>
          <w:right w:w="0" w:type="dxa"/>
        </w:tblCellMar>
      </w:tblPr>
      <w:tblGrid>
        <w:gridCol w:w="60"/>
        <w:gridCol w:w="110"/>
        <w:gridCol w:w="509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09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ye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paid</w:t>
            </w:r>
            <w:r>
              <w:rPr>
                <w:rFonts w:ascii="Open Sans" w:hAnsi="Open Sans"/>
                <w:b w:val="false"/>
                <w:i w:val="false"/>
                <w:caps w:val="false"/>
                <w:smallCaps w:val="false"/>
                <w:color w:val="000000"/>
                <w:spacing w:val="0"/>
                <w:sz w:val="16"/>
              </w:rPr>
              <w:t>;</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employe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contribution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DC</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mad</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behal</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earning</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thos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amounts;</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annua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cas</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incentiv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amoun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determine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 xml:space="preserve">e Talent &amp; </w:t>
            </w:r>
            <w:r>
              <w:rPr>
                <w:rFonts w:ascii="Open Sans" w:hAnsi="Open Sans"/>
                <w:b w:val="false"/>
                <w:i w:val="false"/>
                <w:caps w:val="false"/>
                <w:smallCaps w:val="false"/>
                <w:color w:val="000000"/>
                <w:spacing w:val="-3"/>
                <w:sz w:val="16"/>
              </w:rPr>
              <w:t>Compensatio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Committee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base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actua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performance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performanc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period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excep</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any 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determine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prio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disabilit</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applicabl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performanc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perio</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actual amoun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11"/>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11"/>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determined;</w:t>
            </w:r>
          </w:p>
        </w:tc>
      </w:tr>
    </w:tbl>
    <w:tbl>
      <w:tblPr>
        <w:tblW w:w="6232" w:type="dxa"/>
        <w:jc w:val="left"/>
        <w:tblInd w:w="0" w:type="dxa"/>
        <w:tblCellMar>
          <w:top w:w="0" w:type="dxa"/>
          <w:left w:w="0" w:type="dxa"/>
          <w:bottom w:w="0" w:type="dxa"/>
          <w:right w:w="0" w:type="dxa"/>
        </w:tblCellMar>
      </w:tblPr>
      <w:tblGrid>
        <w:gridCol w:w="60"/>
        <w:gridCol w:w="110"/>
        <w:gridCol w:w="6062"/>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6062"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equit</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immediatel</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vest;</w:t>
            </w:r>
          </w:p>
        </w:tc>
      </w:tr>
    </w:tbl>
    <w:tbl>
      <w:tblPr>
        <w:tblW w:w="5986" w:type="dxa"/>
        <w:jc w:val="left"/>
        <w:tblInd w:w="0" w:type="dxa"/>
        <w:tblCellMar>
          <w:top w:w="0" w:type="dxa"/>
          <w:left w:w="0" w:type="dxa"/>
          <w:bottom w:w="0" w:type="dxa"/>
          <w:right w:w="0" w:type="dxa"/>
        </w:tblCellMar>
      </w:tblPr>
      <w:tblGrid>
        <w:gridCol w:w="60"/>
        <w:gridCol w:w="110"/>
        <w:gridCol w:w="5816"/>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816"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earne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PSU</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schedule;</w:t>
            </w:r>
          </w:p>
        </w:tc>
      </w:tr>
    </w:tbl>
    <w:tbl>
      <w:tblPr>
        <w:tblW w:w="7114" w:type="dxa"/>
        <w:jc w:val="left"/>
        <w:tblInd w:w="0" w:type="dxa"/>
        <w:tblCellMar>
          <w:top w:w="0" w:type="dxa"/>
          <w:left w:w="0" w:type="dxa"/>
          <w:bottom w:w="0" w:type="dxa"/>
          <w:right w:w="0" w:type="dxa"/>
        </w:tblCellMar>
      </w:tblPr>
      <w:tblGrid>
        <w:gridCol w:w="60"/>
        <w:gridCol w:w="110"/>
        <w:gridCol w:w="6944"/>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6944"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Mr</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DelGhiaccio</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Supplementa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LTI</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awar</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schedule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5"/>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and his or her qualified beneficiaries </w:t>
            </w:r>
            <w:r>
              <w:rPr>
                <w:rFonts w:ascii="Open Sans" w:hAnsi="Open Sans"/>
                <w:b w:val="false"/>
                <w:i w:val="false"/>
                <w:caps w:val="false"/>
                <w:smallCaps w:val="false"/>
                <w:color w:val="000000"/>
                <w:spacing w:val="-5"/>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continue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coverag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certai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welfar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plan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accordanc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wit</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benefi</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continuatio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polic</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5"/>
                <w:sz w:val="16"/>
              </w:rPr>
              <w:t>COBRA.</w:t>
            </w:r>
          </w:p>
        </w:tc>
      </w:tr>
    </w:tbl>
    <w:p>
      <w:pPr>
        <w:pStyle w:val="TextBody"/>
        <w:spacing w:before="120" w:after="0"/>
        <w:rPr>
          <w:rFonts w:ascii="Open Sans" w:hAnsi="Open Sans"/>
          <w:b/>
          <w:i w:val="false"/>
          <w:caps w:val="false"/>
          <w:smallCaps w:val="false"/>
          <w:spacing w:val="-3"/>
          <w:sz w:val="16"/>
        </w:rPr>
      </w:pPr>
      <w:r>
        <w:rPr>
          <w:rFonts w:ascii="Open Sans" w:hAnsi="Open Sans"/>
          <w:b/>
          <w:i w:val="false"/>
          <w:caps w:val="false"/>
          <w:smallCaps w:val="false"/>
          <w:spacing w:val="-3"/>
          <w:sz w:val="16"/>
        </w:rPr>
        <w:t>Without</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Cause</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by</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Company:</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Covered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terminated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without</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cause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term</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defined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 Separation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Policy):</w:t>
      </w:r>
    </w:p>
    <w:tbl>
      <w:tblPr>
        <w:tblW w:w="5269" w:type="dxa"/>
        <w:jc w:val="left"/>
        <w:tblInd w:w="0" w:type="dxa"/>
        <w:tblCellMar>
          <w:top w:w="0" w:type="dxa"/>
          <w:left w:w="0" w:type="dxa"/>
          <w:bottom w:w="0" w:type="dxa"/>
          <w:right w:w="0" w:type="dxa"/>
        </w:tblCellMar>
      </w:tblPr>
      <w:tblGrid>
        <w:gridCol w:w="60"/>
        <w:gridCol w:w="110"/>
        <w:gridCol w:w="509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09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ye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paid;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employe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contribution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DC</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mad</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behal</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earning</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thos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amounts;</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continue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tw</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years  (provided that Mr. Vander Ark would receive continued base salary plus target annual bonus for two years);</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except for Mr. Vander Ark, 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annua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cas</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incentiv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amoun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determine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Talent &amp; </w:t>
            </w:r>
            <w:r>
              <w:rPr>
                <w:rFonts w:ascii="Open Sans" w:hAnsi="Open Sans"/>
                <w:b w:val="false"/>
                <w:i w:val="false"/>
                <w:caps w:val="false"/>
                <w:smallCaps w:val="false"/>
                <w:color w:val="000000"/>
                <w:spacing w:val="-3"/>
                <w:sz w:val="16"/>
              </w:rPr>
              <w:t>Compensatio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Committee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based 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actua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performance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performanc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period;</w:t>
            </w:r>
          </w:p>
        </w:tc>
      </w:tr>
    </w:tbl>
    <w:tbl>
      <w:tblPr>
        <w:tblW w:w="9421" w:type="dxa"/>
        <w:jc w:val="left"/>
        <w:tblInd w:w="0" w:type="dxa"/>
        <w:tblCellMar>
          <w:top w:w="0" w:type="dxa"/>
          <w:left w:w="0" w:type="dxa"/>
          <w:bottom w:w="0" w:type="dxa"/>
          <w:right w:w="0" w:type="dxa"/>
        </w:tblCellMar>
      </w:tblPr>
      <w:tblGrid>
        <w:gridCol w:w="60"/>
        <w:gridCol w:w="110"/>
        <w:gridCol w:w="9251"/>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9251"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equit</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continu</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u</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on</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yea</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termination;</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77</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5986" w:type="dxa"/>
        <w:jc w:val="left"/>
        <w:tblInd w:w="0" w:type="dxa"/>
        <w:tblCellMar>
          <w:top w:w="0" w:type="dxa"/>
          <w:left w:w="0" w:type="dxa"/>
          <w:bottom w:w="0" w:type="dxa"/>
          <w:right w:w="0" w:type="dxa"/>
        </w:tblCellMar>
      </w:tblPr>
      <w:tblGrid>
        <w:gridCol w:w="60"/>
        <w:gridCol w:w="110"/>
        <w:gridCol w:w="5816"/>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816"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earne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PSU</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schedule;</w:t>
            </w:r>
          </w:p>
        </w:tc>
      </w:tr>
    </w:tbl>
    <w:tbl>
      <w:tblPr>
        <w:tblW w:w="7264" w:type="dxa"/>
        <w:jc w:val="left"/>
        <w:tblInd w:w="0" w:type="dxa"/>
        <w:tblCellMar>
          <w:top w:w="0" w:type="dxa"/>
          <w:left w:w="0" w:type="dxa"/>
          <w:bottom w:w="0" w:type="dxa"/>
          <w:right w:w="0" w:type="dxa"/>
        </w:tblCellMar>
      </w:tblPr>
      <w:tblGrid>
        <w:gridCol w:w="60"/>
        <w:gridCol w:w="110"/>
        <w:gridCol w:w="7094"/>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7094"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Mr</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DelGhiaccio</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Supplementa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LTI</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awar</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a </w:t>
            </w:r>
            <w:r>
              <w:rPr>
                <w:rFonts w:ascii="Open Sans" w:hAnsi="Open Sans"/>
                <w:b w:val="false"/>
                <w:i w:val="false"/>
                <w:caps w:val="false"/>
                <w:smallCaps w:val="false"/>
                <w:color w:val="000000"/>
                <w:spacing w:val="-3"/>
                <w:sz w:val="16"/>
              </w:rPr>
              <w:t>prorate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schedule</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and his or her qualified beneficiaries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continue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coverag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certai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welfar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plan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u</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tw</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years.</w:t>
            </w:r>
          </w:p>
        </w:tc>
      </w:tr>
    </w:tbl>
    <w:p>
      <w:pPr>
        <w:pStyle w:val="TextBody"/>
        <w:spacing w:before="120" w:after="0"/>
        <w:rPr>
          <w:rFonts w:ascii="Open Sans" w:hAnsi="Open Sans"/>
          <w:b/>
          <w:i w:val="false"/>
          <w:caps w:val="false"/>
          <w:smallCaps w:val="false"/>
          <w:spacing w:val="-3"/>
          <w:sz w:val="16"/>
        </w:rPr>
      </w:pPr>
      <w:r>
        <w:rPr>
          <w:rFonts w:ascii="Open Sans" w:hAnsi="Open Sans"/>
          <w:b/>
          <w:i w:val="false"/>
          <w:caps w:val="false"/>
          <w:smallCaps w:val="false"/>
          <w:spacing w:val="-3"/>
          <w:sz w:val="16"/>
        </w:rPr>
        <w:t>Without</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Cause</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by</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the</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Company</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or</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by</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the</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Covered</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Executive</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for</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Good</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Reason</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Change</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in</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Control:</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If</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Covered</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Executive’s</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employment</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is terminated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without</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cause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Covered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good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reason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terms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defined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Separation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Policy)</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within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one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after</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a change</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control,</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then:</w:t>
      </w:r>
    </w:p>
    <w:tbl>
      <w:tblPr>
        <w:tblW w:w="5269" w:type="dxa"/>
        <w:jc w:val="left"/>
        <w:tblInd w:w="0" w:type="dxa"/>
        <w:tblCellMar>
          <w:top w:w="0" w:type="dxa"/>
          <w:left w:w="0" w:type="dxa"/>
          <w:bottom w:w="0" w:type="dxa"/>
          <w:right w:w="0" w:type="dxa"/>
        </w:tblCellMar>
      </w:tblPr>
      <w:tblGrid>
        <w:gridCol w:w="60"/>
        <w:gridCol w:w="110"/>
        <w:gridCol w:w="509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509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ye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paid;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Compan</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pa</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employe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contribution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DC</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mad</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behal</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earning</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thos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amounts;</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0"/>
                <w:sz w:val="16"/>
              </w:rPr>
              <w:t>a</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lum</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su</w:t>
            </w:r>
            <w:r>
              <w:rPr>
                <w:rFonts w:ascii="Open Sans" w:hAnsi="Open Sans"/>
                <w:b w:val="false"/>
                <w:i w:val="false"/>
                <w:caps w:val="false"/>
                <w:smallCaps w:val="false"/>
                <w:color w:val="000000"/>
                <w:spacing w:val="0"/>
                <w:sz w:val="16"/>
              </w:rPr>
              <w:t>m</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paymen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amoun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tw</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time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su</w:t>
            </w:r>
            <w:r>
              <w:rPr>
                <w:rFonts w:ascii="Open Sans" w:hAnsi="Open Sans"/>
                <w:b w:val="false"/>
                <w:i w:val="false"/>
                <w:caps w:val="false"/>
                <w:smallCaps w:val="false"/>
                <w:color w:val="000000"/>
                <w:spacing w:val="0"/>
                <w:sz w:val="16"/>
              </w:rPr>
              <w:t>m</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curren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targe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annual cas</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incentiv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awar</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yea</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whic</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terminatio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occurs</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si</w:t>
            </w:r>
            <w:r>
              <w:rPr>
                <w:rFonts w:ascii="Open Sans" w:hAnsi="Open Sans"/>
                <w:b w:val="false"/>
                <w:i w:val="false"/>
                <w:caps w:val="false"/>
                <w:smallCaps w:val="false"/>
                <w:color w:val="000000"/>
                <w:spacing w:val="0"/>
                <w:sz w:val="16"/>
              </w:rPr>
              <w:t>x</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month</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termination;</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annua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cas</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chang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contro</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becom</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targe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n</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late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tha</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te</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day</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followin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the chang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control;</w:t>
            </w:r>
          </w:p>
        </w:tc>
      </w:tr>
    </w:tbl>
    <w:tbl>
      <w:tblPr>
        <w:tblW w:w="9112" w:type="dxa"/>
        <w:jc w:val="left"/>
        <w:tblInd w:w="0" w:type="dxa"/>
        <w:tblCellMar>
          <w:top w:w="0" w:type="dxa"/>
          <w:left w:w="0" w:type="dxa"/>
          <w:bottom w:w="0" w:type="dxa"/>
          <w:right w:w="0" w:type="dxa"/>
        </w:tblCellMar>
      </w:tblPr>
      <w:tblGrid>
        <w:gridCol w:w="60"/>
        <w:gridCol w:w="110"/>
        <w:gridCol w:w="8942"/>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8942"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PSU</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terminatio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dat</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becom</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targe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withou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proration;</w:t>
            </w:r>
          </w:p>
        </w:tc>
      </w:tr>
    </w:tbl>
    <w:tbl>
      <w:tblPr>
        <w:tblW w:w="10192" w:type="dxa"/>
        <w:jc w:val="left"/>
        <w:tblInd w:w="0" w:type="dxa"/>
        <w:tblCellMar>
          <w:top w:w="0" w:type="dxa"/>
          <w:left w:w="0" w:type="dxa"/>
          <w:bottom w:w="0" w:type="dxa"/>
          <w:right w:w="0" w:type="dxa"/>
        </w:tblCellMar>
      </w:tblPr>
      <w:tblGrid>
        <w:gridCol w:w="60"/>
        <w:gridCol w:w="110"/>
        <w:gridCol w:w="10022"/>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022"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equit</w:t>
            </w:r>
            <w:r>
              <w:rPr>
                <w:rFonts w:ascii="Open Sans" w:hAnsi="Open Sans"/>
                <w:b w:val="false"/>
                <w:i w:val="false"/>
                <w:caps w:val="false"/>
                <w:smallCaps w:val="false"/>
                <w:color w:val="000000"/>
                <w:spacing w:val="0"/>
                <w:sz w:val="16"/>
              </w:rPr>
              <w:t>y, including RSUs outstanding as of the termination date,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immediatel</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3"/>
                <w:sz w:val="16"/>
              </w:rPr>
              <w:t>;</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Mr</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DelGhiaccio</w:t>
            </w:r>
            <w:r>
              <w:rPr>
                <w:rFonts w:ascii="Open Sans" w:hAnsi="Open Sans"/>
                <w:b w:val="false"/>
                <w:i w:val="false"/>
                <w:caps w:val="false"/>
                <w:smallCaps w:val="false"/>
                <w:color w:val="000000"/>
                <w:spacing w:val="0"/>
                <w:sz w:val="16"/>
              </w:rPr>
              <w:t>, the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Supplementa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LTI</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award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terminatio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dat</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becom</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payabl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at targe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withou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proration</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and his or her qualified beneficiaries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continue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coverag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certai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welfar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plan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u</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tw</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years.</w:t>
            </w:r>
          </w:p>
        </w:tc>
      </w:tr>
    </w:tbl>
    <w:p>
      <w:pPr>
        <w:pStyle w:val="TextBody"/>
        <w:spacing w:before="120" w:after="0"/>
        <w:rPr>
          <w:rFonts w:ascii="Open Sans" w:hAnsi="Open Sans"/>
          <w:b/>
          <w:i w:val="false"/>
          <w:caps w:val="false"/>
          <w:smallCaps w:val="false"/>
          <w:spacing w:val="-3"/>
          <w:sz w:val="16"/>
        </w:rPr>
      </w:pPr>
      <w:r>
        <w:rPr>
          <w:rFonts w:ascii="Open Sans" w:hAnsi="Open Sans"/>
          <w:b/>
          <w:i w:val="false"/>
          <w:caps w:val="false"/>
          <w:smallCaps w:val="false"/>
          <w:spacing w:val="-3"/>
          <w:sz w:val="16"/>
        </w:rPr>
        <w:t>For</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Cause</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by</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the</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Company</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or</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if</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the</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Covered</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Employee</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Resigns</w:t>
      </w:r>
      <w:r>
        <w:rPr>
          <w:rFonts w:ascii="Open Sans" w:hAnsi="Open Sans"/>
          <w:b/>
          <w:i w:val="false"/>
          <w:caps w:val="false"/>
          <w:smallCaps w:val="false"/>
          <w:spacing w:val="-6"/>
          <w:sz w:val="16"/>
        </w:rPr>
        <w:t xml:space="preserve"> </w:t>
      </w:r>
      <w:r>
        <w:rPr>
          <w:rFonts w:ascii="Open Sans" w:hAnsi="Open Sans"/>
          <w:b/>
          <w:i w:val="false"/>
          <w:caps w:val="false"/>
          <w:smallCaps w:val="false"/>
          <w:spacing w:val="-3"/>
          <w:sz w:val="16"/>
        </w:rPr>
        <w:t>Without</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Good</w:t>
      </w:r>
      <w:r>
        <w:rPr>
          <w:rFonts w:ascii="Open Sans" w:hAnsi="Open Sans"/>
          <w:b/>
          <w:i w:val="false"/>
          <w:caps w:val="false"/>
          <w:smallCaps w:val="false"/>
          <w:spacing w:val="-7"/>
          <w:sz w:val="16"/>
        </w:rPr>
        <w:t xml:space="preserve"> </w:t>
      </w:r>
      <w:r>
        <w:rPr>
          <w:rFonts w:ascii="Open Sans" w:hAnsi="Open Sans"/>
          <w:b/>
          <w:i w:val="false"/>
          <w:caps w:val="false"/>
          <w:smallCaps w:val="false"/>
          <w:spacing w:val="-3"/>
          <w:sz w:val="16"/>
        </w:rPr>
        <w:t>Reason:</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If</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Covered</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Executive</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terminated</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i w:val="false"/>
          <w:caps w:val="false"/>
          <w:smallCaps w:val="false"/>
          <w:spacing w:val="-7"/>
          <w:sz w:val="16"/>
        </w:rPr>
        <w:t xml:space="preserve"> </w:t>
      </w:r>
      <w:r>
        <w:rPr>
          <w:rFonts w:ascii="Open Sans" w:hAnsi="Open Sans"/>
          <w:b w:val="false"/>
          <w:i w:val="false"/>
          <w:caps w:val="false"/>
          <w:smallCaps w:val="false"/>
          <w:spacing w:val="-3"/>
          <w:sz w:val="16"/>
        </w:rPr>
        <w:t>cause</w:t>
      </w:r>
      <w:r>
        <w:rPr>
          <w:rFonts w:ascii="Open Sans" w:hAnsi="Open Sans"/>
          <w:b/>
          <w:i w:val="false"/>
          <w:caps w:val="false"/>
          <w:smallCaps w:val="false"/>
          <w:spacing w:val="-6"/>
          <w:sz w:val="16"/>
        </w:rPr>
        <w:t xml:space="preserve"> </w:t>
      </w:r>
      <w:r>
        <w:rPr>
          <w:rFonts w:ascii="Open Sans" w:hAnsi="Open Sans"/>
          <w:b w:val="false"/>
          <w:i w:val="false"/>
          <w:caps w:val="false"/>
          <w:smallCaps w:val="false"/>
          <w:spacing w:val="-3"/>
          <w:sz w:val="16"/>
        </w:rPr>
        <w:t>by Republic</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resigns</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without</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good</w:t>
      </w:r>
      <w:r>
        <w:rPr>
          <w:rFonts w:ascii="Open Sans" w:hAnsi="Open Sans"/>
          <w:b/>
          <w:i w:val="false"/>
          <w:caps w:val="false"/>
          <w:smallCaps w:val="false"/>
          <w:spacing w:val="-5"/>
          <w:sz w:val="16"/>
        </w:rPr>
        <w:t xml:space="preserve"> </w:t>
      </w:r>
      <w:r>
        <w:rPr>
          <w:rFonts w:ascii="Open Sans" w:hAnsi="Open Sans"/>
          <w:b w:val="false"/>
          <w:i w:val="false"/>
          <w:caps w:val="false"/>
          <w:smallCaps w:val="false"/>
          <w:spacing w:val="-3"/>
          <w:sz w:val="16"/>
        </w:rPr>
        <w:t>reason:</w:t>
      </w:r>
    </w:p>
    <w:tbl>
      <w:tblPr>
        <w:tblW w:w="6331" w:type="dxa"/>
        <w:jc w:val="left"/>
        <w:tblInd w:w="0" w:type="dxa"/>
        <w:tblCellMar>
          <w:top w:w="0" w:type="dxa"/>
          <w:left w:w="0" w:type="dxa"/>
          <w:bottom w:w="0" w:type="dxa"/>
          <w:right w:w="0" w:type="dxa"/>
        </w:tblCellMar>
      </w:tblPr>
      <w:tblGrid>
        <w:gridCol w:w="60"/>
        <w:gridCol w:w="110"/>
        <w:gridCol w:w="6161"/>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6161"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ye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paid</w:t>
            </w:r>
            <w:r>
              <w:rPr>
                <w:rFonts w:ascii="Open Sans" w:hAnsi="Open Sans"/>
                <w:b w:val="false"/>
                <w:i w:val="false"/>
                <w:caps w:val="false"/>
                <w:smallCaps w:val="false"/>
                <w:color w:val="000000"/>
                <w:spacing w:val="0"/>
                <w:sz w:val="16"/>
              </w:rPr>
              <w:t>;</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employe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contribution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DC</w:t>
            </w:r>
            <w:r>
              <w:rPr>
                <w:rFonts w:ascii="Open Sans" w:hAnsi="Open Sans"/>
                <w:b w:val="false"/>
                <w:i w:val="false"/>
                <w:caps w:val="false"/>
                <w:smallCaps w:val="false"/>
                <w:color w:val="000000"/>
                <w:spacing w:val="0"/>
                <w:sz w:val="16"/>
              </w:rPr>
              <w:t>P</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mad</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Executive’</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behal</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earning</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those amount</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meet</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definitio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“retirement”</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define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DCP</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and</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and his or her qualified beneficiaries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continue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coverag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certai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welfar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plan</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accordanc</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wit</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benefi</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continuation polic</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13"/>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2"/>
                <w:sz w:val="16"/>
              </w:rPr>
              <w:t xml:space="preserve"> </w:t>
            </w:r>
            <w:r>
              <w:rPr>
                <w:rFonts w:ascii="Open Sans" w:hAnsi="Open Sans"/>
                <w:b w:val="false"/>
                <w:i w:val="false"/>
                <w:caps w:val="false"/>
                <w:smallCaps w:val="false"/>
                <w:color w:val="000000"/>
                <w:spacing w:val="-3"/>
                <w:sz w:val="16"/>
              </w:rPr>
              <w:t>COBRA.</w:t>
            </w:r>
          </w:p>
        </w:tc>
      </w:tr>
    </w:tbl>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Talent &amp;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discretion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make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post-termination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required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pursuant 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terms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Separation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payments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determined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Republic’s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interests.</w:t>
      </w:r>
    </w:p>
    <w:p>
      <w:pPr>
        <w:pStyle w:val="TextBody"/>
        <w:spacing w:before="120" w:after="0"/>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Retirement</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Upon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satisfying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Company:</w:t>
      </w:r>
    </w:p>
    <w:tbl>
      <w:tblPr>
        <w:tblW w:w="5134" w:type="dxa"/>
        <w:jc w:val="left"/>
        <w:tblInd w:w="0" w:type="dxa"/>
        <w:tblCellMar>
          <w:top w:w="0" w:type="dxa"/>
          <w:left w:w="0" w:type="dxa"/>
          <w:bottom w:w="0" w:type="dxa"/>
          <w:right w:w="0" w:type="dxa"/>
        </w:tblCellMar>
      </w:tblPr>
      <w:tblGrid>
        <w:gridCol w:w="60"/>
        <w:gridCol w:w="110"/>
        <w:gridCol w:w="4964"/>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4964"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NE</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receiv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al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salar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earned</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bu</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ye</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paid;</w:t>
            </w:r>
          </w:p>
        </w:tc>
      </w:tr>
    </w:tbl>
    <w:tbl>
      <w:tblPr>
        <w:tblW w:w="4300" w:type="dxa"/>
        <w:jc w:val="left"/>
        <w:tblInd w:w="0" w:type="dxa"/>
        <w:tblCellMar>
          <w:top w:w="0" w:type="dxa"/>
          <w:left w:w="0" w:type="dxa"/>
          <w:bottom w:w="0" w:type="dxa"/>
          <w:right w:w="0" w:type="dxa"/>
        </w:tblCellMar>
      </w:tblPr>
      <w:tblGrid>
        <w:gridCol w:w="60"/>
        <w:gridCol w:w="110"/>
        <w:gridCol w:w="4130"/>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4130"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NEO’</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outstandin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RSUs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immediatel</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vest;</w:t>
            </w:r>
          </w:p>
        </w:tc>
      </w:tr>
    </w:tbl>
    <w:tbl>
      <w:tblPr>
        <w:tblW w:w="3739" w:type="dxa"/>
        <w:jc w:val="left"/>
        <w:tblInd w:w="0" w:type="dxa"/>
        <w:tblCellMar>
          <w:top w:w="0" w:type="dxa"/>
          <w:left w:w="0" w:type="dxa"/>
          <w:bottom w:w="0" w:type="dxa"/>
          <w:right w:w="0" w:type="dxa"/>
        </w:tblCellMar>
      </w:tblPr>
      <w:tblGrid>
        <w:gridCol w:w="60"/>
        <w:gridCol w:w="110"/>
        <w:gridCol w:w="35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3569" w:type="dxa"/>
            <w:tcBorders/>
            <w:shd w:fill="auto" w:val="clear"/>
          </w:tcPr>
          <w:p>
            <w:pPr>
              <w:pStyle w:val="TableContents"/>
              <w:spacing w:before="0" w:after="0"/>
              <w:jc w:val="left"/>
              <w:rPr>
                <w:rFonts w:ascii="Open Sans" w:hAnsi="Open Sans"/>
                <w:b w:val="false"/>
                <w:i w:val="false"/>
                <w:caps w:val="false"/>
                <w:smallCaps w:val="false"/>
                <w:color w:val="004A7C"/>
                <w:spacing w:val="0"/>
                <w:sz w:val="16"/>
              </w:rPr>
            </w:pP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NEO’</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earne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PSU</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wil</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ves</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9"/>
                <w:sz w:val="16"/>
              </w:rPr>
              <w:t xml:space="preserve"> </w:t>
            </w:r>
            <w:r>
              <w:rPr>
                <w:rFonts w:ascii="Open Sans" w:hAnsi="Open Sans"/>
                <w:b w:val="false"/>
                <w:i w:val="false"/>
                <w:caps w:val="false"/>
                <w:smallCaps w:val="false"/>
                <w:color w:val="000000"/>
                <w:spacing w:val="-3"/>
                <w:sz w:val="16"/>
              </w:rPr>
              <w:t>full</w:t>
            </w:r>
            <w:r>
              <w:rPr>
                <w:rFonts w:ascii="Open Sans" w:hAnsi="Open Sans"/>
                <w:b w:val="false"/>
                <w:i w:val="false"/>
                <w:caps w:val="false"/>
                <w:smallCaps w:val="false"/>
                <w:color w:val="000000"/>
                <w:spacing w:val="0"/>
                <w:sz w:val="16"/>
              </w:rPr>
              <w:t xml:space="preserve">; and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A7C"/>
                <w:spacing w:val="0"/>
              </w:rPr>
            </w:pPr>
            <w:r>
              <w:rPr>
                <w:caps w:val="false"/>
                <w:smallCaps w:val="false"/>
                <w:color w:val="004A7C"/>
                <w:spacing w:val="0"/>
              </w:rPr>
              <w:t> </w:t>
            </w:r>
          </w:p>
        </w:tc>
        <w:tc>
          <w:tcPr>
            <w:tcW w:w="110" w:type="dxa"/>
            <w:tcBorders/>
            <w:shd w:fill="auto" w:val="clear"/>
          </w:tcPr>
          <w:p>
            <w:pPr>
              <w:pStyle w:val="TableContents"/>
              <w:spacing w:before="0" w:after="0"/>
              <w:jc w:val="left"/>
              <w:rPr>
                <w:caps w:val="false"/>
                <w:smallCaps w:val="false"/>
                <w:strike w:val="false"/>
                <w:dstrike w:val="false"/>
                <w:color w:val="004A7C"/>
                <w:spacing w:val="0"/>
                <w:u w:val="none"/>
                <w:effect w:val="none"/>
              </w:rPr>
            </w:pPr>
            <w:r>
              <w:rPr>
                <w:caps w:val="false"/>
                <w:smallCaps w:val="false"/>
                <w:strike w:val="false"/>
                <w:dstrike w:val="false"/>
                <w:color w:val="004A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0000"/>
                <w:spacing w:val="-3"/>
                <w:sz w:val="16"/>
              </w:rPr>
            </w:pPr>
            <w:r>
              <w:rPr>
                <w:rFonts w:ascii="Open Sans" w:hAnsi="Open Sans"/>
                <w:b w:val="false"/>
                <w:i w:val="false"/>
                <w:caps w:val="false"/>
                <w:smallCaps w:val="false"/>
                <w:color w:val="000000"/>
                <w:spacing w:val="-3"/>
                <w:sz w:val="16"/>
              </w:rPr>
              <w:t>the Covered Executive and his or her qualified beneficiaries will receive continuation coverage under certain welfare plans in accordance with our benefit continuation policy under COBRA.</w:t>
            </w:r>
          </w:p>
        </w:tc>
      </w:tr>
    </w:tbl>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Additionally,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behalf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earnings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those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 meets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definition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“retirement”,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defined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continued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coverage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certain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welfare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accordance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 benefit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continuation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COBRA.</w:t>
      </w:r>
    </w:p>
    <w:p>
      <w:pPr>
        <w:pStyle w:val="TextBody"/>
        <w:spacing w:before="120" w:after="0"/>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Potential</w:t>
      </w:r>
      <w:r>
        <w:rPr>
          <w:rFonts w:ascii="Open Sans SemiBold" w:hAnsi="Open Sans SemiBold"/>
          <w:b w:val="false"/>
          <w:i w:val="false"/>
          <w:caps w:val="false"/>
          <w:smallCaps w:val="false"/>
          <w:color w:val="004A7C"/>
          <w:spacing w:val="14"/>
          <w:sz w:val="17"/>
        </w:rPr>
        <w:t xml:space="preserve"> </w:t>
      </w:r>
      <w:r>
        <w:rPr>
          <w:rFonts w:ascii="Open Sans SemiBold" w:hAnsi="Open Sans SemiBold"/>
          <w:b w:val="false"/>
          <w:i w:val="false"/>
          <w:caps w:val="false"/>
          <w:smallCaps w:val="false"/>
          <w:color w:val="004A7C"/>
          <w:sz w:val="17"/>
        </w:rPr>
        <w:t>Payments</w:t>
      </w:r>
      <w:r>
        <w:rPr>
          <w:rFonts w:ascii="Open Sans SemiBold" w:hAnsi="Open Sans SemiBold"/>
          <w:b w:val="false"/>
          <w:i w:val="false"/>
          <w:caps w:val="false"/>
          <w:smallCaps w:val="false"/>
          <w:color w:val="004A7C"/>
          <w:spacing w:val="14"/>
          <w:sz w:val="17"/>
        </w:rPr>
        <w:t xml:space="preserve"> </w:t>
      </w:r>
      <w:r>
        <w:rPr>
          <w:rFonts w:ascii="Open Sans SemiBold" w:hAnsi="Open Sans SemiBold"/>
          <w:b w:val="false"/>
          <w:i w:val="false"/>
          <w:caps w:val="false"/>
          <w:smallCaps w:val="false"/>
          <w:color w:val="004A7C"/>
          <w:sz w:val="17"/>
        </w:rPr>
        <w:t>upon</w:t>
      </w:r>
      <w:r>
        <w:rPr>
          <w:rFonts w:ascii="Open Sans SemiBold" w:hAnsi="Open Sans SemiBold"/>
          <w:b w:val="false"/>
          <w:i w:val="false"/>
          <w:caps w:val="false"/>
          <w:smallCaps w:val="false"/>
          <w:color w:val="004A7C"/>
          <w:spacing w:val="14"/>
          <w:sz w:val="17"/>
        </w:rPr>
        <w:t xml:space="preserve"> </w:t>
      </w:r>
      <w:r>
        <w:rPr>
          <w:rFonts w:ascii="Open Sans SemiBold" w:hAnsi="Open Sans SemiBold"/>
          <w:b w:val="false"/>
          <w:i w:val="false"/>
          <w:caps w:val="false"/>
          <w:smallCaps w:val="false"/>
          <w:color w:val="004A7C"/>
          <w:sz w:val="17"/>
        </w:rPr>
        <w:t>Termination</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Described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post-employment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consideration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 and Messrs.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Ark, </w:t>
      </w:r>
      <w:r>
        <w:rPr>
          <w:rFonts w:ascii="Open Sans" w:hAnsi="Open Sans"/>
          <w:b w:val="false"/>
          <w:i w:val="false"/>
          <w:caps w:val="false"/>
          <w:smallCaps w:val="false"/>
          <w:spacing w:val="-5"/>
          <w:sz w:val="16"/>
        </w:rPr>
        <w:t xml:space="preserve">DelGhiaccio, </w:t>
      </w:r>
      <w:r>
        <w:rPr>
          <w:rFonts w:ascii="Open Sans" w:hAnsi="Open Sans"/>
          <w:b w:val="false"/>
          <w:i w:val="false"/>
          <w:caps w:val="false"/>
          <w:smallCaps w:val="false"/>
          <w:spacing w:val="-3"/>
          <w:sz w:val="16"/>
        </w:rPr>
        <w:t>Bales and Stuart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under applicable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policies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event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covered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assuming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specified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events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occurred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 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quantified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estimated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welfare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benefits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because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believe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estimates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meaningful.</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terminate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NEO’s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cause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Ellingsen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Messrs.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Vander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Ark</w:t>
      </w:r>
      <w:r>
        <w:rPr>
          <w:rFonts w:ascii="Open Sans" w:hAnsi="Open Sans"/>
          <w:b w:val="false"/>
          <w:i w:val="false"/>
          <w:caps w:val="false"/>
          <w:smallCaps w:val="false"/>
          <w:spacing w:val="-5"/>
          <w:sz w:val="16"/>
        </w:rPr>
        <w:t xml:space="preserve"> , DelGhiaccio, </w:t>
      </w:r>
      <w:r>
        <w:rPr>
          <w:rFonts w:ascii="Open Sans" w:hAnsi="Open Sans"/>
          <w:b w:val="false"/>
          <w:i w:val="false"/>
          <w:caps w:val="false"/>
          <w:smallCaps w:val="false"/>
          <w:spacing w:val="-3"/>
          <w:sz w:val="16"/>
        </w:rPr>
        <w:t>Bales 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Stuart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terminate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 employment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good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reason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during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one-year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change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control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reduce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salary,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incentive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opportunity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title.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purposes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calculations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related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value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2021-2023</w:t>
      </w:r>
      <w:r>
        <w:rPr>
          <w:rFonts w:ascii="Open Sans" w:hAnsi="Open Sans"/>
          <w:b w:val="false"/>
          <w:i w:val="false"/>
          <w:caps w:val="false"/>
          <w:smallCaps w:val="false"/>
          <w:spacing w:val="-5"/>
          <w:sz w:val="16"/>
        </w:rPr>
        <w:t xml:space="preserve"> and 2022-2024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$128.99,</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closing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last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trading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 fiscal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because 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2021-2023</w:t>
      </w:r>
      <w:r>
        <w:rPr>
          <w:rFonts w:ascii="Open Sans" w:hAnsi="Open Sans"/>
          <w:b w:val="false"/>
          <w:i w:val="false"/>
          <w:caps w:val="false"/>
          <w:smallCaps w:val="false"/>
          <w:spacing w:val="-5"/>
          <w:sz w:val="16"/>
        </w:rPr>
        <w:t xml:space="preserve"> and 2022-2024 </w:t>
      </w:r>
      <w:r>
        <w:rPr>
          <w:rFonts w:ascii="Open Sans" w:hAnsi="Open Sans"/>
          <w:b w:val="false"/>
          <w:i w:val="false"/>
          <w:caps w:val="false"/>
          <w:smallCaps w:val="false"/>
          <w:spacing w:val="-3"/>
          <w:sz w:val="16"/>
        </w:rPr>
        <w:t>PSUs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determined, calculations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based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performance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periods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assume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payouts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target.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balance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Company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contributions 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previously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become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payable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accordance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terms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 include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amounts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contributed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DCP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accounts.</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78</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lineRule="auto" w:line="288" w:before="0" w:after="0"/>
        <w:rPr>
          <w:rFonts w:ascii="Open Sans" w:hAnsi="Open Sans"/>
          <w:b w:val="false"/>
          <w:i w:val="false"/>
          <w:caps w:val="false"/>
          <w:smallCaps w:val="false"/>
          <w:color w:val="004A7C"/>
          <w:spacing w:val="9"/>
          <w:sz w:val="17"/>
        </w:rPr>
      </w:pPr>
      <w:r>
        <w:rPr>
          <w:rFonts w:ascii="Open Sans" w:hAnsi="Open Sans"/>
          <w:b w:val="false"/>
          <w:i w:val="false"/>
          <w:caps w:val="false"/>
          <w:smallCaps w:val="false"/>
          <w:color w:val="004A7C"/>
          <w:spacing w:val="9"/>
          <w:sz w:val="17"/>
        </w:rPr>
        <w:t>POTENTIAL PAYMENTS UPON TERMINATION TABLE</w:t>
      </w:r>
      <w:r>
        <w:rPr>
          <w:rFonts w:ascii="Open Sans" w:hAnsi="Open Sans"/>
          <w:b w:val="false"/>
          <w:i w:val="false"/>
          <w:caps w:val="false"/>
          <w:smallCaps w:val="false"/>
          <w:color w:val="004A7C"/>
          <w:spacing w:val="9"/>
          <w:sz w:val="16"/>
        </w:rPr>
        <w:t>(1,5)</w:t>
      </w:r>
    </w:p>
    <w:p>
      <w:pPr>
        <w:pStyle w:val="TextBody"/>
        <w:spacing w:before="0" w:after="0"/>
        <w:rPr/>
      </w:pPr>
      <w:r>
        <w:rPr/>
        <w:t> </w:t>
      </w:r>
    </w:p>
    <w:tbl>
      <w:tblPr>
        <w:tblW w:w="10539" w:type="dxa"/>
        <w:jc w:val="left"/>
        <w:tblInd w:w="0" w:type="dxa"/>
        <w:tblCellMar>
          <w:top w:w="0" w:type="dxa"/>
          <w:left w:w="0" w:type="dxa"/>
          <w:bottom w:w="28" w:type="dxa"/>
          <w:right w:w="0" w:type="dxa"/>
        </w:tblCellMar>
      </w:tblPr>
      <w:tblGrid>
        <w:gridCol w:w="2618"/>
        <w:gridCol w:w="60"/>
        <w:gridCol w:w="60"/>
        <w:gridCol w:w="1100"/>
        <w:gridCol w:w="60"/>
        <w:gridCol w:w="238"/>
        <w:gridCol w:w="60"/>
        <w:gridCol w:w="60"/>
        <w:gridCol w:w="60"/>
        <w:gridCol w:w="1100"/>
        <w:gridCol w:w="60"/>
        <w:gridCol w:w="238"/>
        <w:gridCol w:w="60"/>
        <w:gridCol w:w="60"/>
        <w:gridCol w:w="60"/>
        <w:gridCol w:w="1100"/>
        <w:gridCol w:w="60"/>
        <w:gridCol w:w="238"/>
        <w:gridCol w:w="60"/>
        <w:gridCol w:w="60"/>
        <w:gridCol w:w="60"/>
        <w:gridCol w:w="1100"/>
        <w:gridCol w:w="60"/>
        <w:gridCol w:w="343"/>
        <w:gridCol w:w="60"/>
        <w:gridCol w:w="60"/>
        <w:gridCol w:w="60"/>
        <w:gridCol w:w="980"/>
        <w:gridCol w:w="60"/>
        <w:gridCol w:w="344"/>
      </w:tblGrid>
      <w:tr>
        <w:trPr/>
        <w:tc>
          <w:tcPr>
            <w:tcW w:w="2618" w:type="dxa"/>
            <w:tcBorders>
              <w:bottom w:val="single" w:sz="6" w:space="0" w:color="FFFFFF"/>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458" w:type="dxa"/>
            <w:gridSpan w:val="4"/>
            <w:tcBorders>
              <w:bottom w:val="single" w:sz="6" w:space="0" w:color="000000"/>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DEATH</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18" w:type="dxa"/>
            <w:gridSpan w:val="5"/>
            <w:tcBorders>
              <w:bottom w:val="single" w:sz="6" w:space="0" w:color="000000"/>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DISABILITY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18" w:type="dxa"/>
            <w:gridSpan w:val="5"/>
            <w:tcBorders>
              <w:bottom w:val="single" w:sz="6" w:space="0" w:color="000000"/>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COMPANY</w:t>
            </w:r>
          </w:p>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TERMINATION</w:t>
            </w:r>
          </w:p>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W/O CAUSE</w:t>
            </w:r>
          </w:p>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OR FOR GOOD</w:t>
            </w:r>
          </w:p>
          <w:p>
            <w:pPr>
              <w:pStyle w:val="TableContents"/>
              <w:spacing w:lineRule="auto" w:line="288"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REASON(5)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623" w:type="dxa"/>
            <w:gridSpan w:val="5"/>
            <w:tcBorders>
              <w:bottom w:val="single" w:sz="6" w:space="0" w:color="000000"/>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CHANGE IN</w:t>
            </w:r>
          </w:p>
          <w:p>
            <w:pPr>
              <w:pStyle w:val="TableContents"/>
              <w:spacing w:lineRule="auto" w:line="288"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CONTROL(8)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504" w:type="dxa"/>
            <w:gridSpan w:val="5"/>
            <w:tcBorders>
              <w:bottom w:val="single" w:sz="6" w:space="0" w:color="000000"/>
            </w:tcBorders>
            <w:shd w:fill="FFFFFF" w:val="clear"/>
            <w:vAlign w:val="bottom"/>
          </w:tcPr>
          <w:p>
            <w:pPr>
              <w:pStyle w:val="TableContents"/>
              <w:spacing w:lineRule="auto" w:line="288" w:before="0" w:after="0"/>
              <w:ind w:left="0" w:right="0" w:hanging="0"/>
              <w:jc w:val="center"/>
              <w:rPr>
                <w:rFonts w:ascii="Open Sans" w:hAnsi="Open Sans"/>
                <w:b/>
                <w:i w:val="false"/>
                <w:caps w:val="false"/>
                <w:smallCaps w:val="false"/>
                <w:color w:val="004A7C"/>
                <w:sz w:val="15"/>
              </w:rPr>
            </w:pPr>
            <w:r>
              <w:rPr>
                <w:rFonts w:ascii="Open Sans" w:hAnsi="Open Sans"/>
                <w:b/>
                <w:i w:val="false"/>
                <w:caps w:val="false"/>
                <w:smallCaps w:val="false"/>
                <w:color w:val="004A7C"/>
                <w:sz w:val="15"/>
              </w:rPr>
              <w:t>RETIREMENT(12)</w:t>
            </w:r>
          </w:p>
        </w:tc>
      </w:tr>
      <w:tr>
        <w:trPr/>
        <w:tc>
          <w:tcPr>
            <w:tcW w:w="2618" w:type="dxa"/>
            <w:tcBorders>
              <w:top w:val="single" w:sz="6" w:space="0" w:color="FFFFFF"/>
              <w:left w:val="single" w:sz="6" w:space="0" w:color="FFFFFF"/>
              <w:bottom w:val="single" w:sz="6" w:space="0" w:color="FFFFFF"/>
            </w:tcBorders>
            <w:shd w:fill="FFFFFF" w:val="clear"/>
            <w:tcMar>
              <w:top w:w="28" w:type="dxa"/>
              <w:left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bottom w:val="single" w:sz="6" w:space="0" w:color="FFFFFF"/>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bottom w:val="single" w:sz="6" w:space="0" w:color="FFFFFF"/>
            </w:tcBorders>
            <w:shd w:fill="FFFFFF" w:val="clea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bottom w:val="single" w:sz="6" w:space="0" w:color="FFFFFF"/>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bottom w:val="single" w:sz="6" w:space="0" w:color="FFFFFF"/>
            </w:tcBorders>
            <w:shd w:fill="FFFFFF" w:val="clea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bottom w:val="single" w:sz="6" w:space="0" w:color="FFFFFF"/>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bottom w:val="single" w:sz="6" w:space="0" w:color="FFFFFF"/>
            </w:tcBorders>
            <w:shd w:fill="FFFFFF" w:val="clea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bottom w:val="single" w:sz="6" w:space="0" w:color="FFFFFF"/>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bottom w:val="single" w:sz="6" w:space="0" w:color="FFFFFF"/>
            </w:tcBorders>
            <w:shd w:fill="FFFFFF" w:val="clea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bottom w:val="single" w:sz="6" w:space="0" w:color="FFFFFF"/>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FFFFFF"/>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bottom w:val="single" w:sz="6" w:space="0" w:color="FFFFFF"/>
            </w:tcBorders>
            <w:shd w:fill="FFFFFF" w:val="clea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Jon Vander Ark</w:t>
            </w:r>
          </w:p>
        </w:tc>
        <w:tc>
          <w:tcPr>
            <w:tcW w:w="60" w:type="dxa"/>
            <w:tcBorders>
              <w:bottom w:val="single" w:sz="6" w:space="0" w:color="FFFFFF"/>
            </w:tcBorders>
            <w:shd w:fill="D8E1E9"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Severance</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5,280,000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5,280,000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Stock Awards</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11,279,152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11,279,152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8,640,371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15,456,227</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Non Equity Incentive Plan</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1,540,000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2,849,000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2,849,000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1,540,000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 Compensation</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945,793</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945,793</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945,793</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945,793</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D8E1E9"/>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COMPENSATION PAYABLE</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13,764,945</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15,073,945</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17,715,164</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23,222,020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Brian M. DelGhiaccio</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FFFFFF"/>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FFFFFF"/>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FFFFFF"/>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FFFFFF"/>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FFFFFF"/>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Severance</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1,250,000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(7)</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2,312,500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(11)</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Stock Awards</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3,404,792</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3,404,792</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2,321,931</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(6)</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4,977,079</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(9)</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Non Equity Incentive Plan</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928,987</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(2)</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1,380,550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1,380,550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864,583</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(10)</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 Compensation</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644,265</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644,265</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644,265</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644,265</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FFFFFF"/>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COMPENSATION PAYABLE</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4,978,044</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5,429,607</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5,199,009</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8,798,427</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Brian A. Bales</w:t>
            </w:r>
          </w:p>
        </w:tc>
        <w:tc>
          <w:tcPr>
            <w:tcW w:w="60" w:type="dxa"/>
            <w:tcBorders>
              <w:top w:val="single" w:sz="6" w:space="0" w:color="D8E1E9"/>
              <w:bottom w:val="single" w:sz="6" w:space="0" w:color="FFFFFF"/>
            </w:tcBorders>
            <w:shd w:fill="D8E1E9"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D8E1E9"/>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Severance</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1,040,000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1,872,000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Stock Awards</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3,544,891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3,544,891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2,595,299</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4,142,643</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4,353,400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Non Equity Incentive Plan</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416,000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769,600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769,600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416,000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769,600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(14)</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 Compensation</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3,359,211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3,359,211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3,359,211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3,359,211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3,359,211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r>
      <w:tr>
        <w:trPr/>
        <w:tc>
          <w:tcPr>
            <w:tcW w:w="2618" w:type="dxa"/>
            <w:tcBorders>
              <w:top w:val="single" w:sz="6" w:space="0" w:color="FFFFFF"/>
              <w:left w:val="single" w:sz="6" w:space="0" w:color="FFFFFF"/>
              <w:bottom w:val="single" w:sz="6" w:space="0" w:color="D8E1E9"/>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COMPENSATION PAYABLE</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7,320,102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7,673,702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7,764,110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9,789,854</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8,482,211</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Catharine D. Ellingsen</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FFFFFF"/>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FFFFFF"/>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FFFFFF"/>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FFFFFF"/>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 </w:t>
            </w:r>
          </w:p>
        </w:tc>
        <w:tc>
          <w:tcPr>
            <w:tcW w:w="60" w:type="dxa"/>
            <w:tcBorders>
              <w:top w:val="single" w:sz="6" w:space="0" w:color="FFFFFF"/>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FFFFFF"/>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Severance</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1,140,000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(7)</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2,052,000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(11)</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caps w:val="false"/>
                <w:smallCaps w:val="false"/>
                <w:color w:val="305496"/>
              </w:rPr>
            </w:pPr>
            <w:r>
              <w:rPr>
                <w:caps w:val="false"/>
                <w:smallCaps w:val="false"/>
                <w:color w:val="305496"/>
              </w:rPr>
              <w:t>—</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Stock Awards</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3,608,853</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3,608,853</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2,993,055</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(6)</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4,642,221</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(9)</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4,720,618</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(13)</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Non Equity Incentive Plan</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456,000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(2)</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843,600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843,600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456,000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(10)</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843,600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(14)</w:t>
            </w:r>
          </w:p>
        </w:tc>
      </w:tr>
      <w:tr>
        <w:trPr/>
        <w:tc>
          <w:tcPr>
            <w:tcW w:w="2618"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 Compensation</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1,732,600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1,732,600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1,732,600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1,732,600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(3)</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305496"/>
                <w:sz w:val="16"/>
              </w:rPr>
            </w:pPr>
            <w:r>
              <w:rPr>
                <w:rFonts w:ascii="Open Sans" w:hAnsi="Open Sans"/>
                <w:b w:val="false"/>
                <w:i w:val="false"/>
                <w:caps w:val="false"/>
                <w:smallCaps w:val="false"/>
                <w:color w:val="305496"/>
                <w:sz w:val="16"/>
              </w:rPr>
              <w:t>1,732,600</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rFonts w:ascii="Open Sans" w:hAnsi="Open Sans"/>
                <w:b w:val="false"/>
                <w:i w:val="false"/>
                <w:caps w:val="false"/>
                <w:smallCaps w:val="false"/>
                <w:color w:val="00497C"/>
                <w:sz w:val="16"/>
              </w:rPr>
            </w:pPr>
            <w:r>
              <w:rPr>
                <w:rFonts w:ascii="Open Sans" w:hAnsi="Open Sans"/>
                <w:b w:val="false"/>
                <w:i w:val="false"/>
                <w:caps w:val="false"/>
                <w:smallCaps w:val="false"/>
                <w:color w:val="00497C"/>
                <w:sz w:val="16"/>
              </w:rPr>
              <w:t>(3)</w:t>
            </w:r>
          </w:p>
        </w:tc>
      </w:tr>
      <w:tr>
        <w:trPr/>
        <w:tc>
          <w:tcPr>
            <w:tcW w:w="2618" w:type="dxa"/>
            <w:tcBorders>
              <w:top w:val="single" w:sz="6" w:space="0" w:color="D8E1E9"/>
              <w:left w:val="single" w:sz="6" w:space="0" w:color="D8E1E9"/>
              <w:bottom w:val="single" w:sz="6" w:space="0" w:color="FFFFFF"/>
            </w:tcBorders>
            <w:shd w:fill="FFFFFF"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COMPENSATION PAYABLE</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5,797,453</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6,185,053</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6,709,255</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238"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110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8,882,821</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3" w:type="dxa"/>
            <w:tcBorders>
              <w:top w:val="single" w:sz="6" w:space="0" w:color="D8E1E9"/>
              <w:bottom w:val="single" w:sz="6" w:space="0" w:color="D8E1E9"/>
            </w:tcBorders>
            <w:shd w:fill="FFFFFF" w:val="clear"/>
            <w:tcMar>
              <w:top w:w="28" w:type="dxa"/>
            </w:tcMar>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right w:val="single" w:sz="6" w:space="0" w:color="D8E1E9"/>
            </w:tcBorders>
            <w:shd w:fill="FFFFFF" w:val="clear"/>
            <w:tcMar>
              <w:top w:w="28" w:type="dxa"/>
              <w:righ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left w:val="single" w:sz="6" w:space="0" w:color="D8E1E9"/>
              <w:bottom w:val="single" w:sz="6" w:space="0" w:color="D8E1E9"/>
            </w:tcBorders>
            <w:shd w:fill="FFFFFF" w:val="clear"/>
            <w:tcMar>
              <w:top w:w="28" w:type="dxa"/>
              <w:left w:w="28" w:type="dxa"/>
            </w:tcMar>
            <w:vAlign w:val="bottom"/>
          </w:tcPr>
          <w:p>
            <w:pPr>
              <w:pStyle w:val="TableContents"/>
              <w:spacing w:before="0" w:after="0"/>
              <w:ind w:left="0" w:right="0" w:hanging="0"/>
              <w:rPr>
                <w:caps w:val="false"/>
                <w:smallCaps w:val="false"/>
                <w:color w:val="305496"/>
              </w:rPr>
            </w:pPr>
            <w:r>
              <w:rPr>
                <w:caps w:val="false"/>
                <w:smallCaps w:val="false"/>
                <w:color w:val="305496"/>
              </w:rPr>
              <w:t> </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98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305496"/>
                <w:sz w:val="16"/>
              </w:rPr>
            </w:pPr>
            <w:r>
              <w:rPr>
                <w:rFonts w:ascii="Open Sans" w:hAnsi="Open Sans"/>
                <w:b/>
                <w:i w:val="false"/>
                <w:caps w:val="false"/>
                <w:smallCaps w:val="false"/>
                <w:color w:val="305496"/>
                <w:sz w:val="16"/>
              </w:rPr>
              <w:t>7,296,818</w:t>
            </w:r>
          </w:p>
        </w:tc>
        <w:tc>
          <w:tcPr>
            <w:tcW w:w="60" w:type="dxa"/>
            <w:tcBorders>
              <w:top w:val="single" w:sz="6" w:space="0" w:color="D8E1E9"/>
              <w:bottom w:val="single" w:sz="6" w:space="0" w:color="D8E1E9"/>
            </w:tcBorders>
            <w:shd w:fill="FFFFFF" w:val="clear"/>
            <w:tcMar>
              <w:top w:w="28" w:type="dxa"/>
            </w:tcMar>
            <w:vAlign w:val="center"/>
          </w:tcPr>
          <w:p>
            <w:pPr>
              <w:pStyle w:val="TableContents"/>
              <w:spacing w:before="0" w:after="0"/>
              <w:ind w:left="0" w:right="0" w:hanging="0"/>
              <w:rPr>
                <w:caps w:val="false"/>
                <w:smallCaps w:val="false"/>
                <w:color w:val="305496"/>
              </w:rPr>
            </w:pPr>
            <w:r>
              <w:rPr>
                <w:caps w:val="false"/>
                <w:smallCaps w:val="false"/>
                <w:color w:val="305496"/>
              </w:rPr>
              <w:t> </w:t>
            </w:r>
          </w:p>
        </w:tc>
        <w:tc>
          <w:tcPr>
            <w:tcW w:w="344" w:type="dxa"/>
            <w:tcBorders>
              <w:top w:val="single" w:sz="6" w:space="0" w:color="D8E1E9"/>
              <w:bottom w:val="single" w:sz="6" w:space="0" w:color="D8E1E9"/>
            </w:tcBorders>
            <w:shd w:fill="FFFFFF" w:val="clear"/>
            <w:tcMar>
              <w:top w:w="28" w:type="dxa"/>
            </w:tcMar>
          </w:tcPr>
          <w:p>
            <w:pPr>
              <w:pStyle w:val="TableContents"/>
              <w:spacing w:lineRule="auto" w:line="288" w:before="0" w:after="0"/>
              <w:ind w:left="0" w:right="0" w:hanging="0"/>
              <w:rPr>
                <w:caps w:val="false"/>
                <w:smallCaps w:val="false"/>
                <w:color w:val="00497C"/>
              </w:rPr>
            </w:pPr>
            <w:r>
              <w:rPr>
                <w:caps w:val="false"/>
                <w:smallCaps w:val="false"/>
                <w:color w:val="0049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Timothy E. Stuart</w:t>
            </w:r>
          </w:p>
        </w:tc>
        <w:tc>
          <w:tcPr>
            <w:tcW w:w="60" w:type="dxa"/>
            <w:tcBorders>
              <w:top w:val="single" w:sz="6" w:space="0" w:color="D8E1E9"/>
              <w:bottom w:val="single" w:sz="6" w:space="0" w:color="FFFFFF"/>
            </w:tcBorders>
            <w:shd w:fill="D8E1E9"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D8E1E9"/>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D8E1E9"/>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Severance</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1,390,000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(7)</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2,641,000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Stock Awards</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6,573,055</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6,573,055</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5,152,929</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8,591,637</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Non Equity Incentive Plan</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625,500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1,157,176</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1,157,176</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625,500</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(10)</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Deferred Compensation</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923,652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923,652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923,652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923,652</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(3)</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r>
        <w:trPr/>
        <w:tc>
          <w:tcPr>
            <w:tcW w:w="2618"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TOTAL COMPENSATION PAYABLE</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8,122,207</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8,653,883</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8,623,757</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238"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110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rFonts w:ascii="Open Sans" w:hAnsi="Open Sans"/>
                <w:b/>
                <w:i w:val="false"/>
                <w:caps w:val="false"/>
                <w:smallCaps w:val="false"/>
                <w:color w:val="004A7C"/>
                <w:sz w:val="16"/>
              </w:rPr>
            </w:pPr>
            <w:r>
              <w:rPr>
                <w:rFonts w:ascii="Open Sans" w:hAnsi="Open Sans"/>
                <w:b/>
                <w:i w:val="false"/>
                <w:caps w:val="false"/>
                <w:smallCaps w:val="false"/>
                <w:color w:val="004A7C"/>
                <w:sz w:val="16"/>
              </w:rPr>
              <w:t>12,790,789</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3" w:type="dxa"/>
            <w:tcBorders>
              <w:top w:val="single" w:sz="6" w:space="0" w:color="FFFFFF"/>
              <w:bottom w:val="single" w:sz="6" w:space="0" w:color="FFFFFF"/>
            </w:tcBorders>
            <w:shd w:fill="D8E1E9" w:val="clear"/>
            <w:tcMar>
              <w:top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FFFFFF"/>
              <w:left w:val="single" w:sz="6" w:space="0" w:color="FFFFFF"/>
              <w:bottom w:val="single" w:sz="6" w:space="0" w:color="FFFFFF"/>
            </w:tcBorders>
            <w:shd w:fill="D8E1E9" w:val="clear"/>
            <w:tcMar>
              <w:top w:w="28" w:type="dxa"/>
              <w:lef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98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344" w:type="dxa"/>
            <w:tcBorders>
              <w:top w:val="single" w:sz="6" w:space="0" w:color="FFFFFF"/>
              <w:bottom w:val="single" w:sz="6" w:space="0" w:color="FFFFFF"/>
              <w:right w:val="single" w:sz="6" w:space="0" w:color="FFFFFF"/>
            </w:tcBorders>
            <w:shd w:fill="D8E1E9" w:val="clear"/>
            <w:tcMar>
              <w:top w:w="28" w:type="dxa"/>
              <w:right w:w="28" w:type="dxa"/>
            </w:tcMar>
            <w:vAlign w:val="center"/>
          </w:tcPr>
          <w:p>
            <w:pPr>
              <w:pStyle w:val="TableContents"/>
              <w:spacing w:lineRule="auto" w:line="288"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99"/>
        <w:gridCol w:w="10340"/>
      </w:tblGrid>
      <w:tr>
        <w:trPr/>
        <w:tc>
          <w:tcPr>
            <w:tcW w:w="199"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(1)</w:t>
            </w:r>
          </w:p>
        </w:tc>
        <w:tc>
          <w:tcPr>
            <w:tcW w:w="10340"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Amounts include the prorated vesting in a portion of earned PSUs for the 2021-2023 and 2022-2024 performance periods (calculated using target for purposes of the table above) and the vesting in the full number of earned PSUs for the 2020-2022 performance period (based on the closing prices of our stock of $124.42 on February 8, 2023 for cash-settled PSUs and $131.96 on February 17, 2023 for stock-settled PSUs). Amounts also include the immediate vesting of outstanding RSUs. </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(2)</w:t>
            </w:r>
          </w:p>
        </w:tc>
        <w:tc>
          <w:tcPr>
            <w:tcW w:w="10328"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For Ms. Ellingsen and Messrs. Vander Ark, Bales and Stuart, amounts reflect the target 2022 annual cash incentive award. For Mr. DelGhiaccio, amount reflects target 2022 annual cash incentive award and actual Supplemental LTIP award for the 2020-2022 performance period.  </w:t>
            </w:r>
          </w:p>
        </w:tc>
      </w:tr>
    </w:tbl>
    <w:tbl>
      <w:tblPr>
        <w:tblW w:w="10539" w:type="dxa"/>
        <w:jc w:val="left"/>
        <w:tblInd w:w="0" w:type="dxa"/>
        <w:tblCellMar>
          <w:top w:w="0" w:type="dxa"/>
          <w:left w:w="0" w:type="dxa"/>
          <w:bottom w:w="0" w:type="dxa"/>
          <w:right w:w="0" w:type="dxa"/>
        </w:tblCellMar>
      </w:tblPr>
      <w:tblGrid>
        <w:gridCol w:w="199"/>
        <w:gridCol w:w="10340"/>
      </w:tblGrid>
      <w:tr>
        <w:trPr/>
        <w:tc>
          <w:tcPr>
            <w:tcW w:w="199"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(3)</w:t>
            </w:r>
          </w:p>
        </w:tc>
        <w:tc>
          <w:tcPr>
            <w:tcW w:w="10340"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This includes the employer contributions to the DCP made on the executive’s behalf and earnings on those amounts. The amount will be paid to the executive’s beneficiary upon the executive’s death. This amount does not include amounts that have been previously earned and deferred by the executive, nor does it include any unvested RSUs or PSUs that the executive has elected to defer (the early vesting of which is reflected in the “Stock Awards” row for each respective executive). </w:t>
            </w:r>
          </w:p>
        </w:tc>
      </w:tr>
    </w:tbl>
    <w:tbl>
      <w:tblPr>
        <w:tblW w:w="10539" w:type="dxa"/>
        <w:jc w:val="left"/>
        <w:tblInd w:w="0" w:type="dxa"/>
        <w:tblCellMar>
          <w:top w:w="0" w:type="dxa"/>
          <w:left w:w="0" w:type="dxa"/>
          <w:bottom w:w="0" w:type="dxa"/>
          <w:right w:w="0" w:type="dxa"/>
        </w:tblCellMar>
      </w:tblPr>
      <w:tblGrid>
        <w:gridCol w:w="211"/>
        <w:gridCol w:w="10328"/>
      </w:tblGrid>
      <w:tr>
        <w:trPr/>
        <w:tc>
          <w:tcPr>
            <w:tcW w:w="211"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(4)</w:t>
            </w:r>
          </w:p>
        </w:tc>
        <w:tc>
          <w:tcPr>
            <w:tcW w:w="10328"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For Ms. Ellingsen and Messrs. Vander Ark, Bales and Stuart, amounts include the actual 2022 annual cash incentive award. For Mr. DelGhiaccio, amount reflects actual 2022 annual cash incentive award and actual Supplemental LTIP award for the 2020-2022 performance period. </w:t>
            </w:r>
          </w:p>
        </w:tc>
      </w:tr>
    </w:tbl>
    <w:tbl>
      <w:tblPr>
        <w:tblW w:w="10539" w:type="dxa"/>
        <w:jc w:val="left"/>
        <w:tblInd w:w="0" w:type="dxa"/>
        <w:tblCellMar>
          <w:top w:w="0" w:type="dxa"/>
          <w:left w:w="0" w:type="dxa"/>
          <w:bottom w:w="0" w:type="dxa"/>
          <w:right w:w="0" w:type="dxa"/>
        </w:tblCellMar>
      </w:tblPr>
      <w:tblGrid>
        <w:gridCol w:w="223"/>
        <w:gridCol w:w="10316"/>
      </w:tblGrid>
      <w:tr>
        <w:trPr/>
        <w:tc>
          <w:tcPr>
            <w:tcW w:w="223"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(5)</w:t>
            </w:r>
          </w:p>
        </w:tc>
        <w:tc>
          <w:tcPr>
            <w:tcW w:w="10316"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Absent a change in control, no NEO may terminate for “good reason”, and the consideration described in this column would only be provided in the event of a termination by the Company without cause. </w:t>
            </w:r>
          </w:p>
        </w:tc>
      </w:tr>
    </w:tbl>
    <w:tbl>
      <w:tblPr>
        <w:tblW w:w="10539" w:type="dxa"/>
        <w:jc w:val="left"/>
        <w:tblInd w:w="0" w:type="dxa"/>
        <w:tblCellMar>
          <w:top w:w="0" w:type="dxa"/>
          <w:left w:w="0" w:type="dxa"/>
          <w:bottom w:w="0" w:type="dxa"/>
          <w:right w:w="0" w:type="dxa"/>
        </w:tblCellMar>
      </w:tblPr>
      <w:tblGrid>
        <w:gridCol w:w="204"/>
        <w:gridCol w:w="10335"/>
      </w:tblGrid>
      <w:tr>
        <w:trPr/>
        <w:tc>
          <w:tcPr>
            <w:tcW w:w="204"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(6)</w:t>
            </w:r>
          </w:p>
        </w:tc>
        <w:tc>
          <w:tcPr>
            <w:tcW w:w="10335"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For each of the NEOs, the table includes outstanding RSUs that will continue to vest for up to one year following termination. For each of the NEOs, Stock Awards include amounts for the prorated vesting in a portion of earned PSUs for the 2021-2023 and 2022-2024 performance periods (calculated using target for purposes of the table above) and the vesting in the full number of </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79</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3"/>
        <w:gridCol w:w="10516"/>
      </w:tblGrid>
      <w:tr>
        <w:trPr/>
        <w:tc>
          <w:tcPr>
            <w:tcW w:w="23" w:type="dxa"/>
            <w:tcBorders/>
            <w:shd w:fill="auto" w:val="clear"/>
          </w:tcPr>
          <w:p>
            <w:pPr>
              <w:pStyle w:val="TableContents"/>
              <w:spacing w:before="0" w:after="283"/>
              <w:rPr>
                <w:sz w:val="4"/>
                <w:szCs w:val="4"/>
              </w:rPr>
            </w:pPr>
            <w:r>
              <w:rPr>
                <w:sz w:val="4"/>
                <w:szCs w:val="4"/>
              </w:rPr>
            </w:r>
          </w:p>
        </w:tc>
        <w:tc>
          <w:tcPr>
            <w:tcW w:w="10516"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earned PSUs for the 2020-2022 performance period (based on the closing price of our stock of $124.42 on February 8, 2023 for cash-settled PSUs and $131.96 on February 17, 2023 for stock-settled PSUs). </w:t>
            </w:r>
          </w:p>
        </w:tc>
      </w:tr>
    </w:tbl>
    <w:tbl>
      <w:tblPr>
        <w:tblW w:w="10539" w:type="dxa"/>
        <w:jc w:val="left"/>
        <w:tblInd w:w="0" w:type="dxa"/>
        <w:tblCellMar>
          <w:top w:w="0" w:type="dxa"/>
          <w:left w:w="0" w:type="dxa"/>
          <w:bottom w:w="0" w:type="dxa"/>
          <w:right w:w="0" w:type="dxa"/>
        </w:tblCellMar>
      </w:tblPr>
      <w:tblGrid>
        <w:gridCol w:w="220"/>
        <w:gridCol w:w="10319"/>
      </w:tblGrid>
      <w:tr>
        <w:trPr/>
        <w:tc>
          <w:tcPr>
            <w:tcW w:w="220"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(7)</w:t>
            </w:r>
          </w:p>
        </w:tc>
        <w:tc>
          <w:tcPr>
            <w:tcW w:w="10319"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For Mr. Vander Ark, the amount reflects continued base salary plus target annual bonus for two years. For Ms. Ellingsen and Messrs. Bales, DelGhiaccio and Stuart, the amounts reflect continued base salary for two years. </w:t>
            </w:r>
          </w:p>
        </w:tc>
      </w:tr>
    </w:tbl>
    <w:tbl>
      <w:tblPr>
        <w:tblW w:w="10539" w:type="dxa"/>
        <w:jc w:val="left"/>
        <w:tblInd w:w="0" w:type="dxa"/>
        <w:tblCellMar>
          <w:top w:w="0" w:type="dxa"/>
          <w:left w:w="0" w:type="dxa"/>
          <w:bottom w:w="0" w:type="dxa"/>
          <w:right w:w="0" w:type="dxa"/>
        </w:tblCellMar>
      </w:tblPr>
      <w:tblGrid>
        <w:gridCol w:w="233"/>
        <w:gridCol w:w="10306"/>
      </w:tblGrid>
      <w:tr>
        <w:trPr/>
        <w:tc>
          <w:tcPr>
            <w:tcW w:w="233"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(8)</w:t>
            </w:r>
          </w:p>
        </w:tc>
        <w:tc>
          <w:tcPr>
            <w:tcW w:w="10306"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The payments set forth in this column assume a change in control and a termination without cause or a resignation for good reason occurring on December 31, 2022. </w:t>
            </w:r>
          </w:p>
        </w:tc>
      </w:tr>
    </w:tbl>
    <w:tbl>
      <w:tblPr>
        <w:tblW w:w="10539" w:type="dxa"/>
        <w:jc w:val="left"/>
        <w:tblInd w:w="0" w:type="dxa"/>
        <w:tblCellMar>
          <w:top w:w="0" w:type="dxa"/>
          <w:left w:w="0" w:type="dxa"/>
          <w:bottom w:w="0" w:type="dxa"/>
          <w:right w:w="0" w:type="dxa"/>
        </w:tblCellMar>
      </w:tblPr>
      <w:tblGrid>
        <w:gridCol w:w="237"/>
        <w:gridCol w:w="10302"/>
      </w:tblGrid>
      <w:tr>
        <w:trPr/>
        <w:tc>
          <w:tcPr>
            <w:tcW w:w="237"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(9)</w:t>
            </w:r>
          </w:p>
        </w:tc>
        <w:tc>
          <w:tcPr>
            <w:tcW w:w="10302"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Amounts reflect target PSU awards for the 2020-2022, 2021-2023 and 2022-2024 performance periods and immediate vesting of outstanding RSU awards. </w:t>
            </w:r>
          </w:p>
        </w:tc>
      </w:tr>
    </w:tbl>
    <w:tbl>
      <w:tblPr>
        <w:tblW w:w="10539" w:type="dxa"/>
        <w:jc w:val="left"/>
        <w:tblInd w:w="0" w:type="dxa"/>
        <w:tblCellMar>
          <w:top w:w="0" w:type="dxa"/>
          <w:left w:w="0" w:type="dxa"/>
          <w:bottom w:w="0" w:type="dxa"/>
          <w:right w:w="0" w:type="dxa"/>
        </w:tblCellMar>
      </w:tblPr>
      <w:tblGrid>
        <w:gridCol w:w="313"/>
        <w:gridCol w:w="10226"/>
      </w:tblGrid>
      <w:tr>
        <w:trPr/>
        <w:tc>
          <w:tcPr>
            <w:tcW w:w="313"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(10)</w:t>
            </w:r>
          </w:p>
        </w:tc>
        <w:tc>
          <w:tcPr>
            <w:tcW w:w="10226"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For Ms. Ellingsen and Messrs. Vander Ark, Bales and Stuart, amounts reflect target 2022 annual cash incentive award. For Mr. DelGhiaccio, amount reflects target 2022 annual cash incentive award and target Supplemental LTIP awards for the 2020-2022 and 2021-2023 performance periods. </w:t>
            </w:r>
          </w:p>
        </w:tc>
      </w:tr>
    </w:tbl>
    <w:tbl>
      <w:tblPr>
        <w:tblW w:w="10539" w:type="dxa"/>
        <w:jc w:val="left"/>
        <w:tblInd w:w="0" w:type="dxa"/>
        <w:tblCellMar>
          <w:top w:w="0" w:type="dxa"/>
          <w:left w:w="0" w:type="dxa"/>
          <w:bottom w:w="0" w:type="dxa"/>
          <w:right w:w="0" w:type="dxa"/>
        </w:tblCellMar>
      </w:tblPr>
      <w:tblGrid>
        <w:gridCol w:w="322"/>
        <w:gridCol w:w="10217"/>
      </w:tblGrid>
      <w:tr>
        <w:trPr/>
        <w:tc>
          <w:tcPr>
            <w:tcW w:w="322"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(11)</w:t>
            </w:r>
          </w:p>
        </w:tc>
        <w:tc>
          <w:tcPr>
            <w:tcW w:w="10217"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Amounts reflect a lump sum payment in the amount of two times the sum of current base salary and target annual cash incentive award for the year in which termination occurs, payable six months following termination. </w:t>
            </w:r>
          </w:p>
        </w:tc>
      </w:tr>
    </w:tbl>
    <w:tbl>
      <w:tblPr>
        <w:tblW w:w="10539" w:type="dxa"/>
        <w:jc w:val="left"/>
        <w:tblInd w:w="0" w:type="dxa"/>
        <w:tblCellMar>
          <w:top w:w="0" w:type="dxa"/>
          <w:left w:w="0" w:type="dxa"/>
          <w:bottom w:w="0" w:type="dxa"/>
          <w:right w:w="0" w:type="dxa"/>
        </w:tblCellMar>
      </w:tblPr>
      <w:tblGrid>
        <w:gridCol w:w="308"/>
        <w:gridCol w:w="10231"/>
      </w:tblGrid>
      <w:tr>
        <w:trPr/>
        <w:tc>
          <w:tcPr>
            <w:tcW w:w="308"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(12)</w:t>
            </w:r>
          </w:p>
        </w:tc>
        <w:tc>
          <w:tcPr>
            <w:tcW w:w="10231"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As of December 31, 2022, Ms. Ellingsen and Mr. Bales have met the age and service requirements to be eligible for retirement, but they have not met the notice requirement to be eligible for retirement. The payments set forth in the table above assume that Ms. Ellingsen and Mr. Bales have met the notice requirement as of December 31, 2022. </w:t>
            </w:r>
          </w:p>
        </w:tc>
      </w:tr>
    </w:tbl>
    <w:tbl>
      <w:tblPr>
        <w:tblW w:w="10539" w:type="dxa"/>
        <w:jc w:val="left"/>
        <w:tblInd w:w="0" w:type="dxa"/>
        <w:tblCellMar>
          <w:top w:w="0" w:type="dxa"/>
          <w:left w:w="0" w:type="dxa"/>
          <w:bottom w:w="0" w:type="dxa"/>
          <w:right w:w="0" w:type="dxa"/>
        </w:tblCellMar>
      </w:tblPr>
      <w:tblGrid>
        <w:gridCol w:w="302"/>
        <w:gridCol w:w="10237"/>
      </w:tblGrid>
      <w:tr>
        <w:trPr/>
        <w:tc>
          <w:tcPr>
            <w:tcW w:w="302"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(13)</w:t>
            </w:r>
          </w:p>
        </w:tc>
        <w:tc>
          <w:tcPr>
            <w:tcW w:w="10237"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Amounts reflect vesting in the full number of earned PSUs for the 2020-2022 performance period (based on the closing price of our stock of $124.42 on February 8, 2023 for cash-settled PSUs and $131.96 on February 17, 2023 for stock-settled PSUs), vesting in the full number of earned PSUs for the 2021-2023 and 2022-2024 performance periods (calculated using target for purposes of the table above) and the immediate vesting of outstanding RSUs upon retirement. </w:t>
            </w:r>
          </w:p>
        </w:tc>
      </w:tr>
    </w:tbl>
    <w:tbl>
      <w:tblPr>
        <w:tblW w:w="6844" w:type="dxa"/>
        <w:jc w:val="left"/>
        <w:tblInd w:w="0" w:type="dxa"/>
        <w:tblCellMar>
          <w:top w:w="0" w:type="dxa"/>
          <w:left w:w="0" w:type="dxa"/>
          <w:bottom w:w="0" w:type="dxa"/>
          <w:right w:w="0" w:type="dxa"/>
        </w:tblCellMar>
      </w:tblPr>
      <w:tblGrid>
        <w:gridCol w:w="346"/>
        <w:gridCol w:w="6498"/>
      </w:tblGrid>
      <w:tr>
        <w:trPr/>
        <w:tc>
          <w:tcPr>
            <w:tcW w:w="346" w:type="dxa"/>
            <w:tcBorders/>
            <w:shd w:fill="auto" w:val="clear"/>
          </w:tcPr>
          <w:p>
            <w:pPr>
              <w:pStyle w:val="TableContents"/>
              <w:spacing w:lineRule="auto" w:line="288" w:before="0" w:after="0"/>
              <w:jc w:val="left"/>
              <w:rPr>
                <w:rFonts w:ascii="Open Sans" w:hAnsi="Open Sans"/>
                <w:b w:val="false"/>
                <w:i w:val="false"/>
                <w:caps w:val="false"/>
                <w:smallCaps w:val="false"/>
                <w:strike w:val="false"/>
                <w:dstrike w:val="false"/>
                <w:color w:val="323031"/>
                <w:spacing w:val="-2"/>
                <w:sz w:val="16"/>
                <w:u w:val="none"/>
                <w:effect w:val="none"/>
              </w:rPr>
            </w:pPr>
            <w:r>
              <w:rPr>
                <w:rFonts w:ascii="Open Sans" w:hAnsi="Open Sans"/>
                <w:b w:val="false"/>
                <w:i w:val="false"/>
                <w:caps w:val="false"/>
                <w:smallCaps w:val="false"/>
                <w:strike w:val="false"/>
                <w:dstrike w:val="false"/>
                <w:color w:val="323031"/>
                <w:spacing w:val="-2"/>
                <w:sz w:val="16"/>
                <w:u w:val="none"/>
                <w:effect w:val="none"/>
              </w:rPr>
              <w:t>(14)</w:t>
            </w:r>
          </w:p>
        </w:tc>
        <w:tc>
          <w:tcPr>
            <w:tcW w:w="6498" w:type="dxa"/>
            <w:tcBorders/>
            <w:shd w:fill="auto" w:val="clear"/>
          </w:tcPr>
          <w:p>
            <w:pPr>
              <w:pStyle w:val="TableContents"/>
              <w:spacing w:before="0" w:after="0"/>
              <w:jc w:val="left"/>
              <w:rPr>
                <w:rFonts w:ascii="Open Sans" w:hAnsi="Open Sans"/>
                <w:b w:val="false"/>
                <w:i w:val="false"/>
                <w:caps w:val="false"/>
                <w:smallCaps w:val="false"/>
                <w:color w:val="000000"/>
                <w:spacing w:val="-2"/>
                <w:sz w:val="15"/>
              </w:rPr>
            </w:pPr>
            <w:r>
              <w:rPr>
                <w:rFonts w:ascii="Open Sans" w:hAnsi="Open Sans"/>
                <w:b w:val="false"/>
                <w:i w:val="false"/>
                <w:caps w:val="false"/>
                <w:smallCaps w:val="false"/>
                <w:color w:val="000000"/>
                <w:spacing w:val="-2"/>
                <w:sz w:val="15"/>
              </w:rPr>
              <w:t xml:space="preserve">Amounts reflect actual 2022 annual cash incentive award for Ms. Ellingsen and Mr. Bales. </w:t>
            </w:r>
          </w:p>
        </w:tc>
      </w:tr>
    </w:tbl>
    <w:p>
      <w:pPr>
        <w:pStyle w:val="TextBody"/>
        <w:spacing w:before="160" w:after="0"/>
        <w:rPr>
          <w:rFonts w:ascii="Open Sans" w:hAnsi="Open Sans"/>
          <w:b/>
          <w:i w:val="false"/>
          <w:caps w:val="false"/>
          <w:smallCaps w:val="false"/>
          <w:color w:val="004A7C"/>
          <w:sz w:val="27"/>
        </w:rPr>
      </w:pPr>
      <w:bookmarkStart w:id="97" w:name="CEO_PAY_RATIO"/>
      <w:bookmarkEnd w:id="97"/>
      <w:r>
        <w:rPr>
          <w:rFonts w:ascii="Open Sans" w:hAnsi="Open Sans"/>
          <w:b/>
          <w:i w:val="false"/>
          <w:caps w:val="false"/>
          <w:smallCaps w:val="false"/>
          <w:color w:val="004A7C"/>
          <w:sz w:val="27"/>
        </w:rPr>
        <w:t>CEO Pay Ratio</w:t>
      </w:r>
    </w:p>
    <w:p>
      <w:pPr>
        <w:pStyle w:val="TextBody"/>
        <w:spacing w:before="6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 xml:space="preserve">We determined that the 2022 annual total compensation of the individual identified as our median compensated employee was $71,600; our CEO’s 2022 annual total compensation was $9,835,321, and the ratio of these amounts was 1-to-137.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In accordance with SEC requirements, we determined that there have been no changes to our employee population or compensation arrangements in 2022 that we believe would significantly affect our pay ratio disclosure.  In determining our pay ratio for 2022, we used the same median employee as we identified last year according to the process identified below. With respect to the annual total compensation of the median employee, we identified and calculated the elements of such employee’s compensation for 2022 in accordance with SEC rules.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To identify our median employee for purposes of this analysis, we made the following assumptions:</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spacing w:val="-3"/>
              </w:rPr>
            </w:pPr>
            <w:r>
              <w:rPr>
                <w:caps w:val="false"/>
                <w:smallCaps w:val="false"/>
                <w:spacing w:val="-3"/>
              </w:rPr>
              <w:t> </w:t>
            </w:r>
          </w:p>
        </w:tc>
        <w:tc>
          <w:tcPr>
            <w:tcW w:w="110" w:type="dxa"/>
            <w:tcBorders/>
            <w:shd w:fill="auto" w:val="clear"/>
          </w:tcPr>
          <w:p>
            <w:pPr>
              <w:pStyle w:val="TableContents"/>
              <w:spacing w:before="0" w:after="0"/>
              <w:rPr>
                <w:caps w:val="false"/>
                <w:smallCaps w:val="false"/>
                <w:spacing w:val="-3"/>
              </w:rPr>
            </w:pPr>
            <w:r>
              <w:rPr>
                <w:caps w:val="false"/>
                <w:smallCaps w:val="false"/>
                <w:spacing w:val="-3"/>
              </w:rPr>
              <w:t>•</w:t>
            </w:r>
          </w:p>
        </w:tc>
        <w:tc>
          <w:tcPr>
            <w:tcW w:w="10369" w:type="dxa"/>
            <w:tcBorders/>
            <w:shd w:fill="auto" w:val="clear"/>
          </w:tcPr>
          <w:p>
            <w:pPr>
              <w:pStyle w:val="TableContents"/>
              <w:spacing w:before="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 xml:space="preserve">We included all individuals (excluding our CEO) employed on December 31, 2021 who had received a W-2 from the Company during 2021; </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rPr>
                <w:caps w:val="false"/>
                <w:smallCaps w:val="false"/>
                <w:spacing w:val="-3"/>
              </w:rPr>
            </w:pPr>
            <w:r>
              <w:rPr>
                <w:caps w:val="false"/>
                <w:smallCaps w:val="false"/>
                <w:spacing w:val="-3"/>
              </w:rPr>
              <w:t> </w:t>
            </w:r>
          </w:p>
        </w:tc>
        <w:tc>
          <w:tcPr>
            <w:tcW w:w="110" w:type="dxa"/>
            <w:tcBorders/>
            <w:shd w:fill="auto" w:val="clear"/>
          </w:tcPr>
          <w:p>
            <w:pPr>
              <w:pStyle w:val="TableContents"/>
              <w:spacing w:before="0" w:after="0"/>
              <w:rPr>
                <w:caps w:val="false"/>
                <w:smallCaps w:val="false"/>
                <w:spacing w:val="-3"/>
              </w:rPr>
            </w:pPr>
            <w:r>
              <w:rPr>
                <w:caps w:val="false"/>
                <w:smallCaps w:val="false"/>
                <w:spacing w:val="-3"/>
              </w:rPr>
              <w:t>•</w:t>
            </w:r>
          </w:p>
        </w:tc>
        <w:tc>
          <w:tcPr>
            <w:tcW w:w="10369" w:type="dxa"/>
            <w:tcBorders/>
            <w:shd w:fill="auto" w:val="clear"/>
          </w:tcPr>
          <w:p>
            <w:pPr>
              <w:pStyle w:val="TableContents"/>
              <w:spacing w:before="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We utilized W-2, Box 5 payroll data for 2022 as our consistently applied compensation measure, annualizing pay for those individuals employed less than a full calendar year.</w:t>
            </w:r>
          </w:p>
        </w:tc>
      </w:tr>
    </w:tbl>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This pay ratio is a reasonable estimate calculated in a manner consistent with SEC rules.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80</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w:hAnsi="Open Sans"/>
          <w:b/>
          <w:i w:val="false"/>
          <w:caps w:val="false"/>
          <w:smallCaps w:val="false"/>
          <w:color w:val="004A7C"/>
          <w:sz w:val="27"/>
        </w:rPr>
      </w:pPr>
      <w:bookmarkStart w:id="98" w:name="PAY_VERSUS_PERFORMANCE"/>
      <w:bookmarkEnd w:id="98"/>
      <w:r>
        <w:rPr>
          <w:rFonts w:ascii="Open Sans" w:hAnsi="Open Sans"/>
          <w:b/>
          <w:i w:val="false"/>
          <w:caps w:val="false"/>
          <w:smallCaps w:val="false"/>
          <w:color w:val="004A7C"/>
          <w:sz w:val="27"/>
        </w:rPr>
        <w:t>Pay versus Performance</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As required by Section 953(a) of the Dodd-Frank Act and Item 402(v) of Regulation S-K, we are providing the following pay versus performance (“PVP”) table and related information, including “compensation actually paid” (as defined by the SEC and further described below) or “CAP”. For details about the Company’s pay-for-performance philosophy and how the Compensation Committee makes its decisions about executive pay, you should refer to the CD&amp;A.</w:t>
      </w:r>
    </w:p>
    <w:p>
      <w:pPr>
        <w:pStyle w:val="TextBody"/>
        <w:spacing w:before="240" w:after="0"/>
        <w:jc w:val="center"/>
        <w:rPr>
          <w:rFonts w:ascii="Open Sans" w:hAnsi="Open Sans"/>
          <w:b/>
          <w:i w:val="false"/>
          <w:caps w:val="false"/>
          <w:smallCaps w:val="false"/>
          <w:color w:val="365F91"/>
          <w:sz w:val="22"/>
        </w:rPr>
      </w:pPr>
      <w:r>
        <w:rPr>
          <w:rFonts w:ascii="Open Sans" w:hAnsi="Open Sans"/>
          <w:b/>
          <w:i w:val="false"/>
          <w:caps w:val="false"/>
          <w:smallCaps w:val="false"/>
          <w:color w:val="365F91"/>
          <w:sz w:val="22"/>
        </w:rPr>
        <w:t>PVP Table</w:t>
      </w:r>
    </w:p>
    <w:p>
      <w:pPr>
        <w:pStyle w:val="TextBody"/>
        <w:spacing w:before="0" w:after="0"/>
        <w:rPr/>
      </w:pPr>
      <w:r>
        <w:rPr/>
        <w:t> </w:t>
      </w:r>
    </w:p>
    <w:tbl>
      <w:tblPr>
        <w:tblW w:w="8779" w:type="dxa"/>
        <w:jc w:val="left"/>
        <w:tblInd w:w="0" w:type="dxa"/>
        <w:tblCellMar>
          <w:top w:w="0" w:type="dxa"/>
          <w:left w:w="0" w:type="dxa"/>
          <w:bottom w:w="0" w:type="dxa"/>
          <w:right w:w="0" w:type="dxa"/>
        </w:tblCellMar>
      </w:tblPr>
      <w:tblGrid>
        <w:gridCol w:w="320"/>
        <w:gridCol w:w="60"/>
        <w:gridCol w:w="785"/>
        <w:gridCol w:w="60"/>
        <w:gridCol w:w="905"/>
        <w:gridCol w:w="60"/>
        <w:gridCol w:w="710"/>
        <w:gridCol w:w="60"/>
        <w:gridCol w:w="1265"/>
        <w:gridCol w:w="60"/>
        <w:gridCol w:w="755"/>
        <w:gridCol w:w="60"/>
        <w:gridCol w:w="710"/>
        <w:gridCol w:w="60"/>
        <w:gridCol w:w="766"/>
        <w:gridCol w:w="62"/>
        <w:gridCol w:w="766"/>
        <w:gridCol w:w="60"/>
        <w:gridCol w:w="560"/>
        <w:gridCol w:w="60"/>
        <w:gridCol w:w="635"/>
      </w:tblGrid>
      <w:tr>
        <w:trPr/>
        <w:tc>
          <w:tcPr>
            <w:tcW w:w="320" w:type="dxa"/>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4" w:type="dxa"/>
            <w:gridSpan w:val="3"/>
            <w:tcBorders/>
            <w:shd w:fill="FFFFFF" w:val="cle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Value of Initial Fixed $100</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Investment Based On:</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20" w:type="dxa"/>
            <w:tcBorders>
              <w:bottom w:val="single" w:sz="6" w:space="0" w:color="FFFFFF"/>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Year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85"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SCT Total</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for PEO</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(Slager) (1)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05"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CAP to PEO</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(Slager) (1) (2)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SCT total</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for PEO</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xml:space="preserve">(Vander </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Ark) (3)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5"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xml:space="preserve">CAP to PEO (Vander </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Ark) (2) (3)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Average</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SCT Total</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for Non-PEO</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NEOs (4)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Average</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CAP to</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Non-PEO</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NEOs (4)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Total</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Shareholder</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Return</w:t>
            </w:r>
          </w:p>
        </w:tc>
        <w:tc>
          <w:tcPr>
            <w:tcW w:w="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Peer </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Group(5)</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Total</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Shareholder</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Return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60"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Net</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Income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35" w:type="dxa"/>
            <w:tcBorders>
              <w:bottom w:val="single" w:sz="6" w:space="0" w:color="D8E1E9"/>
            </w:tcBorders>
            <w:shd w:fill="FFFFFF" w:val="clear"/>
            <w:tcMar>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Adjusted</w:t>
            </w:r>
          </w:p>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Free Cash</w:t>
            </w:r>
          </w:p>
          <w:p>
            <w:pPr>
              <w:pStyle w:val="TableContents"/>
              <w:spacing w:lineRule="auto" w:line="288"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Flow(6)</w:t>
            </w:r>
          </w:p>
        </w:tc>
      </w:tr>
      <w:tr>
        <w:trPr/>
        <w:tc>
          <w:tcPr>
            <w:tcW w:w="32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2022</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85" w:type="dxa"/>
            <w:tcBorders>
              <w:top w:val="single" w:sz="6" w:space="0" w:color="D8E1E9"/>
              <w:bottom w:val="single" w:sz="6" w:space="0" w:color="000000"/>
            </w:tcBorders>
            <w:shd w:fill="D8E1E9" w:val="clear"/>
            <w:tcMar>
              <w:top w:w="28" w:type="dxa"/>
              <w:bottom w:w="28" w:type="dxa"/>
            </w:tcMar>
            <w:vAlign w:val="bottom"/>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N/A</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05"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N/A</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$9,835,321</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5"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$11,406,427</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$3,405,956</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$3,585,526</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$151.12</w:t>
            </w:r>
          </w:p>
        </w:tc>
        <w:tc>
          <w:tcPr>
            <w:tcW w:w="62"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$134.88</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60" w:type="dxa"/>
            <w:tcBorders>
              <w:top w:val="single" w:sz="6" w:space="0" w:color="D8E1E9"/>
              <w:bottom w:val="single" w:sz="6" w:space="0" w:color="000000"/>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$1,487.6</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35" w:type="dxa"/>
            <w:tcBorders>
              <w:top w:val="single" w:sz="6" w:space="0" w:color="D8E1E9"/>
              <w:bottom w:val="single" w:sz="6" w:space="0" w:color="000000"/>
              <w:right w:val="single" w:sz="6" w:space="0" w:color="D8E1E9"/>
            </w:tcBorders>
            <w:shd w:fill="D8E1E9" w:val="clear"/>
            <w:tcMar>
              <w:top w:w="28" w:type="dxa"/>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$1,742.4</w:t>
            </w:r>
          </w:p>
        </w:tc>
      </w:tr>
      <w:tr>
        <w:trPr/>
        <w:tc>
          <w:tcPr>
            <w:tcW w:w="320" w:type="dxa"/>
            <w:tcBorders>
              <w:top w:val="single" w:sz="6" w:space="0" w:color="FFFFFF"/>
              <w:bottom w:val="single" w:sz="6" w:space="0" w:color="FFFFFF"/>
            </w:tcBorders>
            <w:shd w:fill="FFFFFF"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85"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$15,027,945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05"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$33,585,755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$7,873,660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5"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$18,049,267</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$3,365,003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$6,863,359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$161.05</w:t>
            </w:r>
          </w:p>
        </w:tc>
        <w:tc>
          <w:tcPr>
            <w:tcW w:w="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$145.53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60"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$1,290.4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35" w:type="dxa"/>
            <w:tcBorders>
              <w:bottom w:val="single" w:sz="6" w:space="0" w:color="000000"/>
              <w:right w:val="single" w:sz="6" w:space="0" w:color="D8E1E9"/>
            </w:tcBorders>
            <w:shd w:fill="FFFFFF" w:val="clear"/>
            <w:tcMar>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$1,515.2</w:t>
            </w:r>
          </w:p>
        </w:tc>
      </w:tr>
      <w:tr>
        <w:trPr/>
        <w:tc>
          <w:tcPr>
            <w:tcW w:w="32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2020</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85"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$12,937,163</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905"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$13,522,931</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N/A</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1265"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N/A</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$3,126,908</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0"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$3,358,427</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$109.53</w:t>
            </w:r>
          </w:p>
        </w:tc>
        <w:tc>
          <w:tcPr>
            <w:tcW w:w="62"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66"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$122.44</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560" w:type="dxa"/>
            <w:tcBorders>
              <w:bottom w:val="single" w:sz="6" w:space="0" w:color="D8E1E9"/>
            </w:tcBorders>
            <w:shd w:fill="D8E1E9" w:val="clear"/>
            <w:tcMar>
              <w:bottom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$967.2</w:t>
            </w:r>
          </w:p>
        </w:tc>
        <w:tc>
          <w:tcPr>
            <w:tcW w:w="60" w:type="dxa"/>
            <w:tcBorders>
              <w:bottom w:val="single" w:sz="6" w:space="0" w:color="000000"/>
            </w:tcBorders>
            <w:shd w:fill="D8E1E9"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35" w:type="dxa"/>
            <w:tcBorders>
              <w:bottom w:val="single" w:sz="6" w:space="0" w:color="D8E1E9"/>
              <w:right w:val="single" w:sz="6" w:space="0" w:color="D8E1E9"/>
            </w:tcBorders>
            <w:shd w:fill="D8E1E9" w:val="clear"/>
            <w:tcMar>
              <w:bottom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$1,235.9</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58"/>
        <w:gridCol w:w="10281"/>
      </w:tblGrid>
      <w:tr>
        <w:trPr/>
        <w:tc>
          <w:tcPr>
            <w:tcW w:w="258"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10281"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Reflects compensation for our former Chief Executive Officer, Mr. Slager, who served as our Principal Executive Officer (PEO) throughout 2020 and part of 2021 until his retirement effective June 25, 2021.</w:t>
            </w:r>
          </w:p>
        </w:tc>
      </w:tr>
    </w:tbl>
    <w:tbl>
      <w:tblPr>
        <w:tblW w:w="7510" w:type="dxa"/>
        <w:jc w:val="left"/>
        <w:tblInd w:w="0" w:type="dxa"/>
        <w:tblCellMar>
          <w:top w:w="0" w:type="dxa"/>
          <w:left w:w="0" w:type="dxa"/>
          <w:bottom w:w="0" w:type="dxa"/>
          <w:right w:w="0" w:type="dxa"/>
        </w:tblCellMar>
      </w:tblPr>
      <w:tblGrid>
        <w:gridCol w:w="290"/>
        <w:gridCol w:w="7220"/>
      </w:tblGrid>
      <w:tr>
        <w:trPr/>
        <w:tc>
          <w:tcPr>
            <w:tcW w:w="29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7220"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CAP is calculated by making the following adjustments from the SCT totals as follows:  </w:t>
            </w:r>
          </w:p>
        </w:tc>
      </w:tr>
    </w:tbl>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PEOs:</w:t>
      </w:r>
    </w:p>
    <w:p>
      <w:pPr>
        <w:pStyle w:val="TextBody"/>
        <w:spacing w:before="0" w:after="0"/>
        <w:rPr/>
      </w:pPr>
      <w:r>
        <w:rPr/>
        <w:t> </w:t>
      </w:r>
    </w:p>
    <w:tbl>
      <w:tblPr>
        <w:tblW w:w="10285" w:type="dxa"/>
        <w:jc w:val="left"/>
        <w:tblInd w:w="0" w:type="dxa"/>
        <w:tblCellMar>
          <w:top w:w="0" w:type="dxa"/>
          <w:left w:w="0" w:type="dxa"/>
          <w:bottom w:w="28" w:type="dxa"/>
          <w:right w:w="0" w:type="dxa"/>
        </w:tblCellMar>
      </w:tblPr>
      <w:tblGrid>
        <w:gridCol w:w="6950"/>
        <w:gridCol w:w="60"/>
        <w:gridCol w:w="800"/>
        <w:gridCol w:w="800"/>
        <w:gridCol w:w="875"/>
        <w:gridCol w:w="800"/>
      </w:tblGrid>
      <w:tr>
        <w:trPr/>
        <w:tc>
          <w:tcPr>
            <w:tcW w:w="7010" w:type="dxa"/>
            <w:gridSpan w:val="2"/>
            <w:tcBorders>
              <w:bottom w:val="single" w:sz="6" w:space="0" w:color="FFFFFF"/>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Item and Value Added (Deducted)</w:t>
            </w:r>
          </w:p>
        </w:tc>
        <w:tc>
          <w:tcPr>
            <w:tcW w:w="80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2022</w:t>
            </w:r>
          </w:p>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Vander Ark</w:t>
            </w:r>
          </w:p>
        </w:tc>
        <w:tc>
          <w:tcPr>
            <w:tcW w:w="80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2021</w:t>
            </w:r>
          </w:p>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Vander Ark</w:t>
            </w:r>
          </w:p>
        </w:tc>
        <w:tc>
          <w:tcPr>
            <w:tcW w:w="875"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2021</w:t>
            </w:r>
          </w:p>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Slager</w:t>
            </w:r>
          </w:p>
        </w:tc>
        <w:tc>
          <w:tcPr>
            <w:tcW w:w="80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2020</w:t>
            </w:r>
          </w:p>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Slager</w:t>
            </w:r>
          </w:p>
        </w:tc>
      </w:tr>
      <w:tr>
        <w:trPr/>
        <w:tc>
          <w:tcPr>
            <w:tcW w:w="69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SCT Stock Awards Column Value</w:t>
            </w:r>
          </w:p>
        </w:tc>
        <w:tc>
          <w:tcPr>
            <w:tcW w:w="60" w:type="dxa"/>
            <w:tcBorders>
              <w:top w:val="single" w:sz="6" w:space="0" w:color="FFFFFF"/>
              <w:bottom w:val="single" w:sz="6" w:space="0" w:color="FFFFFF"/>
              <w:right w:val="single" w:sz="6" w:space="0" w:color="D8E1E9"/>
            </w:tcBorders>
            <w:shd w:fill="D8E1E9"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($5,660,534)</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($4,613,538)</w:t>
            </w:r>
          </w:p>
        </w:tc>
        <w:tc>
          <w:tcPr>
            <w:tcW w:w="875"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($10,004,991)</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($9,159,438)</w:t>
            </w:r>
          </w:p>
        </w:tc>
      </w:tr>
      <w:tr>
        <w:trPr/>
        <w:tc>
          <w:tcPr>
            <w:tcW w:w="6950" w:type="dxa"/>
            <w:tcBorders>
              <w:top w:val="single" w:sz="6" w:space="0" w:color="FFFFFF"/>
              <w:bottom w:val="single" w:sz="6" w:space="0" w:color="FFFFFF"/>
            </w:tcBorders>
            <w:shd w:fill="auto"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Year-End Fair Value of Outstanding Equity Awards Granted in Covered Year</w:t>
            </w:r>
          </w:p>
        </w:tc>
        <w:tc>
          <w:tcPr>
            <w:tcW w:w="60" w:type="dxa"/>
            <w:tcBorders>
              <w:top w:val="single" w:sz="6" w:space="0" w:color="FFFFFF"/>
              <w:bottom w:val="single" w:sz="6" w:space="0" w:color="FFFFFF"/>
              <w:right w:val="single" w:sz="6" w:space="0" w:color="D8E1E9"/>
            </w:tcBorders>
            <w:shd w:fill="auto"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$6,862,648</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$8,543,250</w:t>
            </w:r>
          </w:p>
        </w:tc>
        <w:tc>
          <w:tcPr>
            <w:tcW w:w="875"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$14,959,599</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$7,904,205</w:t>
            </w:r>
          </w:p>
        </w:tc>
      </w:tr>
      <w:tr>
        <w:trPr/>
        <w:tc>
          <w:tcPr>
            <w:tcW w:w="69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Change in Fair Value of Outstanding Equity Awards Granted in Prior Years</w:t>
            </w:r>
          </w:p>
        </w:tc>
        <w:tc>
          <w:tcPr>
            <w:tcW w:w="60" w:type="dxa"/>
            <w:tcBorders>
              <w:top w:val="single" w:sz="6" w:space="0" w:color="FFFFFF"/>
              <w:bottom w:val="single" w:sz="6" w:space="0" w:color="FFFFFF"/>
              <w:right w:val="single" w:sz="6" w:space="0" w:color="D8E1E9"/>
            </w:tcBorders>
            <w:shd w:fill="D8E1E9"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($131,216)</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$5,164,238</w:t>
            </w:r>
          </w:p>
        </w:tc>
        <w:tc>
          <w:tcPr>
            <w:tcW w:w="875"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$4,211,103</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$516,319</w:t>
            </w:r>
          </w:p>
        </w:tc>
      </w:tr>
      <w:tr>
        <w:trPr/>
        <w:tc>
          <w:tcPr>
            <w:tcW w:w="6950" w:type="dxa"/>
            <w:tcBorders>
              <w:top w:val="single" w:sz="6" w:space="0" w:color="FFFFFF"/>
              <w:bottom w:val="single" w:sz="6" w:space="0" w:color="FFFFFF"/>
            </w:tcBorders>
            <w:shd w:fill="auto"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Change in Fair Value of Prior-Year Equity Awards Vested in Covered Year</w:t>
            </w:r>
          </w:p>
        </w:tc>
        <w:tc>
          <w:tcPr>
            <w:tcW w:w="60" w:type="dxa"/>
            <w:tcBorders>
              <w:top w:val="single" w:sz="6" w:space="0" w:color="FFFFFF"/>
              <w:bottom w:val="single" w:sz="6" w:space="0" w:color="FFFFFF"/>
              <w:right w:val="single" w:sz="6" w:space="0" w:color="D8E1E9"/>
            </w:tcBorders>
            <w:shd w:fill="auto"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($686,831)</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$902,692</w:t>
            </w:r>
          </w:p>
        </w:tc>
        <w:tc>
          <w:tcPr>
            <w:tcW w:w="875"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$4,485,722</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$503,251</w:t>
            </w:r>
          </w:p>
        </w:tc>
      </w:tr>
      <w:tr>
        <w:trPr/>
        <w:tc>
          <w:tcPr>
            <w:tcW w:w="69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Fair Value as of Vesting Date of Equity Awards Granted and Vested in Covered Year</w:t>
            </w:r>
          </w:p>
        </w:tc>
        <w:tc>
          <w:tcPr>
            <w:tcW w:w="60" w:type="dxa"/>
            <w:tcBorders>
              <w:top w:val="single" w:sz="6" w:space="0" w:color="FFFFFF"/>
              <w:bottom w:val="single" w:sz="6" w:space="0" w:color="FFFFFF"/>
              <w:right w:val="single" w:sz="6" w:space="0" w:color="D8E1E9"/>
            </w:tcBorders>
            <w:shd w:fill="D8E1E9"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$0</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$0</w:t>
            </w:r>
          </w:p>
        </w:tc>
        <w:tc>
          <w:tcPr>
            <w:tcW w:w="875"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$3,632,397</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$0</w:t>
            </w:r>
          </w:p>
        </w:tc>
      </w:tr>
      <w:tr>
        <w:trPr/>
        <w:tc>
          <w:tcPr>
            <w:tcW w:w="6950" w:type="dxa"/>
            <w:tcBorders>
              <w:top w:val="single" w:sz="6" w:space="0" w:color="FFFFFF"/>
              <w:bottom w:val="single" w:sz="6" w:space="0" w:color="FFFFFF"/>
            </w:tcBorders>
            <w:shd w:fill="auto"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Average Value of Dividends Paid on Equity Awards not Otherwise Reflected in Fair Value of Total Compensation</w:t>
            </w:r>
          </w:p>
        </w:tc>
        <w:tc>
          <w:tcPr>
            <w:tcW w:w="60" w:type="dxa"/>
            <w:tcBorders>
              <w:top w:val="single" w:sz="6" w:space="0" w:color="FFFFFF"/>
              <w:bottom w:val="single" w:sz="6" w:space="0" w:color="FFFFFF"/>
              <w:right w:val="single" w:sz="6" w:space="0" w:color="D8E1E9"/>
            </w:tcBorders>
            <w:shd w:fill="auto"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$1,187,039</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$178,966</w:t>
            </w:r>
          </w:p>
        </w:tc>
        <w:tc>
          <w:tcPr>
            <w:tcW w:w="875"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$1,273,980</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$821,431</w:t>
            </w:r>
          </w:p>
        </w:tc>
      </w:tr>
    </w:tbl>
    <w:p>
      <w:pPr>
        <w:pStyle w:val="TextBody"/>
        <w:spacing w:before="0" w:after="0"/>
        <w:rPr/>
      </w:pPr>
      <w:r>
        <w:rPr/>
        <w:t> </w:t>
      </w:r>
    </w:p>
    <w:p>
      <w:pPr>
        <w:pStyle w:val="TextBody"/>
        <w:spacing w:before="0" w:after="0"/>
        <w:rPr/>
      </w:pPr>
      <w:r>
        <w:rPr/>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81</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Average Non-PEO NEOs:</w:t>
      </w:r>
    </w:p>
    <w:p>
      <w:pPr>
        <w:pStyle w:val="TextBody"/>
        <w:spacing w:before="0" w:after="0"/>
        <w:rPr/>
      </w:pPr>
      <w:r>
        <w:rPr/>
        <w:t> </w:t>
      </w:r>
    </w:p>
    <w:tbl>
      <w:tblPr>
        <w:tblW w:w="9410" w:type="dxa"/>
        <w:jc w:val="left"/>
        <w:tblInd w:w="0" w:type="dxa"/>
        <w:tblCellMar>
          <w:top w:w="0" w:type="dxa"/>
          <w:left w:w="0" w:type="dxa"/>
          <w:bottom w:w="28" w:type="dxa"/>
          <w:right w:w="0" w:type="dxa"/>
        </w:tblCellMar>
      </w:tblPr>
      <w:tblGrid>
        <w:gridCol w:w="6950"/>
        <w:gridCol w:w="60"/>
        <w:gridCol w:w="800"/>
        <w:gridCol w:w="800"/>
        <w:gridCol w:w="800"/>
      </w:tblGrid>
      <w:tr>
        <w:trPr/>
        <w:tc>
          <w:tcPr>
            <w:tcW w:w="7010" w:type="dxa"/>
            <w:gridSpan w:val="2"/>
            <w:tcBorders>
              <w:bottom w:val="single" w:sz="6" w:space="0" w:color="FFFFFF"/>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Item and Value Added (Deducted)</w:t>
            </w:r>
          </w:p>
        </w:tc>
        <w:tc>
          <w:tcPr>
            <w:tcW w:w="80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2022</w:t>
            </w:r>
          </w:p>
        </w:tc>
        <w:tc>
          <w:tcPr>
            <w:tcW w:w="80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2021</w:t>
            </w:r>
          </w:p>
        </w:tc>
        <w:tc>
          <w:tcPr>
            <w:tcW w:w="800" w:type="dxa"/>
            <w:tcBorders>
              <w:bottom w:val="single" w:sz="6" w:space="0" w:color="D8E1E9"/>
            </w:tcBorders>
            <w:shd w:fill="auto" w:val="clear"/>
            <w:vAlign w:val="bottom"/>
          </w:tcPr>
          <w:p>
            <w:pPr>
              <w:pStyle w:val="TableContents"/>
              <w:spacing w:before="0" w:after="0"/>
              <w:ind w:left="0" w:right="0" w:hanging="0"/>
              <w:jc w:val="center"/>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2020</w:t>
            </w:r>
          </w:p>
        </w:tc>
      </w:tr>
      <w:tr>
        <w:trPr/>
        <w:tc>
          <w:tcPr>
            <w:tcW w:w="69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SCT Stock Awards Column Value</w:t>
            </w:r>
          </w:p>
        </w:tc>
        <w:tc>
          <w:tcPr>
            <w:tcW w:w="60" w:type="dxa"/>
            <w:tcBorders>
              <w:top w:val="single" w:sz="6" w:space="0" w:color="FFFFFF"/>
              <w:bottom w:val="single" w:sz="6" w:space="0" w:color="FFFFFF"/>
              <w:right w:val="single" w:sz="6" w:space="0" w:color="D8E1E9"/>
            </w:tcBorders>
            <w:shd w:fill="D8E1E9"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($1,670,511)</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($1,673,751)</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($1,717,272)</w:t>
            </w:r>
          </w:p>
        </w:tc>
      </w:tr>
      <w:tr>
        <w:trPr/>
        <w:tc>
          <w:tcPr>
            <w:tcW w:w="6950" w:type="dxa"/>
            <w:tcBorders>
              <w:top w:val="single" w:sz="6" w:space="0" w:color="FFFFFF"/>
              <w:bottom w:val="single" w:sz="6" w:space="0" w:color="FFFFFF"/>
            </w:tcBorders>
            <w:shd w:fill="auto"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Year-End Fair Value of Outstanding Equity Awards Granted in Covered Year</w:t>
            </w:r>
          </w:p>
        </w:tc>
        <w:tc>
          <w:tcPr>
            <w:tcW w:w="60" w:type="dxa"/>
            <w:tcBorders>
              <w:top w:val="single" w:sz="6" w:space="0" w:color="FFFFFF"/>
              <w:bottom w:val="single" w:sz="6" w:space="0" w:color="FFFFFF"/>
              <w:right w:val="single" w:sz="6" w:space="0" w:color="D8E1E9"/>
            </w:tcBorders>
            <w:shd w:fill="auto"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$1,928,470</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$3,219,620</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$1,503,029</w:t>
            </w:r>
          </w:p>
        </w:tc>
      </w:tr>
      <w:tr>
        <w:trPr/>
        <w:tc>
          <w:tcPr>
            <w:tcW w:w="6950" w:type="dxa"/>
            <w:tcBorders>
              <w:top w:val="single" w:sz="6" w:space="0" w:color="FFFFFF"/>
              <w:bottom w:val="single" w:sz="6" w:space="0" w:color="FFFFFF"/>
            </w:tcBorders>
            <w:shd w:fill="D8E1E9"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Change in Fair Value of Outstanding Equity Awards Granted in Prior Years</w:t>
            </w:r>
          </w:p>
        </w:tc>
        <w:tc>
          <w:tcPr>
            <w:tcW w:w="60" w:type="dxa"/>
            <w:tcBorders>
              <w:top w:val="single" w:sz="6" w:space="0" w:color="FFFFFF"/>
              <w:bottom w:val="single" w:sz="6" w:space="0" w:color="FFFFFF"/>
              <w:right w:val="single" w:sz="6" w:space="0" w:color="D8E1E9"/>
            </w:tcBorders>
            <w:shd w:fill="D8E1E9"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($75,670)</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$1,472,118</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$255,451</w:t>
            </w:r>
          </w:p>
        </w:tc>
      </w:tr>
      <w:tr>
        <w:trPr/>
        <w:tc>
          <w:tcPr>
            <w:tcW w:w="6950" w:type="dxa"/>
            <w:tcBorders>
              <w:top w:val="single" w:sz="6" w:space="0" w:color="FFFFFF"/>
              <w:bottom w:val="single" w:sz="6" w:space="0" w:color="FFFFFF"/>
            </w:tcBorders>
            <w:shd w:fill="auto"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Change in Fair Value of Prior-Year Equity Awards Vested in Covered Year</w:t>
            </w:r>
          </w:p>
        </w:tc>
        <w:tc>
          <w:tcPr>
            <w:tcW w:w="60" w:type="dxa"/>
            <w:tcBorders>
              <w:top w:val="single" w:sz="6" w:space="0" w:color="FFFFFF"/>
              <w:bottom w:val="single" w:sz="6" w:space="0" w:color="FFFFFF"/>
              <w:right w:val="single" w:sz="6" w:space="0" w:color="D8E1E9"/>
            </w:tcBorders>
            <w:shd w:fill="auto"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($232,884)</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$381,819</w:t>
            </w:r>
          </w:p>
        </w:tc>
        <w:tc>
          <w:tcPr>
            <w:tcW w:w="800" w:type="dxa"/>
            <w:tcBorders>
              <w:top w:val="single" w:sz="6" w:space="0" w:color="D8E1E9"/>
              <w:left w:val="single" w:sz="6" w:space="0" w:color="D8E1E9"/>
              <w:bottom w:val="single" w:sz="6" w:space="0" w:color="D8E1E9"/>
              <w:right w:val="single" w:sz="6" w:space="0" w:color="D8E1E9"/>
            </w:tcBorders>
            <w:shd w:fill="auto"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$73,862</w:t>
            </w:r>
          </w:p>
        </w:tc>
      </w:tr>
      <w:tr>
        <w:trPr/>
        <w:tc>
          <w:tcPr>
            <w:tcW w:w="6950" w:type="dxa"/>
            <w:tcBorders>
              <w:top w:val="single" w:sz="6" w:space="0" w:color="FFFFFF"/>
              <w:bottom w:val="single" w:sz="6" w:space="0" w:color="000000"/>
            </w:tcBorders>
            <w:shd w:fill="D8E1E9" w:val="clear"/>
            <w:tcMar>
              <w:top w:w="28" w:type="dxa"/>
            </w:tcMar>
            <w:vAlign w:val="center"/>
          </w:tcPr>
          <w:p>
            <w:pPr>
              <w:pStyle w:val="TableContents"/>
              <w:spacing w:before="0" w:after="0"/>
              <w:ind w:left="0" w:right="0" w:hanging="0"/>
              <w:jc w:val="left"/>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 Average Value of Dividends Paid on Equity Awards not Otherwise Reflected in Fair Value of Total Compensation</w:t>
            </w:r>
          </w:p>
        </w:tc>
        <w:tc>
          <w:tcPr>
            <w:tcW w:w="60" w:type="dxa"/>
            <w:tcBorders>
              <w:top w:val="single" w:sz="6" w:space="0" w:color="FFFFFF"/>
              <w:bottom w:val="single" w:sz="6" w:space="0" w:color="000000"/>
              <w:right w:val="single" w:sz="6" w:space="0" w:color="D8E1E9"/>
            </w:tcBorders>
            <w:shd w:fill="D8E1E9" w:val="clear"/>
            <w:tcMar>
              <w:top w:w="28" w:type="dxa"/>
              <w:right w:w="28" w:type="dxa"/>
            </w:tcMar>
            <w:vAlign w:val="center"/>
          </w:tcPr>
          <w:p>
            <w:pPr>
              <w:pStyle w:val="TableContents"/>
              <w:spacing w:before="0" w:after="0"/>
              <w:ind w:left="0" w:right="0" w:hanging="0"/>
              <w:jc w:val="left"/>
              <w:rPr/>
            </w:pPr>
            <w:r>
              <w:rPr/>
              <w:t> </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$230,184</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$98,550</w:t>
            </w:r>
          </w:p>
        </w:tc>
        <w:tc>
          <w:tcPr>
            <w:tcW w:w="800" w:type="dxa"/>
            <w:tcBorders>
              <w:top w:val="single" w:sz="6" w:space="0" w:color="D8E1E9"/>
              <w:left w:val="single" w:sz="6" w:space="0" w:color="D8E1E9"/>
              <w:bottom w:val="single" w:sz="6" w:space="0" w:color="D8E1E9"/>
              <w:right w:val="single" w:sz="6" w:space="0" w:color="D8E1E9"/>
            </w:tcBorders>
            <w:shd w:fill="D8E1E9" w:val="clear"/>
            <w:tcMar>
              <w:top w:w="28" w:type="dxa"/>
              <w:left w:w="28" w:type="dxa"/>
              <w:right w:w="28" w:type="dxa"/>
            </w:tcMar>
            <w:vAlign w:val="center"/>
          </w:tcPr>
          <w:p>
            <w:pPr>
              <w:pStyle w:val="TableContents"/>
              <w:spacing w:before="0" w:after="0"/>
              <w:ind w:left="0" w:right="0" w:hanging="0"/>
              <w:jc w:val="center"/>
              <w:rPr>
                <w:rFonts w:ascii="Open Sans" w:hAnsi="Open Sans"/>
                <w:b w:val="false"/>
                <w:i w:val="false"/>
                <w:caps w:val="false"/>
                <w:smallCaps w:val="false"/>
                <w:color w:val="004A7C"/>
                <w:sz w:val="12"/>
              </w:rPr>
            </w:pPr>
            <w:r>
              <w:rPr>
                <w:rFonts w:ascii="Open Sans" w:hAnsi="Open Sans"/>
                <w:b w:val="false"/>
                <w:i w:val="false"/>
                <w:caps w:val="false"/>
                <w:smallCaps w:val="false"/>
                <w:color w:val="004A7C"/>
                <w:sz w:val="12"/>
              </w:rPr>
              <w:t>$116,450</w:t>
            </w:r>
          </w:p>
        </w:tc>
      </w:tr>
    </w:tbl>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Pay versus performance measurement date fair values were determined based on the same methodology used for grant date fair value purposes. Restricted stock units were valued based on the closing stock price on the relevant measurement date.  Performance stock units were valued using a fair value per share determined using a Monte Carlo model run on the relevant measurement date.  On the vesting date, the final payout factor is applied to the closing stock price on that date.</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254"/>
        <w:gridCol w:w="10285"/>
      </w:tblGrid>
      <w:tr>
        <w:trPr/>
        <w:tc>
          <w:tcPr>
            <w:tcW w:w="254"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285"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Reflects compensation for our President and Chief Executive Officer, Mr. Vander Ark, who has served as our PEO since June 25, 2021.  The compensation reflected includes Mr. Vander Ark’s pay as a non-PEO NEO in 2021.</w:t>
            </w:r>
          </w:p>
        </w:tc>
      </w:tr>
    </w:tbl>
    <w:tbl>
      <w:tblPr>
        <w:tblW w:w="4630" w:type="dxa"/>
        <w:jc w:val="left"/>
        <w:tblInd w:w="0" w:type="dxa"/>
        <w:tblCellMar>
          <w:top w:w="0" w:type="dxa"/>
          <w:left w:w="0" w:type="dxa"/>
          <w:bottom w:w="0" w:type="dxa"/>
          <w:right w:w="0" w:type="dxa"/>
        </w:tblCellMar>
      </w:tblPr>
      <w:tblGrid>
        <w:gridCol w:w="290"/>
        <w:gridCol w:w="4340"/>
      </w:tblGrid>
      <w:tr>
        <w:trPr/>
        <w:tc>
          <w:tcPr>
            <w:tcW w:w="290"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4340"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The Company’s non-PEO NEOs for 2020-2022 were:</w:t>
            </w:r>
          </w:p>
        </w:tc>
      </w:tr>
    </w:tbl>
    <w:tbl>
      <w:tblPr>
        <w:tblW w:w="9040" w:type="dxa"/>
        <w:jc w:val="left"/>
        <w:tblInd w:w="0" w:type="dxa"/>
        <w:tblCellMar>
          <w:top w:w="0" w:type="dxa"/>
          <w:left w:w="0" w:type="dxa"/>
          <w:bottom w:w="0" w:type="dxa"/>
          <w:right w:w="0" w:type="dxa"/>
        </w:tblCellMar>
      </w:tblPr>
      <w:tblGrid>
        <w:gridCol w:w="60"/>
        <w:gridCol w:w="500"/>
        <w:gridCol w:w="8480"/>
      </w:tblGrid>
      <w:tr>
        <w:trPr/>
        <w:tc>
          <w:tcPr>
            <w:tcW w:w="60" w:type="dxa"/>
            <w:tcBorders/>
            <w:shd w:fill="auto" w:val="clear"/>
          </w:tcPr>
          <w:p>
            <w:pPr>
              <w:pStyle w:val="TableContents"/>
              <w:spacing w:before="60" w:after="0"/>
              <w:rPr>
                <w:caps w:val="false"/>
                <w:smallCaps w:val="false"/>
              </w:rPr>
            </w:pPr>
            <w:r>
              <w:rPr>
                <w:caps w:val="false"/>
                <w:smallCaps w:val="false"/>
              </w:rPr>
              <w:t> </w:t>
            </w:r>
          </w:p>
        </w:tc>
        <w:tc>
          <w:tcPr>
            <w:tcW w:w="500"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2020:</w:t>
            </w:r>
          </w:p>
        </w:tc>
        <w:tc>
          <w:tcPr>
            <w:tcW w:w="8480"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Brian M. DelGhiaccio, Catharine D. Ellingsen, Charles F. Serianni, Timothy E. Stuart and Jon Vander Ark</w:t>
            </w:r>
          </w:p>
        </w:tc>
      </w:tr>
    </w:tbl>
    <w:tbl>
      <w:tblPr>
        <w:tblW w:w="7585" w:type="dxa"/>
        <w:jc w:val="left"/>
        <w:tblInd w:w="0" w:type="dxa"/>
        <w:tblCellMar>
          <w:top w:w="0" w:type="dxa"/>
          <w:left w:w="0" w:type="dxa"/>
          <w:bottom w:w="0" w:type="dxa"/>
          <w:right w:w="0" w:type="dxa"/>
        </w:tblCellMar>
      </w:tblPr>
      <w:tblGrid>
        <w:gridCol w:w="60"/>
        <w:gridCol w:w="500"/>
        <w:gridCol w:w="7025"/>
      </w:tblGrid>
      <w:tr>
        <w:trPr/>
        <w:tc>
          <w:tcPr>
            <w:tcW w:w="60" w:type="dxa"/>
            <w:tcBorders/>
            <w:shd w:fill="auto" w:val="clear"/>
          </w:tcPr>
          <w:p>
            <w:pPr>
              <w:pStyle w:val="TableContents"/>
              <w:spacing w:before="60" w:after="0"/>
              <w:rPr>
                <w:caps w:val="false"/>
                <w:smallCaps w:val="false"/>
              </w:rPr>
            </w:pPr>
            <w:r>
              <w:rPr>
                <w:caps w:val="false"/>
                <w:smallCaps w:val="false"/>
              </w:rPr>
              <w:t> </w:t>
            </w:r>
          </w:p>
        </w:tc>
        <w:tc>
          <w:tcPr>
            <w:tcW w:w="500"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2021:</w:t>
            </w:r>
          </w:p>
        </w:tc>
        <w:tc>
          <w:tcPr>
            <w:tcW w:w="7025"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Brian M. DelGhiaccio, Catharine D. Ellingsen, Jeffrey A. Hughes and Timothy E. Stuart</w:t>
            </w:r>
          </w:p>
        </w:tc>
      </w:tr>
    </w:tbl>
    <w:tbl>
      <w:tblPr>
        <w:tblW w:w="7315" w:type="dxa"/>
        <w:jc w:val="left"/>
        <w:tblInd w:w="0" w:type="dxa"/>
        <w:tblCellMar>
          <w:top w:w="0" w:type="dxa"/>
          <w:left w:w="0" w:type="dxa"/>
          <w:bottom w:w="0" w:type="dxa"/>
          <w:right w:w="0" w:type="dxa"/>
        </w:tblCellMar>
      </w:tblPr>
      <w:tblGrid>
        <w:gridCol w:w="60"/>
        <w:gridCol w:w="500"/>
        <w:gridCol w:w="6755"/>
      </w:tblGrid>
      <w:tr>
        <w:trPr/>
        <w:tc>
          <w:tcPr>
            <w:tcW w:w="60" w:type="dxa"/>
            <w:tcBorders/>
            <w:shd w:fill="auto" w:val="clear"/>
          </w:tcPr>
          <w:p>
            <w:pPr>
              <w:pStyle w:val="TableContents"/>
              <w:spacing w:before="60" w:after="0"/>
              <w:rPr>
                <w:caps w:val="false"/>
                <w:smallCaps w:val="false"/>
              </w:rPr>
            </w:pPr>
            <w:r>
              <w:rPr>
                <w:caps w:val="false"/>
                <w:smallCaps w:val="false"/>
              </w:rPr>
              <w:t> </w:t>
            </w:r>
          </w:p>
        </w:tc>
        <w:tc>
          <w:tcPr>
            <w:tcW w:w="500"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2022:</w:t>
            </w:r>
          </w:p>
        </w:tc>
        <w:tc>
          <w:tcPr>
            <w:tcW w:w="6755"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Brian M. DelGhiaccio, Brian A. Bales, Catharine D. Ellingsen and Timothy E. Stuart</w:t>
            </w:r>
          </w:p>
        </w:tc>
      </w:tr>
    </w:tbl>
    <w:tbl>
      <w:tblPr>
        <w:tblW w:w="10539" w:type="dxa"/>
        <w:jc w:val="left"/>
        <w:tblInd w:w="0" w:type="dxa"/>
        <w:tblCellMar>
          <w:top w:w="0" w:type="dxa"/>
          <w:left w:w="0" w:type="dxa"/>
          <w:bottom w:w="0" w:type="dxa"/>
          <w:right w:w="0" w:type="dxa"/>
        </w:tblCellMar>
      </w:tblPr>
      <w:tblGrid>
        <w:gridCol w:w="256"/>
        <w:gridCol w:w="10283"/>
      </w:tblGrid>
      <w:tr>
        <w:trPr/>
        <w:tc>
          <w:tcPr>
            <w:tcW w:w="256"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283" w:type="dxa"/>
            <w:tcBorders/>
            <w:shd w:fill="auto" w:val="clear"/>
          </w:tcPr>
          <w:p>
            <w:pPr>
              <w:pStyle w:val="TableContents"/>
              <w:spacing w:before="0" w:after="0"/>
              <w:jc w:val="left"/>
              <w:rPr>
                <w:rFonts w:ascii="Open Sans" w:hAnsi="Open Sans"/>
                <w:b w:val="false"/>
                <w:i w:val="false"/>
                <w:caps w:val="false"/>
                <w:smallCaps w:val="false"/>
                <w:color w:val="000000"/>
                <w:sz w:val="16"/>
              </w:rPr>
            </w:pPr>
            <w:r>
              <w:rPr>
                <w:rFonts w:ascii="Open Sans" w:hAnsi="Open Sans"/>
                <w:b w:val="false"/>
                <w:i w:val="false"/>
                <w:caps w:val="false"/>
                <w:smallCaps w:val="false"/>
                <w:color w:val="000000"/>
                <w:sz w:val="16"/>
              </w:rPr>
              <w:t xml:space="preserve">The Company has used its peer group from the CD&amp;A for purposes of this comparison.  The companies that comprised the peer group selected by the Compensation Committee in our CD&amp;A were as follows: </w:t>
            </w:r>
          </w:p>
        </w:tc>
      </w:tr>
    </w:tbl>
    <w:tbl>
      <w:tblPr>
        <w:tblW w:w="10539" w:type="dxa"/>
        <w:jc w:val="left"/>
        <w:tblInd w:w="0" w:type="dxa"/>
        <w:tblCellMar>
          <w:top w:w="0" w:type="dxa"/>
          <w:left w:w="0" w:type="dxa"/>
          <w:bottom w:w="0" w:type="dxa"/>
          <w:right w:w="0" w:type="dxa"/>
        </w:tblCellMar>
      </w:tblPr>
      <w:tblGrid>
        <w:gridCol w:w="60"/>
        <w:gridCol w:w="748"/>
        <w:gridCol w:w="9731"/>
      </w:tblGrid>
      <w:tr>
        <w:trPr/>
        <w:tc>
          <w:tcPr>
            <w:tcW w:w="60" w:type="dxa"/>
            <w:tcBorders/>
            <w:shd w:fill="auto" w:val="clear"/>
          </w:tcPr>
          <w:p>
            <w:pPr>
              <w:pStyle w:val="TableContents"/>
              <w:spacing w:before="60" w:after="0"/>
              <w:rPr>
                <w:caps w:val="false"/>
                <w:smallCaps w:val="false"/>
              </w:rPr>
            </w:pPr>
            <w:r>
              <w:rPr>
                <w:caps w:val="false"/>
                <w:smallCaps w:val="false"/>
              </w:rPr>
              <w:t> </w:t>
            </w:r>
          </w:p>
        </w:tc>
        <w:tc>
          <w:tcPr>
            <w:tcW w:w="748"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2021 &amp; 2022:</w:t>
            </w:r>
          </w:p>
        </w:tc>
        <w:tc>
          <w:tcPr>
            <w:tcW w:w="9731"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Air Products and Chemicals, Inc., American Electric Power Company, Inc., Canadian National Railway Company, Canadian Pacific Railway Limited, Cintas Corporation, CSX Corporation, Ecolab Inc., Entergy Corporation, Fastenal Company, FedEx Corporation, J.B. Hunt Transport Services, Inc., Norfolk Southern Corporation, Ryder System, Inc., Sysco Corporation, W.W. Grainger, Inc., Waste Connections, Inc. and Waste Management, Inc.</w:t>
            </w:r>
          </w:p>
        </w:tc>
      </w:tr>
    </w:tbl>
    <w:tbl>
      <w:tblPr>
        <w:tblW w:w="10539" w:type="dxa"/>
        <w:jc w:val="left"/>
        <w:tblInd w:w="0" w:type="dxa"/>
        <w:tblCellMar>
          <w:top w:w="0" w:type="dxa"/>
          <w:left w:w="0" w:type="dxa"/>
          <w:bottom w:w="0" w:type="dxa"/>
          <w:right w:w="0" w:type="dxa"/>
        </w:tblCellMar>
      </w:tblPr>
      <w:tblGrid>
        <w:gridCol w:w="60"/>
        <w:gridCol w:w="474"/>
        <w:gridCol w:w="10005"/>
      </w:tblGrid>
      <w:tr>
        <w:trPr/>
        <w:tc>
          <w:tcPr>
            <w:tcW w:w="60" w:type="dxa"/>
            <w:tcBorders/>
            <w:shd w:fill="auto" w:val="clear"/>
          </w:tcPr>
          <w:p>
            <w:pPr>
              <w:pStyle w:val="TableContents"/>
              <w:spacing w:before="60" w:after="0"/>
              <w:rPr>
                <w:caps w:val="false"/>
                <w:smallCaps w:val="false"/>
              </w:rPr>
            </w:pPr>
            <w:r>
              <w:rPr>
                <w:caps w:val="false"/>
                <w:smallCaps w:val="false"/>
              </w:rPr>
              <w:t> </w:t>
            </w:r>
          </w:p>
        </w:tc>
        <w:tc>
          <w:tcPr>
            <w:tcW w:w="474"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2020: </w:t>
            </w:r>
          </w:p>
        </w:tc>
        <w:tc>
          <w:tcPr>
            <w:tcW w:w="10005" w:type="dxa"/>
            <w:tcBorders/>
            <w:shd w:fill="auto" w:val="clear"/>
          </w:tcPr>
          <w:p>
            <w:pPr>
              <w:pStyle w:val="TableContents"/>
              <w:spacing w:before="60" w:after="0"/>
              <w:rPr>
                <w:rFonts w:ascii="Open Sans" w:hAnsi="Open Sans"/>
                <w:b w:val="false"/>
                <w:i w:val="false"/>
                <w:caps w:val="false"/>
                <w:smallCaps w:val="false"/>
                <w:sz w:val="16"/>
              </w:rPr>
            </w:pPr>
            <w:r>
              <w:rPr>
                <w:rFonts w:ascii="Open Sans" w:hAnsi="Open Sans"/>
                <w:b w:val="false"/>
                <w:i w:val="false"/>
                <w:caps w:val="false"/>
                <w:smallCaps w:val="false"/>
                <w:sz w:val="16"/>
              </w:rPr>
              <w:t>Air Products and Chemicals, Inc., Canadian National Railway Company, Canadian Pacific Railway Limited, CSX Corporation, FedEx Corporation, J.B. Hunt Transport Services, Inc., Norfolk Southern Corporation, Ryder System, Inc., Stericycle, Inc., Sysco Corporation, W.W. Grainger, Inc., Waste Connections, Inc. and Waste Management, Inc.</w:t>
            </w:r>
          </w:p>
        </w:tc>
      </w:tr>
    </w:tbl>
    <w:tbl>
      <w:tblPr>
        <w:tblW w:w="10539" w:type="dxa"/>
        <w:jc w:val="left"/>
        <w:tblInd w:w="0" w:type="dxa"/>
        <w:tblCellMar>
          <w:top w:w="0" w:type="dxa"/>
          <w:left w:w="0" w:type="dxa"/>
          <w:bottom w:w="0" w:type="dxa"/>
          <w:right w:w="0" w:type="dxa"/>
        </w:tblCellMar>
      </w:tblPr>
      <w:tblGrid>
        <w:gridCol w:w="241"/>
        <w:gridCol w:w="10298"/>
      </w:tblGrid>
      <w:tr>
        <w:trPr/>
        <w:tc>
          <w:tcPr>
            <w:tcW w:w="241" w:type="dxa"/>
            <w:tcBorders/>
            <w:shd w:fill="auto" w:val="clear"/>
          </w:tcPr>
          <w:p>
            <w:pPr>
              <w:pStyle w:val="TableContents"/>
              <w:spacing w:lineRule="auto" w:line="288"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(6)</w:t>
            </w:r>
          </w:p>
        </w:tc>
        <w:tc>
          <w:tcPr>
            <w:tcW w:w="10298" w:type="dxa"/>
            <w:tcBorders/>
            <w:shd w:fill="auto" w:val="clear"/>
          </w:tcPr>
          <w:p>
            <w:pPr>
              <w:pStyle w:val="TableContents"/>
              <w:spacing w:before="0" w:after="0"/>
              <w:jc w:val="left"/>
              <w:rPr>
                <w:b w:val="false"/>
                <w:i w:val="false"/>
                <w:caps w:val="false"/>
                <w:smallCaps w:val="false"/>
              </w:rPr>
            </w:pPr>
            <w:r>
              <w:rPr>
                <w:rFonts w:ascii="Open Sans" w:hAnsi="Open Sans"/>
                <w:b w:val="false"/>
                <w:i w:val="false"/>
                <w:caps w:val="false"/>
                <w:smallCaps w:val="false"/>
                <w:color w:val="000000"/>
                <w:sz w:val="16"/>
              </w:rPr>
              <w:t>The Company Selected Measure is adjusted free cash flow, as described in the CD&amp;A section.  Adjusted free cash flow is a non-GAAP financial measure.  For a reconciliation of adjusted free cash flow to its comparable GAAP measure, see “Reconciliation of GAAP to Non-GAAP Financial Measures” in the Annex on page</w:t>
            </w:r>
            <w:r>
              <w:rPr>
                <w:b w:val="false"/>
                <w:i w:val="false"/>
                <w:caps w:val="false"/>
                <w:smallCaps w:val="false"/>
              </w:rPr>
              <w:t xml:space="preserve"> 98.</w:t>
            </w:r>
          </w:p>
        </w:tc>
      </w:tr>
    </w:tbl>
    <w:p>
      <w:pPr>
        <w:pStyle w:val="TextBody"/>
        <w:spacing w:before="0" w:after="0"/>
        <w:rPr/>
      </w:pPr>
      <w:r>
        <w:rPr/>
        <w:t> </w:t>
      </w:r>
    </w:p>
    <w:p>
      <w:pPr>
        <w:pStyle w:val="TextBody"/>
        <w:spacing w:before="0" w:after="0"/>
        <w:rPr/>
      </w:pPr>
      <w:r>
        <w:rPr/>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82</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The charts below describe the relationship between the PEO and other NEOs’ CAP to Company and Peer Group Total Shareholder Return, Net Income and Adjusted Free Cash Flow.  In the case of Total Shareholder Return, amount assumes $100 invested on January 1, 2020 assuming reinvestment of all dividends.</w:t>
      </w:r>
    </w:p>
    <w:p>
      <w:pPr>
        <w:pStyle w:val="TextBody"/>
        <w:spacing w:before="0" w:after="240"/>
        <w:rPr/>
      </w:pPr>
      <w:r>
        <w:rPr/>
        <w:t> </w:t>
      </w:r>
    </w:p>
    <w:p>
      <w:pPr>
        <w:pStyle w:val="TextBody"/>
        <w:spacing w:before="0" w:after="0"/>
        <w:jc w:val="center"/>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color w:val="365F91"/>
        </w:rPr>
      </w:pPr>
      <w:r>
        <w:rPr>
          <w:caps w:val="false"/>
          <w:smallCaps w:val="false"/>
          <w:color w:val="365F91"/>
        </w:rPr>
        <w:drawing>
          <wp:inline distT="0" distB="0" distL="0" distR="0">
            <wp:extent cx="5943600" cy="191452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5943600" cy="1914525"/>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color w:val="365F91"/>
        </w:rPr>
      </w:pPr>
      <w:r>
        <w:rPr>
          <w:caps w:val="false"/>
          <w:smallCaps w:val="false"/>
          <w:color w:val="365F91"/>
        </w:rPr>
        <w:drawing>
          <wp:inline distT="0" distB="0" distL="0" distR="0">
            <wp:extent cx="2990850" cy="19335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2990850" cy="1933575"/>
                    </a:xfrm>
                    <a:prstGeom prst="rect">
                      <a:avLst/>
                    </a:prstGeom>
                  </pic:spPr>
                </pic:pic>
              </a:graphicData>
            </a:graphic>
          </wp:inline>
        </w:drawing>
      </w:r>
    </w:p>
    <w:p>
      <w:pPr>
        <w:pStyle w:val="TextBody"/>
        <w:spacing w:before="0" w:after="0"/>
        <w:jc w:val="center"/>
        <w:rPr/>
      </w:pPr>
      <w:r>
        <w:rPr/>
        <w:t> </w:t>
      </w:r>
    </w:p>
    <w:p>
      <w:pPr>
        <w:pStyle w:val="TextBody"/>
        <w:spacing w:before="0" w:after="0"/>
        <w:jc w:val="center"/>
        <w:rPr>
          <w:rFonts w:ascii="Open Sans" w:hAnsi="Open Sans"/>
          <w:b/>
          <w:i w:val="false"/>
          <w:caps w:val="false"/>
          <w:smallCaps w:val="false"/>
          <w:color w:val="365F91"/>
          <w:sz w:val="22"/>
        </w:rPr>
      </w:pPr>
      <w:r>
        <w:rPr>
          <w:rFonts w:ascii="Open Sans" w:hAnsi="Open Sans"/>
          <w:b/>
          <w:i w:val="false"/>
          <w:caps w:val="false"/>
          <w:smallCaps w:val="false"/>
          <w:color w:val="365F91"/>
          <w:sz w:val="22"/>
        </w:rPr>
        <w:t>Tabular List of Company Performance Measures</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The table below lists in alphabetical order the financial performance measures that we believe represent the most important performance measures used to link CAP to our named executive officers to our performance for the most recently completed fiscal year.  See our CD&amp;A at pages 51-70 for a further discussion of these performance measures.</w:t>
      </w:r>
    </w:p>
    <w:tbl>
      <w:tblPr>
        <w:tblW w:w="2405" w:type="dxa"/>
        <w:jc w:val="left"/>
        <w:tblInd w:w="0" w:type="dxa"/>
        <w:tblCellMar>
          <w:top w:w="0" w:type="dxa"/>
          <w:left w:w="0" w:type="dxa"/>
          <w:bottom w:w="0" w:type="dxa"/>
          <w:right w:w="0" w:type="dxa"/>
        </w:tblCellMar>
      </w:tblPr>
      <w:tblGrid>
        <w:gridCol w:w="2405"/>
      </w:tblGrid>
      <w:tr>
        <w:trPr/>
        <w:tc>
          <w:tcPr>
            <w:tcW w:w="2405" w:type="dxa"/>
            <w:tcBorders/>
            <w:shd w:fill="auto" w:val="clear"/>
            <w:vAlign w:val="center"/>
          </w:tcPr>
          <w:p>
            <w:pPr>
              <w:pStyle w:val="TableContents"/>
              <w:spacing w:before="0" w:after="283"/>
              <w:rPr>
                <w:sz w:val="4"/>
                <w:szCs w:val="4"/>
              </w:rPr>
            </w:pPr>
            <w:r>
              <w:rPr>
                <w:sz w:val="4"/>
                <w:szCs w:val="4"/>
              </w:rPr>
            </w:r>
          </w:p>
        </w:tc>
      </w:tr>
      <w:tr>
        <w:trPr/>
        <w:tc>
          <w:tcPr>
            <w:tcW w:w="2405" w:type="dxa"/>
            <w:tcBorders/>
            <w:shd w:fill="auto" w:val="clear"/>
            <w:vAlign w:val="center"/>
          </w:tcPr>
          <w:p>
            <w:pPr>
              <w:pStyle w:val="TableContents"/>
              <w:spacing w:before="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Adjusted Earnings Per Share</w:t>
            </w:r>
          </w:p>
        </w:tc>
      </w:tr>
      <w:tr>
        <w:trPr/>
        <w:tc>
          <w:tcPr>
            <w:tcW w:w="2405" w:type="dxa"/>
            <w:tcBorders/>
            <w:shd w:fill="auto" w:val="clear"/>
            <w:vAlign w:val="center"/>
          </w:tcPr>
          <w:p>
            <w:pPr>
              <w:pStyle w:val="TableContents"/>
              <w:spacing w:before="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Adjusted Free Cash Flow</w:t>
            </w:r>
          </w:p>
        </w:tc>
      </w:tr>
      <w:tr>
        <w:trPr/>
        <w:tc>
          <w:tcPr>
            <w:tcW w:w="2405" w:type="dxa"/>
            <w:tcBorders/>
            <w:shd w:fill="auto" w:val="clear"/>
            <w:vAlign w:val="center"/>
          </w:tcPr>
          <w:p>
            <w:pPr>
              <w:pStyle w:val="TableContents"/>
              <w:spacing w:before="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 xml:space="preserve">Cash Flow Value Creation </w:t>
            </w:r>
          </w:p>
        </w:tc>
      </w:tr>
      <w:tr>
        <w:trPr/>
        <w:tc>
          <w:tcPr>
            <w:tcW w:w="2405" w:type="dxa"/>
            <w:tcBorders/>
            <w:shd w:fill="auto" w:val="clear"/>
            <w:vAlign w:val="center"/>
          </w:tcPr>
          <w:p>
            <w:pPr>
              <w:pStyle w:val="TableContents"/>
              <w:spacing w:before="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Return on Invested Capital</w:t>
            </w:r>
          </w:p>
        </w:tc>
      </w:tr>
      <w:tr>
        <w:trPr/>
        <w:tc>
          <w:tcPr>
            <w:tcW w:w="2405" w:type="dxa"/>
            <w:tcBorders/>
            <w:shd w:fill="auto" w:val="clear"/>
            <w:vAlign w:val="center"/>
          </w:tcPr>
          <w:p>
            <w:pPr>
              <w:pStyle w:val="TableContents"/>
              <w:spacing w:before="0" w:after="0"/>
              <w:ind w:left="0" w:right="0" w:hanging="0"/>
              <w:rPr>
                <w:rFonts w:ascii="Open Sans" w:hAnsi="Open Sans"/>
                <w:b w:val="false"/>
                <w:i w:val="false"/>
                <w:caps w:val="false"/>
                <w:smallCaps w:val="false"/>
                <w:sz w:val="16"/>
              </w:rPr>
            </w:pPr>
            <w:r>
              <w:rPr>
                <w:rFonts w:ascii="Open Sans" w:hAnsi="Open Sans"/>
                <w:b w:val="false"/>
                <w:i w:val="false"/>
                <w:caps w:val="false"/>
                <w:smallCaps w:val="false"/>
                <w:sz w:val="16"/>
              </w:rPr>
              <w:t>Total Shareholder Return</w:t>
            </w:r>
          </w:p>
        </w:tc>
      </w:tr>
    </w:tbl>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For a more comprehensive discussion of how the Compensation Committee views the relationship between named executive officer pay and performance, please see our CD&amp;A at pages 51-70 of this Proxy Statement.</w:t>
      </w:r>
    </w:p>
    <w:p>
      <w:pPr>
        <w:pStyle w:val="TextBody"/>
        <w:spacing w:before="0" w:after="0"/>
        <w:rPr/>
      </w:pPr>
      <w:r>
        <w:rPr/>
      </w:r>
    </w:p>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83</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0" w:after="0"/>
        <w:jc w:val="center"/>
        <w:rPr>
          <w:caps w:val="false"/>
          <w:smallCaps w:val="false"/>
        </w:rPr>
      </w:pPr>
      <w:r>
        <w:rPr>
          <w:caps w:val="false"/>
          <w:smallCaps w:val="false"/>
        </w:rPr>
        <w:drawing>
          <wp:inline distT="0" distB="0" distL="0" distR="0">
            <wp:extent cx="7762875" cy="100584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7762875" cy="10058400"/>
                    </a:xfrm>
                    <a:prstGeom prst="rect">
                      <a:avLst/>
                    </a:prstGeom>
                  </pic:spPr>
                </pic:pic>
              </a:graphicData>
            </a:graphic>
          </wp:inline>
        </w:drawing>
      </w:r>
    </w:p>
    <w:p>
      <w:pPr>
        <w:pStyle w:val="TextBody"/>
        <w:spacing w:before="0" w:after="0"/>
        <w:jc w:val="center"/>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05725" cy="965835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7705725" cy="9658350"/>
                    </a:xfrm>
                    <a:prstGeom prst="rect">
                      <a:avLst/>
                    </a:prstGeom>
                  </pic:spPr>
                </pic:pic>
              </a:graphicData>
            </a:graphic>
          </wp:inline>
        </w:drawing>
      </w:r>
    </w:p>
    <w:p>
      <w:pPr>
        <w:pStyle w:val="TextBody"/>
        <w:spacing w:before="0" w:after="0"/>
        <w:rPr/>
      </w:pPr>
      <w:r>
        <w:rPr/>
        <w:t> </w:t>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Proposals</w:t>
      </w:r>
    </w:p>
    <w:p>
      <w:pPr>
        <w:pStyle w:val="TextBody"/>
        <w:spacing w:before="0" w:after="0"/>
        <w:jc w:val="center"/>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Proposals</w:t>
      </w:r>
    </w:p>
    <w:p>
      <w:pPr>
        <w:pStyle w:val="TextBody"/>
        <w:spacing w:before="0" w:after="0"/>
        <w:rPr/>
      </w:pPr>
      <w:r>
        <w:rPr/>
        <w:t> </w:t>
      </w:r>
    </w:p>
    <w:p>
      <w:pPr>
        <w:pStyle w:val="TextBody"/>
        <w:spacing w:before="24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31"/>
        </w:rPr>
      </w:pPr>
      <w:bookmarkStart w:id="99" w:name="PROPOSALS_TO_BE_VOTED_ON_AT_MEETING"/>
      <w:bookmarkEnd w:id="99"/>
      <w:r>
        <w:rPr>
          <w:rFonts w:ascii="Open Sans" w:hAnsi="Open Sans"/>
          <w:b/>
          <w:i w:val="false"/>
          <w:caps w:val="false"/>
          <w:smallCaps w:val="false"/>
          <w:color w:val="004A7C"/>
          <w:sz w:val="31"/>
        </w:rPr>
        <w:t>PROPOSALS TO BE VOTED ON AT THE MEETING</w:t>
      </w:r>
    </w:p>
    <w:p>
      <w:pPr>
        <w:pStyle w:val="TextBody"/>
        <w:pBdr>
          <w:bottom w:val="single" w:sz="6" w:space="1" w:color="004A7C"/>
        </w:pBdr>
        <w:spacing w:before="0" w:after="0"/>
        <w:rPr/>
      </w:pPr>
      <w:r>
        <w:rPr/>
        <w:t> </w:t>
      </w:r>
    </w:p>
    <w:p>
      <w:pPr>
        <w:pStyle w:val="TextBody"/>
        <w:spacing w:before="120" w:after="0"/>
        <w:rPr>
          <w:rFonts w:ascii="Open Sans" w:hAnsi="Open Sans"/>
          <w:b/>
          <w:i w:val="false"/>
          <w:caps w:val="false"/>
          <w:smallCaps w:val="false"/>
          <w:color w:val="004A7C"/>
          <w:sz w:val="27"/>
        </w:rPr>
      </w:pPr>
      <w:bookmarkStart w:id="100" w:name="PROPOSAL_1_ELECTION_DIRECTORS"/>
      <w:bookmarkEnd w:id="100"/>
      <w:r>
        <w:rPr>
          <w:rFonts w:ascii="Open Sans" w:hAnsi="Open Sans"/>
          <w:b/>
          <w:i w:val="false"/>
          <w:caps w:val="false"/>
          <w:smallCaps w:val="false"/>
          <w:color w:val="004A7C"/>
          <w:sz w:val="27"/>
        </w:rPr>
        <w:t>Proposal 1: Election of Directors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The Board has nominated 11 directors (the “Nominees”) based on the recommendation of the Board’s Governance Committee. If elected, each director will hold office until our next annual meeting or until his or her successor is elected and qualified to serve on the Board. Each Nominee has consented to be named in this Proxy Statement and has agreed to serve as a director if elected.</w:t>
      </w:r>
    </w:p>
    <w:p>
      <w:pPr>
        <w:pStyle w:val="TextBody"/>
        <w:spacing w:before="0" w:after="0"/>
        <w:rPr/>
      </w:pPr>
      <w:r>
        <w:rPr/>
        <w:t> </w:t>
      </w:r>
    </w:p>
    <w:tbl>
      <w:tblPr>
        <w:tblW w:w="9515" w:type="dxa"/>
        <w:jc w:val="left"/>
        <w:tblInd w:w="0" w:type="dxa"/>
        <w:tblCellMar>
          <w:top w:w="0" w:type="dxa"/>
          <w:left w:w="0" w:type="dxa"/>
          <w:bottom w:w="0" w:type="dxa"/>
          <w:right w:w="0" w:type="dxa"/>
        </w:tblCellMar>
      </w:tblPr>
      <w:tblGrid>
        <w:gridCol w:w="9515"/>
      </w:tblGrid>
      <w:tr>
        <w:trPr/>
        <w:tc>
          <w:tcPr>
            <w:tcW w:w="9515" w:type="dxa"/>
            <w:tcBorders/>
            <w:shd w:fill="D8E1E9" w:val="clear"/>
          </w:tcPr>
          <w:p>
            <w:pPr>
              <w:pStyle w:val="TableContents"/>
              <w:spacing w:before="120" w:after="120"/>
              <w:ind w:left="300" w:right="0" w:hanging="0"/>
              <w:rPr>
                <w:rFonts w:ascii="Open Sans" w:hAnsi="Open Sans"/>
                <w:b w:val="false"/>
                <w:i w:val="false"/>
                <w:caps w:val="false"/>
                <w:smallCaps w:val="false"/>
                <w:color w:val="004A7C"/>
                <w:sz w:val="23"/>
              </w:rPr>
            </w:pPr>
            <w:r>
              <w:rPr>
                <w:rFonts w:ascii="Open Sans" w:hAnsi="Open Sans"/>
                <w:b w:val="false"/>
                <w:i w:val="false"/>
                <w:caps w:val="false"/>
                <w:smallCaps w:val="false"/>
                <w:color w:val="004A7C"/>
                <w:sz w:val="23"/>
              </w:rPr>
              <w:t>The Board recommends a vote “FOR” the election of the 11 Nominees listed below:</w:t>
            </w:r>
          </w:p>
        </w:tc>
      </w:tr>
    </w:tbl>
    <w:p>
      <w:pPr>
        <w:pStyle w:val="TextBody"/>
        <w:spacing w:before="0" w:after="0"/>
        <w:rPr/>
      </w:pPr>
      <w:r>
        <w:rPr/>
        <w:t> </w:t>
      </w:r>
    </w:p>
    <w:tbl>
      <w:tblPr>
        <w:tblW w:w="10175" w:type="dxa"/>
        <w:jc w:val="left"/>
        <w:tblInd w:w="0" w:type="dxa"/>
        <w:tblCellMar>
          <w:top w:w="0" w:type="dxa"/>
          <w:left w:w="0" w:type="dxa"/>
          <w:bottom w:w="28" w:type="dxa"/>
          <w:right w:w="0" w:type="dxa"/>
        </w:tblCellMar>
      </w:tblPr>
      <w:tblGrid>
        <w:gridCol w:w="2150"/>
        <w:gridCol w:w="410"/>
        <w:gridCol w:w="950"/>
        <w:gridCol w:w="6665"/>
      </w:tblGrid>
      <w:tr>
        <w:trPr/>
        <w:tc>
          <w:tcPr>
            <w:tcW w:w="2150" w:type="dxa"/>
            <w:tcBorders>
              <w:bottom w:val="single" w:sz="8" w:space="0" w:color="D8E1E9"/>
            </w:tcBorders>
            <w:shd w:fill="auto" w:val="clear"/>
            <w:vAlign w:val="bottom"/>
          </w:tcPr>
          <w:p>
            <w:pPr>
              <w:pStyle w:val="TableContents"/>
              <w:spacing w:before="0" w:after="6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DIRECTOR NAME</w:t>
            </w:r>
          </w:p>
        </w:tc>
        <w:tc>
          <w:tcPr>
            <w:tcW w:w="410" w:type="dxa"/>
            <w:tcBorders>
              <w:bottom w:val="single" w:sz="8" w:space="0" w:color="D8E1E9"/>
            </w:tcBorders>
            <w:shd w:fill="auto" w:val="clear"/>
            <w:vAlign w:val="bottom"/>
          </w:tcPr>
          <w:p>
            <w:pPr>
              <w:pStyle w:val="TableContents"/>
              <w:spacing w:before="0" w:after="6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AGE</w:t>
            </w:r>
          </w:p>
        </w:tc>
        <w:tc>
          <w:tcPr>
            <w:tcW w:w="950" w:type="dxa"/>
            <w:tcBorders>
              <w:bottom w:val="single" w:sz="8" w:space="0" w:color="D8E1E9"/>
            </w:tcBorders>
            <w:shd w:fill="auto" w:val="clear"/>
            <w:vAlign w:val="bottom"/>
          </w:tcPr>
          <w:p>
            <w:pPr>
              <w:pStyle w:val="TableContents"/>
              <w:spacing w:before="0" w:after="6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DIRECTOR</w:t>
              <w:br/>
              <w:t>SINCE</w:t>
            </w:r>
          </w:p>
        </w:tc>
        <w:tc>
          <w:tcPr>
            <w:tcW w:w="6665" w:type="dxa"/>
            <w:tcBorders>
              <w:bottom w:val="single" w:sz="8" w:space="0" w:color="D8E1E9"/>
            </w:tcBorders>
            <w:shd w:fill="auto" w:val="clear"/>
            <w:vAlign w:val="bottom"/>
          </w:tcPr>
          <w:p>
            <w:pPr>
              <w:pStyle w:val="TableContents"/>
              <w:spacing w:before="0" w:after="6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PRINCIPAL OCCUPATION</w:t>
            </w:r>
          </w:p>
        </w:tc>
      </w:tr>
      <w:tr>
        <w:trPr/>
        <w:tc>
          <w:tcPr>
            <w:tcW w:w="2150" w:type="dxa"/>
            <w:tcBorders>
              <w:top w:val="single" w:sz="8" w:space="0" w:color="D8E1E9"/>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Manuel Kadre (Chairman)</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57</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2014</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CEO, MBB Auto, LLC</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Tomago Collins</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51</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2013</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Executive Vice President, Communications and Business Development,</w:t>
              <w:br/>
              <w:t>Kroenke Sports &amp; Entertainment</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Michael A. Duffy</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53</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2020</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CEO, FleetPride, Inc.</w:t>
            </w:r>
          </w:p>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CEO, LaserShip/OnTrac</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Thomas W. Handley</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68</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2016</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Chief Operating Officer to the investment </w:t>
            </w:r>
          </w:p>
          <w:p>
            <w:pPr>
              <w:pStyle w:val="TableContents"/>
              <w:spacing w:before="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operations of the Bill &amp; Melinda Gates Foundation Trust</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Jennifer M. Kirk</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48</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2016</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Senior Vice President, Global Controller and Chief Accounting Officer, Medtronic</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Michael Larson</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63</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2009</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 xml:space="preserve">Chief Investment Officer to the investment </w:t>
            </w:r>
          </w:p>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operations of the Bill &amp; Melinda Gates Foundation Trust</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James P. Snee</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56</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2018</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Chairman, President and CEO, Hormel Foods Corporation</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Brian S. Tyler</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56</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2021</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CEO, McKesson Corporation</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Sandra M. Volpe</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55</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2016</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Former Senior Vice President, Strategic Planning,</w:t>
              <w:br/>
              <w:t xml:space="preserve">Communications and Business Development Solutions, </w:t>
              <w:br/>
              <w:t>FedEx Ground</w:t>
            </w:r>
          </w:p>
        </w:tc>
      </w:tr>
      <w:tr>
        <w:trPr/>
        <w:tc>
          <w:tcPr>
            <w:tcW w:w="2150" w:type="dxa"/>
            <w:tcBorders>
              <w:top w:val="single" w:sz="8" w:space="0" w:color="FFFFFF"/>
              <w:bottom w:val="single" w:sz="8" w:space="0" w:color="FFFFFF"/>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Jon Vander Ark</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47</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2021</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President and CEO of Republic Services, Inc.</w:t>
            </w:r>
          </w:p>
        </w:tc>
      </w:tr>
      <w:tr>
        <w:trPr/>
        <w:tc>
          <w:tcPr>
            <w:tcW w:w="2150" w:type="dxa"/>
            <w:tcBorders>
              <w:top w:val="single" w:sz="8" w:space="0" w:color="FFFFFF"/>
              <w:bottom w:val="single" w:sz="8" w:space="0" w:color="D8E1E9"/>
            </w:tcBorders>
            <w:shd w:fill="D8E1E9" w:val="clear"/>
            <w:tcMar>
              <w:top w:w="28" w:type="dxa"/>
            </w:tcMar>
            <w:vAlign w:val="center"/>
          </w:tcPr>
          <w:p>
            <w:pPr>
              <w:pStyle w:val="TableContents"/>
              <w:spacing w:before="60" w:after="60"/>
              <w:ind w:left="0" w:right="0" w:hanging="0"/>
              <w:jc w:val="center"/>
              <w:rPr>
                <w:rFonts w:ascii="Open Sans SemiBold" w:hAnsi="Open Sans SemiBold"/>
                <w:b w:val="false"/>
                <w:i w:val="false"/>
                <w:caps w:val="false"/>
                <w:smallCaps w:val="false"/>
                <w:color w:val="004A7C"/>
                <w:sz w:val="17"/>
              </w:rPr>
            </w:pPr>
            <w:r>
              <w:rPr>
                <w:rFonts w:ascii="Open Sans SemiBold" w:hAnsi="Open Sans SemiBold"/>
                <w:b w:val="false"/>
                <w:i w:val="false"/>
                <w:caps w:val="false"/>
                <w:smallCaps w:val="false"/>
                <w:color w:val="004A7C"/>
                <w:sz w:val="17"/>
              </w:rPr>
              <w:t>Katharine B. Weymouth</w:t>
            </w:r>
          </w:p>
        </w:tc>
        <w:tc>
          <w:tcPr>
            <w:tcW w:w="410" w:type="dxa"/>
            <w:tcBorders>
              <w:top w:val="single" w:sz="8" w:space="0" w:color="D8E1E9"/>
              <w:bottom w:val="single" w:sz="8" w:space="0" w:color="D8E1E9"/>
              <w:right w:val="single" w:sz="8" w:space="0" w:color="D8E1E9"/>
            </w:tcBorders>
            <w:shd w:fill="auto" w:val="clear"/>
            <w:tcMar>
              <w:top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56</w:t>
            </w:r>
          </w:p>
        </w:tc>
        <w:tc>
          <w:tcPr>
            <w:tcW w:w="950" w:type="dxa"/>
            <w:tcBorders>
              <w:top w:val="single" w:sz="8" w:space="0" w:color="D8E1E9"/>
              <w:left w:val="single" w:sz="8" w:space="0" w:color="D8E1E9"/>
              <w:bottom w:val="single" w:sz="8" w:space="0" w:color="D8E1E9"/>
              <w:right w:val="single" w:sz="8" w:space="0" w:color="D8E1E9"/>
            </w:tcBorders>
            <w:shd w:fill="auto" w:val="clear"/>
            <w:tcMar>
              <w:top w:w="28" w:type="dxa"/>
              <w:left w:w="28" w:type="dxa"/>
              <w:righ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2018</w:t>
            </w:r>
          </w:p>
        </w:tc>
        <w:tc>
          <w:tcPr>
            <w:tcW w:w="6665" w:type="dxa"/>
            <w:tcBorders>
              <w:top w:val="single" w:sz="8" w:space="0" w:color="D8E1E9"/>
              <w:left w:val="single" w:sz="8" w:space="0" w:color="D8E1E9"/>
              <w:bottom w:val="single" w:sz="8" w:space="0" w:color="D8E1E9"/>
            </w:tcBorders>
            <w:shd w:fill="auto" w:val="clear"/>
            <w:tcMar>
              <w:top w:w="28" w:type="dxa"/>
              <w:left w:w="28" w:type="dxa"/>
            </w:tcMar>
            <w:vAlign w:val="center"/>
          </w:tcPr>
          <w:p>
            <w:pPr>
              <w:pStyle w:val="TableContents"/>
              <w:spacing w:before="60" w:after="60"/>
              <w:ind w:left="0" w:right="0" w:hanging="0"/>
              <w:jc w:val="center"/>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Chief Operating Officer, FamilyCare</w:t>
            </w:r>
          </w:p>
        </w:tc>
      </w:tr>
    </w:tbl>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The Nominees who receive a majority of the votes cast by the holders of our common stock represented at the Annual Meeting, without giving effect to abstentions, will be elected directors. According to our Bylaws, “majority of the votes cast” means that the number of votes cast “for” a director’s election exceeds the number of votes cast “against” that director’s election (with abstentions and broker non-votes not counted as a vote cast either “for” or “against” that director’s election).</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Under our Bylaws, the number of directors is fixed from time to time by Board resolution and shall be not more than 13 (the majority of whom must be independent of Republic for purposes of the NYSE rules). Our Board currently consists of the 11 </w:t>
      </w:r>
      <w:r>
        <w:rPr>
          <w:rFonts w:ascii="Open Sans" w:hAnsi="Open Sans"/>
          <w:b w:val="false"/>
          <w:i w:val="false"/>
          <w:caps/>
          <w:sz w:val="16"/>
        </w:rPr>
        <w:t>n</w:t>
      </w:r>
      <w:r>
        <w:rPr>
          <w:rFonts w:ascii="Open Sans" w:hAnsi="Open Sans"/>
          <w:b w:val="false"/>
          <w:i w:val="false"/>
          <w:caps w:val="false"/>
          <w:smallCaps w:val="false"/>
          <w:sz w:val="16"/>
        </w:rPr>
        <w:t>ominees named above, in addition to Ms. Pegula who will not stand for re-election at the Annual Meeting. Proxies cannot be voted for a greater number of persons than the number of Nominees named in this Proxy Statement.</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86</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pBdr>
          <w:bottom w:val="single" w:sz="8" w:space="1" w:color="00497C"/>
        </w:pBdr>
        <w:spacing w:before="0" w:after="0"/>
        <w:rPr/>
      </w:pPr>
      <w:r>
        <w:rPr/>
        <w:t> </w:t>
      </w:r>
    </w:p>
    <w:p>
      <w:pPr>
        <w:pStyle w:val="TextBody"/>
        <w:spacing w:before="120" w:after="0"/>
        <w:rPr>
          <w:rFonts w:ascii="Open Sans" w:hAnsi="Open Sans"/>
          <w:b/>
          <w:i w:val="false"/>
          <w:caps w:val="false"/>
          <w:smallCaps w:val="false"/>
          <w:color w:val="004A7C"/>
          <w:sz w:val="27"/>
        </w:rPr>
      </w:pPr>
      <w:bookmarkStart w:id="101" w:name="PROPOSAL_2_ADVISORY_VOTE_ON_NAMED_EXECU"/>
      <w:bookmarkEnd w:id="101"/>
      <w:r>
        <w:rPr>
          <w:rFonts w:ascii="Open Sans" w:hAnsi="Open Sans"/>
          <w:b/>
          <w:i w:val="false"/>
          <w:caps w:val="false"/>
          <w:smallCaps w:val="false"/>
          <w:color w:val="004A7C"/>
          <w:sz w:val="27"/>
        </w:rPr>
        <w:t>Proposal 2: Advisory Vote on Named Executive Officer Compensation</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In accordance with the requirements of Section 14A of the Exchange Act and the related SEC rules, we are asking our shareholders to cast a vote to approve the compensation of our NEOs. This proposal, commonly referred to as a “say-on-pay” proposal, gives you the opportunity to approve, not approve, or abstain from voting on our NEO compensation. This vote is not intended to address any specific item of compensation, but rather the overall compensation of our NEOs and the compensation principles, policies, and practices described in this Proxy Statement. Section 14A requires that we submit a proposal to shareholders similar to this one at least every three years. Based on the recommendation of our shareholders, we intend to submit a proposal similar to this one to our shareholders every year.</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In considering your vote, you should review with care the information regarding our NEOs’ compensation appearing under the caption “Executive Compensation” on pages 50 through 83, including the CD&amp;A beginning on page 50.</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We have designed our executive compensation program to attract and retain our executives and to motivate them to increase shareholder value on both an annual and long-term basis primarily by improving our earnings and return on invested capital and generating increasing levels of free cash flow. The Talent &amp; Compensation Committee believes our executive compensation program reflects a strong pay-for-performance philosophy and drives the alignment of shareholder and management interests.</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Accordingly, we are submitting the following resolution for shareholder vote at the Annual Meeting:</w:t>
      </w:r>
    </w:p>
    <w:p>
      <w:pPr>
        <w:pStyle w:val="TextBody"/>
        <w:spacing w:before="240" w:after="0"/>
        <w:rPr>
          <w:caps w:val="false"/>
          <w:smallCaps w:val="false"/>
          <w:color w:val="004A7C"/>
        </w:rPr>
      </w:pPr>
      <w:r>
        <w:rPr>
          <w:caps w:val="false"/>
          <w:smallCaps w:val="false"/>
          <w:color w:val="004A7C"/>
        </w:rPr>
        <w:t>“</w:t>
      </w:r>
      <w:r>
        <w:rPr>
          <w:rFonts w:ascii="Open Sans" w:hAnsi="Open Sans"/>
          <w:b/>
          <w:i w:val="false"/>
          <w:caps w:val="false"/>
          <w:smallCaps w:val="false"/>
          <w:color w:val="004A7C"/>
          <w:sz w:val="17"/>
        </w:rPr>
        <w:t>RESOLVED, that the shareholders of Republic approve, on an advisory basis, the compensation of Republic’s NEOs as disclosed in the proxy statement for the 2023 Annual Meeting under the heading “Executive Compensation,” including the Compensation Discussion and Analysis, the Summary Compensation Table, and the other tables and narrative disclosures set forth thereunder.”</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The affirmative vote of a majority of the holders represented at the Annual Meeting and entitled to vote is required to approve this proposal. Abstentions will have the effect of a vote against Proposal 2 and broker non-votes have no effect on the proposal. This vote is an advisory vote only, and the result will not be binding on us. Although the vote is non-binding, the Talent &amp; Compensation Committee values shareholders’ opinions. Accordingly, the Talent &amp; Compensation Committee will review the results of voting on this proposal, seek to determine the cause or causes of any significant negative voting results and consider those matters when making future NEO compensation decisions.</w:t>
      </w:r>
    </w:p>
    <w:p>
      <w:pPr>
        <w:pStyle w:val="TextBody"/>
        <w:spacing w:before="0" w:after="0"/>
        <w:rPr/>
      </w:pPr>
      <w:r>
        <w:rPr/>
        <w:t> </w:t>
      </w:r>
    </w:p>
    <w:tbl>
      <w:tblPr>
        <w:tblW w:w="9260" w:type="dxa"/>
        <w:jc w:val="left"/>
        <w:tblInd w:w="0" w:type="dxa"/>
        <w:tblCellMar>
          <w:top w:w="0" w:type="dxa"/>
          <w:left w:w="0" w:type="dxa"/>
          <w:bottom w:w="0" w:type="dxa"/>
          <w:right w:w="0" w:type="dxa"/>
        </w:tblCellMar>
      </w:tblPr>
      <w:tblGrid>
        <w:gridCol w:w="9260"/>
      </w:tblGrid>
      <w:tr>
        <w:trPr/>
        <w:tc>
          <w:tcPr>
            <w:tcW w:w="9260" w:type="dxa"/>
            <w:tcBorders/>
            <w:shd w:fill="D8E1E9" w:val="clear"/>
          </w:tcPr>
          <w:p>
            <w:pPr>
              <w:pStyle w:val="TableContents"/>
              <w:spacing w:before="120" w:after="120"/>
              <w:ind w:left="120" w:right="0" w:hanging="0"/>
              <w:jc w:val="center"/>
              <w:rPr>
                <w:rFonts w:ascii="Open Sans" w:hAnsi="Open Sans"/>
                <w:b w:val="false"/>
                <w:i w:val="false"/>
                <w:caps w:val="false"/>
                <w:smallCaps w:val="false"/>
                <w:color w:val="004A7C"/>
                <w:sz w:val="23"/>
              </w:rPr>
            </w:pPr>
            <w:r>
              <w:rPr>
                <w:rFonts w:ascii="Open Sans" w:hAnsi="Open Sans"/>
                <w:b w:val="false"/>
                <w:i w:val="false"/>
                <w:caps w:val="false"/>
                <w:smallCaps w:val="false"/>
                <w:color w:val="004A7C"/>
                <w:sz w:val="23"/>
              </w:rPr>
              <w:t>The Board recommends a vote “FOR” approval of the compensation of our NEOs.</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87</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pBdr>
          <w:bottom w:val="single" w:sz="8" w:space="1" w:color="00497C"/>
        </w:pBdr>
        <w:spacing w:before="0" w:after="0"/>
        <w:rPr/>
      </w:pPr>
      <w:r>
        <w:rPr/>
        <w:t> </w:t>
      </w:r>
    </w:p>
    <w:p>
      <w:pPr>
        <w:pStyle w:val="TextBody"/>
        <w:spacing w:before="120" w:after="0"/>
        <w:rPr>
          <w:rFonts w:ascii="Open Sans" w:hAnsi="Open Sans"/>
          <w:b/>
          <w:i w:val="false"/>
          <w:caps w:val="false"/>
          <w:smallCaps w:val="false"/>
          <w:color w:val="004A7C"/>
          <w:sz w:val="27"/>
        </w:rPr>
      </w:pPr>
      <w:bookmarkStart w:id="102" w:name="PROPOSAL_3_ADVISORY_VOTE_ON_FREQUENCY_A"/>
      <w:bookmarkEnd w:id="102"/>
      <w:r>
        <w:rPr>
          <w:rFonts w:ascii="Open Sans" w:hAnsi="Open Sans"/>
          <w:b/>
          <w:i w:val="false"/>
          <w:caps w:val="false"/>
          <w:smallCaps w:val="false"/>
          <w:color w:val="004A7C"/>
          <w:sz w:val="27"/>
        </w:rPr>
        <w:t>Proposal 3: Advisory Vote on the Frequency of An Advisory Vote on Named Executive Officer Compensation</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Section 14A of the Exchange Act and related SEC rules require that we provide our shareholders with the opportunity to vote every six years, on a nonbinding, advisory basis, for their preference as to how frequently we should seek future advisory say-on-pay votes on the compensation of our NEOs. This advisory vote last occurred in 2017. This year we are once again asking our shareholders to indicate, on a nonbinding, advisory basis, whether they would prefer an advisory say-on-pay vote on the compensation of our NEOs to occur every one, two or three years. Shareholders also may, if they wish, abstain from casting a vote on this proposal.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Our Board of Directors has determined that an advisory say-on-pay vote on the compensation of our NEOs that occurs on an </w:t>
      </w:r>
      <w:r>
        <w:rPr>
          <w:rFonts w:ascii="Open Sans" w:hAnsi="Open Sans"/>
          <w:b w:val="false"/>
          <w:i/>
          <w:caps w:val="false"/>
          <w:smallCaps w:val="false"/>
          <w:sz w:val="16"/>
        </w:rPr>
        <w:t>annual</w:t>
      </w:r>
      <w:r>
        <w:rPr>
          <w:rFonts w:ascii="Open Sans" w:hAnsi="Open Sans"/>
          <w:b w:val="false"/>
          <w:i w:val="false"/>
          <w:caps w:val="false"/>
          <w:smallCaps w:val="false"/>
          <w:sz w:val="16"/>
        </w:rPr>
        <w:t xml:space="preserve"> basis is the most appropriate option for Republic. Accordingly, our Board of Directors recommends that the advisory vote on the compensation of our NEOs occurs every one year. Our Board of Directors believes that an annual advisory say-on-pay vote will allow our shareholders to provide timely, direct input on our executive compensation philosophy, policies and practices as disclosed in the proxy statement each year.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You may cast your vote by choosing the option of one year, two years, three years or abstain from voting in response to the following resolution: </w:t>
      </w:r>
    </w:p>
    <w:p>
      <w:pPr>
        <w:pStyle w:val="TextBody"/>
        <w:spacing w:before="0" w:after="0"/>
        <w:jc w:val="center"/>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Accordingly, we are submitting the following resolution for shareholder vote at the Annual Meeting:</w:t>
      </w:r>
    </w:p>
    <w:p>
      <w:pPr>
        <w:pStyle w:val="TextBody"/>
        <w:spacing w:before="240" w:after="0"/>
        <w:rPr>
          <w:caps w:val="false"/>
          <w:smallCaps w:val="false"/>
          <w:color w:val="004A7C"/>
        </w:rPr>
      </w:pPr>
      <w:r>
        <w:rPr>
          <w:caps w:val="false"/>
          <w:smallCaps w:val="false"/>
          <w:color w:val="004A7C"/>
        </w:rPr>
        <w:t>“</w:t>
      </w:r>
      <w:r>
        <w:rPr>
          <w:rFonts w:ascii="Open Sans" w:hAnsi="Open Sans"/>
          <w:b/>
          <w:i w:val="false"/>
          <w:caps w:val="false"/>
          <w:smallCaps w:val="false"/>
          <w:color w:val="004A7C"/>
          <w:sz w:val="17"/>
        </w:rPr>
        <w:t>RESOLVED, that the shareholders of Republic Services, Inc. determine, on an advisory basis, whether the preferred frequency for holding an advisory vote on the compensation of Republic’s NEOs, as disclosed pursuant to Item 402 of Regulation S-K of the Securities Act of 1933, as amended, including the Compensation Discussion and Analysis, the Summary Compensation Table and other related tables and narrative disclosures in the proxy statement, should be every one year, every two years, or every three years.”  </w:t>
      </w:r>
    </w:p>
    <w:p>
      <w:pPr>
        <w:pStyle w:val="TextBody"/>
        <w:spacing w:before="0" w:after="0"/>
        <w:rPr/>
      </w:pPr>
      <w:r>
        <w:rPr/>
        <w:t> </w:t>
      </w:r>
    </w:p>
    <w:p>
      <w:pPr>
        <w:pStyle w:val="TextBody"/>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 xml:space="preserve">The option (i.e., one year, two years or three years) that receives the greatest number of votes cast by shareholders will be considered to be the shareholders’ preferred frequency for the advisory vote on the compensation of our NEOs. Abstentions and broker non-votes will have no effect on this proposal. Because the vote is advisory, however, it will not be binding on the Board of Directors, the Talent &amp; Compensation Committee or Republic. The Board of Directors may decide, in its sole discretion, that it is in the best interests of Republic and its shareholders to hold an advisory say-on-pay vote on the compensation of our NEOs more or less frequently than the option receiving the most votes cast by our shareholders. </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0539"/>
      </w:tblGrid>
      <w:tr>
        <w:trPr/>
        <w:tc>
          <w:tcPr>
            <w:tcW w:w="10539" w:type="dxa"/>
            <w:tcBorders/>
            <w:shd w:fill="D8E1E9" w:val="clear"/>
          </w:tcPr>
          <w:p>
            <w:pPr>
              <w:pStyle w:val="TableContents"/>
              <w:spacing w:before="120" w:after="120"/>
              <w:ind w:left="120" w:right="0" w:hanging="0"/>
              <w:jc w:val="center"/>
              <w:rPr>
                <w:rFonts w:ascii="Open Sans" w:hAnsi="Open Sans"/>
                <w:b w:val="false"/>
                <w:i w:val="false"/>
                <w:caps w:val="false"/>
                <w:smallCaps w:val="false"/>
                <w:color w:val="004A7C"/>
                <w:sz w:val="23"/>
              </w:rPr>
            </w:pPr>
            <w:r>
              <w:rPr>
                <w:rFonts w:ascii="Open Sans" w:hAnsi="Open Sans"/>
                <w:b w:val="false"/>
                <w:i w:val="false"/>
                <w:caps w:val="false"/>
                <w:smallCaps w:val="false"/>
                <w:color w:val="004A7C"/>
                <w:sz w:val="23"/>
              </w:rPr>
              <w:t>The Board recommends a vote for conducting advisory votes on Named Executive Officer Compensation every “ONE YEAR”.</w:t>
            </w:r>
          </w:p>
        </w:tc>
      </w:tr>
    </w:tbl>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88</w:t>
            </w:r>
          </w:p>
        </w:tc>
        <w:tc>
          <w:tcPr>
            <w:tcW w:w="80" w:type="dxa"/>
            <w:tcBorders/>
            <w:shd w:fill="auto" w:val="clear"/>
            <w:vAlign w:val="center"/>
          </w:tcPr>
          <w:p>
            <w:pPr>
              <w:pStyle w:val="TableContents"/>
              <w:spacing w:before="0" w:after="0"/>
              <w:ind w:left="0" w:right="0" w:hanging="0"/>
              <w:jc w:val="center"/>
              <w:rPr>
                <w:rFonts w:ascii="OpenSans-Semibold" w:hAnsi="OpenSans-Semibold"/>
                <w:b w:val="false"/>
                <w:i w:val="false"/>
                <w:caps w:val="false"/>
                <w:smallCaps w:val="false"/>
                <w:color w:val="001A8D"/>
                <w:sz w:val="20"/>
              </w:rPr>
            </w:pPr>
            <w:r>
              <w:rPr>
                <w:rFonts w:ascii="OpenSans-Semibold" w:hAnsi="OpenSans-Semibold"/>
                <w:b w:val="false"/>
                <w:i w:val="false"/>
                <w:caps w:val="false"/>
                <w:smallCaps w:val="false"/>
                <w:color w:val="001A8D"/>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97C"/>
                <w:sz w:val="14"/>
              </w:rPr>
            </w:pPr>
            <w:r>
              <w:rPr>
                <w:rFonts w:ascii="Open Sans" w:hAnsi="Open Sans"/>
                <w:b w:val="false"/>
                <w:i w:val="false"/>
                <w:caps w:val="false"/>
                <w:smallCaps w:val="false"/>
                <w:color w:val="0049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pBdr>
          <w:bottom w:val="single" w:sz="8" w:space="1" w:color="00497C"/>
        </w:pBdr>
        <w:spacing w:before="0" w:after="0"/>
        <w:rPr/>
      </w:pPr>
      <w:r>
        <w:rPr/>
        <w:t> </w:t>
      </w:r>
    </w:p>
    <w:p>
      <w:pPr>
        <w:pStyle w:val="TextBody"/>
        <w:spacing w:before="120" w:after="0"/>
        <w:rPr>
          <w:rFonts w:ascii="Open Sans" w:hAnsi="Open Sans"/>
          <w:b/>
          <w:i w:val="false"/>
          <w:caps w:val="false"/>
          <w:smallCaps w:val="false"/>
          <w:color w:val="004A7C"/>
          <w:sz w:val="27"/>
        </w:rPr>
      </w:pPr>
      <w:bookmarkStart w:id="103" w:name="PROPOSAL_3_RATIFICATION_INDEPENDENT_REG"/>
      <w:bookmarkEnd w:id="103"/>
      <w:r>
        <w:rPr>
          <w:rFonts w:ascii="Open Sans" w:hAnsi="Open Sans"/>
          <w:b/>
          <w:i w:val="false"/>
          <w:caps w:val="false"/>
          <w:smallCaps w:val="false"/>
          <w:color w:val="004A7C"/>
          <w:sz w:val="27"/>
        </w:rPr>
        <w:t>Proposal 4: Ratification of Independent Registered Public Accounting Firm</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Our Audit Committee has selected Ernst &amp; Young LLP as our independent registered public accounting firm for the fiscal year ending December 31, 2023. This selection will be presented to the shareholders for ratification at the Annual Meeting. You may vote for, vote against, or abstain from voting with respect to this proposal. The affirmative vote of a majority of the holders represented at the Annual Meeting and entitled to vote is required to ratify the appointment. Abstentions will have the effect of a vote against Proposal 4 and broker non-votes have no effect on the proposal. If the shareholders do not ratify the appointment of Ernst &amp; Young LLP, our Audit Committee may reconsider the selection of our independent registered public accounting firm.</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The Audit Committee is directly responsible for the appointment, compensation, retention, and oversight of our independent registered public accounting firm retained to audit our financial statements. The Audit Committee has appointed Ernst &amp; Young LLP as our independent registered public accounting firm for 2023. Ernst &amp; Young LLP has been retained as our independent registered public accounting firm continuously since June 2002. The Audit Committee is responsible for the audit fee negotiations associated with our retention of Ernst &amp; Young LLP. In order to assure continuing auditor independence, the Audit Committee periodically considers whether there should be a regular rotation of the independent registered public accounting firm. In conjunction with the mandated rotation of the audit firm’s lead engagement partner, the Audit Committee and the chair of the Audit Committee are directly involved in the selection of Ernst &amp; Young LLP’s new lead engagement partner. The members of the Audit Committee and the Board believe that the continued retention of Ernst &amp; Young LLP to serve as our independent registered public accounting firm is in the best interests of the Company and our shareholders. Representatives of Ernst &amp; Young LLP are expected to be present at our Annual Meeting, will have the opportunity to make a statement if they desire to do so, and are expected to be available to respond to appropriate questions.</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0539"/>
      </w:tblGrid>
      <w:tr>
        <w:trPr/>
        <w:tc>
          <w:tcPr>
            <w:tcW w:w="10539" w:type="dxa"/>
            <w:tcBorders/>
            <w:shd w:fill="D8E1E9" w:val="clear"/>
          </w:tcPr>
          <w:p>
            <w:pPr>
              <w:pStyle w:val="TableContents"/>
              <w:spacing w:before="120" w:after="120"/>
              <w:ind w:left="120" w:right="0" w:hanging="0"/>
              <w:jc w:val="center"/>
              <w:rPr>
                <w:rFonts w:ascii="Open Sans" w:hAnsi="Open Sans"/>
                <w:b w:val="false"/>
                <w:i w:val="false"/>
                <w:caps w:val="false"/>
                <w:smallCaps w:val="false"/>
                <w:color w:val="004A7C"/>
                <w:sz w:val="23"/>
              </w:rPr>
            </w:pPr>
            <w:r>
              <w:rPr>
                <w:rFonts w:ascii="Open Sans" w:hAnsi="Open Sans"/>
                <w:b w:val="false"/>
                <w:i w:val="false"/>
                <w:caps w:val="false"/>
                <w:smallCaps w:val="false"/>
                <w:color w:val="004A7C"/>
                <w:sz w:val="23"/>
              </w:rPr>
              <w:t>The Board recommends a vote “FOR” ratification of the appointment of Ernst &amp; Young LLP as our independent registered public accounting firm for 2023.</w:t>
            </w:r>
          </w:p>
        </w:tc>
      </w:tr>
    </w:tbl>
    <w:p>
      <w:pPr>
        <w:pStyle w:val="TextBody"/>
        <w:spacing w:before="12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89</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62875" cy="100584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7762875" cy="10058400"/>
                    </a:xfrm>
                    <a:prstGeom prst="rect">
                      <a:avLst/>
                    </a:prstGeom>
                  </pic:spPr>
                </pic:pic>
              </a:graphicData>
            </a:graphic>
          </wp:inline>
        </w:drawing>
      </w:r>
    </w:p>
    <w:p>
      <w:pPr>
        <w:pStyle w:val="TextBody"/>
        <w:spacing w:before="0" w:after="0"/>
        <w:jc w:val="center"/>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Meeting Information</w:t>
      </w:r>
    </w:p>
    <w:p>
      <w:pPr>
        <w:pStyle w:val="TextBody"/>
        <w:spacing w:before="0" w:after="0"/>
        <w:rPr/>
      </w:pPr>
      <w:r>
        <w:rPr/>
        <w:t> </w:t>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Republic services Technical Institute</w:t>
      </w:r>
    </w:p>
    <w:p>
      <w:pPr>
        <w:pStyle w:val="TextBody"/>
        <w:spacing w:before="0" w:after="0"/>
        <w:jc w:val="center"/>
        <w:rPr/>
      </w:pPr>
      <w:r>
        <w:rPr/>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lineRule="atLeast" w:line="200" w:before="0" w:after="0"/>
        <w:rPr/>
      </w:pPr>
      <w:r>
        <w:rPr/>
        <w:t> </w:t>
      </w:r>
    </w:p>
    <w:p>
      <w:pPr>
        <w:pStyle w:val="TextBody"/>
        <w:spacing w:before="0" w:after="0"/>
        <w:jc w:val="center"/>
        <w:rPr>
          <w:caps w:val="false"/>
          <w:smallCaps w:val="false"/>
        </w:rPr>
      </w:pPr>
      <w:r>
        <w:rPr>
          <w:caps w:val="false"/>
          <w:smallCaps w:val="false"/>
        </w:rPr>
        <w:drawing>
          <wp:inline distT="0" distB="0" distL="0" distR="0">
            <wp:extent cx="7715250" cy="931545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7715250" cy="9315450"/>
                    </a:xfrm>
                    <a:prstGeom prst="rect">
                      <a:avLst/>
                    </a:prstGeom>
                  </pic:spPr>
                </pic:pic>
              </a:graphicData>
            </a:graphic>
          </wp:inline>
        </w:drawing>
      </w:r>
    </w:p>
    <w:p>
      <w:pPr>
        <w:pStyle w:val="TextBody"/>
        <w:spacing w:before="0" w:after="0"/>
        <w:rPr/>
      </w:pPr>
      <w:r>
        <w:rPr/>
        <w:t> </w:t>
      </w:r>
    </w:p>
    <w:p>
      <w:pPr>
        <w:pStyle w:val="TextBody"/>
        <w:spacing w:before="24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7"/>
        </w:rPr>
      </w:pPr>
      <w:bookmarkStart w:id="104" w:name="QUESTIONS_ANSWERS_ABOUT_ANNUAL_MEETING"/>
      <w:bookmarkEnd w:id="104"/>
      <w:r>
        <w:rPr>
          <w:rFonts w:ascii="Open Sans" w:hAnsi="Open Sans"/>
          <w:b/>
          <w:i w:val="false"/>
          <w:caps w:val="false"/>
          <w:smallCaps w:val="false"/>
          <w:color w:val="004A7C"/>
          <w:sz w:val="27"/>
        </w:rPr>
        <w:t>Questions and Answers and Information about the Annual Meeting</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What</w:t>
      </w:r>
      <w:r>
        <w:rPr>
          <w:rFonts w:ascii="Open Sans SemiBold" w:hAnsi="Open Sans SemiBold"/>
          <w:b w:val="false"/>
          <w:i w:val="false"/>
          <w:caps w:val="false"/>
          <w:smallCaps w:val="false"/>
          <w:color w:val="004A7C"/>
          <w:spacing w:val="19"/>
          <w:sz w:val="17"/>
        </w:rPr>
        <w:t xml:space="preserve"> </w:t>
      </w:r>
      <w:r>
        <w:rPr>
          <w:rFonts w:ascii="Open Sans SemiBold" w:hAnsi="Open Sans SemiBold"/>
          <w:b w:val="false"/>
          <w:i w:val="false"/>
          <w:caps w:val="false"/>
          <w:smallCaps w:val="false"/>
          <w:color w:val="004A7C"/>
          <w:spacing w:val="2"/>
          <w:sz w:val="17"/>
        </w:rPr>
        <w:t>is</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the</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record</w:t>
      </w:r>
      <w:r>
        <w:rPr>
          <w:rFonts w:ascii="Open Sans SemiBold" w:hAnsi="Open Sans SemiBold"/>
          <w:b w:val="false"/>
          <w:i w:val="false"/>
          <w:caps w:val="false"/>
          <w:smallCaps w:val="false"/>
          <w:color w:val="004A7C"/>
          <w:spacing w:val="19"/>
          <w:sz w:val="17"/>
        </w:rPr>
        <w:t xml:space="preserve"> </w:t>
      </w:r>
      <w:r>
        <w:rPr>
          <w:rFonts w:ascii="Open Sans SemiBold" w:hAnsi="Open Sans SemiBold"/>
          <w:b w:val="false"/>
          <w:i w:val="false"/>
          <w:caps w:val="false"/>
          <w:smallCaps w:val="false"/>
          <w:color w:val="004A7C"/>
          <w:spacing w:val="2"/>
          <w:sz w:val="17"/>
        </w:rPr>
        <w:t>date</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and</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who</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may</w:t>
      </w:r>
      <w:r>
        <w:rPr>
          <w:rFonts w:ascii="Open Sans SemiBold" w:hAnsi="Open Sans SemiBold"/>
          <w:b w:val="false"/>
          <w:i w:val="false"/>
          <w:caps w:val="false"/>
          <w:smallCaps w:val="false"/>
          <w:color w:val="004A7C"/>
          <w:spacing w:val="19"/>
          <w:sz w:val="17"/>
        </w:rPr>
        <w:t xml:space="preserve"> </w:t>
      </w:r>
      <w:r>
        <w:rPr>
          <w:rFonts w:ascii="Open Sans SemiBold" w:hAnsi="Open Sans SemiBold"/>
          <w:b w:val="false"/>
          <w:i w:val="false"/>
          <w:caps w:val="false"/>
          <w:smallCaps w:val="false"/>
          <w:color w:val="004A7C"/>
          <w:spacing w:val="2"/>
          <w:sz w:val="17"/>
        </w:rPr>
        <w:t>vote</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at</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the</w:t>
      </w:r>
      <w:r>
        <w:rPr>
          <w:rFonts w:ascii="Open Sans SemiBold" w:hAnsi="Open Sans SemiBold"/>
          <w:b w:val="false"/>
          <w:i w:val="false"/>
          <w:caps w:val="false"/>
          <w:smallCaps w:val="false"/>
          <w:color w:val="004A7C"/>
          <w:spacing w:val="20"/>
          <w:sz w:val="17"/>
        </w:rPr>
        <w:t xml:space="preserve"> </w:t>
      </w:r>
      <w:r>
        <w:rPr>
          <w:rFonts w:ascii="Open Sans SemiBold" w:hAnsi="Open Sans SemiBold"/>
          <w:b w:val="false"/>
          <w:i w:val="false"/>
          <w:caps w:val="false"/>
          <w:smallCaps w:val="false"/>
          <w:color w:val="004A7C"/>
          <w:spacing w:val="2"/>
          <w:sz w:val="17"/>
        </w:rPr>
        <w:t>Annual</w:t>
      </w:r>
      <w:r>
        <w:rPr>
          <w:rFonts w:ascii="Open Sans SemiBold" w:hAnsi="Open Sans SemiBold"/>
          <w:b w:val="false"/>
          <w:i w:val="false"/>
          <w:caps w:val="false"/>
          <w:smallCaps w:val="false"/>
          <w:color w:val="004A7C"/>
          <w:spacing w:val="19"/>
          <w:sz w:val="17"/>
        </w:rPr>
        <w:t xml:space="preserve"> </w:t>
      </w:r>
      <w:r>
        <w:rPr>
          <w:rFonts w:ascii="Open Sans SemiBold" w:hAnsi="Open Sans SemiBold"/>
          <w:b w:val="false"/>
          <w:i w:val="false"/>
          <w:caps w:val="false"/>
          <w:smallCaps w:val="false"/>
          <w:color w:val="004A7C"/>
          <w:spacing w:val="2"/>
          <w:sz w:val="17"/>
        </w:rPr>
        <w:t>Meeting?</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Our only voting stock currently outstanding is our common stock. You may vote if you were a holder of record of Republic common stock as of the close of business on March 15, 2023 (the “Record Date”). During the Annual Meeting, a list of such shareholders will be available by visiting www.virtualshareholdermeeting.com/RSG2023 and entering the 16-digit control number included in our Notice of Internet Availability of Proxy Materials, on your proxy card or in the instructions that accompanied your proxy materials and following the instructions provided.</w:t>
      </w:r>
    </w:p>
    <w:p>
      <w:pPr>
        <w:pStyle w:val="TextBody"/>
        <w:spacing w:before="120" w:after="0"/>
        <w:rPr>
          <w:rFonts w:ascii="Open Sans" w:hAnsi="Open Sans"/>
          <w:b w:val="false"/>
          <w:i w:val="false"/>
          <w:caps w:val="false"/>
          <w:smallCaps w:val="false"/>
          <w:sz w:val="16"/>
        </w:rPr>
      </w:pPr>
      <w:r>
        <w:rPr>
          <w:rFonts w:ascii="Open Sans" w:hAnsi="Open Sans"/>
          <w:b w:val="false"/>
          <w:i w:val="false"/>
          <w:caps w:val="false"/>
          <w:smallCaps w:val="false"/>
          <w:sz w:val="16"/>
        </w:rPr>
        <w:t>The trustee of our 401(k) Plan will vote shares held in each participant’s account in accordance with instructions provided by the participant on a completed proxy card. If a participant does not provide a completed proxy card, the trustee of the 401(k) Plan will vote the shares in a participant’s account in the same proportion that it votes shares for which it received valid and timely proxy cards from other participants or as otherwise required by applicable law.</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do I participate in the Annual Meeting?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This year’s Annual Meeting will be held in a virtual format through a live webcast. You are entitled to participate in the Annual Meeting if you were a shareholder as of the close of business on the Record Date or hold a valid proxy for the meeting. To be admitted to the Annual Meeting at www.virtualshareholdermeeting.com/RSG2023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We encourage you to access the Annual Meeting before it begins. Online check-in will start approximately fifteen minutes before the meeting on May 12, 2023. If you encounter difficulties accessing the virtual meeting, please call the technical support number that will be posted on the Virtual Shareholder Meeting page.</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Do I Ask a Question at the Meeting?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Shareholders may submit questions during the Annual Meeting using the “Ask a Question” field on the virtual meeting website.  You will need to log in with your control number found on the Notice of Internet Availability of Proxy Materials, the proxy card or the voting instruction form to submit a question.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During the Q&amp;A session of the Annual Meeting, we will answer questions pertinent to meeting matters as they come in and as time permits. Any questions pertinent to meeting matters that cannot be answered during the meeting due to time constraints will be posted online and answered on our investor relations page at investor.republicservices.com under “2023 Annual Meeting of Shareholders” as soon as practicable following the meeting and will remain available for one week after posting. Please refer to our Meeting Rules of Conduct for more information on how to ask questions which will be available during the Annual Meeting at www.virtualshareholdermeeting.com/RSG2023.</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What</w:t>
      </w:r>
      <w:r>
        <w:rPr>
          <w:rFonts w:ascii="Open Sans SemiBold" w:hAnsi="Open Sans SemiBold"/>
          <w:b w:val="false"/>
          <w:i w:val="false"/>
          <w:caps w:val="false"/>
          <w:smallCaps w:val="false"/>
          <w:color w:val="004A7C"/>
          <w:spacing w:val="18"/>
          <w:sz w:val="17"/>
        </w:rPr>
        <w:t xml:space="preserve"> </w:t>
      </w:r>
      <w:r>
        <w:rPr>
          <w:rFonts w:ascii="Open Sans SemiBold" w:hAnsi="Open Sans SemiBold"/>
          <w:b w:val="false"/>
          <w:i w:val="false"/>
          <w:caps w:val="false"/>
          <w:smallCaps w:val="false"/>
          <w:color w:val="004A7C"/>
          <w:spacing w:val="2"/>
          <w:sz w:val="17"/>
        </w:rPr>
        <w:t>will</w:t>
      </w:r>
      <w:r>
        <w:rPr>
          <w:rFonts w:ascii="Open Sans SemiBold" w:hAnsi="Open Sans SemiBold"/>
          <w:b w:val="false"/>
          <w:i w:val="false"/>
          <w:caps w:val="false"/>
          <w:smallCaps w:val="false"/>
          <w:color w:val="004A7C"/>
          <w:spacing w:val="18"/>
          <w:sz w:val="17"/>
        </w:rPr>
        <w:t xml:space="preserve"> </w:t>
      </w:r>
      <w:r>
        <w:rPr>
          <w:rFonts w:ascii="Open Sans SemiBold" w:hAnsi="Open Sans SemiBold"/>
          <w:b w:val="false"/>
          <w:i w:val="false"/>
          <w:caps w:val="false"/>
          <w:smallCaps w:val="false"/>
          <w:color w:val="004A7C"/>
          <w:spacing w:val="2"/>
          <w:sz w:val="17"/>
        </w:rPr>
        <w:t>I</w:t>
      </w:r>
      <w:r>
        <w:rPr>
          <w:rFonts w:ascii="Open Sans SemiBold" w:hAnsi="Open Sans SemiBold"/>
          <w:b w:val="false"/>
          <w:i w:val="false"/>
          <w:caps w:val="false"/>
          <w:smallCaps w:val="false"/>
          <w:color w:val="004A7C"/>
          <w:spacing w:val="19"/>
          <w:sz w:val="17"/>
        </w:rPr>
        <w:t xml:space="preserve"> </w:t>
      </w:r>
      <w:r>
        <w:rPr>
          <w:rFonts w:ascii="Open Sans SemiBold" w:hAnsi="Open Sans SemiBold"/>
          <w:b w:val="false"/>
          <w:i w:val="false"/>
          <w:caps w:val="false"/>
          <w:smallCaps w:val="false"/>
          <w:color w:val="004A7C"/>
          <w:spacing w:val="2"/>
          <w:sz w:val="17"/>
        </w:rPr>
        <w:t>be</w:t>
      </w:r>
      <w:r>
        <w:rPr>
          <w:rFonts w:ascii="Open Sans SemiBold" w:hAnsi="Open Sans SemiBold"/>
          <w:b w:val="false"/>
          <w:i w:val="false"/>
          <w:caps w:val="false"/>
          <w:smallCaps w:val="false"/>
          <w:color w:val="004A7C"/>
          <w:spacing w:val="18"/>
          <w:sz w:val="17"/>
        </w:rPr>
        <w:t xml:space="preserve"> </w:t>
      </w:r>
      <w:r>
        <w:rPr>
          <w:rFonts w:ascii="Open Sans SemiBold" w:hAnsi="Open Sans SemiBold"/>
          <w:b w:val="false"/>
          <w:i w:val="false"/>
          <w:caps w:val="false"/>
          <w:smallCaps w:val="false"/>
          <w:color w:val="004A7C"/>
          <w:spacing w:val="2"/>
          <w:sz w:val="17"/>
        </w:rPr>
        <w:t>voting</w:t>
      </w:r>
      <w:r>
        <w:rPr>
          <w:rFonts w:ascii="Open Sans SemiBold" w:hAnsi="Open Sans SemiBold"/>
          <w:b w:val="false"/>
          <w:i w:val="false"/>
          <w:caps w:val="false"/>
          <w:smallCaps w:val="false"/>
          <w:color w:val="004A7C"/>
          <w:spacing w:val="19"/>
          <w:sz w:val="17"/>
        </w:rPr>
        <w:t xml:space="preserve"> </w:t>
      </w:r>
      <w:r>
        <w:rPr>
          <w:rFonts w:ascii="Open Sans SemiBold" w:hAnsi="Open Sans SemiBold"/>
          <w:b w:val="false"/>
          <w:i w:val="false"/>
          <w:caps w:val="false"/>
          <w:smallCaps w:val="false"/>
          <w:color w:val="004A7C"/>
          <w:spacing w:val="2"/>
          <w:sz w:val="17"/>
        </w:rPr>
        <w:t>on?</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considered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p>
    <w:tbl>
      <w:tblPr>
        <w:tblW w:w="2902" w:type="dxa"/>
        <w:jc w:val="left"/>
        <w:tblInd w:w="0" w:type="dxa"/>
        <w:tblCellMar>
          <w:top w:w="0" w:type="dxa"/>
          <w:left w:w="0" w:type="dxa"/>
          <w:bottom w:w="0" w:type="dxa"/>
          <w:right w:w="0" w:type="dxa"/>
        </w:tblCellMar>
      </w:tblPr>
      <w:tblGrid>
        <w:gridCol w:w="60"/>
        <w:gridCol w:w="110"/>
        <w:gridCol w:w="2732"/>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2732"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electio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director</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7"/>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1);</w:t>
            </w:r>
          </w:p>
        </w:tc>
      </w:tr>
    </w:tbl>
    <w:tbl>
      <w:tblPr>
        <w:tblW w:w="6919" w:type="dxa"/>
        <w:jc w:val="left"/>
        <w:tblInd w:w="0" w:type="dxa"/>
        <w:tblCellMar>
          <w:top w:w="0" w:type="dxa"/>
          <w:left w:w="0" w:type="dxa"/>
          <w:bottom w:w="0" w:type="dxa"/>
          <w:right w:w="0" w:type="dxa"/>
        </w:tblCellMar>
      </w:tblPr>
      <w:tblGrid>
        <w:gridCol w:w="60"/>
        <w:gridCol w:w="110"/>
        <w:gridCol w:w="674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674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advisor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vot</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approv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name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executiv</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office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compensatio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2);</w:t>
            </w:r>
          </w:p>
        </w:tc>
      </w:tr>
    </w:tbl>
    <w:tbl>
      <w:tblPr>
        <w:tblW w:w="9352" w:type="dxa"/>
        <w:jc w:val="left"/>
        <w:tblInd w:w="0" w:type="dxa"/>
        <w:tblCellMar>
          <w:top w:w="0" w:type="dxa"/>
          <w:left w:w="0" w:type="dxa"/>
          <w:bottom w:w="0" w:type="dxa"/>
          <w:right w:w="0" w:type="dxa"/>
        </w:tblCellMar>
      </w:tblPr>
      <w:tblGrid>
        <w:gridCol w:w="60"/>
        <w:gridCol w:w="110"/>
        <w:gridCol w:w="9182"/>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9182" w:type="dxa"/>
            <w:tcBorders/>
            <w:shd w:fill="auto" w:val="clear"/>
          </w:tcPr>
          <w:p>
            <w:pPr>
              <w:pStyle w:val="TableContents"/>
              <w:spacing w:before="0" w:after="0"/>
              <w:jc w:val="left"/>
              <w:rPr>
                <w:rFonts w:ascii="Open Sans" w:hAnsi="Open Sans"/>
                <w:b w:val="false"/>
                <w:i w:val="false"/>
                <w:caps w:val="false"/>
                <w:smallCaps w:val="false"/>
                <w:color w:val="000000"/>
                <w:spacing w:val="-3"/>
                <w:sz w:val="16"/>
              </w:rPr>
            </w:pPr>
            <w:r>
              <w:rPr>
                <w:rFonts w:ascii="Open Sans" w:hAnsi="Open Sans"/>
                <w:b w:val="false"/>
                <w:i w:val="false"/>
                <w:caps w:val="false"/>
                <w:smallCaps w:val="false"/>
                <w:color w:val="000000"/>
                <w:spacing w:val="-3"/>
                <w:sz w:val="16"/>
              </w:rPr>
              <w:t>advisory vote on the frequency of the advisory vote on named executive officer compensation (Proposal 3); and</w:t>
            </w:r>
          </w:p>
        </w:tc>
      </w:tr>
    </w:tbl>
    <w:tbl>
      <w:tblPr>
        <w:tblW w:w="8821" w:type="dxa"/>
        <w:jc w:val="left"/>
        <w:tblInd w:w="0" w:type="dxa"/>
        <w:tblCellMar>
          <w:top w:w="0" w:type="dxa"/>
          <w:left w:w="0" w:type="dxa"/>
          <w:bottom w:w="0" w:type="dxa"/>
          <w:right w:w="0" w:type="dxa"/>
        </w:tblCellMar>
      </w:tblPr>
      <w:tblGrid>
        <w:gridCol w:w="60"/>
        <w:gridCol w:w="110"/>
        <w:gridCol w:w="8651"/>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8651"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ratificatio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appointmen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independen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registere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publi</w:t>
            </w:r>
            <w:r>
              <w:rPr>
                <w:rFonts w:ascii="Open Sans" w:hAnsi="Open Sans"/>
                <w:b w:val="false"/>
                <w:i w:val="false"/>
                <w:caps w:val="false"/>
                <w:smallCaps w:val="false"/>
                <w:color w:val="000000"/>
                <w:spacing w:val="0"/>
                <w:sz w:val="16"/>
              </w:rPr>
              <w:t>c</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accountin</w:t>
            </w:r>
            <w:r>
              <w:rPr>
                <w:rFonts w:ascii="Open Sans" w:hAnsi="Open Sans"/>
                <w:b w:val="false"/>
                <w:i w:val="false"/>
                <w:caps w:val="false"/>
                <w:smallCaps w:val="false"/>
                <w:color w:val="000000"/>
                <w:spacing w:val="0"/>
                <w:sz w:val="16"/>
              </w:rPr>
              <w:t>g</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fir</w:t>
            </w:r>
            <w:r>
              <w:rPr>
                <w:rFonts w:ascii="Open Sans" w:hAnsi="Open Sans"/>
                <w:b w:val="false"/>
                <w:i w:val="false"/>
                <w:caps w:val="false"/>
                <w:smallCaps w:val="false"/>
                <w:color w:val="000000"/>
                <w:spacing w:val="0"/>
                <w:sz w:val="16"/>
              </w:rPr>
              <w:t>m</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2023</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4)</w:t>
            </w:r>
            <w:r>
              <w:rPr>
                <w:rFonts w:ascii="Open Sans" w:hAnsi="Open Sans"/>
                <w:b w:val="false"/>
                <w:i w:val="false"/>
                <w:caps w:val="false"/>
                <w:smallCaps w:val="false"/>
                <w:color w:val="000000"/>
                <w:spacing w:val="0"/>
                <w:sz w:val="16"/>
              </w:rPr>
              <w:t>.</w:t>
            </w:r>
          </w:p>
        </w:tc>
      </w:tr>
    </w:tbl>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many votes do I have?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every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close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March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2023.</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92</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What constitutes a quorum for the Annual Meeting?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Record Date, 316,243,575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outstanding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entitled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quorum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least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majority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voting power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stock,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158,121,788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Abstentions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held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street name,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voted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matter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presented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determining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 Annual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voted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matter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determining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number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 present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quorum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must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taken.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quorum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present 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holders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majority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entitled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who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chairman 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adjourn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until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quorum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represented.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place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adjourned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 announced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when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adjournment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taken,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given.</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many votes are required to approve the proposals, assuming a quorum?</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affirmative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majority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respect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director’s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required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each </w:t>
      </w:r>
      <w:r>
        <w:rPr>
          <w:rFonts w:ascii="Open Sans" w:hAnsi="Open Sans"/>
          <w:b w:val="false"/>
          <w:i w:val="false"/>
          <w:caps w:val="false"/>
          <w:smallCaps w:val="false"/>
          <w:spacing w:val="-2"/>
          <w:sz w:val="16"/>
        </w:rPr>
        <w:t>directo</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(Proposa</w:t>
      </w:r>
      <w:r>
        <w:rPr>
          <w:rFonts w:ascii="Open Sans" w:hAnsi="Open Sans"/>
          <w:b w:val="false"/>
          <w:i w:val="false"/>
          <w:caps w:val="false"/>
          <w:smallCaps w:val="false"/>
          <w:spacing w:val="-3"/>
          <w:sz w:val="16"/>
        </w:rPr>
        <w:t>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1)</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affirmativ</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vot</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holder</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majorit</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votin</w:t>
      </w:r>
      <w:r>
        <w:rPr>
          <w:rFonts w:ascii="Open Sans" w:hAnsi="Open Sans"/>
          <w:b w:val="false"/>
          <w:i w:val="false"/>
          <w:caps w:val="false"/>
          <w:smallCaps w:val="false"/>
          <w:spacing w:val="-3"/>
          <w:sz w:val="16"/>
        </w:rPr>
        <w:t>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powe</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w:t>
      </w:r>
      <w:r>
        <w:rPr>
          <w:rFonts w:ascii="Open Sans" w:hAnsi="Open Sans"/>
          <w:b w:val="false"/>
          <w:i w:val="false"/>
          <w:caps w:val="false"/>
          <w:smallCaps w:val="false"/>
          <w:spacing w:val="-3"/>
          <w:sz w:val="16"/>
        </w:rPr>
        <w: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share</w:t>
      </w:r>
      <w:r>
        <w:rPr>
          <w:rFonts w:ascii="Open Sans" w:hAnsi="Open Sans"/>
          <w:b w:val="false"/>
          <w:i w:val="false"/>
          <w:caps w:val="false"/>
          <w:smallCaps w:val="false"/>
          <w:spacing w:val="-3"/>
          <w:sz w:val="16"/>
        </w:rPr>
        <w:t>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commo</w:t>
      </w:r>
      <w:r>
        <w:rPr>
          <w:rFonts w:ascii="Open Sans" w:hAnsi="Open Sans"/>
          <w:b w:val="false"/>
          <w:i w:val="false"/>
          <w:caps w:val="false"/>
          <w:smallCaps w:val="false"/>
          <w:spacing w:val="-3"/>
          <w:sz w:val="16"/>
        </w:rPr>
        <w:t>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stoc</w:t>
      </w:r>
      <w:r>
        <w:rPr>
          <w:rFonts w:ascii="Open Sans" w:hAnsi="Open Sans"/>
          <w:b w:val="false"/>
          <w:i w:val="false"/>
          <w:caps w:val="false"/>
          <w:smallCaps w:val="false"/>
          <w:spacing w:val="-3"/>
          <w:sz w:val="16"/>
        </w:rPr>
        <w:t>k</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presen</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3"/>
          <w:sz w:val="16"/>
        </w:rPr>
        <w:t>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represented</w:t>
      </w:r>
      <w:r>
        <w:rPr>
          <w:rFonts w:ascii="Open Sans" w:hAnsi="Open Sans"/>
          <w:b w:val="false"/>
          <w:i w:val="false"/>
          <w:caps w:val="false"/>
          <w:smallCaps w:val="false"/>
          <w:spacing w:val="-3"/>
          <w:sz w:val="16"/>
        </w:rPr>
        <w:t xml:space="preserve"> </w:t>
      </w:r>
      <w:r>
        <w:rPr>
          <w:rFonts w:ascii="Open Sans" w:hAnsi="Open Sans"/>
          <w:b w:val="false"/>
          <w:i w:val="false"/>
          <w:caps w:val="false"/>
          <w:smallCaps w:val="false"/>
          <w:spacing w:val="-2"/>
          <w:sz w:val="16"/>
        </w:rPr>
        <w:t>b</w:t>
      </w:r>
      <w:r>
        <w:rPr>
          <w:rFonts w:ascii="Open Sans" w:hAnsi="Open Sans"/>
          <w:b w:val="false"/>
          <w:i w:val="false"/>
          <w:caps w:val="false"/>
          <w:smallCaps w:val="false"/>
          <w:spacing w:val="-3"/>
          <w:sz w:val="16"/>
        </w:rPr>
        <w: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entitled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required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approval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 and 4. The option (i.e., one year, two years or three years) that receives the greatest number of votes cast by shareholders will be considered to be the shareholders’ preferred frequency for the advisory vote on the compensation of our NEOs in Proposal 3.</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do I vote?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telephone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procedures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designed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verify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identities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confirm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voting instructions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been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properly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recorded.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whose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held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brokers,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banks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nominees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should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follow</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 instructions</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provided</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nominees.</w:t>
      </w:r>
    </w:p>
    <w:p>
      <w:pPr>
        <w:pStyle w:val="TextBody"/>
        <w:spacing w:before="120" w:after="0"/>
        <w:rPr>
          <w:rFonts w:ascii="Open Sans" w:hAnsi="Open Sans"/>
          <w:b w:val="false"/>
          <w:i w:val="false"/>
          <w:caps w:val="false"/>
          <w:smallCaps w:val="false"/>
          <w:spacing w:val="-2"/>
          <w:sz w:val="16"/>
        </w:rPr>
      </w:pPr>
      <w:r>
        <w:rPr>
          <w:rFonts w:ascii="Open Sans" w:hAnsi="Open Sans"/>
          <w:b w:val="false"/>
          <w:i w:val="false"/>
          <w:caps w:val="false"/>
          <w:smallCaps w:val="false"/>
          <w:spacing w:val="-2"/>
          <w:sz w:val="16"/>
        </w:rPr>
        <w:t>Submitting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your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proxy</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or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voting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instructions</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before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Annual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Meeting</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will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not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affect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your</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right</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vote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person</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if</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you</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decide</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to</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attend</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2"/>
          <w:sz w:val="16"/>
        </w:rPr>
        <w:t>the Annual</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2"/>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2"/>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however</w:t>
      </w:r>
      <w:r>
        <w:rPr>
          <w:rFonts w:ascii="Open Sans" w:hAnsi="Open Sans"/>
          <w:b w:val="false"/>
          <w:i w:val="false"/>
          <w:caps w:val="false"/>
          <w:smallCaps w:val="false"/>
          <w:spacing w:val="-2"/>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w:t>
      </w:r>
      <w:r>
        <w:rPr>
          <w:rFonts w:ascii="Open Sans" w:hAnsi="Open Sans"/>
          <w:b w:val="false"/>
          <w:i w:val="false"/>
          <w:caps w:val="false"/>
          <w:smallCaps w:val="false"/>
          <w:spacing w:val="-2"/>
          <w:sz w:val="16"/>
        </w:rPr>
        <w:t>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hol</w:t>
      </w:r>
      <w:r>
        <w:rPr>
          <w:rFonts w:ascii="Open Sans" w:hAnsi="Open Sans"/>
          <w:b w:val="false"/>
          <w:i w:val="false"/>
          <w:caps w:val="false"/>
          <w:smallCaps w:val="false"/>
          <w:spacing w:val="-2"/>
          <w:sz w:val="16"/>
        </w:rPr>
        <w:t>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2"/>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w:t>
      </w:r>
      <w:r>
        <w:rPr>
          <w:rFonts w:ascii="Open Sans" w:hAnsi="Open Sans"/>
          <w:b w:val="false"/>
          <w:i w:val="false"/>
          <w:caps w:val="false"/>
          <w:smallCaps w:val="false"/>
          <w:spacing w:val="-2"/>
          <w:sz w:val="16"/>
        </w:rPr>
        <w: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w:t>
      </w:r>
      <w:r>
        <w:rPr>
          <w:rFonts w:ascii="Open Sans" w:hAnsi="Open Sans"/>
          <w:b w:val="false"/>
          <w:i w:val="false"/>
          <w:caps w:val="false"/>
          <w:smallCaps w:val="false"/>
          <w:spacing w:val="-2"/>
          <w:sz w:val="16"/>
        </w:rPr>
        <w:t>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stree</w:t>
      </w:r>
      <w:r>
        <w:rPr>
          <w:rFonts w:ascii="Open Sans" w:hAnsi="Open Sans"/>
          <w:b w:val="false"/>
          <w:i w:val="false"/>
          <w:caps w:val="false"/>
          <w:smallCaps w:val="false"/>
          <w:spacing w:val="-2"/>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name</w:t>
      </w:r>
      <w:r>
        <w:rPr>
          <w:rFonts w:ascii="Open Sans" w:hAnsi="Open Sans"/>
          <w:b w:val="false"/>
          <w:i w:val="false"/>
          <w:caps w:val="false"/>
          <w:smallCaps w:val="false"/>
          <w:spacing w:val="-2"/>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w:t>
      </w:r>
      <w:r>
        <w:rPr>
          <w:rFonts w:ascii="Open Sans" w:hAnsi="Open Sans"/>
          <w:b w:val="false"/>
          <w:i w:val="false"/>
          <w:caps w:val="false"/>
          <w:smallCaps w:val="false"/>
          <w:spacing w:val="-2"/>
          <w:sz w:val="16"/>
        </w:rPr>
        <w:t>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mus</w:t>
      </w:r>
      <w:r>
        <w:rPr>
          <w:rFonts w:ascii="Open Sans" w:hAnsi="Open Sans"/>
          <w:b w:val="false"/>
          <w:i w:val="false"/>
          <w:caps w:val="false"/>
          <w:smallCaps w:val="false"/>
          <w:spacing w:val="-2"/>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reques</w:t>
      </w:r>
      <w:r>
        <w:rPr>
          <w:rFonts w:ascii="Open Sans" w:hAnsi="Open Sans"/>
          <w:b w:val="false"/>
          <w:i w:val="false"/>
          <w:caps w:val="false"/>
          <w:smallCaps w:val="false"/>
          <w:spacing w:val="-2"/>
          <w:sz w:val="16"/>
        </w:rPr>
        <w:t>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2"/>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vali</w:t>
      </w:r>
      <w:r>
        <w:rPr>
          <w:rFonts w:ascii="Open Sans" w:hAnsi="Open Sans"/>
          <w:b w:val="false"/>
          <w:i w:val="false"/>
          <w:caps w:val="false"/>
          <w:smallCaps w:val="false"/>
          <w:spacing w:val="-2"/>
          <w:sz w:val="16"/>
        </w:rPr>
        <w:t>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w:t>
      </w:r>
      <w:r>
        <w:rPr>
          <w:rFonts w:ascii="Open Sans" w:hAnsi="Open Sans"/>
          <w:b w:val="false"/>
          <w:i w:val="false"/>
          <w:caps w:val="false"/>
          <w:smallCaps w:val="false"/>
          <w:spacing w:val="-2"/>
          <w:sz w:val="16"/>
        </w:rPr>
        <w: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w:t>
      </w:r>
      <w:r>
        <w:rPr>
          <w:rFonts w:ascii="Open Sans" w:hAnsi="Open Sans"/>
          <w:b w:val="false"/>
          <w:i w:val="false"/>
          <w:caps w:val="false"/>
          <w:smallCaps w:val="false"/>
          <w:spacing w:val="-2"/>
          <w:sz w:val="16"/>
        </w:rPr>
        <w:t>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2"/>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2"/>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ban</w:t>
      </w:r>
      <w:r>
        <w:rPr>
          <w:rFonts w:ascii="Open Sans" w:hAnsi="Open Sans"/>
          <w:b w:val="false"/>
          <w:i w:val="false"/>
          <w:caps w:val="false"/>
          <w:smallCaps w:val="false"/>
          <w:spacing w:val="-2"/>
          <w:sz w:val="16"/>
        </w:rPr>
        <w:t>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w:t>
      </w:r>
      <w:r>
        <w:rPr>
          <w:rFonts w:ascii="Open Sans" w:hAnsi="Open Sans"/>
          <w:b w:val="false"/>
          <w:i w:val="false"/>
          <w:caps w:val="false"/>
          <w:smallCaps w:val="false"/>
          <w:spacing w:val="-2"/>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othe</w:t>
      </w:r>
      <w:r>
        <w:rPr>
          <w:rFonts w:ascii="Open Sans" w:hAnsi="Open Sans"/>
          <w:b w:val="false"/>
          <w:i w:val="false"/>
          <w:caps w:val="false"/>
          <w:smallCaps w:val="false"/>
          <w:spacing w:val="-2"/>
          <w:sz w:val="16"/>
        </w:rPr>
        <w:t>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nomine</w:t>
      </w:r>
      <w:r>
        <w:rPr>
          <w:rFonts w:ascii="Open Sans" w:hAnsi="Open Sans"/>
          <w:b w:val="false"/>
          <w:i w:val="false"/>
          <w:caps w:val="false"/>
          <w:smallCaps w:val="false"/>
          <w:spacing w:val="-2"/>
          <w:sz w:val="16"/>
        </w:rPr>
        <w: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w:t>
      </w:r>
      <w:r>
        <w:rPr>
          <w:rFonts w:ascii="Open Sans" w:hAnsi="Open Sans"/>
          <w:b w:val="false"/>
          <w:i w:val="false"/>
          <w:caps w:val="false"/>
          <w:smallCaps w:val="false"/>
          <w:spacing w:val="-2"/>
          <w:sz w:val="16"/>
        </w:rPr>
        <w: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 i</w:t>
      </w:r>
      <w:r>
        <w:rPr>
          <w:rFonts w:ascii="Open Sans" w:hAnsi="Open Sans"/>
          <w:b w:val="false"/>
          <w:i w:val="false"/>
          <w:caps w:val="false"/>
          <w:smallCaps w:val="false"/>
          <w:spacing w:val="-2"/>
          <w:sz w:val="16"/>
        </w:rPr>
        <w:t>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perso</w:t>
      </w:r>
      <w:r>
        <w:rPr>
          <w:rFonts w:ascii="Open Sans" w:hAnsi="Open Sans"/>
          <w:b w:val="false"/>
          <w:i w:val="false"/>
          <w:caps w:val="false"/>
          <w:smallCaps w:val="false"/>
          <w:spacing w:val="-2"/>
          <w:sz w:val="16"/>
        </w:rPr>
        <w:t>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2"/>
          <w:sz w:val="16"/>
        </w:rPr>
        <w:t>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w:t>
      </w:r>
      <w:r>
        <w:rPr>
          <w:rFonts w:ascii="Open Sans" w:hAnsi="Open Sans"/>
          <w:b w:val="false"/>
          <w:i w:val="false"/>
          <w:caps w:val="false"/>
          <w:smallCaps w:val="false"/>
          <w:spacing w:val="-2"/>
          <w:sz w:val="16"/>
        </w:rPr>
        <w: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Annua</w:t>
      </w:r>
      <w:r>
        <w:rPr>
          <w:rFonts w:ascii="Open Sans" w:hAnsi="Open Sans"/>
          <w:b w:val="false"/>
          <w:i w:val="false"/>
          <w:caps w:val="false"/>
          <w:smallCaps w:val="false"/>
          <w:spacing w:val="-2"/>
          <w:sz w:val="16"/>
        </w:rPr>
        <w:t>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Meeting.</w:t>
      </w:r>
    </w:p>
    <w:p>
      <w:pPr>
        <w:pStyle w:val="TextBody"/>
        <w:spacing w:before="0" w:after="0"/>
        <w:jc w:val="center"/>
        <w:rPr/>
      </w:pPr>
      <w:r>
        <w:rPr/>
        <w:t> </w:t>
      </w:r>
    </w:p>
    <w:tbl>
      <w:tblPr>
        <w:tblW w:w="10539" w:type="dxa"/>
        <w:jc w:val="left"/>
        <w:tblInd w:w="0" w:type="dxa"/>
        <w:tblCellMar>
          <w:top w:w="0" w:type="dxa"/>
          <w:left w:w="0" w:type="dxa"/>
          <w:bottom w:w="0" w:type="dxa"/>
          <w:right w:w="0" w:type="dxa"/>
        </w:tblCellMar>
      </w:tblPr>
      <w:tblGrid>
        <w:gridCol w:w="10539"/>
      </w:tblGrid>
      <w:tr>
        <w:trPr/>
        <w:tc>
          <w:tcPr>
            <w:tcW w:w="10539" w:type="dxa"/>
            <w:tcBorders/>
            <w:shd w:fill="D8E1E9" w:val="clear"/>
          </w:tcPr>
          <w:p>
            <w:pPr>
              <w:pStyle w:val="TableContents"/>
              <w:spacing w:before="60" w:after="60"/>
              <w:ind w:left="118" w:right="0" w:hanging="0"/>
              <w:jc w:val="center"/>
              <w:rPr>
                <w:rFonts w:ascii="Open Sans" w:hAnsi="Open Sans"/>
                <w:b w:val="false"/>
                <w:i/>
                <w:caps w:val="false"/>
                <w:smallCaps w:val="false"/>
                <w:color w:val="004A7C"/>
                <w:spacing w:val="-3"/>
                <w:sz w:val="16"/>
              </w:rPr>
            </w:pPr>
            <w:r>
              <w:rPr>
                <w:rFonts w:ascii="Open Sans" w:hAnsi="Open Sans"/>
                <w:b w:val="false"/>
                <w:i/>
                <w:caps w:val="false"/>
                <w:smallCaps w:val="false"/>
                <w:color w:val="004A7C"/>
                <w:spacing w:val="-3"/>
                <w:sz w:val="16"/>
              </w:rPr>
              <w:t>Your</w:t>
            </w:r>
            <w:r>
              <w:rPr>
                <w:rFonts w:ascii="Open Sans" w:hAnsi="Open Sans"/>
                <w:b w:val="false"/>
                <w:i/>
                <w:caps w:val="false"/>
                <w:smallCaps w:val="false"/>
                <w:color w:val="004A7C"/>
                <w:spacing w:val="-7"/>
                <w:sz w:val="16"/>
              </w:rPr>
              <w:t xml:space="preserve"> </w:t>
            </w:r>
            <w:r>
              <w:rPr>
                <w:rFonts w:ascii="Open Sans" w:hAnsi="Open Sans"/>
                <w:b w:val="false"/>
                <w:i/>
                <w:caps w:val="false"/>
                <w:smallCaps w:val="false"/>
                <w:color w:val="004A7C"/>
                <w:spacing w:val="-3"/>
                <w:sz w:val="16"/>
              </w:rPr>
              <w:t>vote</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is</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very</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important.</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Regardless</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of</w:t>
            </w:r>
            <w:r>
              <w:rPr>
                <w:rFonts w:ascii="Open Sans" w:hAnsi="Open Sans"/>
                <w:b w:val="false"/>
                <w:i/>
                <w:caps w:val="false"/>
                <w:smallCaps w:val="false"/>
                <w:color w:val="004A7C"/>
                <w:spacing w:val="-7"/>
                <w:sz w:val="16"/>
              </w:rPr>
              <w:t xml:space="preserve"> </w:t>
            </w:r>
            <w:r>
              <w:rPr>
                <w:rFonts w:ascii="Open Sans" w:hAnsi="Open Sans"/>
                <w:b w:val="false"/>
                <w:i/>
                <w:caps w:val="false"/>
                <w:smallCaps w:val="false"/>
                <w:color w:val="004A7C"/>
                <w:spacing w:val="-3"/>
                <w:sz w:val="16"/>
              </w:rPr>
              <w:t>whether</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you</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plan</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to</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attend</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the</w:t>
            </w:r>
            <w:r>
              <w:rPr>
                <w:rFonts w:ascii="Open Sans" w:hAnsi="Open Sans"/>
                <w:b w:val="false"/>
                <w:i/>
                <w:caps w:val="false"/>
                <w:smallCaps w:val="false"/>
                <w:color w:val="004A7C"/>
                <w:spacing w:val="-7"/>
                <w:sz w:val="16"/>
              </w:rPr>
              <w:t xml:space="preserve"> </w:t>
            </w:r>
            <w:r>
              <w:rPr>
                <w:rFonts w:ascii="Open Sans" w:hAnsi="Open Sans"/>
                <w:b w:val="false"/>
                <w:i/>
                <w:caps w:val="false"/>
                <w:smallCaps w:val="false"/>
                <w:color w:val="004A7C"/>
                <w:spacing w:val="-3"/>
                <w:sz w:val="16"/>
              </w:rPr>
              <w:t>Annual</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Meeting,</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please</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ensure</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that</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your</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vote</w:t>
            </w:r>
            <w:r>
              <w:rPr>
                <w:rFonts w:ascii="Open Sans" w:hAnsi="Open Sans"/>
                <w:b w:val="false"/>
                <w:i/>
                <w:caps w:val="false"/>
                <w:smallCaps w:val="false"/>
                <w:color w:val="004A7C"/>
                <w:spacing w:val="-7"/>
                <w:sz w:val="16"/>
              </w:rPr>
              <w:t xml:space="preserve"> </w:t>
            </w:r>
            <w:r>
              <w:rPr>
                <w:rFonts w:ascii="Open Sans" w:hAnsi="Open Sans"/>
                <w:b w:val="false"/>
                <w:i/>
                <w:caps w:val="false"/>
                <w:smallCaps w:val="false"/>
                <w:color w:val="004A7C"/>
                <w:spacing w:val="-3"/>
                <w:sz w:val="16"/>
              </w:rPr>
              <w:t>is</w:t>
            </w:r>
            <w:r>
              <w:rPr>
                <w:rFonts w:ascii="Open Sans" w:hAnsi="Open Sans"/>
                <w:b w:val="false"/>
                <w:i/>
                <w:caps w:val="false"/>
                <w:smallCaps w:val="false"/>
                <w:color w:val="004A7C"/>
                <w:spacing w:val="-6"/>
                <w:sz w:val="16"/>
              </w:rPr>
              <w:t xml:space="preserve"> </w:t>
            </w:r>
            <w:r>
              <w:rPr>
                <w:rFonts w:ascii="Open Sans" w:hAnsi="Open Sans"/>
                <w:b w:val="false"/>
                <w:i/>
                <w:caps w:val="false"/>
                <w:smallCaps w:val="false"/>
                <w:color w:val="004A7C"/>
                <w:spacing w:val="-3"/>
                <w:sz w:val="16"/>
              </w:rPr>
              <w:t>counted</w:t>
            </w:r>
            <w:r>
              <w:rPr>
                <w:rFonts w:ascii="Open Sans" w:hAnsi="Open Sans"/>
                <w:b w:val="false"/>
                <w:i/>
                <w:caps w:val="false"/>
                <w:smallCaps w:val="false"/>
                <w:color w:val="00497C"/>
                <w:spacing w:val="-3"/>
                <w:sz w:val="16"/>
              </w:rPr>
              <w:t>.</w:t>
            </w:r>
          </w:p>
        </w:tc>
      </w:tr>
    </w:tbl>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What if I do not give specific voting instructions?</w:t>
      </w:r>
    </w:p>
    <w:p>
      <w:pPr>
        <w:pStyle w:val="TextBody"/>
        <w:spacing w:before="120" w:after="0"/>
        <w:rPr>
          <w:rFonts w:ascii="Open Sans" w:hAnsi="Open Sans"/>
          <w:b/>
          <w:i/>
          <w:caps w:val="false"/>
          <w:smallCaps w:val="false"/>
          <w:spacing w:val="-3"/>
          <w:sz w:val="16"/>
        </w:rPr>
      </w:pPr>
      <w:r>
        <w:rPr>
          <w:rFonts w:ascii="Open Sans" w:hAnsi="Open Sans"/>
          <w:b/>
          <w:i/>
          <w:caps w:val="false"/>
          <w:smallCaps w:val="false"/>
          <w:spacing w:val="-3"/>
          <w:sz w:val="16"/>
        </w:rPr>
        <w:t>Shareholders</w:t>
      </w:r>
      <w:r>
        <w:rPr>
          <w:rFonts w:ascii="Open Sans" w:hAnsi="Open Sans"/>
          <w:b/>
          <w:i/>
          <w:caps w:val="false"/>
          <w:smallCaps w:val="false"/>
          <w:spacing w:val="-7"/>
          <w:sz w:val="16"/>
        </w:rPr>
        <w:t xml:space="preserve"> </w:t>
      </w:r>
      <w:r>
        <w:rPr>
          <w:rFonts w:ascii="Open Sans" w:hAnsi="Open Sans"/>
          <w:b/>
          <w:i/>
          <w:caps w:val="false"/>
          <w:smallCaps w:val="false"/>
          <w:spacing w:val="-3"/>
          <w:sz w:val="16"/>
        </w:rPr>
        <w:t>of</w:t>
      </w:r>
      <w:r>
        <w:rPr>
          <w:rFonts w:ascii="Open Sans" w:hAnsi="Open Sans"/>
          <w:b/>
          <w:i/>
          <w:caps w:val="false"/>
          <w:smallCaps w:val="false"/>
          <w:spacing w:val="-7"/>
          <w:sz w:val="16"/>
        </w:rPr>
        <w:t xml:space="preserve"> </w:t>
      </w:r>
      <w:r>
        <w:rPr>
          <w:rFonts w:ascii="Open Sans" w:hAnsi="Open Sans"/>
          <w:b/>
          <w:i/>
          <w:caps w:val="false"/>
          <w:smallCaps w:val="false"/>
          <w:spacing w:val="-3"/>
          <w:sz w:val="16"/>
        </w:rPr>
        <w:t>Record.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If</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shareholder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record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return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signed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card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but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do</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indicate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how</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wish</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 particular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matter,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your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shares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will</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be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voted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accordance</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with</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Board’s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recommendations</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on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all</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matters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presented</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this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Statement.</w:t>
      </w:r>
      <w:r>
        <w:rPr>
          <w:rFonts w:ascii="Open Sans" w:hAnsi="Open Sans"/>
          <w:b/>
          <w:i/>
          <w:caps w:val="false"/>
          <w:smallCaps w:val="false"/>
          <w:spacing w:val="-3"/>
          <w:sz w:val="16"/>
        </w:rPr>
        <w:t xml:space="preserve"> </w:t>
      </w:r>
      <w:r>
        <w:rPr>
          <w:rFonts w:ascii="Open Sans" w:hAnsi="Open Sans"/>
          <w:b w:val="false"/>
          <w:i w:val="false"/>
          <w:caps w:val="false"/>
          <w:smallCaps w:val="false"/>
          <w:spacing w:val="-3"/>
          <w:sz w:val="16"/>
        </w:rPr>
        <w:t>Your</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be</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voted</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holders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determine</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their</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discretion</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regarding</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any</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matters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presented</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this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Statement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that</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i/>
          <w:caps w:val="false"/>
          <w:smallCaps w:val="false"/>
          <w:spacing w:val="-3"/>
          <w:sz w:val="16"/>
        </w:rPr>
        <w:t xml:space="preserve"> </w:t>
      </w:r>
      <w:r>
        <w:rPr>
          <w:rFonts w:ascii="Open Sans" w:hAnsi="Open Sans"/>
          <w:b w:val="false"/>
          <w:i w:val="false"/>
          <w:caps w:val="false"/>
          <w:smallCaps w:val="false"/>
          <w:spacing w:val="-3"/>
          <w:sz w:val="16"/>
        </w:rPr>
        <w:t>properly</w:t>
      </w:r>
      <w:r>
        <w:rPr>
          <w:rFonts w:ascii="Open Sans" w:hAnsi="Open Sans"/>
          <w:b/>
          <w:i/>
          <w:caps w:val="false"/>
          <w:smallCaps w:val="false"/>
          <w:spacing w:val="-9"/>
          <w:sz w:val="16"/>
        </w:rPr>
        <w:t xml:space="preserve"> </w:t>
      </w:r>
      <w:r>
        <w:rPr>
          <w:rFonts w:ascii="Open Sans" w:hAnsi="Open Sans"/>
          <w:b w:val="false"/>
          <w:i w:val="false"/>
          <w:caps w:val="false"/>
          <w:smallCaps w:val="false"/>
          <w:spacing w:val="-3"/>
          <w:sz w:val="16"/>
        </w:rPr>
        <w:t>presented</w:t>
      </w:r>
      <w:r>
        <w:rPr>
          <w:rFonts w:ascii="Open Sans" w:hAnsi="Open Sans"/>
          <w:b/>
          <w:i/>
          <w:caps w:val="false"/>
          <w:smallCaps w:val="false"/>
          <w:spacing w:val="-9"/>
          <w:sz w:val="16"/>
        </w:rPr>
        <w:t xml:space="preserve"> </w:t>
      </w:r>
      <w:r>
        <w:rPr>
          <w:rFonts w:ascii="Open Sans" w:hAnsi="Open Sans"/>
          <w:b w:val="false"/>
          <w:i w:val="false"/>
          <w:caps w:val="false"/>
          <w:smallCaps w:val="false"/>
          <w:spacing w:val="-3"/>
          <w:sz w:val="16"/>
        </w:rPr>
        <w:t>for</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i/>
          <w:caps w:val="false"/>
          <w:smallCaps w:val="false"/>
          <w:spacing w:val="-9"/>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i/>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Annual</w:t>
      </w:r>
      <w:r>
        <w:rPr>
          <w:rFonts w:ascii="Open Sans" w:hAnsi="Open Sans"/>
          <w:b/>
          <w:i/>
          <w:caps w:val="false"/>
          <w:smallCaps w:val="false"/>
          <w:spacing w:val="-9"/>
          <w:sz w:val="16"/>
        </w:rPr>
        <w:t xml:space="preserve"> </w:t>
      </w:r>
      <w:r>
        <w:rPr>
          <w:rFonts w:ascii="Open Sans" w:hAnsi="Open Sans"/>
          <w:b w:val="false"/>
          <w:i w:val="false"/>
          <w:caps w:val="false"/>
          <w:smallCaps w:val="false"/>
          <w:spacing w:val="-3"/>
          <w:sz w:val="16"/>
        </w:rPr>
        <w:t>Meeting.</w:t>
      </w:r>
      <w:r>
        <w:rPr>
          <w:rFonts w:ascii="Open Sans" w:hAnsi="Open Sans"/>
          <w:b/>
          <w:i/>
          <w:caps w:val="false"/>
          <w:smallCaps w:val="false"/>
          <w:spacing w:val="-3"/>
          <w:sz w:val="16"/>
        </w:rPr>
        <w:t xml:space="preserve"> </w:t>
      </w:r>
    </w:p>
    <w:p>
      <w:pPr>
        <w:pStyle w:val="TextBody"/>
        <w:spacing w:before="120" w:after="0"/>
        <w:rPr>
          <w:rFonts w:ascii="Open Sans" w:hAnsi="Open Sans"/>
          <w:b/>
          <w:i/>
          <w:caps w:val="false"/>
          <w:smallCaps w:val="false"/>
          <w:spacing w:val="-3"/>
          <w:sz w:val="16"/>
        </w:rPr>
      </w:pPr>
      <w:r>
        <w:rPr>
          <w:rFonts w:ascii="Open Sans" w:hAnsi="Open Sans"/>
          <w:b/>
          <w:i/>
          <w:caps w:val="false"/>
          <w:smallCaps w:val="false"/>
          <w:spacing w:val="-3"/>
          <w:sz w:val="16"/>
        </w:rPr>
        <w:t>Beneficial</w:t>
      </w:r>
      <w:r>
        <w:rPr>
          <w:rFonts w:ascii="Open Sans" w:hAnsi="Open Sans"/>
          <w:b/>
          <w:i/>
          <w:caps w:val="false"/>
          <w:smallCaps w:val="false"/>
          <w:spacing w:val="-6"/>
          <w:sz w:val="16"/>
        </w:rPr>
        <w:t xml:space="preserve"> </w:t>
      </w:r>
      <w:r>
        <w:rPr>
          <w:rFonts w:ascii="Open Sans" w:hAnsi="Open Sans"/>
          <w:b/>
          <w:i/>
          <w:caps w:val="false"/>
          <w:smallCaps w:val="false"/>
          <w:spacing w:val="-3"/>
          <w:sz w:val="16"/>
        </w:rPr>
        <w:t>Owners.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are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beneficial</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owner</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and</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hold</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your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street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name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do</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provide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your</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broker,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bank</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i/>
          <w:caps w:val="false"/>
          <w:smallCaps w:val="false"/>
          <w:spacing w:val="-6"/>
          <w:sz w:val="16"/>
        </w:rPr>
        <w:t xml:space="preserve"> </w:t>
      </w:r>
      <w:r>
        <w:rPr>
          <w:rFonts w:ascii="Open Sans" w:hAnsi="Open Sans"/>
          <w:b w:val="false"/>
          <w:i w:val="false"/>
          <w:caps w:val="false"/>
          <w:smallCaps w:val="false"/>
          <w:spacing w:val="-3"/>
          <w:sz w:val="16"/>
        </w:rPr>
        <w:t>other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nominee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with voting</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instructions,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nominee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will</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determine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if</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has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discretionary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authority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particular</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matter.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Under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applicable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rules,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brokers have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discretion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i/>
          <w:caps w:val="false"/>
          <w:smallCaps w:val="false"/>
          <w:spacing w:val="-5"/>
          <w:sz w:val="16"/>
        </w:rPr>
        <w:t xml:space="preserve"> </w:t>
      </w:r>
      <w:r>
        <w:rPr>
          <w:rFonts w:ascii="Open Sans" w:hAnsi="Open Sans"/>
          <w:b/>
          <w:i/>
          <w:caps w:val="false"/>
          <w:smallCaps w:val="false"/>
          <w:spacing w:val="-3"/>
          <w:sz w:val="16"/>
        </w:rPr>
        <w:t>“</w:t>
      </w:r>
      <w:r>
        <w:rPr>
          <w:rFonts w:ascii="Open Sans" w:hAnsi="Open Sans"/>
          <w:b w:val="false"/>
          <w:i w:val="false"/>
          <w:caps w:val="false"/>
          <w:smallCaps w:val="false"/>
          <w:spacing w:val="-3"/>
          <w:sz w:val="16"/>
        </w:rPr>
        <w:t>routine</w:t>
      </w:r>
      <w:r>
        <w:rPr>
          <w:rFonts w:ascii="Open Sans" w:hAnsi="Open Sans"/>
          <w:b/>
          <w:i/>
          <w:caps w:val="false"/>
          <w:smallCaps w:val="false"/>
          <w:spacing w:val="-3"/>
          <w:sz w:val="16"/>
        </w:rPr>
        <w: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but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do</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discretion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i/>
          <w:caps w:val="false"/>
          <w:smallCaps w:val="false"/>
          <w:spacing w:val="-5"/>
          <w:sz w:val="16"/>
        </w:rPr>
        <w:t xml:space="preserve"> </w:t>
      </w:r>
      <w:r>
        <w:rPr>
          <w:rFonts w:ascii="Open Sans" w:hAnsi="Open Sans"/>
          <w:b/>
          <w:i/>
          <w:caps w:val="false"/>
          <w:smallCaps w:val="false"/>
          <w:spacing w:val="-3"/>
          <w:sz w:val="16"/>
        </w:rPr>
        <w:t>“</w:t>
      </w:r>
      <w:r>
        <w:rPr>
          <w:rFonts w:ascii="Open Sans" w:hAnsi="Open Sans"/>
          <w:b w:val="false"/>
          <w:i w:val="false"/>
          <w:caps w:val="false"/>
          <w:smallCaps w:val="false"/>
          <w:spacing w:val="-3"/>
          <w:sz w:val="16"/>
        </w:rPr>
        <w:t>non-routine</w:t>
      </w:r>
      <w:r>
        <w:rPr>
          <w:rFonts w:ascii="Open Sans" w:hAnsi="Open Sans"/>
          <w:b/>
          <w:i/>
          <w:caps w:val="false"/>
          <w:smallCaps w:val="false"/>
          <w:spacing w:val="-3"/>
          <w:sz w:val="16"/>
        </w:rPr>
        <w: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ratification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appointment</w:t>
      </w:r>
      <w:r>
        <w:rPr>
          <w:rFonts w:ascii="Open Sans" w:hAnsi="Open Sans"/>
          <w:b/>
          <w:i/>
          <w:caps w:val="false"/>
          <w:smallCaps w:val="false"/>
          <w:spacing w:val="-3"/>
          <w:sz w:val="16"/>
        </w:rPr>
        <w:t xml:space="preserve"> </w:t>
      </w:r>
      <w:r>
        <w:rPr>
          <w:rFonts w:ascii="Open Sans" w:hAnsi="Open Sans"/>
          <w:b w:val="false"/>
          <w:i w:val="false"/>
          <w:caps w:val="false"/>
          <w:smallCaps w:val="false"/>
          <w:spacing w:val="-3"/>
          <w:sz w:val="16"/>
        </w:rPr>
        <w:t>of</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independent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registered</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public</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accounting</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firm</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2023</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4)</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matter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considered</w:t>
      </w:r>
      <w:r>
        <w:rPr>
          <w:rFonts w:ascii="Open Sans" w:hAnsi="Open Sans"/>
          <w:b/>
          <w:i/>
          <w:caps w:val="false"/>
          <w:smallCaps w:val="false"/>
          <w:spacing w:val="-5"/>
          <w:sz w:val="16"/>
        </w:rPr>
        <w:t xml:space="preserve"> </w:t>
      </w:r>
      <w:r>
        <w:rPr>
          <w:rFonts w:ascii="Open Sans" w:hAnsi="Open Sans"/>
          <w:b/>
          <w:i/>
          <w:caps w:val="false"/>
          <w:smallCaps w:val="false"/>
          <w:spacing w:val="-3"/>
          <w:sz w:val="16"/>
        </w:rPr>
        <w:t>“</w:t>
      </w:r>
      <w:r>
        <w:rPr>
          <w:rFonts w:ascii="Open Sans" w:hAnsi="Open Sans"/>
          <w:b w:val="false"/>
          <w:i w:val="false"/>
          <w:caps w:val="false"/>
          <w:smallCaps w:val="false"/>
          <w:spacing w:val="-3"/>
          <w:sz w:val="16"/>
        </w:rPr>
        <w:t>routine</w:t>
      </w:r>
      <w:r>
        <w:rPr>
          <w:rFonts w:ascii="Open Sans" w:hAnsi="Open Sans"/>
          <w:b/>
          <w:i/>
          <w:caps w:val="false"/>
          <w:smallCaps w:val="false"/>
          <w:spacing w:val="-3"/>
          <w:sz w:val="16"/>
        </w:rPr>
        <w: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applicable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rules.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election of</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directors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advisory</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approve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named</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officer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compensation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i/>
          <w:caps w:val="false"/>
          <w:smallCaps w:val="false"/>
          <w:spacing w:val="-5"/>
          <w:sz w:val="16"/>
        </w:rPr>
        <w:t xml:space="preserve"> </w:t>
      </w:r>
      <w:r>
        <w:rPr>
          <w:rFonts w:ascii="Open Sans" w:hAnsi="Open Sans"/>
          <w:b w:val="false"/>
          <w:i w:val="false"/>
          <w:caps w:val="false"/>
          <w:smallCaps w:val="false"/>
          <w:spacing w:val="-5"/>
          <w:sz w:val="16"/>
        </w:rPr>
        <w:t xml:space="preserve">and </w:t>
      </w:r>
      <w:r>
        <w:rPr>
          <w:rFonts w:ascii="Open Sans" w:hAnsi="Open Sans"/>
          <w:b w:val="false"/>
          <w:i w:val="false"/>
          <w:caps w:val="false"/>
          <w:smallCaps w:val="false"/>
          <w:spacing w:val="-3"/>
          <w:sz w:val="16"/>
        </w:rPr>
        <w:t>the advisory vote on the frequency of the advisory vote on named executive officer compensation (Proposal 3)</w:t>
      </w:r>
      <w:r>
        <w:rPr>
          <w:rFonts w:ascii="Open Sans" w:hAnsi="Open Sans"/>
          <w:b/>
          <w:i/>
          <w:caps w:val="false"/>
          <w:smallCaps w:val="false"/>
          <w:spacing w:val="-3"/>
          <w:sz w:val="16"/>
        </w:rPr>
        <w:t xml:space="preserve"> </w:t>
      </w:r>
      <w:r>
        <w:rPr>
          <w:rFonts w:ascii="Open Sans" w:hAnsi="Open Sans"/>
          <w:b w:val="false"/>
          <w:i w:val="false"/>
          <w:caps w:val="false"/>
          <w:smallCaps w:val="false"/>
          <w:spacing w:val="-3"/>
          <w:sz w:val="16"/>
        </w:rPr>
        <w:t>are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considered</w:t>
      </w:r>
      <w:r>
        <w:rPr>
          <w:rFonts w:ascii="Open Sans" w:hAnsi="Open Sans"/>
          <w:b/>
          <w:i/>
          <w:caps w:val="false"/>
          <w:smallCaps w:val="false"/>
          <w:spacing w:val="-5"/>
          <w:sz w:val="16"/>
        </w:rPr>
        <w:t xml:space="preserve"> </w:t>
      </w:r>
      <w:r>
        <w:rPr>
          <w:rFonts w:ascii="Open Sans" w:hAnsi="Open Sans"/>
          <w:b/>
          <w:i/>
          <w:caps w:val="false"/>
          <w:smallCaps w:val="false"/>
          <w:spacing w:val="-3"/>
          <w:sz w:val="16"/>
        </w:rPr>
        <w:t>“</w:t>
      </w:r>
      <w:r>
        <w:rPr>
          <w:rFonts w:ascii="Open Sans" w:hAnsi="Open Sans"/>
          <w:b w:val="false"/>
          <w:i w:val="false"/>
          <w:caps w:val="false"/>
          <w:smallCaps w:val="false"/>
          <w:spacing w:val="-3"/>
          <w:sz w:val="16"/>
        </w:rPr>
        <w:t>non-routine</w:t>
      </w:r>
      <w:r>
        <w:rPr>
          <w:rFonts w:ascii="Open Sans" w:hAnsi="Open Sans"/>
          <w:b/>
          <w:i/>
          <w:caps w:val="false"/>
          <w:smallCaps w:val="false"/>
          <w:spacing w:val="-3"/>
          <w:sz w:val="16"/>
        </w:rPr>
        <w: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under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applicable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rules.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Thus,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there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likely</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broker non-votes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Proposals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and 3.</w:t>
      </w:r>
    </w:p>
    <w:p>
      <w:pPr>
        <w:pStyle w:val="TextBody"/>
        <w:spacing w:before="120" w:after="0"/>
        <w:rPr>
          <w:rFonts w:ascii="Open Sans" w:hAnsi="Open Sans"/>
          <w:b/>
          <w:i/>
          <w:caps w:val="false"/>
          <w:smallCaps w:val="false"/>
          <w:spacing w:val="-3"/>
          <w:sz w:val="16"/>
        </w:rPr>
      </w:pPr>
      <w:r>
        <w:rPr>
          <w:rFonts w:ascii="Open Sans" w:hAnsi="Open Sans"/>
          <w:b/>
          <w:i/>
          <w:caps w:val="false"/>
          <w:smallCaps w:val="false"/>
          <w:spacing w:val="-3"/>
          <w:sz w:val="16"/>
        </w:rPr>
        <w:t>401(k)</w:t>
      </w:r>
      <w:r>
        <w:rPr>
          <w:rFonts w:ascii="Open Sans" w:hAnsi="Open Sans"/>
          <w:b/>
          <w:i/>
          <w:caps w:val="false"/>
          <w:smallCaps w:val="false"/>
          <w:spacing w:val="-5"/>
          <w:sz w:val="16"/>
        </w:rPr>
        <w:t xml:space="preserve"> </w:t>
      </w:r>
      <w:r>
        <w:rPr>
          <w:rFonts w:ascii="Open Sans" w:hAnsi="Open Sans"/>
          <w:b/>
          <w:i/>
          <w:caps w:val="false"/>
          <w:smallCaps w:val="false"/>
          <w:spacing w:val="-3"/>
          <w:sz w:val="16"/>
        </w:rPr>
        <w:t>Plan</w:t>
      </w:r>
      <w:r>
        <w:rPr>
          <w:rFonts w:ascii="Open Sans" w:hAnsi="Open Sans"/>
          <w:b/>
          <w:i/>
          <w:caps w:val="false"/>
          <w:smallCaps w:val="false"/>
          <w:spacing w:val="-5"/>
          <w:sz w:val="16"/>
        </w:rPr>
        <w:t xml:space="preserve"> </w:t>
      </w:r>
      <w:r>
        <w:rPr>
          <w:rFonts w:ascii="Open Sans" w:hAnsi="Open Sans"/>
          <w:b/>
          <w:i/>
          <w:caps w:val="false"/>
          <w:smallCaps w:val="false"/>
          <w:spacing w:val="-3"/>
          <w:sz w:val="16"/>
        </w:rPr>
        <w:t>Participants.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participant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401(k)</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Plan</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do</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provide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trustee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voting</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instructions,</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trustee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the shares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your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account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same</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proportion</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that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votes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which</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it</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received</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valid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timely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cards</w:t>
      </w:r>
      <w:r>
        <w:rPr>
          <w:rFonts w:ascii="Open Sans" w:hAnsi="Open Sans"/>
          <w:b/>
          <w:i/>
          <w:caps w:val="false"/>
          <w:smallCaps w:val="false"/>
          <w:spacing w:val="-8"/>
          <w:sz w:val="16"/>
        </w:rPr>
        <w:t xml:space="preserve"> </w:t>
      </w:r>
      <w:r>
        <w:rPr>
          <w:rFonts w:ascii="Open Sans" w:hAnsi="Open Sans"/>
          <w:b w:val="false"/>
          <w:i w:val="false"/>
          <w:caps w:val="false"/>
          <w:smallCaps w:val="false"/>
          <w:spacing w:val="-3"/>
          <w:sz w:val="16"/>
        </w:rPr>
        <w:t>from</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other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participants</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or</w:t>
      </w:r>
      <w:r>
        <w:rPr>
          <w:rFonts w:ascii="Open Sans" w:hAnsi="Open Sans"/>
          <w:b/>
          <w:i/>
          <w:caps w:val="false"/>
          <w:smallCaps w:val="false"/>
          <w:spacing w:val="-7"/>
          <w:sz w:val="16"/>
        </w:rPr>
        <w:t xml:space="preserve"> </w:t>
      </w:r>
      <w:r>
        <w:rPr>
          <w:rFonts w:ascii="Open Sans" w:hAnsi="Open Sans"/>
          <w:b w:val="false"/>
          <w:i w:val="false"/>
          <w:caps w:val="false"/>
          <w:smallCaps w:val="false"/>
          <w:spacing w:val="-3"/>
          <w:sz w:val="16"/>
        </w:rPr>
        <w:t>as otherwise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required</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applicable</w:t>
      </w:r>
      <w:r>
        <w:rPr>
          <w:rFonts w:ascii="Open Sans" w:hAnsi="Open Sans"/>
          <w:b/>
          <w:i/>
          <w:caps w:val="false"/>
          <w:smallCaps w:val="false"/>
          <w:spacing w:val="-5"/>
          <w:sz w:val="16"/>
        </w:rPr>
        <w:t xml:space="preserve"> </w:t>
      </w:r>
      <w:r>
        <w:rPr>
          <w:rFonts w:ascii="Open Sans" w:hAnsi="Open Sans"/>
          <w:b w:val="false"/>
          <w:i w:val="false"/>
          <w:caps w:val="false"/>
          <w:smallCaps w:val="false"/>
          <w:spacing w:val="-3"/>
          <w:sz w:val="16"/>
        </w:rPr>
        <w:t>law.</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What are broker non-votes?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NYSE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permits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brokers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customers’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“routine”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matters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when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brokers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received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voting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instructions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from 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customers.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customers’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“non-routine”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unless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received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instructions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from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 customers.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Non-voted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non-routine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referred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non-votes.</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are broker non-votes and abstentions counted?</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Abstentions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non-votes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effect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election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determined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counting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where abstentions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non-votes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treated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Abstentions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effect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4,</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 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standard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approval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majority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entitled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non-votes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effect 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proposals. Abstentions and broker non-votes will have no effect on Proposal 3, as the advisory vote on the frequency of the advisory vote on our NEO compensation will be determined by the greatest number of votes cast.</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93</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Can I change my vote?</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Yes.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submitted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revoke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time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until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voted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 record,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three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ways: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written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like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revoke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 complete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submit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telephone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attend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person. Your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attendance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alone,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however,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revoke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instructed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must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follow</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procedure provided</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broker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change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instructions.</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Do I need to attend the Annual Meeting?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No.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Although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welcome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attend virtually,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necessary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log on 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shares.</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How does the Board recommend I vote on the proposals?</w:t>
      </w:r>
    </w:p>
    <w:p>
      <w:pPr>
        <w:pStyle w:val="TextBody"/>
        <w:spacing w:before="120" w:after="0"/>
        <w:rPr>
          <w:rFonts w:ascii="Open Sans" w:hAnsi="Open Sans"/>
          <w:b/>
          <w:i w:val="false"/>
          <w:caps w:val="false"/>
          <w:smallCaps w:val="false"/>
          <w:spacing w:val="-3"/>
          <w:sz w:val="16"/>
        </w:rPr>
      </w:pPr>
      <w:r>
        <w:rPr>
          <w:rFonts w:ascii="Open Sans" w:hAnsi="Open Sans"/>
          <w:b/>
          <w:i w:val="false"/>
          <w:caps w:val="false"/>
          <w:smallCaps w:val="false"/>
          <w:spacing w:val="-3"/>
          <w:sz w:val="16"/>
        </w:rPr>
        <w:t>The</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Board</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recommends</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you</w:t>
      </w:r>
      <w:r>
        <w:rPr>
          <w:rFonts w:ascii="Open Sans" w:hAnsi="Open Sans"/>
          <w:b/>
          <w:i w:val="false"/>
          <w:caps w:val="false"/>
          <w:smallCaps w:val="false"/>
          <w:spacing w:val="-5"/>
          <w:sz w:val="16"/>
        </w:rPr>
        <w:t xml:space="preserve"> </w:t>
      </w:r>
      <w:r>
        <w:rPr>
          <w:rFonts w:ascii="Open Sans" w:hAnsi="Open Sans"/>
          <w:b/>
          <w:i w:val="false"/>
          <w:caps w:val="false"/>
          <w:smallCaps w:val="false"/>
          <w:spacing w:val="-3"/>
          <w:sz w:val="16"/>
        </w:rPr>
        <w:t>vote:</w:t>
      </w:r>
    </w:p>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678"/>
        <w:gridCol w:w="2180"/>
        <w:gridCol w:w="3383"/>
        <w:gridCol w:w="3298"/>
      </w:tblGrid>
      <w:tr>
        <w:trPr/>
        <w:tc>
          <w:tcPr>
            <w:tcW w:w="1678" w:type="dxa"/>
            <w:tcBorders/>
            <w:shd w:fill="auto" w:val="clear"/>
          </w:tcPr>
          <w:p>
            <w:pPr>
              <w:pStyle w:val="TableContents"/>
              <w:spacing w:before="0" w:after="0"/>
              <w:ind w:left="60" w:right="0" w:hanging="0"/>
              <w:rPr>
                <w:rFonts w:ascii="Open Sans" w:hAnsi="Open Sans"/>
                <w:b/>
                <w:i w:val="false"/>
                <w:caps w:val="false"/>
                <w:smallCaps w:val="false"/>
                <w:color w:val="004A7C"/>
                <w:spacing w:val="2"/>
                <w:sz w:val="17"/>
              </w:rPr>
            </w:pPr>
            <w:r>
              <w:rPr>
                <w:rFonts w:ascii="Open Sans" w:hAnsi="Open Sans"/>
                <w:b/>
                <w:i w:val="false"/>
                <w:caps w:val="false"/>
                <w:smallCaps w:val="false"/>
                <w:color w:val="004A7C"/>
                <w:spacing w:val="2"/>
                <w:sz w:val="17"/>
              </w:rPr>
              <w:t>FOR</w:t>
            </w:r>
          </w:p>
          <w:p>
            <w:pPr>
              <w:pStyle w:val="TableContents"/>
              <w:spacing w:before="0" w:after="0"/>
              <w:ind w:left="6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election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 11</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nominees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 Board</w:t>
            </w:r>
            <w:r>
              <w:rPr>
                <w:rFonts w:ascii="Open Sans" w:hAnsi="Open Sans"/>
                <w:b w:val="false"/>
                <w:i w:val="false"/>
                <w:caps w:val="false"/>
                <w:smallCaps w:val="false"/>
                <w:spacing w:val="-6"/>
                <w:sz w:val="16"/>
              </w:rPr>
              <w:t xml:space="preserve"> </w:t>
            </w:r>
          </w:p>
          <w:p>
            <w:pPr>
              <w:pStyle w:val="TableContents"/>
              <w:spacing w:before="0" w:after="0"/>
              <w:ind w:left="6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1)</w:t>
            </w:r>
          </w:p>
        </w:tc>
        <w:tc>
          <w:tcPr>
            <w:tcW w:w="2180" w:type="dxa"/>
            <w:tcBorders/>
            <w:shd w:fill="auto" w:val="clear"/>
          </w:tcPr>
          <w:p>
            <w:pPr>
              <w:pStyle w:val="TableContents"/>
              <w:spacing w:before="0" w:after="0"/>
              <w:ind w:left="60" w:right="0" w:hanging="0"/>
              <w:rPr>
                <w:rFonts w:ascii="Open Sans" w:hAnsi="Open Sans"/>
                <w:b/>
                <w:i w:val="false"/>
                <w:caps w:val="false"/>
                <w:smallCaps w:val="false"/>
                <w:color w:val="004A7C"/>
                <w:spacing w:val="2"/>
                <w:sz w:val="17"/>
              </w:rPr>
            </w:pPr>
            <w:r>
              <w:rPr>
                <w:rFonts w:ascii="Open Sans" w:hAnsi="Open Sans"/>
                <w:b/>
                <w:i w:val="false"/>
                <w:caps w:val="false"/>
                <w:smallCaps w:val="false"/>
                <w:color w:val="004A7C"/>
                <w:spacing w:val="2"/>
                <w:sz w:val="17"/>
              </w:rPr>
              <w:t>FOR</w:t>
            </w:r>
          </w:p>
          <w:p>
            <w:pPr>
              <w:pStyle w:val="TableContents"/>
              <w:spacing w:before="0" w:after="0"/>
              <w:ind w:left="6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approval</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our named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executive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officer compensation</w:t>
            </w:r>
            <w:r>
              <w:rPr>
                <w:rFonts w:ascii="Open Sans" w:hAnsi="Open Sans"/>
                <w:b w:val="false"/>
                <w:i w:val="false"/>
                <w:caps w:val="false"/>
                <w:smallCaps w:val="false"/>
                <w:spacing w:val="-11"/>
                <w:sz w:val="16"/>
              </w:rPr>
              <w:t xml:space="preserve"> </w:t>
            </w:r>
          </w:p>
          <w:p>
            <w:pPr>
              <w:pStyle w:val="TableContents"/>
              <w:spacing w:before="0" w:after="0"/>
              <w:ind w:left="6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12"/>
                <w:sz w:val="16"/>
              </w:rPr>
              <w:t xml:space="preserve"> </w:t>
            </w:r>
            <w:r>
              <w:rPr>
                <w:rFonts w:ascii="Open Sans" w:hAnsi="Open Sans"/>
                <w:b w:val="false"/>
                <w:i w:val="false"/>
                <w:caps w:val="false"/>
                <w:smallCaps w:val="false"/>
                <w:spacing w:val="-3"/>
                <w:sz w:val="16"/>
              </w:rPr>
              <w:t>2)</w:t>
            </w:r>
          </w:p>
        </w:tc>
        <w:tc>
          <w:tcPr>
            <w:tcW w:w="3383" w:type="dxa"/>
            <w:tcBorders/>
            <w:shd w:fill="auto" w:val="clear"/>
          </w:tcPr>
          <w:p>
            <w:pPr>
              <w:pStyle w:val="TableContents"/>
              <w:spacing w:before="0" w:after="0"/>
              <w:ind w:left="60" w:right="0" w:hanging="0"/>
              <w:rPr>
                <w:rFonts w:ascii="Open Sans" w:hAnsi="Open Sans"/>
                <w:b/>
                <w:i w:val="false"/>
                <w:caps w:val="false"/>
                <w:smallCaps w:val="false"/>
                <w:color w:val="004A7C"/>
                <w:spacing w:val="2"/>
                <w:sz w:val="17"/>
              </w:rPr>
            </w:pPr>
            <w:r>
              <w:rPr>
                <w:rFonts w:ascii="Open Sans" w:hAnsi="Open Sans"/>
                <w:b/>
                <w:i w:val="false"/>
                <w:caps w:val="false"/>
                <w:smallCaps w:val="false"/>
                <w:color w:val="004A7C"/>
                <w:spacing w:val="2"/>
                <w:sz w:val="17"/>
              </w:rPr>
              <w:t>FOR</w:t>
            </w:r>
          </w:p>
          <w:p>
            <w:pPr>
              <w:pStyle w:val="TableContents"/>
              <w:spacing w:before="0" w:after="0"/>
              <w:ind w:left="6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conducting advisory votes on our named executive officer compensation every “ONE 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w:t>
            </w:r>
          </w:p>
        </w:tc>
        <w:tc>
          <w:tcPr>
            <w:tcW w:w="3298" w:type="dxa"/>
            <w:tcBorders/>
            <w:shd w:fill="auto" w:val="clear"/>
          </w:tcPr>
          <w:p>
            <w:pPr>
              <w:pStyle w:val="TableContents"/>
              <w:spacing w:before="0" w:after="0"/>
              <w:ind w:left="60" w:right="0" w:hanging="0"/>
              <w:rPr>
                <w:rFonts w:ascii="Open Sans" w:hAnsi="Open Sans"/>
                <w:b/>
                <w:i w:val="false"/>
                <w:caps w:val="false"/>
                <w:smallCaps w:val="false"/>
                <w:color w:val="004A7C"/>
                <w:spacing w:val="2"/>
                <w:sz w:val="17"/>
              </w:rPr>
            </w:pPr>
            <w:r>
              <w:rPr>
                <w:rFonts w:ascii="Open Sans" w:hAnsi="Open Sans"/>
                <w:b/>
                <w:i w:val="false"/>
                <w:caps w:val="false"/>
                <w:smallCaps w:val="false"/>
                <w:color w:val="004A7C"/>
                <w:spacing w:val="2"/>
                <w:sz w:val="17"/>
              </w:rPr>
              <w:t>FOR</w:t>
            </w:r>
          </w:p>
          <w:p>
            <w:pPr>
              <w:pStyle w:val="TableContents"/>
              <w:spacing w:before="0" w:after="0"/>
              <w:ind w:left="60" w:right="0" w:hanging="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ratification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 the</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appointment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11"/>
                <w:sz w:val="16"/>
              </w:rPr>
              <w:t xml:space="preserve"> </w:t>
            </w:r>
            <w:r>
              <w:rPr>
                <w:rFonts w:ascii="Open Sans" w:hAnsi="Open Sans"/>
                <w:b w:val="false"/>
                <w:i w:val="false"/>
                <w:caps w:val="false"/>
                <w:smallCaps w:val="false"/>
                <w:spacing w:val="-3"/>
                <w:sz w:val="16"/>
              </w:rPr>
              <w:t>our independent</w:t>
            </w:r>
            <w:r>
              <w:rPr>
                <w:rFonts w:ascii="Open Sans" w:hAnsi="Open Sans"/>
                <w:b w:val="false"/>
                <w:i w:val="false"/>
                <w:caps w:val="false"/>
                <w:smallCaps w:val="false"/>
                <w:spacing w:val="-15"/>
                <w:sz w:val="16"/>
              </w:rPr>
              <w:t xml:space="preserve"> </w:t>
            </w:r>
            <w:r>
              <w:rPr>
                <w:rFonts w:ascii="Open Sans" w:hAnsi="Open Sans"/>
                <w:b w:val="false"/>
                <w:i w:val="false"/>
                <w:caps w:val="false"/>
                <w:smallCaps w:val="false"/>
                <w:spacing w:val="-3"/>
                <w:sz w:val="16"/>
              </w:rPr>
              <w:t>registered 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accounting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firm 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2023</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4)</w:t>
            </w:r>
          </w:p>
        </w:tc>
      </w:tr>
    </w:tbl>
    <w:p>
      <w:pPr>
        <w:pStyle w:val="TextBody"/>
        <w:spacing w:before="0" w:after="0"/>
        <w:rPr/>
      </w:pPr>
      <w:r>
        <w:rPr/>
        <w:t> </w:t>
      </w:r>
    </w:p>
    <w:p>
      <w:pPr>
        <w:pStyle w:val="TextBody"/>
        <w:spacing w:before="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Where can I find more information about Republic?</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We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file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reports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SEC.</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available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website</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www.RepublicServices.com</w:t>
      </w:r>
      <w:r>
        <w:rPr>
          <w:rFonts w:ascii="Open Sans" w:hAnsi="Open Sans"/>
          <w:b w:val="false"/>
          <w:i w:val="false"/>
          <w:caps w:val="false"/>
          <w:smallCaps w:val="false"/>
          <w:spacing w:val="-4"/>
          <w:sz w:val="16"/>
        </w:rPr>
        <w:t xml:space="preserve"> </w:t>
      </w:r>
      <w:r>
        <w:rPr>
          <w:rFonts w:ascii="Open Sans" w:hAnsi="Open Sans"/>
          <w:b w:val="false"/>
          <w:i w:val="false"/>
          <w:caps w:val="false"/>
          <w:smallCaps w:val="false"/>
          <w:spacing w:val="-3"/>
          <w:sz w:val="16"/>
        </w:rPr>
        <w:t>(click</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3"/>
          <w:sz w:val="16"/>
        </w:rPr>
        <w:t>on “Investors”)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SEC’s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website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www.sec.gov.</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contained 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accessed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through,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website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part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incorporated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reference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Statement.</w:t>
      </w:r>
    </w:p>
    <w:p>
      <w:pPr>
        <w:pStyle w:val="TextBody"/>
        <w:spacing w:before="120" w:after="0"/>
        <w:rPr>
          <w:rFonts w:ascii="Open Sans SemiBold" w:hAnsi="Open Sans SemiBold"/>
          <w:b w:val="false"/>
          <w:i w:val="false"/>
          <w:caps w:val="false"/>
          <w:smallCaps w:val="false"/>
          <w:color w:val="004A7C"/>
          <w:spacing w:val="2"/>
          <w:sz w:val="17"/>
        </w:rPr>
      </w:pPr>
      <w:r>
        <w:rPr>
          <w:rFonts w:ascii="Open Sans SemiBold" w:hAnsi="Open Sans SemiBold"/>
          <w:b w:val="false"/>
          <w:i w:val="false"/>
          <w:caps w:val="false"/>
          <w:smallCaps w:val="false"/>
          <w:color w:val="004A7C"/>
          <w:spacing w:val="2"/>
          <w:sz w:val="17"/>
        </w:rPr>
        <w:t>Who can help answer my questions?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questions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about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help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Innisfree M&amp;A Incorporated,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which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firm assisting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solicitation,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toll-free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(877) 456-3427.</w:t>
      </w:r>
    </w:p>
    <w:p>
      <w:pPr>
        <w:pStyle w:val="TextBody"/>
        <w:spacing w:before="120" w:after="0"/>
        <w:rPr>
          <w:rFonts w:ascii="Open Sans SemiBold" w:hAnsi="Open Sans SemiBold"/>
          <w:b w:val="false"/>
          <w:i w:val="false"/>
          <w:caps w:val="false"/>
          <w:smallCaps w:val="false"/>
          <w:color w:val="004A7C"/>
          <w:spacing w:val="2"/>
          <w:sz w:val="17"/>
        </w:rPr>
      </w:pPr>
      <w:bookmarkStart w:id="105" w:name="EXPENSES_SOLICITATIONS"/>
      <w:bookmarkEnd w:id="105"/>
      <w:r>
        <w:rPr>
          <w:rFonts w:ascii="Open Sans SemiBold" w:hAnsi="Open Sans SemiBold"/>
          <w:b w:val="false"/>
          <w:i w:val="false"/>
          <w:caps w:val="false"/>
          <w:smallCaps w:val="false"/>
          <w:color w:val="004A7C"/>
          <w:spacing w:val="2"/>
          <w:sz w:val="17"/>
        </w:rPr>
        <w:t>Expenses of Solicitations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bear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cost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soliciting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proxies.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addition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solicitations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mail,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regular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employees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solicit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proxies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person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by telephone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without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additional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compensation.</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pay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all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costs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solicitation,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including</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certain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expenses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brokers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nominees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who mail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materials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customers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principals.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engaged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 xml:space="preserve">Innisfree M&amp;A Incorporated </w:t>
      </w:r>
      <w:r>
        <w:rPr>
          <w:rFonts w:ascii="Open Sans" w:hAnsi="Open Sans"/>
          <w:b w:val="false"/>
          <w:i w:val="false"/>
          <w:caps w:val="false"/>
          <w:smallCaps w:val="false"/>
          <w:spacing w:val="-5"/>
          <w:sz w:val="16"/>
        </w:rPr>
        <w:t xml:space="preserve">to </w:t>
      </w:r>
      <w:r>
        <w:rPr>
          <w:rFonts w:ascii="Open Sans" w:hAnsi="Open Sans"/>
          <w:b w:val="false"/>
          <w:i w:val="false"/>
          <w:caps w:val="false"/>
          <w:smallCaps w:val="false"/>
          <w:spacing w:val="-3"/>
          <w:sz w:val="16"/>
        </w:rPr>
        <w:t>help</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solicitation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 approximately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$20,000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plus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associated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expenses.</w:t>
      </w:r>
    </w:p>
    <w:p>
      <w:pPr>
        <w:pStyle w:val="TextBody"/>
        <w:spacing w:before="120" w:after="0"/>
        <w:rPr>
          <w:rFonts w:ascii="Open Sans SemiBold" w:hAnsi="Open Sans SemiBold"/>
          <w:b w:val="false"/>
          <w:i w:val="false"/>
          <w:caps w:val="false"/>
          <w:smallCaps w:val="false"/>
          <w:color w:val="004A7C"/>
          <w:spacing w:val="2"/>
          <w:sz w:val="17"/>
        </w:rPr>
      </w:pPr>
      <w:bookmarkStart w:id="106" w:name="PROXY_STATEMENT_MAILING_INFORMATION_HOUS"/>
      <w:bookmarkEnd w:id="106"/>
      <w:r>
        <w:rPr>
          <w:rFonts w:ascii="Open Sans SemiBold" w:hAnsi="Open Sans SemiBold"/>
          <w:b w:val="false"/>
          <w:i w:val="false"/>
          <w:caps w:val="false"/>
          <w:smallCaps w:val="false"/>
          <w:color w:val="004A7C"/>
          <w:spacing w:val="2"/>
          <w:sz w:val="17"/>
        </w:rPr>
        <w:t>Proxy Statement Mailing Information and Householding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SEC</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allows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us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deliver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single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Availability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Materials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one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address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shared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two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more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shareholders. This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delivery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method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referred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“householding”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can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result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savings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us.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deliver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single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package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containing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Notices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 Internet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Availability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Materials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multiple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who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share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address.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prefer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receive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separate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packages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containing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 Notices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Availability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Materials,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currently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address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another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wish</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 receive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only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package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containing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future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Notices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Availability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Materials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household,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please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contact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Broadridge,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toll free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1-866-540-7095.</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write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Broadridge,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Householding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Department,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51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Mercedes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Edgewood,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New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York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11717.</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permitted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rules,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making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Statement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 available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digital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online.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about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March 29, 2023,</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mailing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Availability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Materials containing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instructions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Statement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how</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online.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who receive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receive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printed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copy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materials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mail.</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would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like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receive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printed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copy,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please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follow</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 instructions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included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Notice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Internet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Availability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Materials.</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94</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120" w:after="0"/>
        <w:rPr>
          <w:rFonts w:ascii="Open Sans SemiBold" w:hAnsi="Open Sans SemiBold"/>
          <w:b w:val="false"/>
          <w:i w:val="false"/>
          <w:caps w:val="false"/>
          <w:smallCaps w:val="false"/>
          <w:color w:val="004A7C"/>
          <w:spacing w:val="2"/>
          <w:sz w:val="17"/>
        </w:rPr>
      </w:pPr>
      <w:bookmarkStart w:id="107" w:name="SUBMISSION_SHAREHOLDER_PROPOSALS_FOR_OUR"/>
      <w:bookmarkEnd w:id="107"/>
      <w:r>
        <w:rPr>
          <w:rFonts w:ascii="Open Sans SemiBold" w:hAnsi="Open Sans SemiBold"/>
          <w:b w:val="false"/>
          <w:i w:val="false"/>
          <w:caps w:val="false"/>
          <w:smallCaps w:val="false"/>
          <w:color w:val="004A7C"/>
          <w:spacing w:val="2"/>
          <w:sz w:val="17"/>
        </w:rPr>
        <w:t>Submission of Shareholder Proposals for Our 2024 Annual Meeting</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Any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who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wishes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action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next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presently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scheduled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2024,</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or who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wishes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nominate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candidate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must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submit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writing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Attention: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 Secretary,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Services,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18500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North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Phoenix,</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Arizona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85054.</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nomination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comply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time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period 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requirements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Bylaws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relating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nominations,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applicable.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Shareholders interested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submitting</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proposal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inclusion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statement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2024</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shareholders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do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so</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following</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 procedures</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prescribed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Bylaws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accordance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applicable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rules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under</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Exchange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Act.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proposals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must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received by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Secretary:</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n</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late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tha</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November 30, 2023</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submitte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fo</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inclusio</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prox</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material</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pursuan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Rul</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14a-8</w:t>
            </w:r>
            <w:r>
              <w:rPr>
                <w:rFonts w:ascii="Open Sans" w:hAnsi="Open Sans"/>
                <w:b w:val="false"/>
                <w:i w:val="false"/>
                <w:caps w:val="false"/>
                <w:smallCaps w:val="false"/>
                <w:color w:val="000000"/>
                <w:spacing w:val="0"/>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Exchang</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10"/>
                <w:sz w:val="16"/>
              </w:rPr>
              <w:t xml:space="preserve"> </w:t>
            </w:r>
            <w:r>
              <w:rPr>
                <w:rFonts w:ascii="Open Sans" w:hAnsi="Open Sans"/>
                <w:b w:val="false"/>
                <w:i w:val="false"/>
                <w:caps w:val="false"/>
                <w:smallCaps w:val="false"/>
                <w:color w:val="000000"/>
                <w:spacing w:val="-3"/>
                <w:sz w:val="16"/>
              </w:rPr>
              <w:t>Act;</w:t>
            </w:r>
          </w:p>
        </w:tc>
      </w:tr>
    </w:tbl>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69"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betwee</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January 13, 2024</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Februar</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12, </w:t>
            </w:r>
            <w:r>
              <w:rPr>
                <w:rFonts w:ascii="Open Sans" w:hAnsi="Open Sans"/>
                <w:b w:val="false"/>
                <w:i w:val="false"/>
                <w:caps w:val="false"/>
                <w:smallCaps w:val="false"/>
                <w:color w:val="000000"/>
                <w:spacing w:val="-3"/>
                <w:sz w:val="16"/>
              </w:rPr>
              <w:t>2024</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submitte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unde</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Bylaws</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whic</w:t>
            </w:r>
            <w:r>
              <w:rPr>
                <w:rFonts w:ascii="Open Sans" w:hAnsi="Open Sans"/>
                <w:b w:val="false"/>
                <w:i w:val="false"/>
                <w:caps w:val="false"/>
                <w:smallCaps w:val="false"/>
                <w:color w:val="000000"/>
                <w:spacing w:val="0"/>
                <w:sz w:val="16"/>
              </w:rPr>
              <w:t>h</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cas</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w</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ar</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no</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require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include</w:t>
            </w:r>
            <w:r>
              <w:rPr>
                <w:rFonts w:ascii="Open Sans" w:hAnsi="Open Sans"/>
                <w:b w:val="false"/>
                <w:i w:val="false"/>
                <w:caps w:val="false"/>
                <w:smallCaps w:val="false"/>
                <w:color w:val="000000"/>
                <w:spacing w:val="0"/>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prox</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materials</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8"/>
                <w:sz w:val="16"/>
              </w:rPr>
              <w:t xml:space="preserve"> </w:t>
            </w:r>
            <w:r>
              <w:rPr>
                <w:rFonts w:ascii="Open Sans" w:hAnsi="Open Sans"/>
                <w:b w:val="false"/>
                <w:i w:val="false"/>
                <w:caps w:val="false"/>
                <w:smallCaps w:val="false"/>
                <w:color w:val="000000"/>
                <w:spacing w:val="-3"/>
                <w:sz w:val="16"/>
              </w:rPr>
              <w:t>or</w:t>
            </w:r>
          </w:p>
        </w:tc>
      </w:tr>
    </w:tbl>
    <w:tbl>
      <w:tblPr>
        <w:tblW w:w="10513" w:type="dxa"/>
        <w:jc w:val="left"/>
        <w:tblInd w:w="0" w:type="dxa"/>
        <w:tblCellMar>
          <w:top w:w="0" w:type="dxa"/>
          <w:left w:w="0" w:type="dxa"/>
          <w:bottom w:w="0" w:type="dxa"/>
          <w:right w:w="0" w:type="dxa"/>
        </w:tblCellMar>
      </w:tblPr>
      <w:tblGrid>
        <w:gridCol w:w="60"/>
        <w:gridCol w:w="110"/>
        <w:gridCol w:w="10343"/>
      </w:tblGrid>
      <w:tr>
        <w:trPr/>
        <w:tc>
          <w:tcPr>
            <w:tcW w:w="60" w:type="dxa"/>
            <w:tcBorders/>
            <w:shd w:fill="auto" w:val="clear"/>
          </w:tcPr>
          <w:p>
            <w:pPr>
              <w:pStyle w:val="TableContents"/>
              <w:spacing w:before="0" w:after="0"/>
              <w:jc w:val="left"/>
              <w:rPr>
                <w:caps w:val="false"/>
                <w:smallCaps w:val="false"/>
                <w:color w:val="00497C"/>
                <w:spacing w:val="0"/>
              </w:rPr>
            </w:pPr>
            <w:r>
              <w:rPr>
                <w:caps w:val="false"/>
                <w:smallCaps w:val="false"/>
                <w:color w:val="00497C"/>
                <w:spacing w:val="0"/>
              </w:rPr>
              <w:t> </w:t>
            </w:r>
          </w:p>
        </w:tc>
        <w:tc>
          <w:tcPr>
            <w:tcW w:w="110" w:type="dxa"/>
            <w:tcBorders/>
            <w:shd w:fill="auto" w:val="clear"/>
          </w:tcPr>
          <w:p>
            <w:pPr>
              <w:pStyle w:val="TableContents"/>
              <w:spacing w:before="0" w:after="0"/>
              <w:jc w:val="left"/>
              <w:rPr>
                <w:caps w:val="false"/>
                <w:smallCaps w:val="false"/>
                <w:strike w:val="false"/>
                <w:dstrike w:val="false"/>
                <w:color w:val="00497C"/>
                <w:spacing w:val="0"/>
                <w:u w:val="none"/>
                <w:effect w:val="none"/>
              </w:rPr>
            </w:pPr>
            <w:r>
              <w:rPr>
                <w:caps w:val="false"/>
                <w:smallCaps w:val="false"/>
                <w:strike w:val="false"/>
                <w:dstrike w:val="false"/>
                <w:color w:val="00497C"/>
                <w:spacing w:val="0"/>
                <w:u w:val="none"/>
                <w:effect w:val="none"/>
              </w:rPr>
              <w:t>•</w:t>
            </w:r>
          </w:p>
        </w:tc>
        <w:tc>
          <w:tcPr>
            <w:tcW w:w="10343" w:type="dxa"/>
            <w:tcBorders/>
            <w:shd w:fill="auto" w:val="clear"/>
          </w:tcPr>
          <w:p>
            <w:pPr>
              <w:pStyle w:val="TableContents"/>
              <w:spacing w:before="0" w:after="0"/>
              <w:jc w:val="left"/>
              <w:rPr>
                <w:rFonts w:ascii="Open Sans" w:hAnsi="Open Sans"/>
                <w:b w:val="false"/>
                <w:i w:val="false"/>
                <w:caps w:val="false"/>
                <w:smallCaps w:val="false"/>
                <w:color w:val="00497C"/>
                <w:spacing w:val="0"/>
                <w:sz w:val="16"/>
              </w:rPr>
            </w:pPr>
            <w:r>
              <w:rPr>
                <w:rFonts w:ascii="Open Sans" w:hAnsi="Open Sans"/>
                <w:b w:val="false"/>
                <w:i w:val="false"/>
                <w:caps w:val="false"/>
                <w:smallCaps w:val="false"/>
                <w:color w:val="000000"/>
                <w:spacing w:val="-3"/>
                <w:sz w:val="16"/>
              </w:rPr>
              <w:t>betwee</w:t>
            </w:r>
            <w:r>
              <w:rPr>
                <w:rFonts w:ascii="Open Sans" w:hAnsi="Open Sans"/>
                <w:b w:val="false"/>
                <w:i w:val="false"/>
                <w:caps w:val="false"/>
                <w:smallCaps w:val="false"/>
                <w:color w:val="000000"/>
                <w:spacing w:val="0"/>
                <w:sz w:val="16"/>
              </w:rPr>
              <w:t>n</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October 31, 2023</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an</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November 30, 2023</w:t>
            </w:r>
            <w:r>
              <w:rPr>
                <w:rFonts w:ascii="Open Sans" w:hAnsi="Open Sans"/>
                <w:b w:val="false"/>
                <w:i w:val="false"/>
                <w:caps w:val="false"/>
                <w:smallCaps w:val="false"/>
                <w:color w:val="000000"/>
                <w:spacing w:val="0"/>
                <w:sz w:val="16"/>
              </w:rPr>
              <w: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f</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th</w:t>
            </w:r>
            <w:r>
              <w:rPr>
                <w:rFonts w:ascii="Open Sans" w:hAnsi="Open Sans"/>
                <w:b w:val="false"/>
                <w:i w:val="false"/>
                <w:caps w:val="false"/>
                <w:smallCaps w:val="false"/>
                <w:color w:val="000000"/>
                <w:spacing w:val="0"/>
                <w:sz w:val="16"/>
              </w:rPr>
              <w:t>e</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proposa</w:t>
            </w:r>
            <w:r>
              <w:rPr>
                <w:rFonts w:ascii="Open Sans" w:hAnsi="Open Sans"/>
                <w:b w:val="false"/>
                <w:i w:val="false"/>
                <w:caps w:val="false"/>
                <w:smallCaps w:val="false"/>
                <w:color w:val="000000"/>
                <w:spacing w:val="0"/>
                <w:sz w:val="16"/>
              </w:rPr>
              <w:t>l</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i</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submitte</w:t>
            </w:r>
            <w:r>
              <w:rPr>
                <w:rFonts w:ascii="Open Sans" w:hAnsi="Open Sans"/>
                <w:b w:val="false"/>
                <w:i w:val="false"/>
                <w:caps w:val="false"/>
                <w:smallCaps w:val="false"/>
                <w:color w:val="000000"/>
                <w:spacing w:val="0"/>
                <w:sz w:val="16"/>
              </w:rPr>
              <w:t>d</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pursuan</w:t>
            </w:r>
            <w:r>
              <w:rPr>
                <w:rFonts w:ascii="Open Sans" w:hAnsi="Open Sans"/>
                <w:b w:val="false"/>
                <w:i w:val="false"/>
                <w:caps w:val="false"/>
                <w:smallCaps w:val="false"/>
                <w:color w:val="000000"/>
                <w:spacing w:val="0"/>
                <w:sz w:val="16"/>
              </w:rPr>
              <w:t>t</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t</w:t>
            </w:r>
            <w:r>
              <w:rPr>
                <w:rFonts w:ascii="Open Sans" w:hAnsi="Open Sans"/>
                <w:b w:val="false"/>
                <w:i w:val="false"/>
                <w:caps w:val="false"/>
                <w:smallCaps w:val="false"/>
                <w:color w:val="000000"/>
                <w:spacing w:val="0"/>
                <w:sz w:val="16"/>
              </w:rPr>
              <w:t>o</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ou</w:t>
            </w:r>
            <w:r>
              <w:rPr>
                <w:rFonts w:ascii="Open Sans" w:hAnsi="Open Sans"/>
                <w:b w:val="false"/>
                <w:i w:val="false"/>
                <w:caps w:val="false"/>
                <w:smallCaps w:val="false"/>
                <w:color w:val="000000"/>
                <w:spacing w:val="0"/>
                <w:sz w:val="16"/>
              </w:rPr>
              <w:t>r</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prox</w:t>
            </w:r>
            <w:r>
              <w:rPr>
                <w:rFonts w:ascii="Open Sans" w:hAnsi="Open Sans"/>
                <w:b w:val="false"/>
                <w:i w:val="false"/>
                <w:caps w:val="false"/>
                <w:smallCaps w:val="false"/>
                <w:color w:val="000000"/>
                <w:spacing w:val="0"/>
                <w:sz w:val="16"/>
              </w:rPr>
              <w:t>y</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acces</w:t>
            </w:r>
            <w:r>
              <w:rPr>
                <w:rFonts w:ascii="Open Sans" w:hAnsi="Open Sans"/>
                <w:b w:val="false"/>
                <w:i w:val="false"/>
                <w:caps w:val="false"/>
                <w:smallCaps w:val="false"/>
                <w:color w:val="000000"/>
                <w:spacing w:val="0"/>
                <w:sz w:val="16"/>
              </w:rPr>
              <w:t>s</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Byla</w:t>
            </w:r>
            <w:r>
              <w:rPr>
                <w:rFonts w:ascii="Open Sans" w:hAnsi="Open Sans"/>
                <w:b w:val="false"/>
                <w:i w:val="false"/>
                <w:caps w:val="false"/>
                <w:smallCaps w:val="false"/>
                <w:color w:val="000000"/>
                <w:spacing w:val="0"/>
                <w:sz w:val="16"/>
              </w:rPr>
              <w:t>w</w:t>
            </w:r>
            <w:r>
              <w:rPr>
                <w:rFonts w:ascii="Open Sans" w:hAnsi="Open Sans"/>
                <w:b w:val="false"/>
                <w:i w:val="false"/>
                <w:caps w:val="false"/>
                <w:smallCaps w:val="false"/>
                <w:color w:val="000000"/>
                <w:spacing w:val="-5"/>
                <w:sz w:val="16"/>
              </w:rPr>
              <w:t xml:space="preserve"> </w:t>
            </w:r>
            <w:r>
              <w:rPr>
                <w:rFonts w:ascii="Open Sans" w:hAnsi="Open Sans"/>
                <w:b w:val="false"/>
                <w:i w:val="false"/>
                <w:caps w:val="false"/>
                <w:smallCaps w:val="false"/>
                <w:color w:val="000000"/>
                <w:spacing w:val="-3"/>
                <w:sz w:val="16"/>
              </w:rPr>
              <w:t>provision.</w:t>
            </w:r>
          </w:p>
        </w:tc>
      </w:tr>
    </w:tbl>
    <w:p>
      <w:pPr>
        <w:pStyle w:val="TextBody"/>
        <w:spacing w:before="120" w:after="0"/>
        <w:rPr>
          <w:rFonts w:ascii="Open Sans SemiBold" w:hAnsi="Open Sans SemiBold"/>
          <w:b w:val="false"/>
          <w:i w:val="false"/>
          <w:caps w:val="false"/>
          <w:smallCaps w:val="false"/>
          <w:color w:val="004A7C"/>
          <w:spacing w:val="2"/>
          <w:sz w:val="17"/>
        </w:rPr>
      </w:pPr>
      <w:bookmarkStart w:id="108" w:name="MISCELLANEOUS_MATTERS"/>
      <w:bookmarkEnd w:id="108"/>
      <w:r>
        <w:rPr>
          <w:rFonts w:ascii="Open Sans SemiBold" w:hAnsi="Open Sans SemiBold"/>
          <w:b w:val="false"/>
          <w:i w:val="false"/>
          <w:caps w:val="false"/>
          <w:smallCaps w:val="false"/>
          <w:color w:val="004A7C"/>
          <w:spacing w:val="2"/>
          <w:sz w:val="17"/>
        </w:rPr>
        <w:t>Miscellaneous Matters</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covering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fiscal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available electronically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Statement.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contains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financial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 other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about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us,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but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incorporated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Statement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considered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part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these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soliciting</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materials 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subject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Regulations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14A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14C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liabilities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Exchange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information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contained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“Talent &amp; Compensation 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“Audit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Committee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or any hyperlinks contained in this Proxy Statement </w:t>
      </w:r>
      <w:r>
        <w:rPr>
          <w:rFonts w:ascii="Open Sans" w:hAnsi="Open Sans"/>
          <w:b w:val="false"/>
          <w:i w:val="false"/>
          <w:caps w:val="false"/>
          <w:smallCaps w:val="false"/>
          <w:spacing w:val="-3"/>
          <w:sz w:val="16"/>
        </w:rPr>
        <w:t>shall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deemed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subject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Regulations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14A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14C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liabilities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18</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Exchange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mail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upon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written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request,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without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charge,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each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shareholder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Record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Date,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copy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 10-K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fiscal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year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ended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December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31,</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2022,</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filed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exhibits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listed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furnished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upon request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expense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furnishing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exhibits.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such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requests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should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Attention: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Office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Corporate Secretary,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Republic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Services,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Inc.,</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18500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North</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Allied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Phoenix,</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Arizona</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85054.</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Report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10-K</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exhibits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thereto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also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 available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website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www.RepublicServices.com</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or</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SEC’s</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website</w:t>
      </w:r>
      <w:r>
        <w:rPr>
          <w:rFonts w:ascii="Open Sans" w:hAnsi="Open Sans"/>
          <w:b w:val="false"/>
          <w:i w:val="false"/>
          <w:caps w:val="false"/>
          <w:smallCaps w:val="false"/>
          <w:spacing w:val="-10"/>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9"/>
          <w:sz w:val="16"/>
        </w:rPr>
        <w:t xml:space="preserve"> </w:t>
      </w:r>
      <w:r>
        <w:rPr>
          <w:rFonts w:ascii="Open Sans" w:hAnsi="Open Sans"/>
          <w:b w:val="false"/>
          <w:i w:val="false"/>
          <w:caps w:val="false"/>
          <w:smallCaps w:val="false"/>
          <w:spacing w:val="-3"/>
          <w:sz w:val="16"/>
        </w:rPr>
        <w:t>www.sec.gov.</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again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invited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attend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hold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 virtual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10:30</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Pacific Time,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Friday,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May</w:t>
      </w:r>
      <w:r>
        <w:rPr>
          <w:rFonts w:ascii="Open Sans" w:hAnsi="Open Sans"/>
          <w:b w:val="false"/>
          <w:i w:val="false"/>
          <w:caps w:val="false"/>
          <w:smallCaps w:val="false"/>
          <w:spacing w:val="-5"/>
          <w:sz w:val="16"/>
        </w:rPr>
        <w:t xml:space="preserve"> 12</w:t>
      </w:r>
      <w:r>
        <w:rPr>
          <w:rFonts w:ascii="Open Sans" w:hAnsi="Open Sans"/>
          <w:b w:val="false"/>
          <w:i w:val="false"/>
          <w:caps w:val="false"/>
          <w:smallCaps w:val="false"/>
          <w:spacing w:val="-3"/>
          <w:sz w:val="16"/>
        </w:rPr>
        <w: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2023</w:t>
      </w:r>
      <w:r>
        <w:rPr>
          <w:rFonts w:ascii="Open Sans" w:hAnsi="Open Sans"/>
          <w:b w:val="false"/>
          <w:i w:val="false"/>
          <w:caps w:val="false"/>
          <w:smallCaps w:val="false"/>
          <w:spacing w:val="-5"/>
          <w:sz w:val="16"/>
        </w:rPr>
        <w:t xml:space="preserve"> online at www.virtualshareholdermeeting.com/RSG2023.  </w:t>
      </w:r>
    </w:p>
    <w:p>
      <w:pPr>
        <w:pStyle w:val="TextBody"/>
        <w:spacing w:before="120" w:after="0"/>
        <w:rPr>
          <w:rFonts w:ascii="Open Sans" w:hAnsi="Open Sans"/>
          <w:b w:val="false"/>
          <w:i w:val="false"/>
          <w:caps w:val="false"/>
          <w:smallCaps w:val="false"/>
          <w:spacing w:val="-3"/>
          <w:sz w:val="16"/>
        </w:rPr>
      </w:pP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than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items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described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herein,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management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does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intend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present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items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business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knows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no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other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matters that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will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brought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before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However,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additional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matters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properly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brought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before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Annual</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Meeting,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persons named</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shall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vote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proxies</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their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discretion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manner</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they</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believe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be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our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3"/>
          <w:sz w:val="16"/>
        </w:rPr>
        <w:t>best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interest.</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We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have</w:t>
      </w:r>
      <w:r>
        <w:rPr>
          <w:rFonts w:ascii="Open Sans" w:hAnsi="Open Sans"/>
          <w:b w:val="false"/>
          <w:i w:val="false"/>
          <w:caps w:val="false"/>
          <w:smallCaps w:val="false"/>
          <w:spacing w:val="-8"/>
          <w:sz w:val="16"/>
        </w:rPr>
        <w:t xml:space="preserve"> </w:t>
      </w:r>
      <w:r>
        <w:rPr>
          <w:rFonts w:ascii="Open Sans" w:hAnsi="Open Sans"/>
          <w:b w:val="false"/>
          <w:i w:val="false"/>
          <w:caps w:val="false"/>
          <w:smallCaps w:val="false"/>
          <w:spacing w:val="-3"/>
          <w:sz w:val="16"/>
        </w:rPr>
        <w:t>prepared 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accompanying</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form</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of</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proxy</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direction</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and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provide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it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to</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at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request.</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Your</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Board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has</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designated</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the</w:t>
      </w:r>
      <w:r>
        <w:rPr>
          <w:rFonts w:ascii="Open Sans" w:hAnsi="Open Sans"/>
          <w:b w:val="false"/>
          <w:i w:val="false"/>
          <w:caps w:val="false"/>
          <w:smallCaps w:val="false"/>
          <w:spacing w:val="-5"/>
          <w:sz w:val="16"/>
        </w:rPr>
        <w:t xml:space="preserve"> </w:t>
      </w:r>
      <w:r>
        <w:rPr>
          <w:rFonts w:ascii="Open Sans" w:hAnsi="Open Sans"/>
          <w:b w:val="false"/>
          <w:i w:val="false"/>
          <w:caps w:val="false"/>
          <w:smallCaps w:val="false"/>
          <w:spacing w:val="-3"/>
          <w:sz w:val="16"/>
        </w:rPr>
        <w:t>proxies named</w:t>
      </w:r>
      <w:r>
        <w:rPr>
          <w:rFonts w:ascii="Open Sans" w:hAnsi="Open Sans"/>
          <w:b w:val="false"/>
          <w:i w:val="false"/>
          <w:caps w:val="false"/>
          <w:smallCaps w:val="false"/>
          <w:spacing w:val="-17"/>
          <w:sz w:val="16"/>
        </w:rPr>
        <w:t xml:space="preserve"> </w:t>
      </w:r>
      <w:r>
        <w:rPr>
          <w:rFonts w:ascii="Open Sans" w:hAnsi="Open Sans"/>
          <w:b w:val="false"/>
          <w:i w:val="false"/>
          <w:caps w:val="false"/>
          <w:smallCaps w:val="false"/>
          <w:spacing w:val="-3"/>
          <w:sz w:val="16"/>
        </w:rPr>
        <w:t>therein.</w:t>
      </w:r>
    </w:p>
    <w:p>
      <w:pPr>
        <w:pStyle w:val="TextBody"/>
        <w:spacing w:before="12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95</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639050" cy="949642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7639050" cy="9496425"/>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 xml:space="preserve">Republic® services Sustainability in Action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524750" cy="964882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7524750" cy="9648825"/>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Annex</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31"/>
        </w:rPr>
      </w:pPr>
      <w:bookmarkStart w:id="109" w:name="ANNEX_A"/>
      <w:bookmarkEnd w:id="109"/>
      <w:r>
        <w:rPr>
          <w:rFonts w:ascii="Open Sans" w:hAnsi="Open Sans"/>
          <w:b/>
          <w:i w:val="false"/>
          <w:caps w:val="false"/>
          <w:smallCaps w:val="false"/>
          <w:color w:val="004A7C"/>
          <w:sz w:val="31"/>
        </w:rPr>
        <w:t>Annex—CD&amp;A APPENDIX</w:t>
      </w:r>
    </w:p>
    <w:p>
      <w:pPr>
        <w:pStyle w:val="TextBody"/>
        <w:spacing w:before="240" w:after="0"/>
        <w:rPr>
          <w:rFonts w:ascii="Open Sans" w:hAnsi="Open Sans"/>
          <w:b/>
          <w:i w:val="false"/>
          <w:caps w:val="false"/>
          <w:smallCaps w:val="false"/>
          <w:color w:val="004A7C"/>
          <w:sz w:val="27"/>
        </w:rPr>
      </w:pPr>
      <w:bookmarkStart w:id="110" w:name="GAAP_Reconciliation"/>
      <w:bookmarkEnd w:id="110"/>
      <w:r>
        <w:rPr>
          <w:rFonts w:ascii="Open Sans" w:hAnsi="Open Sans"/>
          <w:b/>
          <w:i w:val="false"/>
          <w:caps w:val="false"/>
          <w:smallCaps w:val="false"/>
          <w:color w:val="004A7C"/>
          <w:sz w:val="27"/>
        </w:rPr>
        <w:t>Reconciliation</w:t>
      </w:r>
      <w:r>
        <w:rPr>
          <w:rFonts w:ascii="Open Sans" w:hAnsi="Open Sans"/>
          <w:b/>
          <w:i w:val="false"/>
          <w:caps w:val="false"/>
          <w:smallCaps w:val="false"/>
          <w:color w:val="004A7C"/>
          <w:spacing w:val="-1"/>
          <w:sz w:val="27"/>
        </w:rPr>
        <w:t xml:space="preserve"> </w:t>
      </w:r>
      <w:r>
        <w:rPr>
          <w:rFonts w:ascii="Open Sans" w:hAnsi="Open Sans"/>
          <w:b/>
          <w:i w:val="false"/>
          <w:caps w:val="false"/>
          <w:smallCaps w:val="false"/>
          <w:color w:val="004A7C"/>
          <w:sz w:val="27"/>
        </w:rPr>
        <w:t>of GAAP to Non-GAAP Financial Measures</w:t>
      </w:r>
    </w:p>
    <w:p>
      <w:pPr>
        <w:pStyle w:val="TextBody"/>
        <w:spacing w:before="0" w:after="0"/>
        <w:rPr/>
      </w:pPr>
      <w:r>
        <w:rPr/>
        <w:t> </w:t>
      </w:r>
    </w:p>
    <w:tbl>
      <w:tblPr>
        <w:tblW w:w="8449" w:type="dxa"/>
        <w:jc w:val="left"/>
        <w:tblInd w:w="0" w:type="dxa"/>
        <w:tblCellMar>
          <w:top w:w="0" w:type="dxa"/>
          <w:left w:w="0" w:type="dxa"/>
          <w:bottom w:w="0" w:type="dxa"/>
          <w:right w:w="0" w:type="dxa"/>
        </w:tblCellMar>
      </w:tblPr>
      <w:tblGrid>
        <w:gridCol w:w="5630"/>
        <w:gridCol w:w="60"/>
        <w:gridCol w:w="60"/>
        <w:gridCol w:w="800"/>
        <w:gridCol w:w="60"/>
        <w:gridCol w:w="60"/>
        <w:gridCol w:w="800"/>
        <w:gridCol w:w="60"/>
        <w:gridCol w:w="60"/>
        <w:gridCol w:w="85"/>
        <w:gridCol w:w="714"/>
        <w:gridCol w:w="60"/>
      </w:tblGrid>
      <w:tr>
        <w:trPr/>
        <w:tc>
          <w:tcPr>
            <w:tcW w:w="5630"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ADJUSTED DILUTED EARNINGS PER SHARE</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99" w:type="dxa"/>
            <w:gridSpan w:val="2"/>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14"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Diluted earnings per share—as reported</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$3.02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$4.04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$4.69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on extinguishment of debt and other related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0.23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pPr>
            <w:r>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Bridgeton insurance recovery, net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Restructuring charges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(gain) on business divestitures and asset impairments, net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0.21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Adjustment to withdrawal liability for a multiemployer pension fund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pPr>
            <w:r>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Accelerated vesting of compensation expense for CEO transition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center"/>
              <w:rPr/>
            </w:pPr>
            <w:r>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US Ecology acquisition integration and deal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0.19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r>
        <w:trPr/>
        <w:tc>
          <w:tcPr>
            <w:tcW w:w="563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54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Diluted earnings per share—as adjusted</w:t>
            </w:r>
          </w:p>
        </w:tc>
        <w:tc>
          <w:tcPr>
            <w:tcW w:w="60" w:type="dxa"/>
            <w:tcBorders>
              <w:top w:val="single" w:sz="6" w:space="0" w:color="FFFFFF"/>
              <w:bottom w:val="single" w:sz="6" w:space="0" w:color="D8E1E9"/>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$3.56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$4.17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5"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14"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$4.93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rPr/>
            </w:pPr>
            <w:r>
              <w:rPr/>
              <w:t> </w:t>
            </w:r>
          </w:p>
        </w:tc>
      </w:tr>
    </w:tbl>
    <w:p>
      <w:pPr>
        <w:pStyle w:val="TextBody"/>
        <w:spacing w:before="0" w:after="0"/>
        <w:rPr/>
      </w:pPr>
      <w:r>
        <w:rPr/>
        <w:t> </w:t>
      </w:r>
    </w:p>
    <w:tbl>
      <w:tblPr>
        <w:tblW w:w="9290" w:type="dxa"/>
        <w:jc w:val="left"/>
        <w:tblInd w:w="0" w:type="dxa"/>
        <w:tblCellMar>
          <w:top w:w="0" w:type="dxa"/>
          <w:left w:w="0" w:type="dxa"/>
          <w:bottom w:w="0" w:type="dxa"/>
          <w:right w:w="0" w:type="dxa"/>
        </w:tblCellMar>
      </w:tblPr>
      <w:tblGrid>
        <w:gridCol w:w="6515"/>
        <w:gridCol w:w="60"/>
        <w:gridCol w:w="60"/>
        <w:gridCol w:w="800"/>
        <w:gridCol w:w="60"/>
        <w:gridCol w:w="60"/>
        <w:gridCol w:w="800"/>
        <w:gridCol w:w="60"/>
        <w:gridCol w:w="60"/>
        <w:gridCol w:w="60"/>
        <w:gridCol w:w="755"/>
      </w:tblGrid>
      <w:tr>
        <w:trPr/>
        <w:tc>
          <w:tcPr>
            <w:tcW w:w="6515"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ADJUSTED FREE CASH FLOW (IN MILLIONS)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15" w:type="dxa"/>
            <w:gridSpan w:val="2"/>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r>
      <w:tr>
        <w:trPr/>
        <w:tc>
          <w:tcPr>
            <w:tcW w:w="651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6515" w:type="dxa"/>
            <w:tcBorders>
              <w:top w:val="single" w:sz="6" w:space="0" w:color="D8E1E9"/>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Cash provided by operating activities</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$2,471.6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$2,786.7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$3,190</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Property and equipment received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(1,240.6)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(1,303.6)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(1,552.5)</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Proceeds from sales of property and equipment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30.1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19.5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32.8</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Divestiture related tax (payments) benefits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(9.7)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Cash tax benefit for debt extinguishment and other related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(26.0)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Adjustment to withdrawal liability for a multiemployer pension fund, net of tax</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2.2</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Restructuring payments, net of tax</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11.5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14.6</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Bridgeton insurance recovery, net of tax</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(26.4)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US Ecology acquisition integration and deal costs, net of tax</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52.8</w:t>
            </w:r>
          </w:p>
        </w:tc>
      </w:tr>
      <w:tr>
        <w:trPr/>
        <w:tc>
          <w:tcPr>
            <w:tcW w:w="6515" w:type="dxa"/>
            <w:tcBorders>
              <w:top w:val="single" w:sz="6" w:space="0" w:color="FFFFFF"/>
              <w:bottom w:val="single" w:sz="6" w:space="0" w:color="FFFFFF"/>
            </w:tcBorders>
            <w:shd w:fill="D8E1E9" w:val="clear"/>
            <w:tcMar>
              <w:top w:w="28" w:type="dxa"/>
              <w:bottom w:w="28" w:type="dxa"/>
            </w:tcMar>
          </w:tcPr>
          <w:p>
            <w:pPr>
              <w:pStyle w:val="TableContents"/>
              <w:spacing w:before="0" w:after="0"/>
              <w:ind w:left="540"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Free cash flow - as adjusted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$1,235.9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$1,515.2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55"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$1,742.4</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200"/>
        <w:gridCol w:w="80"/>
        <w:gridCol w:w="3260"/>
        <w:gridCol w:w="60"/>
      </w:tblGrid>
      <w:tr>
        <w:trPr/>
        <w:tc>
          <w:tcPr>
            <w:tcW w:w="20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98</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tbl>
      <w:tblPr>
        <w:tblW w:w="8390" w:type="dxa"/>
        <w:jc w:val="left"/>
        <w:tblInd w:w="0" w:type="dxa"/>
        <w:tblCellMar>
          <w:top w:w="0" w:type="dxa"/>
          <w:left w:w="0" w:type="dxa"/>
          <w:bottom w:w="0" w:type="dxa"/>
          <w:right w:w="0" w:type="dxa"/>
        </w:tblCellMar>
      </w:tblPr>
      <w:tblGrid>
        <w:gridCol w:w="5630"/>
        <w:gridCol w:w="60"/>
        <w:gridCol w:w="60"/>
        <w:gridCol w:w="800"/>
        <w:gridCol w:w="60"/>
        <w:gridCol w:w="60"/>
        <w:gridCol w:w="800"/>
        <w:gridCol w:w="60"/>
        <w:gridCol w:w="60"/>
        <w:gridCol w:w="60"/>
        <w:gridCol w:w="740"/>
      </w:tblGrid>
      <w:tr>
        <w:trPr/>
        <w:tc>
          <w:tcPr>
            <w:tcW w:w="5630"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ADJUSTED EBITDA (IN MILLIONS)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gridSpan w:val="2"/>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r>
      <w:tr>
        <w:trPr/>
        <w:tc>
          <w:tcPr>
            <w:tcW w:w="563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5630" w:type="dxa"/>
            <w:tcBorders>
              <w:top w:val="single" w:sz="6" w:space="0" w:color="D8E1E9"/>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Net Income attributable to Republic Services, Inc.</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$967.2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center"/>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$1,290.4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$1,487.6</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Net income attributable to non-controlling interests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Provision for income taxes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173.1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282.8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343.9</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Other (income) expense, net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2.3</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Interest income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(3.3)</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Interest expense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355.6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314.6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395.6</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Depreciation, amortization and depletion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1,075.9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1,185.5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1,351.6</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Accretion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82.9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82.7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89.6</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from unconsolidated equity method investment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118.2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188.5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165.6</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on extinguishment of debt and other related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101.9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Restructuring charges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20.0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27</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(gain) on business divestitures and impairments, net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77.7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(6.3)</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Accelerated vesting of compensation expense for CEO transition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22.0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Adjustment to withdrawal liability for a multiemployer pension fund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34.5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Bridgeton insurance recovery</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tcPr>
          <w:p>
            <w:pPr>
              <w:pStyle w:val="TableContents"/>
              <w:spacing w:before="0" w:after="0"/>
              <w:ind w:left="29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US Ecology acquisition integration and deal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77.3</w:t>
            </w:r>
          </w:p>
        </w:tc>
      </w:tr>
      <w:tr>
        <w:trPr/>
        <w:tc>
          <w:tcPr>
            <w:tcW w:w="5630" w:type="dxa"/>
            <w:tcBorders>
              <w:top w:val="single" w:sz="6" w:space="0" w:color="FFFFFF"/>
              <w:bottom w:val="single" w:sz="6" w:space="0" w:color="D8E1E9"/>
            </w:tcBorders>
            <w:shd w:fill="D8E1E9" w:val="clear"/>
            <w:tcMar>
              <w:top w:w="28" w:type="dxa"/>
              <w:bottom w:w="28" w:type="dxa"/>
            </w:tcMar>
          </w:tcPr>
          <w:p>
            <w:pPr>
              <w:pStyle w:val="TableContents"/>
              <w:spacing w:before="0" w:after="0"/>
              <w:ind w:left="54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Adjusted EBITDA</w:t>
            </w:r>
          </w:p>
        </w:tc>
        <w:tc>
          <w:tcPr>
            <w:tcW w:w="60" w:type="dxa"/>
            <w:tcBorders>
              <w:top w:val="single" w:sz="6" w:space="0" w:color="FFFFFF"/>
              <w:bottom w:val="single" w:sz="6" w:space="0" w:color="D8E1E9"/>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$2,989.3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$3,383.5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rPr/>
            </w:pPr>
            <w:r>
              <w:rPr/>
              <w:t> </w:t>
            </w:r>
          </w:p>
        </w:tc>
        <w:tc>
          <w:tcPr>
            <w:tcW w:w="74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$3,929.3</w:t>
            </w:r>
          </w:p>
        </w:tc>
      </w:tr>
    </w:tbl>
    <w:p>
      <w:pPr>
        <w:pStyle w:val="TextBody"/>
        <w:spacing w:before="0" w:after="0"/>
        <w:rPr/>
      </w:pPr>
      <w:r>
        <w:rPr/>
        <w:t> </w:t>
      </w:r>
    </w:p>
    <w:p>
      <w:pPr>
        <w:pStyle w:val="TextBody"/>
        <w:spacing w:before="240" w:after="0"/>
        <w:rPr/>
      </w:pPr>
      <w:r>
        <w:rPr/>
        <w:t> </w:t>
      </w:r>
    </w:p>
    <w:tbl>
      <w:tblPr>
        <w:tblW w:w="3600" w:type="dxa"/>
        <w:jc w:val="left"/>
        <w:tblInd w:w="0" w:type="dxa"/>
        <w:tblCellMar>
          <w:top w:w="0" w:type="dxa"/>
          <w:left w:w="0" w:type="dxa"/>
          <w:bottom w:w="0" w:type="dxa"/>
          <w:right w:w="0" w:type="dxa"/>
        </w:tblCellMar>
      </w:tblPr>
      <w:tblGrid>
        <w:gridCol w:w="60"/>
        <w:gridCol w:w="3260"/>
        <w:gridCol w:w="80"/>
        <w:gridCol w:w="20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0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99</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6"/>
        </w:rPr>
      </w:pPr>
      <w:r>
        <w:rPr>
          <w:rFonts w:ascii="Open Sans" w:hAnsi="Open Sans"/>
          <w:b/>
          <w:i w:val="false"/>
          <w:caps w:val="false"/>
          <w:smallCaps w:val="false"/>
          <w:color w:val="004A7C"/>
          <w:sz w:val="26"/>
        </w:rPr>
        <w:t>Calculation of Actual Results for Annual Incentive Performance Measures and GAAP Reconciliation</w:t>
      </w:r>
    </w:p>
    <w:p>
      <w:pPr>
        <w:pStyle w:val="TextBody"/>
        <w:spacing w:before="0" w:after="0"/>
        <w:rPr/>
      </w:pPr>
      <w:r>
        <w:rPr/>
        <w:t> </w:t>
      </w:r>
    </w:p>
    <w:tbl>
      <w:tblPr>
        <w:tblW w:w="8390" w:type="dxa"/>
        <w:jc w:val="left"/>
        <w:tblInd w:w="0" w:type="dxa"/>
        <w:tblCellMar>
          <w:top w:w="0" w:type="dxa"/>
          <w:left w:w="0" w:type="dxa"/>
          <w:bottom w:w="0" w:type="dxa"/>
          <w:right w:w="0" w:type="dxa"/>
        </w:tblCellMar>
      </w:tblPr>
      <w:tblGrid>
        <w:gridCol w:w="5630"/>
        <w:gridCol w:w="60"/>
        <w:gridCol w:w="60"/>
        <w:gridCol w:w="800"/>
        <w:gridCol w:w="60"/>
        <w:gridCol w:w="60"/>
        <w:gridCol w:w="800"/>
        <w:gridCol w:w="60"/>
        <w:gridCol w:w="60"/>
        <w:gridCol w:w="800"/>
      </w:tblGrid>
      <w:tr>
        <w:trPr/>
        <w:tc>
          <w:tcPr>
            <w:tcW w:w="5630"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EARNINGS PER SHARE MEASURE</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r>
      <w:tr>
        <w:trPr/>
        <w:tc>
          <w:tcPr>
            <w:tcW w:w="563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auto"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auto"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auto"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auto" w:val="clear"/>
            <w:tcMar>
              <w:bottom w:w="28" w:type="dxa"/>
            </w:tcMar>
            <w:vAlign w:val="bottom"/>
          </w:tcPr>
          <w:p>
            <w:pPr>
              <w:pStyle w:val="TableContents"/>
              <w:spacing w:before="0" w:after="0"/>
              <w:ind w:left="0" w:right="0" w:hanging="0"/>
              <w:jc w:val="center"/>
              <w:rPr/>
            </w:pPr>
            <w:r>
              <w:rPr/>
              <w:t> </w:t>
            </w:r>
          </w:p>
        </w:tc>
      </w:tr>
      <w:tr>
        <w:trPr/>
        <w:tc>
          <w:tcPr>
            <w:tcW w:w="563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Diluted earnings per share—as reported</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$3.02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$4.04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$4.69</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on extinguishment of debt and other related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0.23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Restructuring charges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0.06</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Adjustment to withdrawal liability for a multiemployer pension fund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Loss (gain) on business divestitures and asset impairments, net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0.20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(0.01)</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US Ecology acquisition integration and deal costs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0.19</w:t>
            </w:r>
          </w:p>
        </w:tc>
      </w:tr>
      <w:tr>
        <w:trPr/>
        <w:tc>
          <w:tcPr>
            <w:tcW w:w="563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54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Earnings per share measure</w:t>
            </w:r>
          </w:p>
        </w:tc>
        <w:tc>
          <w:tcPr>
            <w:tcW w:w="60" w:type="dxa"/>
            <w:tcBorders>
              <w:top w:val="single" w:sz="6" w:space="0" w:color="FFFFFF"/>
              <w:bottom w:val="single" w:sz="6" w:space="0" w:color="D8E1E9"/>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$3.58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$4.10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$4.93</w:t>
            </w:r>
          </w:p>
        </w:tc>
      </w:tr>
      <w:tr>
        <w:trPr/>
        <w:tc>
          <w:tcPr>
            <w:tcW w:w="5630" w:type="dxa"/>
            <w:tcBorders>
              <w:top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center"/>
          </w:tcPr>
          <w:p>
            <w:pPr>
              <w:pStyle w:val="TableContents"/>
              <w:spacing w:before="0" w:after="0"/>
              <w:ind w:left="0" w:right="0" w:hanging="0"/>
              <w:jc w:val="center"/>
              <w:rPr>
                <w:caps w:val="false"/>
                <w:smallCaps w:val="false"/>
                <w:color w:val="004A7C"/>
              </w:rPr>
            </w:pPr>
            <w:r>
              <w:rPr>
                <w:caps w:val="false"/>
                <w:smallCaps w:val="false"/>
                <w:color w:val="004A7C"/>
              </w:rPr>
              <w:t> </w:t>
            </w:r>
          </w:p>
        </w:tc>
      </w:tr>
      <w:tr>
        <w:trPr/>
        <w:tc>
          <w:tcPr>
            <w:tcW w:w="563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r>
      <w:tr>
        <w:trPr/>
        <w:tc>
          <w:tcPr>
            <w:tcW w:w="563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r>
      <w:tr>
        <w:trPr/>
        <w:tc>
          <w:tcPr>
            <w:tcW w:w="563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800" w:type="dxa"/>
            <w:tcBorders/>
            <w:shd w:fill="FFFFFF" w:val="clear"/>
            <w:vAlign w:val="center"/>
          </w:tcPr>
          <w:p>
            <w:pPr>
              <w:pStyle w:val="TableContents"/>
              <w:spacing w:before="0" w:after="0"/>
              <w:ind w:left="0" w:right="0" w:hanging="0"/>
              <w:jc w:val="center"/>
              <w:rPr/>
            </w:pPr>
            <w:r>
              <w:rPr/>
              <w:t> </w:t>
            </w:r>
          </w:p>
        </w:tc>
      </w:tr>
      <w:tr>
        <w:trPr/>
        <w:tc>
          <w:tcPr>
            <w:tcW w:w="5630"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FREE CASH FLOW MEASURE (IN MILLIONS)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r>
      <w:tr>
        <w:trPr/>
        <w:tc>
          <w:tcPr>
            <w:tcW w:w="563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pPr>
            <w:r>
              <w:rPr/>
              <w:t> </w:t>
            </w:r>
          </w:p>
        </w:tc>
      </w:tr>
      <w:tr>
        <w:trPr/>
        <w:tc>
          <w:tcPr>
            <w:tcW w:w="563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Cash provided by operating activities</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$2,471.6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$2,786.7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$3,190.0</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Property and equipment received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(1,240.6)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(1,303.6)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(1,552.5)</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Proceeds from sales of property and equipment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30.1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19.5</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32.8</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Divestiture related tax (payments) benefits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(9.7)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(0.1)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Cash tax benefit for debt extinguishment</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(26.0)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Adjustment to withdrawal liability for a multiemployer pension fund</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6"/>
              </w:rPr>
            </w:pPr>
            <w:r>
              <w:rPr>
                <w:rFonts w:ascii="Open Sans" w:hAnsi="Open Sans"/>
                <w:b w:val="false"/>
                <w:i w:val="false"/>
                <w:caps w:val="false"/>
                <w:smallCaps w:val="false"/>
                <w:color w:val="004A7C"/>
                <w:sz w:val="16"/>
              </w:rPr>
              <w:t>2.2</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Restructuring payments, net of tax</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10.8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pPr>
            <w:r>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pPr>
            <w:r>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14.6</w:t>
            </w:r>
          </w:p>
        </w:tc>
      </w:tr>
      <w:tr>
        <w:trPr/>
        <w:tc>
          <w:tcPr>
            <w:tcW w:w="563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US Ecology acquisition integration and deal costs, net of tax</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52.8</w:t>
            </w:r>
          </w:p>
        </w:tc>
      </w:tr>
      <w:tr>
        <w:trPr/>
        <w:tc>
          <w:tcPr>
            <w:tcW w:w="563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54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Free cash flow measure</w:t>
            </w:r>
          </w:p>
        </w:tc>
        <w:tc>
          <w:tcPr>
            <w:tcW w:w="60" w:type="dxa"/>
            <w:tcBorders>
              <w:top w:val="single" w:sz="6" w:space="0" w:color="FFFFFF"/>
              <w:bottom w:val="single" w:sz="6" w:space="0" w:color="D8E1E9"/>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$1,261.6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$1,515.2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$1,742.4</w:t>
            </w:r>
          </w:p>
        </w:tc>
      </w:tr>
      <w:tr>
        <w:trPr/>
        <w:tc>
          <w:tcPr>
            <w:tcW w:w="5630" w:type="dxa"/>
            <w:tcBorders>
              <w:top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center"/>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p>
      <w:pPr>
        <w:pStyle w:val="TextBody"/>
        <w:spacing w:before="240" w:after="0"/>
        <w:rPr/>
      </w:pPr>
      <w:r>
        <w:rPr/>
        <w:t> </w:t>
      </w:r>
    </w:p>
    <w:tbl>
      <w:tblPr>
        <w:tblW w:w="3690" w:type="dxa"/>
        <w:jc w:val="left"/>
        <w:tblInd w:w="0" w:type="dxa"/>
        <w:tblCellMar>
          <w:top w:w="0" w:type="dxa"/>
          <w:left w:w="0" w:type="dxa"/>
          <w:bottom w:w="0" w:type="dxa"/>
          <w:right w:w="0" w:type="dxa"/>
        </w:tblCellMar>
      </w:tblPr>
      <w:tblGrid>
        <w:gridCol w:w="290"/>
        <w:gridCol w:w="80"/>
        <w:gridCol w:w="3260"/>
        <w:gridCol w:w="60"/>
      </w:tblGrid>
      <w:tr>
        <w:trPr/>
        <w:tc>
          <w:tcPr>
            <w:tcW w:w="29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100</w:t>
            </w:r>
          </w:p>
        </w:tc>
        <w:tc>
          <w:tcPr>
            <w:tcW w:w="80" w:type="dxa"/>
            <w:tcBorders/>
            <w:shd w:fill="auto" w:val="clear"/>
            <w:vAlign w:val="center"/>
          </w:tcPr>
          <w:p>
            <w:pPr>
              <w:pStyle w:val="TableContents"/>
              <w:spacing w:before="0" w:after="0"/>
              <w:ind w:left="0" w:right="0" w:hanging="0"/>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3260" w:type="dxa"/>
            <w:tcBorders/>
            <w:shd w:fill="auto" w:val="clear"/>
            <w:vAlign w:val="center"/>
          </w:tcPr>
          <w:p>
            <w:pPr>
              <w:pStyle w:val="TableContents"/>
              <w:spacing w:before="0" w:after="0"/>
              <w:ind w:left="0" w:right="0" w:hanging="0"/>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60" w:type="dxa"/>
            <w:tcBorders/>
            <w:shd w:fill="auto" w:val="clear"/>
            <w:vAlign w:val="center"/>
          </w:tcPr>
          <w:p>
            <w:pPr>
              <w:pStyle w:val="TableContents"/>
              <w:spacing w:before="0" w:after="0"/>
              <w:ind w:left="0" w:right="0" w:hanging="0"/>
              <w:jc w:val="right"/>
              <w:rPr/>
            </w:pPr>
            <w:r>
              <w:rPr/>
              <w:t> </w:t>
            </w:r>
          </w:p>
        </w:tc>
      </w:tr>
    </w:tbl>
    <w:p>
      <w:pPr>
        <w:pStyle w:val="TextBody"/>
        <w:spacing w:before="0" w:after="0"/>
        <w:rPr/>
      </w:pPr>
      <w:r>
        <w:rPr/>
        <w:t> </w:t>
      </w:r>
    </w:p>
    <w:p>
      <w:pPr>
        <w:pStyle w:val="HorizontalLine"/>
        <w:rPr/>
      </w:pPr>
      <w:r>
        <w:rPr/>
      </w:r>
    </w:p>
    <w:tbl>
      <w:tblPr>
        <w:tblW w:w="120" w:type="dxa"/>
        <w:jc w:val="left"/>
        <w:tblInd w:w="0" w:type="dxa"/>
        <w:tblCellMar>
          <w:top w:w="0" w:type="dxa"/>
          <w:left w:w="0" w:type="dxa"/>
          <w:bottom w:w="0" w:type="dxa"/>
          <w:right w:w="0" w:type="dxa"/>
        </w:tblCellMar>
      </w:tblPr>
      <w:tblGrid>
        <w:gridCol w:w="60"/>
        <w:gridCol w:w="60"/>
      </w:tblGrid>
      <w:tr>
        <w:trPr/>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r>
    </w:tbl>
    <w:p>
      <w:pPr>
        <w:pStyle w:val="TextBody"/>
        <w:spacing w:before="0" w:after="0"/>
        <w:rPr/>
      </w:pPr>
      <w:r>
        <w:rPr/>
        <w:t> </w:t>
      </w:r>
    </w:p>
    <w:tbl>
      <w:tblPr>
        <w:tblW w:w="8010" w:type="dxa"/>
        <w:jc w:val="left"/>
        <w:tblInd w:w="0" w:type="dxa"/>
        <w:tblCellMar>
          <w:top w:w="0" w:type="dxa"/>
          <w:left w:w="0" w:type="dxa"/>
          <w:bottom w:w="0" w:type="dxa"/>
          <w:right w:w="0" w:type="dxa"/>
        </w:tblCellMar>
      </w:tblPr>
      <w:tblGrid>
        <w:gridCol w:w="1185"/>
        <w:gridCol w:w="60"/>
        <w:gridCol w:w="1775"/>
        <w:gridCol w:w="60"/>
        <w:gridCol w:w="1875"/>
        <w:gridCol w:w="60"/>
        <w:gridCol w:w="805"/>
        <w:gridCol w:w="60"/>
        <w:gridCol w:w="1605"/>
        <w:gridCol w:w="60"/>
        <w:gridCol w:w="465"/>
      </w:tblGrid>
      <w:tr>
        <w:trPr/>
        <w:tc>
          <w:tcPr>
            <w:tcW w:w="11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7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87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8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160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465" w:type="dxa"/>
            <w:tcBorders/>
            <w:shd w:fill="auto" w:val="clear"/>
            <w:vAlign w:val="center"/>
          </w:tcPr>
          <w:p>
            <w:pPr>
              <w:pStyle w:val="TableContents"/>
              <w:spacing w:before="0" w:after="0"/>
              <w:ind w:left="0" w:right="0" w:hanging="0"/>
              <w:jc w:val="center"/>
              <w:rPr/>
            </w:pPr>
            <w:r>
              <w:rPr/>
              <w:t> </w:t>
            </w:r>
          </w:p>
        </w:tc>
      </w:tr>
      <w:tr>
        <w:trPr/>
        <w:tc>
          <w:tcPr>
            <w:tcW w:w="118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PROXY SUMMARY</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7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BOARD AND GOVERNANCE</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87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EXECUTIVE COMPENSATION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8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PROPOSALS</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1605" w:type="dxa"/>
            <w:tcBorders>
              <w:bottom w:val="single" w:sz="12" w:space="0" w:color="C1D6E4"/>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C1D6E4"/>
                <w:spacing w:val="10"/>
                <w:sz w:val="12"/>
              </w:rPr>
            </w:pPr>
            <w:r>
              <w:rPr>
                <w:rFonts w:ascii="Open Sans SemiBold" w:hAnsi="Open Sans SemiBold"/>
                <w:b w:val="false"/>
                <w:i w:val="false"/>
                <w:caps w:val="false"/>
                <w:smallCaps w:val="false"/>
                <w:color w:val="C1D6E4"/>
                <w:spacing w:val="10"/>
                <w:sz w:val="12"/>
              </w:rPr>
              <w:t>MEETING INFORMATION</w:t>
            </w:r>
          </w:p>
        </w:tc>
        <w:tc>
          <w:tcPr>
            <w:tcW w:w="60" w:type="dxa"/>
            <w:tcBorders>
              <w:bottom w:val="single" w:sz="12" w:space="0" w:color="C1D6E4"/>
            </w:tcBorders>
            <w:shd w:fill="auto" w:val="clear"/>
            <w:tcMar>
              <w:bottom w:w="28" w:type="dxa"/>
            </w:tcMar>
            <w:vAlign w:val="center"/>
          </w:tcPr>
          <w:p>
            <w:pPr>
              <w:pStyle w:val="TableContents"/>
              <w:spacing w:before="0" w:after="0"/>
              <w:ind w:left="0" w:right="0" w:hanging="0"/>
              <w:jc w:val="center"/>
              <w:rPr/>
            </w:pPr>
            <w:r>
              <w:rPr/>
              <w:t> </w:t>
            </w:r>
          </w:p>
        </w:tc>
        <w:tc>
          <w:tcPr>
            <w:tcW w:w="465" w:type="dxa"/>
            <w:tcBorders>
              <w:bottom w:val="single" w:sz="12" w:space="0" w:color="D80025"/>
            </w:tcBorders>
            <w:shd w:fill="auto" w:val="clear"/>
            <w:tcMar>
              <w:bottom w:w="28" w:type="dxa"/>
            </w:tcMar>
            <w:vAlign w:val="center"/>
          </w:tcPr>
          <w:p>
            <w:pPr>
              <w:pStyle w:val="TableContents"/>
              <w:spacing w:before="0" w:after="0"/>
              <w:ind w:left="0" w:right="0" w:hanging="0"/>
              <w:jc w:val="center"/>
              <w:rPr>
                <w:rFonts w:ascii="Open Sans SemiBold" w:hAnsi="Open Sans SemiBold"/>
                <w:b w:val="false"/>
                <w:i w:val="false"/>
                <w:caps w:val="false"/>
                <w:smallCaps w:val="false"/>
                <w:color w:val="004A7C"/>
                <w:spacing w:val="10"/>
                <w:sz w:val="12"/>
              </w:rPr>
            </w:pPr>
            <w:r>
              <w:rPr>
                <w:rFonts w:ascii="Open Sans SemiBold" w:hAnsi="Open Sans SemiBold"/>
                <w:b w:val="false"/>
                <w:i w:val="false"/>
                <w:caps w:val="false"/>
                <w:smallCaps w:val="false"/>
                <w:color w:val="004A7C"/>
                <w:spacing w:val="10"/>
                <w:sz w:val="12"/>
              </w:rPr>
              <w:t>ANNEX</w:t>
            </w:r>
          </w:p>
        </w:tc>
      </w:tr>
      <w:tr>
        <w:trPr/>
        <w:tc>
          <w:tcPr>
            <w:tcW w:w="118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7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87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8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1605"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60" w:type="dxa"/>
            <w:tcBorders>
              <w:top w:val="single" w:sz="12" w:space="0" w:color="C1D6E4"/>
            </w:tcBorders>
            <w:shd w:fill="auto" w:val="clear"/>
            <w:tcMar>
              <w:top w:w="28" w:type="dxa"/>
            </w:tcMar>
            <w:vAlign w:val="center"/>
          </w:tcPr>
          <w:p>
            <w:pPr>
              <w:pStyle w:val="TableContents"/>
              <w:spacing w:before="0" w:after="0"/>
              <w:ind w:left="0" w:right="0" w:hanging="0"/>
              <w:jc w:val="center"/>
              <w:rPr/>
            </w:pPr>
            <w:r>
              <w:rPr/>
              <w:t> </w:t>
            </w:r>
          </w:p>
        </w:tc>
        <w:tc>
          <w:tcPr>
            <w:tcW w:w="465" w:type="dxa"/>
            <w:tcBorders>
              <w:top w:val="single" w:sz="12" w:space="0" w:color="D80025"/>
            </w:tcBorders>
            <w:shd w:fill="auto" w:val="clear"/>
            <w:tcMar>
              <w:top w:w="28"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0" w:after="0"/>
        <w:rPr>
          <w:rFonts w:ascii="Open Sans" w:hAnsi="Open Sans"/>
          <w:b/>
          <w:i w:val="false"/>
          <w:caps w:val="false"/>
          <w:smallCaps w:val="false"/>
          <w:color w:val="004A7C"/>
          <w:sz w:val="26"/>
        </w:rPr>
      </w:pPr>
      <w:bookmarkStart w:id="111" w:name="Actual_Results_for_2020_2022"/>
      <w:bookmarkEnd w:id="111"/>
      <w:r>
        <w:rPr>
          <w:rFonts w:ascii="Open Sans" w:hAnsi="Open Sans"/>
          <w:b/>
          <w:i w:val="false"/>
          <w:caps w:val="false"/>
          <w:smallCaps w:val="false"/>
          <w:color w:val="004A7C"/>
          <w:sz w:val="26"/>
        </w:rPr>
        <w:t>Calculation of Actual Results for 2020-2022 PSU Performance Measures*</w:t>
      </w:r>
    </w:p>
    <w:p>
      <w:pPr>
        <w:pStyle w:val="TextBody"/>
        <w:spacing w:before="0" w:after="0"/>
        <w:rPr/>
      </w:pPr>
      <w:r>
        <w:rPr/>
        <w:t> </w:t>
      </w:r>
    </w:p>
    <w:tbl>
      <w:tblPr>
        <w:tblW w:w="9140" w:type="dxa"/>
        <w:jc w:val="left"/>
        <w:tblInd w:w="0" w:type="dxa"/>
        <w:tblCellMar>
          <w:top w:w="0" w:type="dxa"/>
          <w:left w:w="0" w:type="dxa"/>
          <w:bottom w:w="0" w:type="dxa"/>
          <w:right w:w="0" w:type="dxa"/>
        </w:tblCellMar>
      </w:tblPr>
      <w:tblGrid>
        <w:gridCol w:w="6380"/>
        <w:gridCol w:w="60"/>
        <w:gridCol w:w="60"/>
        <w:gridCol w:w="800"/>
        <w:gridCol w:w="60"/>
        <w:gridCol w:w="60"/>
        <w:gridCol w:w="800"/>
        <w:gridCol w:w="60"/>
        <w:gridCol w:w="60"/>
        <w:gridCol w:w="800"/>
      </w:tblGrid>
      <w:tr>
        <w:trPr/>
        <w:tc>
          <w:tcPr>
            <w:tcW w:w="6380"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THREE YEAR CASH FLOW VALUE CREATION MEASURE (IN MILLIONS)</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r>
      <w:tr>
        <w:trPr/>
        <w:tc>
          <w:tcPr>
            <w:tcW w:w="638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pPr>
            <w:r>
              <w:rPr/>
              <w:t> </w:t>
            </w:r>
          </w:p>
        </w:tc>
      </w:tr>
      <w:tr>
        <w:trPr/>
        <w:tc>
          <w:tcPr>
            <w:tcW w:w="6380"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Net Income per LTI definition</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$1,131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$1,293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$1,480</w:t>
            </w:r>
          </w:p>
        </w:tc>
      </w:tr>
      <w:tr>
        <w:trPr/>
        <w:tc>
          <w:tcPr>
            <w:tcW w:w="63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Add: after tax interest expense per LTI definition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296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319</w:t>
            </w:r>
          </w:p>
        </w:tc>
      </w:tr>
      <w:tr>
        <w:trPr/>
        <w:tc>
          <w:tcPr>
            <w:tcW w:w="63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Add: DD&amp;A and accretion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1,159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1,272</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1,445</w:t>
            </w:r>
          </w:p>
        </w:tc>
      </w:tr>
      <w:tr>
        <w:trPr/>
        <w:tc>
          <w:tcPr>
            <w:tcW w:w="63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Operating cash flow</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2,586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2,823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3,244</w:t>
            </w:r>
          </w:p>
        </w:tc>
      </w:tr>
      <w:tr>
        <w:trPr/>
        <w:tc>
          <w:tcPr>
            <w:tcW w:w="63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Less: capital charge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(1,356)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(1,429)</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(1,588)</w:t>
            </w:r>
          </w:p>
        </w:tc>
      </w:tr>
      <w:tr>
        <w:trPr/>
        <w:tc>
          <w:tcPr>
            <w:tcW w:w="6380"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Cash flow value creation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$1,230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$1,393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$1,656</w:t>
            </w:r>
          </w:p>
        </w:tc>
      </w:tr>
      <w:tr>
        <w:trPr/>
        <w:tc>
          <w:tcPr>
            <w:tcW w:w="6380"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54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Three year cash flow value creation measure</w:t>
            </w:r>
          </w:p>
        </w:tc>
        <w:tc>
          <w:tcPr>
            <w:tcW w:w="60" w:type="dxa"/>
            <w:tcBorders>
              <w:top w:val="single" w:sz="6" w:space="0" w:color="FFFFFF"/>
              <w:bottom w:val="single" w:sz="6" w:space="0" w:color="D8E1E9"/>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pPr>
            <w:r>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$4,279</w:t>
            </w:r>
          </w:p>
        </w:tc>
      </w:tr>
      <w:tr>
        <w:trPr/>
        <w:tc>
          <w:tcPr>
            <w:tcW w:w="638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auto"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8105" w:type="dxa"/>
        <w:jc w:val="left"/>
        <w:tblInd w:w="0" w:type="dxa"/>
        <w:tblCellMar>
          <w:top w:w="0" w:type="dxa"/>
          <w:left w:w="0" w:type="dxa"/>
          <w:bottom w:w="0" w:type="dxa"/>
          <w:right w:w="0" w:type="dxa"/>
        </w:tblCellMar>
      </w:tblPr>
      <w:tblGrid>
        <w:gridCol w:w="5345"/>
        <w:gridCol w:w="60"/>
        <w:gridCol w:w="60"/>
        <w:gridCol w:w="800"/>
        <w:gridCol w:w="60"/>
        <w:gridCol w:w="60"/>
        <w:gridCol w:w="800"/>
        <w:gridCol w:w="60"/>
        <w:gridCol w:w="60"/>
        <w:gridCol w:w="800"/>
      </w:tblGrid>
      <w:tr>
        <w:trPr/>
        <w:tc>
          <w:tcPr>
            <w:tcW w:w="5345" w:type="dxa"/>
            <w:tcBorders/>
            <w:shd w:fill="FFFFFF" w:val="clear"/>
            <w:vAlign w:val="bottom"/>
          </w:tcPr>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THREE YEAR RETURN ON INVESTED CAPITAL MEASURE</w:t>
            </w:r>
          </w:p>
          <w:p>
            <w:pPr>
              <w:pStyle w:val="TableContents"/>
              <w:spacing w:before="0" w:after="0"/>
              <w:ind w:left="0" w:right="0" w:hanging="0"/>
              <w:rPr>
                <w:rFonts w:ascii="Open Sans" w:hAnsi="Open Sans"/>
                <w:b/>
                <w:i w:val="false"/>
                <w:caps w:val="false"/>
                <w:smallCaps w:val="false"/>
                <w:color w:val="004A7C"/>
                <w:sz w:val="16"/>
              </w:rPr>
            </w:pPr>
            <w:r>
              <w:rPr>
                <w:rFonts w:ascii="Open Sans" w:hAnsi="Open Sans"/>
                <w:b/>
                <w:i w:val="false"/>
                <w:caps w:val="false"/>
                <w:smallCaps w:val="false"/>
                <w:color w:val="004A7C"/>
                <w:sz w:val="16"/>
              </w:rPr>
              <w:t>(IN MILLIONS EXCEPT WHERE NOTED AS A PERCENTAGE)</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2020</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2021</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shd w:fill="FFFFFF" w:val="cle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shd w:fill="FFFFFF" w:val="clear"/>
            <w:vAlign w:val="bottom"/>
          </w:tcPr>
          <w:p>
            <w:pPr>
              <w:pStyle w:val="TableContents"/>
              <w:spacing w:before="0" w:after="0"/>
              <w:ind w:left="0" w:right="0" w:hanging="0"/>
              <w:jc w:val="center"/>
              <w:rPr>
                <w:rFonts w:ascii="Open Sans" w:hAnsi="Open Sans"/>
                <w:b/>
                <w:i w:val="false"/>
                <w:caps w:val="false"/>
                <w:smallCaps w:val="false"/>
                <w:color w:val="004A7C"/>
                <w:sz w:val="16"/>
              </w:rPr>
            </w:pPr>
            <w:r>
              <w:rPr>
                <w:rFonts w:ascii="Open Sans" w:hAnsi="Open Sans"/>
                <w:b/>
                <w:i w:val="false"/>
                <w:caps w:val="false"/>
                <w:smallCaps w:val="false"/>
                <w:color w:val="004A7C"/>
                <w:sz w:val="16"/>
              </w:rPr>
              <w:t>FY 2022</w:t>
            </w:r>
          </w:p>
        </w:tc>
      </w:tr>
      <w:tr>
        <w:trPr/>
        <w:tc>
          <w:tcPr>
            <w:tcW w:w="5345"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bottom w:val="single" w:sz="6" w:space="0" w:color="D8E1E9"/>
            </w:tcBorders>
            <w:shd w:fill="FFFFFF" w:val="clear"/>
            <w:tcMar>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bottom w:val="single" w:sz="6" w:space="0" w:color="D8E1E9"/>
            </w:tcBorders>
            <w:shd w:fill="FFFFFF" w:val="clear"/>
            <w:tcMar>
              <w:bottom w:w="28" w:type="dxa"/>
            </w:tcMar>
            <w:vAlign w:val="bottom"/>
          </w:tcPr>
          <w:p>
            <w:pPr>
              <w:pStyle w:val="TableContents"/>
              <w:spacing w:before="0" w:after="0"/>
              <w:ind w:left="0" w:right="0" w:hanging="0"/>
              <w:jc w:val="center"/>
              <w:rPr/>
            </w:pPr>
            <w:r>
              <w:rPr/>
              <w:t> </w:t>
            </w:r>
          </w:p>
        </w:tc>
      </w:tr>
      <w:tr>
        <w:trPr/>
        <w:tc>
          <w:tcPr>
            <w:tcW w:w="5345" w:type="dxa"/>
            <w:tcBorders>
              <w:top w:val="single" w:sz="6" w:space="0" w:color="D8E1E9"/>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Net Income per LTI definition</w:t>
            </w:r>
          </w:p>
        </w:tc>
        <w:tc>
          <w:tcPr>
            <w:tcW w:w="60" w:type="dxa"/>
            <w:tcBorders>
              <w:top w:val="single" w:sz="6" w:space="0" w:color="D8E1E9"/>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$1,131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$1,293</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$1,480</w:t>
            </w:r>
          </w:p>
        </w:tc>
      </w:tr>
      <w:tr>
        <w:trPr/>
        <w:tc>
          <w:tcPr>
            <w:tcW w:w="53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Add: after tax interest expense per LTI definition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296</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257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u w:val="single"/>
              </w:rPr>
            </w:pPr>
            <w:r>
              <w:rPr>
                <w:rFonts w:ascii="Open Sans" w:hAnsi="Open Sans"/>
                <w:b w:val="false"/>
                <w:i w:val="false"/>
                <w:caps w:val="false"/>
                <w:smallCaps w:val="false"/>
                <w:color w:val="004A7C"/>
                <w:sz w:val="17"/>
                <w:u w:val="single"/>
              </w:rPr>
              <w:t>319</w:t>
            </w:r>
          </w:p>
        </w:tc>
      </w:tr>
      <w:tr>
        <w:trPr/>
        <w:tc>
          <w:tcPr>
            <w:tcW w:w="53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Adjusted net income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1,427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1,551</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1,799</w:t>
            </w:r>
          </w:p>
        </w:tc>
      </w:tr>
      <w:tr>
        <w:trPr/>
        <w:tc>
          <w:tcPr>
            <w:tcW w:w="53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Average net assets per LTI definition</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$16,950</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$17,868</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$19,846</w:t>
            </w:r>
          </w:p>
        </w:tc>
      </w:tr>
      <w:tr>
        <w:trPr/>
        <w:tc>
          <w:tcPr>
            <w:tcW w:w="53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Return on Invested Capital</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8.4%</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8.7%</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9.1%</w:t>
            </w:r>
          </w:p>
        </w:tc>
      </w:tr>
      <w:tr>
        <w:trPr/>
        <w:tc>
          <w:tcPr>
            <w:tcW w:w="53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Sum of three year adjusted net income</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$4,777</w:t>
            </w:r>
          </w:p>
        </w:tc>
      </w:tr>
      <w:tr>
        <w:trPr/>
        <w:tc>
          <w:tcPr>
            <w:tcW w:w="5345" w:type="dxa"/>
            <w:tcBorders>
              <w:top w:val="single" w:sz="6" w:space="0" w:color="FFFFFF"/>
              <w:bottom w:val="single" w:sz="6" w:space="0" w:color="FFFFFF"/>
            </w:tcBorders>
            <w:shd w:fill="D8E1E9" w:val="clear"/>
            <w:tcMar>
              <w:top w:w="28" w:type="dxa"/>
              <w:bottom w:w="28" w:type="dxa"/>
            </w:tcMar>
            <w:vAlign w:val="center"/>
          </w:tcPr>
          <w:p>
            <w:pPr>
              <w:pStyle w:val="TableContents"/>
              <w:spacing w:before="0" w:after="0"/>
              <w:ind w:left="274"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Sum of three year average net assets</w:t>
            </w:r>
          </w:p>
        </w:tc>
        <w:tc>
          <w:tcPr>
            <w:tcW w:w="60" w:type="dxa"/>
            <w:tcBorders>
              <w:top w:val="single" w:sz="6" w:space="0" w:color="FFFFFF"/>
              <w:bottom w:val="single" w:sz="6" w:space="0" w:color="FFFFFF"/>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$54,664</w:t>
            </w:r>
          </w:p>
        </w:tc>
      </w:tr>
      <w:tr>
        <w:trPr/>
        <w:tc>
          <w:tcPr>
            <w:tcW w:w="5345" w:type="dxa"/>
            <w:tcBorders>
              <w:top w:val="single" w:sz="6" w:space="0" w:color="FFFFFF"/>
              <w:bottom w:val="single" w:sz="6" w:space="0" w:color="D8E1E9"/>
            </w:tcBorders>
            <w:shd w:fill="D8E1E9" w:val="clear"/>
            <w:tcMar>
              <w:top w:w="28" w:type="dxa"/>
              <w:bottom w:w="28" w:type="dxa"/>
            </w:tcMar>
            <w:vAlign w:val="center"/>
          </w:tcPr>
          <w:p>
            <w:pPr>
              <w:pStyle w:val="TableContents"/>
              <w:spacing w:before="0" w:after="0"/>
              <w:ind w:left="547" w:right="0" w:hanging="0"/>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Three year return on invested capital</w:t>
            </w:r>
          </w:p>
        </w:tc>
        <w:tc>
          <w:tcPr>
            <w:tcW w:w="60" w:type="dxa"/>
            <w:tcBorders>
              <w:top w:val="single" w:sz="6" w:space="0" w:color="FFFFFF"/>
              <w:bottom w:val="single" w:sz="6" w:space="0" w:color="D8E1E9"/>
              <w:right w:val="single" w:sz="6" w:space="0" w:color="D8E1E9"/>
            </w:tcBorders>
            <w:shd w:fill="D8E1E9"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tcBorders>
            <w:shd w:fill="auto" w:val="clear"/>
            <w:tcMar>
              <w:top w:w="28" w:type="dxa"/>
              <w:bottom w:w="28" w:type="dxa"/>
            </w:tcMar>
            <w:vAlign w:val="center"/>
          </w:tcPr>
          <w:p>
            <w:pPr>
              <w:pStyle w:val="TableContents"/>
              <w:spacing w:before="0" w:after="0"/>
              <w:ind w:left="0" w:right="0" w:hanging="0"/>
              <w:jc w:val="right"/>
              <w:rPr>
                <w:caps w:val="false"/>
                <w:smallCaps w:val="false"/>
                <w:color w:val="004A7C"/>
              </w:rPr>
            </w:pPr>
            <w:r>
              <w:rPr>
                <w:caps w:val="false"/>
                <w:smallCaps w:val="false"/>
                <w:color w:val="004A7C"/>
              </w:rPr>
              <w:t> </w:t>
            </w:r>
          </w:p>
        </w:tc>
        <w:tc>
          <w:tcPr>
            <w:tcW w:w="60" w:type="dxa"/>
            <w:tcBorders>
              <w:top w:val="single" w:sz="6" w:space="0" w:color="D8E1E9"/>
              <w:bottom w:val="single" w:sz="6" w:space="0" w:color="D8E1E9"/>
              <w:right w:val="single" w:sz="6" w:space="0" w:color="D8E1E9"/>
            </w:tcBorders>
            <w:shd w:fill="auto" w:val="clear"/>
            <w:tcMar>
              <w:top w:w="28" w:type="dxa"/>
              <w:bottom w:w="28" w:type="dxa"/>
              <w:right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left w:val="single" w:sz="6" w:space="0" w:color="D8E1E9"/>
              <w:bottom w:val="single" w:sz="6" w:space="0" w:color="D8E1E9"/>
            </w:tcBorders>
            <w:shd w:fill="auto" w:val="clear"/>
            <w:tcMar>
              <w:top w:w="28" w:type="dxa"/>
              <w:left w:w="28" w:type="dxa"/>
              <w:bottom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bottom w:val="single" w:sz="6" w:space="0" w:color="D8E1E9"/>
              <w:right w:val="single" w:sz="6" w:space="0" w:color="D8E1E9"/>
            </w:tcBorders>
            <w:shd w:fill="auto" w:val="clear"/>
            <w:tcMar>
              <w:top w:w="28" w:type="dxa"/>
              <w:bottom w:w="28" w:type="dxa"/>
              <w:right w:w="28" w:type="dxa"/>
            </w:tcMar>
            <w:vAlign w:val="center"/>
          </w:tcPr>
          <w:p>
            <w:pPr>
              <w:pStyle w:val="TableContents"/>
              <w:spacing w:before="0" w:after="0"/>
              <w:ind w:left="0" w:right="0" w:hanging="0"/>
              <w:jc w:val="right"/>
              <w:rPr>
                <w:rFonts w:ascii="Open Sans" w:hAnsi="Open Sans"/>
                <w:b w:val="false"/>
                <w:i w:val="false"/>
                <w:caps w:val="false"/>
                <w:smallCaps w:val="false"/>
                <w:color w:val="004A7C"/>
                <w:sz w:val="17"/>
              </w:rPr>
            </w:pPr>
            <w:r>
              <w:rPr>
                <w:rFonts w:ascii="Open Sans" w:hAnsi="Open Sans"/>
                <w:b w:val="false"/>
                <w:i w:val="false"/>
                <w:caps w:val="false"/>
                <w:smallCaps w:val="false"/>
                <w:color w:val="004A7C"/>
                <w:sz w:val="17"/>
              </w:rPr>
              <w:t>8.7%</w:t>
            </w:r>
          </w:p>
        </w:tc>
      </w:tr>
      <w:tr>
        <w:trPr/>
        <w:tc>
          <w:tcPr>
            <w:tcW w:w="5345"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6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c>
          <w:tcPr>
            <w:tcW w:w="800" w:type="dxa"/>
            <w:tcBorders>
              <w:top w:val="single" w:sz="6" w:space="0" w:color="D8E1E9"/>
            </w:tcBorders>
            <w:shd w:fill="FFFFFF" w:val="clear"/>
            <w:tcMar>
              <w:top w:w="28" w:type="dxa"/>
            </w:tcMar>
            <w:vAlign w:val="bottom"/>
          </w:tcPr>
          <w:p>
            <w:pPr>
              <w:pStyle w:val="TableContents"/>
              <w:spacing w:before="0" w:after="0"/>
              <w:ind w:left="0" w:right="0" w:hanging="0"/>
              <w:rPr>
                <w:caps w:val="false"/>
                <w:smallCaps w:val="false"/>
                <w:color w:val="004A7C"/>
              </w:rPr>
            </w:pPr>
            <w:r>
              <w:rPr>
                <w:caps w:val="false"/>
                <w:smallCaps w:val="false"/>
                <w:color w:val="004A7C"/>
              </w:rPr>
              <w:t> </w:t>
            </w:r>
          </w:p>
        </w:tc>
      </w:tr>
    </w:tbl>
    <w:p>
      <w:pPr>
        <w:pStyle w:val="TextBody"/>
        <w:spacing w:before="0" w:after="0"/>
        <w:rPr/>
      </w:pPr>
      <w:r>
        <w:rPr/>
        <w:t> </w:t>
      </w:r>
    </w:p>
    <w:tbl>
      <w:tblPr>
        <w:tblW w:w="10539" w:type="dxa"/>
        <w:jc w:val="left"/>
        <w:tblInd w:w="0" w:type="dxa"/>
        <w:tblCellMar>
          <w:top w:w="0" w:type="dxa"/>
          <w:left w:w="0" w:type="dxa"/>
          <w:bottom w:w="0" w:type="dxa"/>
          <w:right w:w="0" w:type="dxa"/>
        </w:tblCellMar>
      </w:tblPr>
      <w:tblGrid>
        <w:gridCol w:w="110"/>
        <w:gridCol w:w="10429"/>
      </w:tblGrid>
      <w:tr>
        <w:trPr/>
        <w:tc>
          <w:tcPr>
            <w:tcW w:w="110" w:type="dxa"/>
            <w:tcBorders/>
            <w:shd w:fill="auto" w:val="clear"/>
          </w:tcPr>
          <w:p>
            <w:pPr>
              <w:pStyle w:val="TableContents"/>
              <w:spacing w:before="0" w:after="0"/>
              <w:rPr>
                <w:rFonts w:ascii="Open Sans" w:hAnsi="Open Sans"/>
                <w:b w:val="false"/>
                <w:i w:val="false"/>
                <w:caps w:val="false"/>
                <w:smallCaps w:val="false"/>
                <w:sz w:val="16"/>
              </w:rPr>
            </w:pPr>
            <w:r>
              <w:rPr>
                <w:rFonts w:ascii="Open Sans" w:hAnsi="Open Sans"/>
                <w:b w:val="false"/>
                <w:i w:val="false"/>
                <w:caps w:val="false"/>
                <w:smallCaps w:val="false"/>
                <w:sz w:val="16"/>
              </w:rPr>
              <w:t>*</w:t>
            </w:r>
          </w:p>
        </w:tc>
        <w:tc>
          <w:tcPr>
            <w:tcW w:w="10429" w:type="dxa"/>
            <w:tcBorders/>
            <w:shd w:fill="auto" w:val="clear"/>
          </w:tcPr>
          <w:p>
            <w:pPr>
              <w:pStyle w:val="TableContents"/>
              <w:spacing w:before="0" w:after="0"/>
              <w:rPr>
                <w:rFonts w:ascii="Open Sans" w:hAnsi="Open Sans"/>
                <w:b w:val="false"/>
                <w:i w:val="false"/>
                <w:caps w:val="false"/>
                <w:smallCaps w:val="false"/>
                <w:sz w:val="16"/>
              </w:rPr>
            </w:pPr>
            <w:r>
              <w:rPr>
                <w:rFonts w:ascii="Open Sans" w:hAnsi="Open Sans"/>
                <w:b w:val="false"/>
                <w:i w:val="false"/>
                <w:caps w:val="false"/>
                <w:smallCaps w:val="false"/>
                <w:spacing w:val="-4"/>
                <w:sz w:val="16"/>
              </w:rPr>
              <w:t>CFV</w:t>
            </w:r>
            <w:r>
              <w:rPr>
                <w:rFonts w:ascii="Open Sans" w:hAnsi="Open Sans"/>
                <w:b w:val="false"/>
                <w:i w:val="false"/>
                <w:caps w:val="false"/>
                <w:smallCaps w:val="false"/>
                <w:sz w:val="16"/>
              </w:rPr>
              <w:t>C</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an</w:t>
            </w:r>
            <w:r>
              <w:rPr>
                <w:rFonts w:ascii="Open Sans" w:hAnsi="Open Sans"/>
                <w:b w:val="false"/>
                <w:i w:val="false"/>
                <w:caps w:val="false"/>
                <w:smallCaps w:val="false"/>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ROI</w:t>
            </w:r>
            <w:r>
              <w:rPr>
                <w:rFonts w:ascii="Open Sans" w:hAnsi="Open Sans"/>
                <w:b w:val="false"/>
                <w:i w:val="false"/>
                <w:caps w:val="false"/>
                <w:smallCaps w:val="false"/>
                <w:sz w:val="16"/>
              </w:rPr>
              <w:t>C</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ar</w:t>
            </w:r>
            <w:r>
              <w:rPr>
                <w:rFonts w:ascii="Open Sans" w:hAnsi="Open Sans"/>
                <w:b w:val="false"/>
                <w:i w:val="false"/>
                <w:caps w:val="false"/>
                <w:smallCaps w:val="false"/>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adjuste</w:t>
            </w:r>
            <w:r>
              <w:rPr>
                <w:rFonts w:ascii="Open Sans" w:hAnsi="Open Sans"/>
                <w:b w:val="false"/>
                <w:i w:val="false"/>
                <w:caps w:val="false"/>
                <w:smallCaps w:val="false"/>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w:t>
            </w:r>
            <w:r>
              <w:rPr>
                <w:rFonts w:ascii="Open Sans" w:hAnsi="Open Sans"/>
                <w:b w:val="false"/>
                <w:i w:val="false"/>
                <w:caps w:val="false"/>
                <w:smallCaps w:val="false"/>
                <w:sz w:val="16"/>
              </w:rPr>
              <w:t>o</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exclud</w:t>
            </w:r>
            <w:r>
              <w:rPr>
                <w:rFonts w:ascii="Open Sans" w:hAnsi="Open Sans"/>
                <w:b w:val="false"/>
                <w:i w:val="false"/>
                <w:caps w:val="false"/>
                <w:smallCaps w:val="false"/>
                <w:sz w:val="16"/>
              </w:rPr>
              <w:t>e</w:t>
            </w:r>
            <w:r>
              <w:rPr>
                <w:rFonts w:ascii="Open Sans" w:hAnsi="Open Sans"/>
                <w:b w:val="false"/>
                <w:i w:val="false"/>
                <w:caps w:val="false"/>
                <w:smallCaps w:val="false"/>
                <w:spacing w:val="-7"/>
                <w:sz w:val="16"/>
              </w:rPr>
              <w:t xml:space="preserve"> net </w:t>
            </w:r>
            <w:r>
              <w:rPr>
                <w:rFonts w:ascii="Open Sans" w:hAnsi="Open Sans"/>
                <w:b w:val="false"/>
                <w:i w:val="false"/>
                <w:caps w:val="false"/>
                <w:smallCaps w:val="false"/>
                <w:spacing w:val="-5"/>
                <w:sz w:val="16"/>
              </w:rPr>
              <w:t>gain</w:t>
            </w:r>
            <w:r>
              <w:rPr>
                <w:rFonts w:ascii="Open Sans" w:hAnsi="Open Sans"/>
                <w:b w:val="false"/>
                <w:i w:val="false"/>
                <w:caps w:val="false"/>
                <w:smallCaps w:val="false"/>
                <w:sz w:val="16"/>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w:t>
            </w:r>
            <w:r>
              <w:rPr>
                <w:rFonts w:ascii="Open Sans" w:hAnsi="Open Sans"/>
                <w:b w:val="false"/>
                <w:i w:val="false"/>
                <w:caps w:val="false"/>
                <w:smallCaps w:val="false"/>
                <w:sz w:val="16"/>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losse</w:t>
            </w:r>
            <w:r>
              <w:rPr>
                <w:rFonts w:ascii="Open Sans" w:hAnsi="Open Sans"/>
                <w:b w:val="false"/>
                <w:i w:val="false"/>
                <w:caps w:val="false"/>
                <w:smallCaps w:val="false"/>
                <w:sz w:val="16"/>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z w:val="16"/>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divestitures and impairments</w:t>
            </w:r>
            <w:r>
              <w:rPr>
                <w:rFonts w:ascii="Open Sans" w:hAnsi="Open Sans"/>
                <w:b w:val="false"/>
                <w:i w:val="false"/>
                <w:caps w:val="false"/>
                <w:smallCaps w:val="false"/>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losse</w:t>
            </w:r>
            <w:r>
              <w:rPr>
                <w:rFonts w:ascii="Open Sans" w:hAnsi="Open Sans"/>
                <w:b w:val="false"/>
                <w:i w:val="false"/>
                <w:caps w:val="false"/>
                <w:smallCaps w:val="false"/>
                <w:sz w:val="16"/>
              </w:rPr>
              <w:t>s</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recorde</w:t>
            </w:r>
            <w:r>
              <w:rPr>
                <w:rFonts w:ascii="Open Sans" w:hAnsi="Open Sans"/>
                <w:b w:val="false"/>
                <w:i w:val="false"/>
                <w:caps w:val="false"/>
                <w:smallCaps w:val="false"/>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z w:val="16"/>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th</w:t>
            </w:r>
            <w:r>
              <w:rPr>
                <w:rFonts w:ascii="Open Sans" w:hAnsi="Open Sans"/>
                <w:b w:val="false"/>
                <w:i w:val="false"/>
                <w:caps w:val="false"/>
                <w:smallCaps w:val="false"/>
                <w:sz w:val="16"/>
              </w:rPr>
              <w:t>e</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extinguishmen</w:t>
            </w:r>
            <w:r>
              <w:rPr>
                <w:rFonts w:ascii="Open Sans" w:hAnsi="Open Sans"/>
                <w:b w:val="false"/>
                <w:i w:val="false"/>
                <w:caps w:val="false"/>
                <w:smallCaps w:val="false"/>
                <w:sz w:val="16"/>
              </w:rPr>
              <w:t>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o</w:t>
            </w:r>
            <w:r>
              <w:rPr>
                <w:rFonts w:ascii="Open Sans" w:hAnsi="Open Sans"/>
                <w:b w:val="false"/>
                <w:i w:val="false"/>
                <w:caps w:val="false"/>
                <w:smallCaps w:val="false"/>
                <w:sz w:val="16"/>
              </w:rPr>
              <w:t>f</w:t>
            </w:r>
            <w:r>
              <w:rPr>
                <w:rFonts w:ascii="Open Sans" w:hAnsi="Open Sans"/>
                <w:b w:val="false"/>
                <w:i w:val="false"/>
                <w:caps w:val="false"/>
                <w:smallCaps w:val="false"/>
                <w:spacing w:val="-6"/>
                <w:sz w:val="16"/>
              </w:rPr>
              <w:t xml:space="preserve"> </w:t>
            </w:r>
            <w:r>
              <w:rPr>
                <w:rFonts w:ascii="Open Sans" w:hAnsi="Open Sans"/>
                <w:b w:val="false"/>
                <w:i w:val="false"/>
                <w:caps w:val="false"/>
                <w:smallCaps w:val="false"/>
                <w:spacing w:val="-5"/>
                <w:sz w:val="16"/>
              </w:rPr>
              <w:t>deb</w:t>
            </w:r>
            <w:r>
              <w:rPr>
                <w:rFonts w:ascii="Open Sans" w:hAnsi="Open Sans"/>
                <w:b w:val="false"/>
                <w:i w:val="false"/>
                <w:caps w:val="false"/>
                <w:smallCaps w:val="false"/>
                <w:sz w:val="16"/>
              </w:rPr>
              <w:t>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instrument</w:t>
            </w:r>
            <w:r>
              <w:rPr>
                <w:rFonts w:ascii="Open Sans" w:hAnsi="Open Sans"/>
                <w:b w:val="false"/>
                <w:i w:val="false"/>
                <w:caps w:val="false"/>
                <w:smallCaps w:val="false"/>
                <w:spacing w:val="-4"/>
                <w:sz w:val="16"/>
              </w:rPr>
              <w:t>s</w:t>
            </w:r>
            <w:r>
              <w:rPr>
                <w:rFonts w:ascii="Open Sans" w:hAnsi="Open Sans"/>
                <w:b w:val="false"/>
                <w:i w:val="false"/>
                <w:caps w:val="false"/>
                <w:smallCaps w:val="false"/>
                <w:sz w:val="16"/>
              </w:rPr>
              <w:t>,</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5"/>
                <w:sz w:val="16"/>
              </w:rPr>
              <w:t>an</w:t>
            </w:r>
            <w:r>
              <w:rPr>
                <w:rFonts w:ascii="Open Sans" w:hAnsi="Open Sans"/>
                <w:b w:val="false"/>
                <w:i w:val="false"/>
                <w:caps w:val="false"/>
                <w:smallCaps w:val="false"/>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costs associate</w:t>
            </w:r>
            <w:r>
              <w:rPr>
                <w:rFonts w:ascii="Open Sans" w:hAnsi="Open Sans"/>
                <w:b w:val="false"/>
                <w:i w:val="false"/>
                <w:caps w:val="false"/>
                <w:smallCaps w:val="false"/>
                <w:sz w:val="16"/>
              </w:rPr>
              <w:t>d</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wit</w:t>
            </w:r>
            <w:r>
              <w:rPr>
                <w:rFonts w:ascii="Open Sans" w:hAnsi="Open Sans"/>
                <w:b w:val="false"/>
                <w:i w:val="false"/>
                <w:caps w:val="false"/>
                <w:smallCaps w:val="false"/>
                <w:sz w:val="16"/>
              </w:rPr>
              <w:t>h</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withdrawa</w:t>
            </w:r>
            <w:r>
              <w:rPr>
                <w:rFonts w:ascii="Open Sans" w:hAnsi="Open Sans"/>
                <w:b w:val="false"/>
                <w:i w:val="false"/>
                <w:caps w:val="false"/>
                <w:smallCaps w:val="false"/>
                <w:sz w:val="16"/>
              </w:rPr>
              <w:t>l</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fro</w:t>
            </w:r>
            <w:r>
              <w:rPr>
                <w:rFonts w:ascii="Open Sans" w:hAnsi="Open Sans"/>
                <w:b w:val="false"/>
                <w:i w:val="false"/>
                <w:caps w:val="false"/>
                <w:smallCaps w:val="false"/>
                <w:sz w:val="16"/>
              </w:rPr>
              <w:t>m</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w:t>
            </w:r>
            <w:r>
              <w:rPr>
                <w:rFonts w:ascii="Open Sans" w:hAnsi="Open Sans"/>
                <w:b w:val="false"/>
                <w:i w:val="false"/>
                <w:caps w:val="false"/>
                <w:smallCaps w:val="false"/>
                <w:sz w:val="16"/>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terminatio</w:t>
            </w:r>
            <w:r>
              <w:rPr>
                <w:rFonts w:ascii="Open Sans" w:hAnsi="Open Sans"/>
                <w:b w:val="false"/>
                <w:i w:val="false"/>
                <w:caps w:val="false"/>
                <w:smallCaps w:val="false"/>
                <w:sz w:val="16"/>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o</w:t>
            </w:r>
            <w:r>
              <w:rPr>
                <w:rFonts w:ascii="Open Sans" w:hAnsi="Open Sans"/>
                <w:b w:val="false"/>
                <w:i w:val="false"/>
                <w:caps w:val="false"/>
                <w:smallCaps w:val="false"/>
                <w:sz w:val="16"/>
              </w:rPr>
              <w:t>f</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multi-employe</w:t>
            </w:r>
            <w:r>
              <w:rPr>
                <w:rFonts w:ascii="Open Sans" w:hAnsi="Open Sans"/>
                <w:b w:val="false"/>
                <w:i w:val="false"/>
                <w:caps w:val="false"/>
                <w:smallCaps w:val="false"/>
                <w:sz w:val="16"/>
              </w:rPr>
              <w:t>r</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pensio</w:t>
            </w:r>
            <w:r>
              <w:rPr>
                <w:rFonts w:ascii="Open Sans" w:hAnsi="Open Sans"/>
                <w:b w:val="false"/>
                <w:i w:val="false"/>
                <w:caps w:val="false"/>
                <w:smallCaps w:val="false"/>
                <w:sz w:val="16"/>
              </w:rPr>
              <w:t>n</w:t>
            </w:r>
            <w:r>
              <w:rPr>
                <w:rFonts w:ascii="Open Sans" w:hAnsi="Open Sans"/>
                <w:b w:val="false"/>
                <w:i w:val="false"/>
                <w:caps w:val="false"/>
                <w:smallCaps w:val="false"/>
                <w:spacing w:val="-7"/>
                <w:sz w:val="16"/>
              </w:rPr>
              <w:t xml:space="preserve"> </w:t>
            </w:r>
            <w:r>
              <w:rPr>
                <w:rFonts w:ascii="Open Sans" w:hAnsi="Open Sans"/>
                <w:b w:val="false"/>
                <w:i w:val="false"/>
                <w:caps w:val="false"/>
                <w:smallCaps w:val="false"/>
                <w:spacing w:val="-4"/>
                <w:sz w:val="16"/>
              </w:rPr>
              <w:t>plans</w:t>
            </w:r>
            <w:r>
              <w:rPr>
                <w:rFonts w:ascii="Open Sans" w:hAnsi="Open Sans"/>
                <w:b w:val="false"/>
                <w:i w:val="false"/>
                <w:caps w:val="false"/>
                <w:smallCaps w:val="false"/>
                <w:sz w:val="16"/>
              </w:rPr>
              <w:t>.</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tbl>
      <w:tblPr>
        <w:tblW w:w="3690" w:type="dxa"/>
        <w:jc w:val="left"/>
        <w:tblInd w:w="0" w:type="dxa"/>
        <w:tblCellMar>
          <w:top w:w="0" w:type="dxa"/>
          <w:left w:w="0" w:type="dxa"/>
          <w:bottom w:w="0" w:type="dxa"/>
          <w:right w:w="0" w:type="dxa"/>
        </w:tblCellMar>
      </w:tblPr>
      <w:tblGrid>
        <w:gridCol w:w="60"/>
        <w:gridCol w:w="3260"/>
        <w:gridCol w:w="80"/>
        <w:gridCol w:w="290"/>
      </w:tblGrid>
      <w:tr>
        <w:trPr/>
        <w:tc>
          <w:tcPr>
            <w:tcW w:w="60" w:type="dxa"/>
            <w:tcBorders/>
            <w:shd w:fill="auto" w:val="clear"/>
          </w:tcPr>
          <w:p>
            <w:pPr>
              <w:pStyle w:val="TableContents"/>
              <w:spacing w:before="0" w:after="0"/>
              <w:ind w:left="0" w:right="0" w:hanging="0"/>
              <w:rPr/>
            </w:pPr>
            <w:r>
              <w:rPr/>
              <w:t> </w:t>
            </w:r>
          </w:p>
        </w:tc>
        <w:tc>
          <w:tcPr>
            <w:tcW w:w="326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Republic Services, Inc. 2023 Proxy Statement</w:t>
            </w:r>
          </w:p>
        </w:tc>
        <w:tc>
          <w:tcPr>
            <w:tcW w:w="80" w:type="dxa"/>
            <w:tcBorders/>
            <w:shd w:fill="auto" w:val="clear"/>
            <w:vAlign w:val="center"/>
          </w:tcPr>
          <w:p>
            <w:pPr>
              <w:pStyle w:val="TableContents"/>
              <w:spacing w:before="0" w:after="0"/>
              <w:ind w:left="0" w:right="0" w:hanging="0"/>
              <w:jc w:val="right"/>
              <w:rPr>
                <w:rFonts w:ascii="OpenSans-Semibold" w:hAnsi="OpenSans-Semibold"/>
                <w:b w:val="false"/>
                <w:i w:val="false"/>
                <w:caps w:val="false"/>
                <w:smallCaps w:val="false"/>
                <w:color w:val="004A7C"/>
                <w:sz w:val="20"/>
              </w:rPr>
            </w:pPr>
            <w:r>
              <w:rPr>
                <w:rFonts w:ascii="OpenSans-Semibold" w:hAnsi="OpenSans-Semibold"/>
                <w:b w:val="false"/>
                <w:i w:val="false"/>
                <w:caps w:val="false"/>
                <w:smallCaps w:val="false"/>
                <w:color w:val="004A7C"/>
                <w:sz w:val="20"/>
              </w:rPr>
              <w:t>|</w:t>
            </w:r>
          </w:p>
        </w:tc>
        <w:tc>
          <w:tcPr>
            <w:tcW w:w="290" w:type="dxa"/>
            <w:tcBorders/>
            <w:shd w:fill="auto" w:val="clear"/>
          </w:tcPr>
          <w:p>
            <w:pPr>
              <w:pStyle w:val="TableContents"/>
              <w:spacing w:before="0" w:after="0"/>
              <w:ind w:left="0" w:right="0" w:hanging="0"/>
              <w:jc w:val="right"/>
              <w:rPr>
                <w:rFonts w:ascii="Open Sans" w:hAnsi="Open Sans"/>
                <w:b w:val="false"/>
                <w:i w:val="false"/>
                <w:caps w:val="false"/>
                <w:smallCaps w:val="false"/>
                <w:color w:val="004A7C"/>
                <w:sz w:val="14"/>
              </w:rPr>
            </w:pPr>
            <w:r>
              <w:rPr>
                <w:rFonts w:ascii="Open Sans" w:hAnsi="Open Sans"/>
                <w:b w:val="false"/>
                <w:i w:val="false"/>
                <w:caps w:val="false"/>
                <w:smallCaps w:val="false"/>
                <w:color w:val="004A7C"/>
                <w:sz w:val="14"/>
              </w:rPr>
              <w:t>101</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762875" cy="900112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7762875" cy="9001125"/>
                    </a:xfrm>
                    <a:prstGeom prst="rect">
                      <a:avLst/>
                    </a:prstGeom>
                  </pic:spPr>
                </pic:pic>
              </a:graphicData>
            </a:graphic>
          </wp:inline>
        </w:drawing>
      </w:r>
    </w:p>
    <w:p>
      <w:pPr>
        <w:pStyle w:val="TextBody"/>
        <w:spacing w:before="0" w:after="0"/>
        <w:jc w:val="center"/>
        <w:rPr>
          <w:rFonts w:ascii="Arial" w:hAnsi="Arial"/>
          <w:b w:val="false"/>
          <w:i w:val="false"/>
          <w:caps w:val="false"/>
          <w:smallCaps w:val="false"/>
          <w:color w:val="FFFFFF"/>
          <w:sz w:val="2"/>
        </w:rPr>
      </w:pPr>
      <w:r>
        <w:rPr>
          <w:rFonts w:ascii="Arial" w:hAnsi="Arial"/>
          <w:b w:val="false"/>
          <w:i w:val="false"/>
          <w:caps w:val="false"/>
          <w:smallCaps w:val="false"/>
          <w:color w:val="FFFFFF"/>
          <w:sz w:val="2"/>
        </w:rPr>
        <w:t>REPUBLIC SERVICES Sustainability in Action 18500 N. Allied Way Phoenix, Arizona 85054 480-627-2700 RepublicServices.com</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353300" cy="94011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7353300" cy="9401175"/>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 xml:space="preserve">REPUBLIC ® SERVICES REPUBLIC SERVICES, INC. ATTN: INVESTOR RELATIONS 18500 NORTH ALLIED WAY PHOENIX, AZ 85054 SCAN TO VIEW MATERIALS &amp; VOTE VOTE BY INTERNET Before The Meeting - Go to www.proxyvote.com or scan the QR Barcode above Use the Internet to transmit your voting instructions and for electronic delivery of information. Vote by 11:59 P.M. Eastern Time on May 11, 2023 for shares held directly and by 11:59 P.M. Eastern Time on May 9, 2023 for shares held in a Plan. Have your proxy card in hand when you access the web site and follow the instructions to obtain your records and to create an electronic voting instruction form. During The Meeting - Go to www.virtualshareholdermeeting.com/RSG2023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May 11, 2023 for shares held directly and by 11:59 P.M. Eastern Time on May 9, 2023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V01628-P89210 KEEP THIS PORTION FOR YOUR RECORDS THIS PROXY CARD IS VALID ONLY WHEN SIGNED AND DATED. DETACH AND RETURN THIS PORTION ONLY REPUBLIC SERVICES, INC. The Board of Directors recommends you vote FOR the following: 1. Election of Directors Nominees: For Against Abstain 1a. Manuel Kadre 1b. Tomago Collins 1c. Michael A. Duffy 1d. Thomas W. Handley 1e. Jennifer M. Kirk 1f. Michael Larson 1g. James P. Snee 1h. Brian S. Tyler 1i. Jon Vander Ark 1j. Sandra M. Volpe 1k. Katharine B. Weymouth The Board of Directors recommends you vote FOR the following proposal: For Against Abstain 2. Advisory vote to approve our named executive officer compensation. The Board of Directors recommends you vote ONE YEAR on the following proposal: 1 Year 2 Years 3 Years Abstain 3. Advisory vote on the frequency of an advisory vote to approve our Named Executive Officer Compensation. The Board of Directors recommends you vote FOR the following proposal: Against Abstain For 4. Ratification of the appointment of Ernst &amp; Young LLP as our independent registered public accounting firm for 2023. NOTE: In the discretion of the Proxies named herein, the Proxies are authorized to vote upon such other matters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7267575" cy="91344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7267575" cy="9134475"/>
                    </a:xfrm>
                    <a:prstGeom prst="rect">
                      <a:avLst/>
                    </a:prstGeom>
                  </pic:spPr>
                </pic:pic>
              </a:graphicData>
            </a:graphic>
          </wp:inline>
        </w:drawing>
      </w:r>
    </w:p>
    <w:p>
      <w:pPr>
        <w:pStyle w:val="TextBody"/>
        <w:spacing w:before="0" w:after="0"/>
        <w:rPr>
          <w:rFonts w:ascii="Open Sans" w:hAnsi="Open Sans"/>
          <w:b w:val="false"/>
          <w:i w:val="false"/>
          <w:caps w:val="false"/>
          <w:smallCaps w:val="false"/>
          <w:color w:val="FFFFFF"/>
          <w:sz w:val="2"/>
        </w:rPr>
      </w:pPr>
      <w:r>
        <w:rPr>
          <w:rFonts w:ascii="Open Sans" w:hAnsi="Open Sans"/>
          <w:b w:val="false"/>
          <w:i w:val="false"/>
          <w:caps w:val="false"/>
          <w:smallCaps w:val="false"/>
          <w:color w:val="FFFFFF"/>
          <w:sz w:val="2"/>
        </w:rPr>
        <w:t>Important Notice Regarding the Availability of Proxy Materials for the Annual Meeting: The Notice and Proxy Statement and Annual Report are available at www.proxyvote.com. V01629-P89210 PROXY REPUBLIC SERVICES, INC. This proxy is solicited on behalf of the Board of Directors Jon Vander Ark and Catharine D. Ellingsen, or either of them, with the power of substitution, are hereby authorized to vote all shares of common stock which the undersigned would be entitled to vote if personally present at the virtual Annual Meeting of Shareholders of Republic Services, Inc. to be held at 10:30 a.m., Pacific Time, on May 12, 2023 via webcast at www.virtualshareholdermeeting.com/RSG2023 or any postponements or adjournments of the meeting, as indicated hereon. This proxy, when properly executed, will be voted in the manner directed by the undersigned shareholder. If no direction is given, this proxy will be voted FOR each of the nominees for director listed herein; FOR approval of the compensation of our named executive officers; ONE YEAR advisory vote on the frequency of an advisory vote to approve our Named Executive Officer Compensation; and FOR ratification of the appointment of Ernst &amp; Young LLP as our independent registered public accounting firm for 2023. As to any other matters, the Proxies shall vote in accordance with their discretion. The undersigned hereby acknowledges receipt of the Notice of the 2023 Annual Meeting of Shareholders, the Proxy Statement, and the Annual Report.  PLEASE MARK, SIGN, DATE AND PROMPTLY RETURN THIS PROXY CARD USING THE ENCLOSED ENVELOPE. Continued on reverse side</w:t>
      </w:r>
    </w:p>
    <w:p>
      <w:pPr>
        <w:pStyle w:val="TextBody"/>
        <w:spacing w:before="240" w:after="0"/>
        <w:rPr/>
      </w:pPr>
      <w:r>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Open Sans">
    <w:charset w:val="01"/>
    <w:family w:val="auto"/>
    <w:pitch w:val="default"/>
  </w:font>
  <w:font w:name="OpenSans-Semibold">
    <w:charset w:val="01"/>
    <w:family w:val="auto"/>
    <w:pitch w:val="default"/>
  </w:font>
  <w:font w:name="Open Sans SemiBold">
    <w:charset w:val="01"/>
    <w:family w:val="auto"/>
    <w:pitch w:val="default"/>
  </w:font>
  <w:font w:name="Calibri">
    <w:charset w:val="01"/>
    <w:family w:val="auto"/>
    <w:pitch w:val="default"/>
  </w:font>
  <w:font w:name="Times New Roman">
    <w:charset w:val="01"/>
    <w:family w:val="auto"/>
    <w:pitch w:val="default"/>
  </w:font>
  <w:font w:name="Open Sans Semi bold">
    <w:charset w:val="01"/>
    <w:family w:val="auto"/>
    <w:pitch w:val="default"/>
  </w:font>
  <w:font w:name="Open Sans Light">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fontTable" Target="fontTable.xml"/><Relationship Id="rId1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40486</Words>
  <CharactersWithSpaces>274717</CharactersWithSpaces>
  <Paragraphs>11982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