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95"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CURRENT REPORT</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August 25, 2020</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Republic Services,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7" w:lineRule="exact"/>
        <w:rPr>
          <w:sz w:val="24"/>
          <w:szCs w:val="24"/>
          <w:color w:val="auto"/>
        </w:rPr>
      </w:pPr>
    </w:p>
    <w:tbl>
      <w:tblPr>
        <w:tblLayout w:type="fixed"/>
        <w:tblInd w:w="1080" w:type="dxa"/>
        <w:tblCellMar>
          <w:top w:w="0" w:type="dxa"/>
          <w:left w:w="0" w:type="dxa"/>
          <w:bottom w:w="0" w:type="dxa"/>
          <w:right w:w="0" w:type="dxa"/>
        </w:tblCellMar>
      </w:tblPr>
      <w:tr>
        <w:trPr>
          <w:trHeight w:val="205"/>
        </w:trPr>
        <w:tc>
          <w:tcPr>
            <w:tcW w:w="3520" w:type="dxa"/>
            <w:vAlign w:val="bottom"/>
          </w:tcPr>
          <w:p>
            <w:pPr>
              <w:jc w:val="center"/>
              <w:ind w:right="1555"/>
              <w:spacing w:after="0"/>
              <w:rPr>
                <w:sz w:val="20"/>
                <w:szCs w:val="20"/>
                <w:color w:val="auto"/>
              </w:rPr>
            </w:pPr>
            <w:r>
              <w:rPr>
                <w:rFonts w:ascii="Arial" w:cs="Arial" w:eastAsia="Arial" w:hAnsi="Arial"/>
                <w:sz w:val="16"/>
                <w:szCs w:val="16"/>
                <w:b w:val="1"/>
                <w:bCs w:val="1"/>
                <w:color w:val="auto"/>
                <w:w w:val="91"/>
              </w:rPr>
              <w:t>Delaware</w:t>
            </w:r>
          </w:p>
        </w:tc>
        <w:tc>
          <w:tcPr>
            <w:tcW w:w="2740" w:type="dxa"/>
            <w:vAlign w:val="bottom"/>
          </w:tcPr>
          <w:p>
            <w:pPr>
              <w:jc w:val="right"/>
              <w:ind w:right="1260"/>
              <w:spacing w:after="0"/>
              <w:rPr>
                <w:sz w:val="20"/>
                <w:szCs w:val="20"/>
                <w:color w:val="auto"/>
              </w:rPr>
            </w:pPr>
            <w:r>
              <w:rPr>
                <w:rFonts w:ascii="Arial" w:cs="Arial" w:eastAsia="Arial" w:hAnsi="Arial"/>
                <w:sz w:val="16"/>
                <w:szCs w:val="16"/>
                <w:b w:val="1"/>
                <w:bCs w:val="1"/>
                <w:color w:val="auto"/>
              </w:rPr>
              <w:t>1-14267</w:t>
            </w:r>
          </w:p>
        </w:tc>
        <w:tc>
          <w:tcPr>
            <w:tcW w:w="2600" w:type="dxa"/>
            <w:vAlign w:val="bottom"/>
          </w:tcPr>
          <w:p>
            <w:pPr>
              <w:jc w:val="center"/>
              <w:ind w:left="1316"/>
              <w:spacing w:after="0"/>
              <w:rPr>
                <w:sz w:val="20"/>
                <w:szCs w:val="20"/>
                <w:color w:val="auto"/>
              </w:rPr>
            </w:pPr>
            <w:r>
              <w:rPr>
                <w:rFonts w:ascii="Arial" w:cs="Arial" w:eastAsia="Arial" w:hAnsi="Arial"/>
                <w:sz w:val="16"/>
                <w:szCs w:val="16"/>
                <w:b w:val="1"/>
                <w:bCs w:val="1"/>
                <w:color w:val="auto"/>
                <w:w w:val="88"/>
              </w:rPr>
              <w:t>65-0716904</w:t>
            </w:r>
          </w:p>
        </w:tc>
      </w:tr>
      <w:tr>
        <w:trPr>
          <w:trHeight w:val="201"/>
        </w:trPr>
        <w:tc>
          <w:tcPr>
            <w:tcW w:w="3520" w:type="dxa"/>
            <w:vAlign w:val="bottom"/>
          </w:tcPr>
          <w:p>
            <w:pPr>
              <w:jc w:val="center"/>
              <w:ind w:right="1575"/>
              <w:spacing w:after="0"/>
              <w:rPr>
                <w:sz w:val="20"/>
                <w:szCs w:val="20"/>
                <w:color w:val="auto"/>
              </w:rPr>
            </w:pPr>
            <w:r>
              <w:rPr>
                <w:rFonts w:ascii="Arial" w:cs="Arial" w:eastAsia="Arial" w:hAnsi="Arial"/>
                <w:sz w:val="16"/>
                <w:szCs w:val="16"/>
                <w:color w:val="auto"/>
                <w:w w:val="92"/>
              </w:rPr>
              <w:t>(State or other jurisdiction of</w:t>
            </w:r>
          </w:p>
        </w:tc>
        <w:tc>
          <w:tcPr>
            <w:tcW w:w="2740" w:type="dxa"/>
            <w:vAlign w:val="bottom"/>
          </w:tcPr>
          <w:p>
            <w:pPr>
              <w:jc w:val="center"/>
              <w:ind w:right="400"/>
              <w:spacing w:after="0"/>
              <w:rPr>
                <w:sz w:val="20"/>
                <w:szCs w:val="20"/>
                <w:color w:val="auto"/>
              </w:rPr>
            </w:pPr>
            <w:r>
              <w:rPr>
                <w:rFonts w:ascii="Arial" w:cs="Arial" w:eastAsia="Arial" w:hAnsi="Arial"/>
                <w:sz w:val="16"/>
                <w:szCs w:val="16"/>
                <w:color w:val="auto"/>
                <w:w w:val="93"/>
              </w:rPr>
              <w:t>(Commission File Number)</w:t>
            </w:r>
          </w:p>
        </w:tc>
        <w:tc>
          <w:tcPr>
            <w:tcW w:w="2600" w:type="dxa"/>
            <w:vAlign w:val="bottom"/>
          </w:tcPr>
          <w:p>
            <w:pPr>
              <w:jc w:val="center"/>
              <w:ind w:left="1316"/>
              <w:spacing w:after="0"/>
              <w:rPr>
                <w:sz w:val="20"/>
                <w:szCs w:val="20"/>
                <w:color w:val="auto"/>
              </w:rPr>
            </w:pPr>
            <w:r>
              <w:rPr>
                <w:rFonts w:ascii="Arial" w:cs="Arial" w:eastAsia="Arial" w:hAnsi="Arial"/>
                <w:sz w:val="16"/>
                <w:szCs w:val="16"/>
                <w:color w:val="auto"/>
                <w:w w:val="91"/>
              </w:rPr>
              <w:t>(I.R.S. Employer</w:t>
            </w:r>
          </w:p>
        </w:tc>
      </w:tr>
      <w:tr>
        <w:trPr>
          <w:trHeight w:val="205"/>
        </w:trPr>
        <w:tc>
          <w:tcPr>
            <w:tcW w:w="3520" w:type="dxa"/>
            <w:vAlign w:val="bottom"/>
          </w:tcPr>
          <w:p>
            <w:pPr>
              <w:jc w:val="center"/>
              <w:ind w:right="1555"/>
              <w:spacing w:after="0"/>
              <w:rPr>
                <w:sz w:val="20"/>
                <w:szCs w:val="20"/>
                <w:color w:val="auto"/>
              </w:rPr>
            </w:pPr>
            <w:r>
              <w:rPr>
                <w:rFonts w:ascii="Arial" w:cs="Arial" w:eastAsia="Arial" w:hAnsi="Arial"/>
                <w:sz w:val="16"/>
                <w:szCs w:val="16"/>
                <w:color w:val="auto"/>
                <w:w w:val="94"/>
              </w:rPr>
              <w:t>incorporation)</w:t>
            </w:r>
          </w:p>
        </w:tc>
        <w:tc>
          <w:tcPr>
            <w:tcW w:w="2740" w:type="dxa"/>
            <w:vAlign w:val="bottom"/>
          </w:tcPr>
          <w:p>
            <w:pPr>
              <w:spacing w:after="0"/>
              <w:rPr>
                <w:sz w:val="17"/>
                <w:szCs w:val="17"/>
                <w:color w:val="auto"/>
              </w:rPr>
            </w:pPr>
          </w:p>
        </w:tc>
        <w:tc>
          <w:tcPr>
            <w:tcW w:w="2600" w:type="dxa"/>
            <w:vAlign w:val="bottom"/>
          </w:tcPr>
          <w:p>
            <w:pPr>
              <w:jc w:val="center"/>
              <w:ind w:left="1316"/>
              <w:spacing w:after="0"/>
              <w:rPr>
                <w:sz w:val="20"/>
                <w:szCs w:val="20"/>
                <w:color w:val="auto"/>
              </w:rPr>
            </w:pPr>
            <w:r>
              <w:rPr>
                <w:rFonts w:ascii="Arial" w:cs="Arial" w:eastAsia="Arial" w:hAnsi="Arial"/>
                <w:sz w:val="16"/>
                <w:szCs w:val="16"/>
                <w:color w:val="auto"/>
                <w:w w:val="96"/>
              </w:rPr>
              <w:t>Identification No.)</w:t>
            </w:r>
          </w:p>
        </w:tc>
      </w:tr>
      <w:tr>
        <w:trPr>
          <w:trHeight w:val="509"/>
        </w:trPr>
        <w:tc>
          <w:tcPr>
            <w:tcW w:w="3520" w:type="dxa"/>
            <w:vAlign w:val="bottom"/>
          </w:tcPr>
          <w:p>
            <w:pPr>
              <w:jc w:val="center"/>
              <w:ind w:left="75"/>
              <w:spacing w:after="0"/>
              <w:rPr>
                <w:sz w:val="20"/>
                <w:szCs w:val="20"/>
                <w:color w:val="auto"/>
              </w:rPr>
            </w:pPr>
            <w:r>
              <w:rPr>
                <w:rFonts w:ascii="Arial" w:cs="Arial" w:eastAsia="Arial" w:hAnsi="Arial"/>
                <w:sz w:val="18"/>
                <w:szCs w:val="18"/>
                <w:b w:val="1"/>
                <w:bCs w:val="1"/>
                <w:color w:val="auto"/>
                <w:w w:val="92"/>
              </w:rPr>
              <w:t>18500 North Allied Way</w:t>
            </w:r>
          </w:p>
        </w:tc>
        <w:tc>
          <w:tcPr>
            <w:tcW w:w="27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32"/>
        </w:trPr>
        <w:tc>
          <w:tcPr>
            <w:tcW w:w="3520" w:type="dxa"/>
            <w:vAlign w:val="bottom"/>
          </w:tcPr>
          <w:p>
            <w:pPr>
              <w:jc w:val="center"/>
              <w:ind w:left="75"/>
              <w:spacing w:after="0"/>
              <w:rPr>
                <w:sz w:val="20"/>
                <w:szCs w:val="20"/>
                <w:color w:val="auto"/>
              </w:rPr>
            </w:pPr>
            <w:r>
              <w:rPr>
                <w:rFonts w:ascii="Arial" w:cs="Arial" w:eastAsia="Arial" w:hAnsi="Arial"/>
                <w:sz w:val="18"/>
                <w:szCs w:val="18"/>
                <w:b w:val="1"/>
                <w:bCs w:val="1"/>
                <w:color w:val="auto"/>
                <w:w w:val="90"/>
              </w:rPr>
              <w:t>Phoenix, Arizona</w:t>
            </w:r>
          </w:p>
        </w:tc>
        <w:tc>
          <w:tcPr>
            <w:tcW w:w="2740" w:type="dxa"/>
            <w:vAlign w:val="bottom"/>
          </w:tcPr>
          <w:p>
            <w:pPr>
              <w:spacing w:after="0"/>
              <w:rPr>
                <w:sz w:val="20"/>
                <w:szCs w:val="20"/>
                <w:color w:val="auto"/>
              </w:rPr>
            </w:pPr>
          </w:p>
        </w:tc>
        <w:tc>
          <w:tcPr>
            <w:tcW w:w="2600" w:type="dxa"/>
            <w:vAlign w:val="bottom"/>
          </w:tcPr>
          <w:p>
            <w:pPr>
              <w:jc w:val="right"/>
              <w:ind w:right="1196"/>
              <w:spacing w:after="0"/>
              <w:rPr>
                <w:sz w:val="20"/>
                <w:szCs w:val="20"/>
                <w:color w:val="auto"/>
              </w:rPr>
            </w:pPr>
            <w:r>
              <w:rPr>
                <w:rFonts w:ascii="Arial" w:cs="Arial" w:eastAsia="Arial" w:hAnsi="Arial"/>
                <w:sz w:val="18"/>
                <w:szCs w:val="18"/>
                <w:b w:val="1"/>
                <w:bCs w:val="1"/>
                <w:color w:val="auto"/>
              </w:rPr>
              <w:t>85054</w:t>
            </w:r>
          </w:p>
        </w:tc>
      </w:tr>
      <w:tr>
        <w:trPr>
          <w:trHeight w:val="227"/>
        </w:trPr>
        <w:tc>
          <w:tcPr>
            <w:tcW w:w="3520" w:type="dxa"/>
            <w:vAlign w:val="bottom"/>
          </w:tcPr>
          <w:p>
            <w:pPr>
              <w:jc w:val="center"/>
              <w:ind w:left="75"/>
              <w:spacing w:after="0"/>
              <w:rPr>
                <w:sz w:val="20"/>
                <w:szCs w:val="20"/>
                <w:color w:val="auto"/>
              </w:rPr>
            </w:pPr>
            <w:r>
              <w:rPr>
                <w:rFonts w:ascii="Arial" w:cs="Arial" w:eastAsia="Arial" w:hAnsi="Arial"/>
                <w:sz w:val="18"/>
                <w:szCs w:val="18"/>
                <w:color w:val="auto"/>
                <w:w w:val="92"/>
              </w:rPr>
              <w:t>(Address of principal executive offices)</w:t>
            </w:r>
          </w:p>
        </w:tc>
        <w:tc>
          <w:tcPr>
            <w:tcW w:w="2740" w:type="dxa"/>
            <w:vAlign w:val="bottom"/>
          </w:tcPr>
          <w:p>
            <w:pPr>
              <w:spacing w:after="0"/>
              <w:rPr>
                <w:sz w:val="19"/>
                <w:szCs w:val="19"/>
                <w:color w:val="auto"/>
              </w:rPr>
            </w:pPr>
          </w:p>
        </w:tc>
        <w:tc>
          <w:tcPr>
            <w:tcW w:w="2600" w:type="dxa"/>
            <w:vAlign w:val="bottom"/>
          </w:tcPr>
          <w:p>
            <w:pPr>
              <w:jc w:val="center"/>
              <w:ind w:right="336"/>
              <w:spacing w:after="0"/>
              <w:rPr>
                <w:sz w:val="20"/>
                <w:szCs w:val="20"/>
                <w:color w:val="auto"/>
              </w:rPr>
            </w:pPr>
            <w:r>
              <w:rPr>
                <w:rFonts w:ascii="Arial" w:cs="Arial" w:eastAsia="Arial" w:hAnsi="Arial"/>
                <w:sz w:val="18"/>
                <w:szCs w:val="18"/>
                <w:color w:val="auto"/>
                <w:w w:val="91"/>
              </w:rPr>
              <w:t>(Zip Code)</w:t>
            </w:r>
          </w:p>
        </w:tc>
      </w:tr>
    </w:tbl>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9" w:lineRule="exact"/>
        <w:rPr>
          <w:sz w:val="24"/>
          <w:szCs w:val="24"/>
          <w:color w:val="auto"/>
        </w:rPr>
      </w:pPr>
    </w:p>
    <w:p>
      <w:pPr>
        <w:ind w:left="160"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00" w:hanging="239"/>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420" w:hanging="259"/>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 w:lineRule="exact"/>
        <w:rPr>
          <w:rFonts w:ascii="MS PGothic" w:cs="MS PGothic" w:eastAsia="MS PGothic" w:hAnsi="MS PGothic"/>
          <w:sz w:val="18"/>
          <w:szCs w:val="18"/>
          <w:color w:val="auto"/>
        </w:rPr>
      </w:pPr>
    </w:p>
    <w:p>
      <w:pPr>
        <w:ind w:left="420" w:hanging="259"/>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 w:lineRule="exact"/>
        <w:rPr>
          <w:rFonts w:ascii="MS PGothic" w:cs="MS PGothic" w:eastAsia="MS PGothic" w:hAnsi="MS PGothic"/>
          <w:sz w:val="18"/>
          <w:szCs w:val="18"/>
          <w:color w:val="auto"/>
        </w:rPr>
      </w:pPr>
    </w:p>
    <w:p>
      <w:pPr>
        <w:ind w:left="420" w:hanging="259"/>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2" w:lineRule="exact"/>
        <w:rPr>
          <w:sz w:val="24"/>
          <w:szCs w:val="24"/>
          <w:color w:val="auto"/>
        </w:rPr>
      </w:pPr>
    </w:p>
    <w:tbl>
      <w:tblPr>
        <w:tblLayout w:type="fixed"/>
        <w:tblInd w:w="170" w:type="dxa"/>
        <w:tblCellMar>
          <w:top w:w="0" w:type="dxa"/>
          <w:left w:w="0" w:type="dxa"/>
          <w:bottom w:w="0" w:type="dxa"/>
          <w:right w:w="0" w:type="dxa"/>
        </w:tblCellMar>
      </w:tblPr>
      <w:tr>
        <w:trPr>
          <w:trHeight w:val="213"/>
        </w:trPr>
        <w:tc>
          <w:tcPr>
            <w:tcW w:w="3740" w:type="dxa"/>
            <w:vAlign w:val="bottom"/>
            <w:tcBorders>
              <w:top w:val="single" w:sz="8" w:color="auto"/>
              <w:left w:val="single" w:sz="8" w:color="auto"/>
              <w:right w:val="single" w:sz="8" w:color="auto"/>
            </w:tcBorders>
          </w:tcPr>
          <w:p>
            <w:pPr>
              <w:jc w:val="center"/>
              <w:ind w:left="51"/>
              <w:spacing w:after="0"/>
              <w:rPr>
                <w:sz w:val="20"/>
                <w:szCs w:val="20"/>
                <w:color w:val="auto"/>
              </w:rPr>
            </w:pPr>
            <w:r>
              <w:rPr>
                <w:rFonts w:ascii="Arial" w:cs="Arial" w:eastAsia="Arial" w:hAnsi="Arial"/>
                <w:sz w:val="18"/>
                <w:szCs w:val="18"/>
                <w:color w:val="auto"/>
                <w:w w:val="90"/>
              </w:rPr>
              <w:t>Title of Each Class</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3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exchange on which</w:t>
            </w:r>
          </w:p>
        </w:tc>
      </w:tr>
      <w:tr>
        <w:trPr>
          <w:trHeight w:val="235"/>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4"/>
        </w:trPr>
        <w:tc>
          <w:tcPr>
            <w:tcW w:w="3740" w:type="dxa"/>
            <w:vAlign w:val="bottom"/>
            <w:tcBorders>
              <w:left w:val="single" w:sz="8" w:color="auto"/>
              <w:bottom w:val="single" w:sz="8" w:color="auto"/>
              <w:right w:val="single" w:sz="8" w:color="auto"/>
            </w:tcBorders>
          </w:tcPr>
          <w:p>
            <w:pPr>
              <w:jc w:val="center"/>
              <w:ind w:left="51"/>
              <w:spacing w:after="0"/>
              <w:rPr>
                <w:sz w:val="20"/>
                <w:szCs w:val="20"/>
                <w:color w:val="auto"/>
              </w:rPr>
            </w:pPr>
            <w:r>
              <w:rPr>
                <w:rFonts w:ascii="Arial" w:cs="Arial" w:eastAsia="Arial" w:hAnsi="Arial"/>
                <w:sz w:val="18"/>
                <w:szCs w:val="18"/>
                <w:color w:val="auto"/>
                <w:w w:val="88"/>
              </w:rPr>
              <w:t>Common Stock, par value $0.01 per share</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RSG</w:t>
            </w:r>
          </w:p>
        </w:tc>
        <w:tc>
          <w:tcPr>
            <w:tcW w:w="3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New York Stock Exchange</w:t>
            </w:r>
          </w:p>
        </w:tc>
      </w:tr>
    </w:tbl>
    <w:p>
      <w:pPr>
        <w:spacing w:after="0" w:line="200" w:lineRule="exact"/>
        <w:rPr>
          <w:sz w:val="24"/>
          <w:szCs w:val="24"/>
          <w:color w:val="auto"/>
        </w:rPr>
      </w:pPr>
    </w:p>
    <w:p>
      <w:pPr>
        <w:ind w:left="160" w:right="260"/>
        <w:spacing w:after="0" w:line="25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84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160" w:right="3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00"/>
          </w:cols>
          <w:pgMar w:left="320" w:top="229" w:right="4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580" w:type="dxa"/>
            <w:vAlign w:val="bottom"/>
            <w:gridSpan w:val="5"/>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21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84"/>
        </w:trPr>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TABLE OF CONTENTS</w:t>
            </w:r>
          </w:p>
        </w:tc>
        <w:tc>
          <w:tcPr>
            <w:tcW w:w="4360" w:type="dxa"/>
            <w:vAlign w:val="bottom"/>
          </w:tcPr>
          <w:p>
            <w:pPr>
              <w:spacing w:after="0"/>
              <w:rPr>
                <w:sz w:val="24"/>
                <w:szCs w:val="24"/>
                <w:color w:val="auto"/>
              </w:rPr>
            </w:pPr>
          </w:p>
        </w:tc>
      </w:tr>
      <w:tr>
        <w:trPr>
          <w:trHeight w:val="472"/>
        </w:trPr>
        <w:tc>
          <w:tcPr>
            <w:tcW w:w="160" w:type="dxa"/>
            <w:vAlign w:val="bottom"/>
          </w:tcPr>
          <w:p>
            <w:pPr>
              <w:spacing w:after="0"/>
              <w:rPr>
                <w:sz w:val="24"/>
                <w:szCs w:val="24"/>
                <w:color w:val="auto"/>
              </w:rPr>
            </w:pPr>
          </w:p>
        </w:tc>
        <w:tc>
          <w:tcPr>
            <w:tcW w:w="780" w:type="dxa"/>
            <w:vAlign w:val="bottom"/>
          </w:tcPr>
          <w:p>
            <w:pPr>
              <w:spacing w:after="0"/>
              <w:rPr>
                <w:rFonts w:ascii="Arial" w:cs="Arial" w:eastAsia="Arial" w:hAnsi="Arial"/>
                <w:sz w:val="20"/>
                <w:szCs w:val="20"/>
                <w:u w:val="single" w:color="auto"/>
                <w:color w:val="0000EE"/>
                <w:w w:val="91"/>
              </w:rPr>
            </w:pPr>
            <w:hyperlink w:anchor="page3">
              <w:r>
                <w:rPr>
                  <w:rFonts w:ascii="Arial" w:cs="Arial" w:eastAsia="Arial" w:hAnsi="Arial"/>
                  <w:sz w:val="20"/>
                  <w:szCs w:val="20"/>
                  <w:u w:val="single" w:color="auto"/>
                  <w:color w:val="0000EE"/>
                  <w:w w:val="91"/>
                </w:rPr>
                <w:t>Item 1.01</w:t>
              </w:r>
            </w:hyperlink>
          </w:p>
        </w:tc>
        <w:tc>
          <w:tcPr>
            <w:tcW w:w="3640" w:type="dxa"/>
            <w:vAlign w:val="bottom"/>
            <w:gridSpan w:val="3"/>
          </w:tcPr>
          <w:p>
            <w:pPr>
              <w:ind w:left="20"/>
              <w:spacing w:after="0"/>
              <w:rPr>
                <w:rFonts w:ascii="Arial" w:cs="Arial" w:eastAsia="Arial" w:hAnsi="Arial"/>
                <w:sz w:val="20"/>
                <w:szCs w:val="20"/>
                <w:u w:val="single" w:color="auto"/>
                <w:color w:val="0000EE"/>
                <w:w w:val="96"/>
              </w:rPr>
            </w:pPr>
            <w:hyperlink w:anchor="page3">
              <w:r>
                <w:rPr>
                  <w:rFonts w:ascii="Arial" w:cs="Arial" w:eastAsia="Arial" w:hAnsi="Arial"/>
                  <w:sz w:val="20"/>
                  <w:szCs w:val="20"/>
                  <w:u w:val="single" w:color="auto"/>
                  <w:color w:val="0000EE"/>
                  <w:w w:val="96"/>
                </w:rPr>
                <w:t>Entry into a Material Definitive Agreement.</w:t>
              </w:r>
            </w:hyperlink>
          </w:p>
        </w:tc>
        <w:tc>
          <w:tcPr>
            <w:tcW w:w="646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04"/>
        </w:trPr>
        <w:tc>
          <w:tcPr>
            <w:tcW w:w="160" w:type="dxa"/>
            <w:vAlign w:val="bottom"/>
          </w:tcPr>
          <w:p>
            <w:pPr>
              <w:spacing w:after="0"/>
              <w:rPr>
                <w:sz w:val="17"/>
                <w:szCs w:val="17"/>
                <w:color w:val="auto"/>
              </w:rPr>
            </w:pPr>
          </w:p>
        </w:tc>
        <w:tc>
          <w:tcPr>
            <w:tcW w:w="780" w:type="dxa"/>
            <w:vAlign w:val="bottom"/>
          </w:tcPr>
          <w:p>
            <w:pPr>
              <w:spacing w:after="0" w:line="205" w:lineRule="exact"/>
              <w:rPr>
                <w:rFonts w:ascii="Arial" w:cs="Arial" w:eastAsia="Arial" w:hAnsi="Arial"/>
                <w:sz w:val="20"/>
                <w:szCs w:val="20"/>
                <w:color w:val="0000EE"/>
                <w:w w:val="91"/>
              </w:rPr>
            </w:pPr>
            <w:hyperlink w:anchor="page4">
              <w:r>
                <w:rPr>
                  <w:rFonts w:ascii="Arial" w:cs="Arial" w:eastAsia="Arial" w:hAnsi="Arial"/>
                  <w:sz w:val="20"/>
                  <w:szCs w:val="20"/>
                  <w:color w:val="0000EE"/>
                  <w:w w:val="91"/>
                </w:rPr>
                <w:t>Item 2.03</w:t>
              </w:r>
            </w:hyperlink>
          </w:p>
        </w:tc>
        <w:tc>
          <w:tcPr>
            <w:tcW w:w="3640" w:type="dxa"/>
            <w:vAlign w:val="bottom"/>
            <w:gridSpan w:val="3"/>
          </w:tcPr>
          <w:p>
            <w:pPr>
              <w:ind w:left="20"/>
              <w:spacing w:after="0" w:line="205" w:lineRule="exact"/>
              <w:rPr>
                <w:rFonts w:ascii="Arial" w:cs="Arial" w:eastAsia="Arial" w:hAnsi="Arial"/>
                <w:sz w:val="20"/>
                <w:szCs w:val="20"/>
                <w:color w:val="0000EE"/>
              </w:rPr>
            </w:pPr>
            <w:hyperlink w:anchor="page4">
              <w:r>
                <w:rPr>
                  <w:rFonts w:ascii="Arial" w:cs="Arial" w:eastAsia="Arial" w:hAnsi="Arial"/>
                  <w:sz w:val="20"/>
                  <w:szCs w:val="20"/>
                  <w:color w:val="0000EE"/>
                </w:rPr>
                <w:t>Creation of a Direct Financial</w:t>
              </w:r>
            </w:hyperlink>
          </w:p>
        </w:tc>
        <w:tc>
          <w:tcPr>
            <w:tcW w:w="6460" w:type="dxa"/>
            <w:vAlign w:val="bottom"/>
            <w:gridSpan w:val="2"/>
          </w:tcPr>
          <w:p>
            <w:pPr>
              <w:jc w:val="right"/>
              <w:spacing w:after="0" w:line="205" w:lineRule="exact"/>
              <w:rPr>
                <w:sz w:val="20"/>
                <w:szCs w:val="20"/>
                <w:color w:val="auto"/>
              </w:rPr>
            </w:pPr>
            <w:r>
              <w:rPr>
                <w:rFonts w:ascii="Arial" w:cs="Arial" w:eastAsia="Arial" w:hAnsi="Arial"/>
                <w:sz w:val="20"/>
                <w:szCs w:val="20"/>
                <w:color w:val="auto"/>
              </w:rPr>
              <w:t>4</w:t>
            </w:r>
          </w:p>
        </w:tc>
      </w:tr>
      <w:tr>
        <w:trPr>
          <w:trHeight w:val="20"/>
        </w:trPr>
        <w:tc>
          <w:tcPr>
            <w:tcW w:w="16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08"/>
        </w:trPr>
        <w:tc>
          <w:tcPr>
            <w:tcW w:w="160" w:type="dxa"/>
            <w:vAlign w:val="bottom"/>
          </w:tcPr>
          <w:p>
            <w:pPr>
              <w:spacing w:after="0"/>
              <w:rPr>
                <w:sz w:val="18"/>
                <w:szCs w:val="18"/>
                <w:color w:val="auto"/>
              </w:rPr>
            </w:pPr>
          </w:p>
        </w:tc>
        <w:tc>
          <w:tcPr>
            <w:tcW w:w="4420" w:type="dxa"/>
            <w:vAlign w:val="bottom"/>
            <w:gridSpan w:val="4"/>
          </w:tcPr>
          <w:p>
            <w:pPr>
              <w:spacing w:after="0" w:line="207" w:lineRule="exact"/>
              <w:rPr>
                <w:rFonts w:ascii="Arial" w:cs="Arial" w:eastAsia="Arial" w:hAnsi="Arial"/>
                <w:sz w:val="20"/>
                <w:szCs w:val="20"/>
                <w:color w:val="0000EE"/>
              </w:rPr>
            </w:pPr>
            <w:hyperlink w:anchor="page4">
              <w:r>
                <w:rPr>
                  <w:rFonts w:ascii="Arial" w:cs="Arial" w:eastAsia="Arial" w:hAnsi="Arial"/>
                  <w:sz w:val="20"/>
                  <w:szCs w:val="20"/>
                  <w:color w:val="0000EE"/>
                </w:rPr>
                <w:t>Obligation or an Obligation under an Off-</w:t>
              </w:r>
            </w:hyperlink>
          </w:p>
        </w:tc>
        <w:tc>
          <w:tcPr>
            <w:tcW w:w="210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31"/>
        </w:trPr>
        <w:tc>
          <w:tcPr>
            <w:tcW w:w="160" w:type="dxa"/>
            <w:vAlign w:val="bottom"/>
          </w:tcPr>
          <w:p>
            <w:pPr>
              <w:spacing w:after="0"/>
              <w:rPr>
                <w:sz w:val="20"/>
                <w:szCs w:val="20"/>
                <w:color w:val="auto"/>
              </w:rPr>
            </w:pPr>
          </w:p>
        </w:tc>
        <w:tc>
          <w:tcPr>
            <w:tcW w:w="4420" w:type="dxa"/>
            <w:vAlign w:val="bottom"/>
            <w:gridSpan w:val="4"/>
          </w:tcPr>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Balance Sheet Arrangement of a Registrant.</w:t>
              </w:r>
            </w:hyperlink>
          </w:p>
        </w:tc>
        <w:tc>
          <w:tcPr>
            <w:tcW w:w="21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49"/>
        </w:trPr>
        <w:tc>
          <w:tcPr>
            <w:tcW w:w="160" w:type="dxa"/>
            <w:vAlign w:val="bottom"/>
          </w:tcPr>
          <w:p>
            <w:pPr>
              <w:spacing w:after="0"/>
              <w:rPr>
                <w:sz w:val="21"/>
                <w:szCs w:val="21"/>
                <w:color w:val="auto"/>
              </w:rPr>
            </w:pPr>
          </w:p>
        </w:tc>
        <w:tc>
          <w:tcPr>
            <w:tcW w:w="780" w:type="dxa"/>
            <w:vAlign w:val="bottom"/>
          </w:tcPr>
          <w:p>
            <w:pPr>
              <w:spacing w:after="0"/>
              <w:rPr>
                <w:rFonts w:ascii="Arial" w:cs="Arial" w:eastAsia="Arial" w:hAnsi="Arial"/>
                <w:sz w:val="20"/>
                <w:szCs w:val="20"/>
                <w:u w:val="single" w:color="auto"/>
                <w:color w:val="0000EE"/>
                <w:w w:val="91"/>
              </w:rPr>
            </w:pPr>
            <w:hyperlink w:anchor="page5">
              <w:r>
                <w:rPr>
                  <w:rFonts w:ascii="Arial" w:cs="Arial" w:eastAsia="Arial" w:hAnsi="Arial"/>
                  <w:sz w:val="20"/>
                  <w:szCs w:val="20"/>
                  <w:u w:val="single" w:color="auto"/>
                  <w:color w:val="0000EE"/>
                  <w:w w:val="91"/>
                </w:rPr>
                <w:t>Item 9.01</w:t>
              </w:r>
            </w:hyperlink>
          </w:p>
        </w:tc>
        <w:tc>
          <w:tcPr>
            <w:tcW w:w="3640" w:type="dxa"/>
            <w:vAlign w:val="bottom"/>
            <w:gridSpan w:val="3"/>
          </w:tcPr>
          <w:p>
            <w:pPr>
              <w:ind w:left="2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Financial Statements and Exhibits.</w:t>
              </w:r>
            </w:hyperlink>
          </w:p>
        </w:tc>
        <w:tc>
          <w:tcPr>
            <w:tcW w:w="646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421"/>
        </w:trPr>
        <w:tc>
          <w:tcPr>
            <w:tcW w:w="160" w:type="dxa"/>
            <w:vAlign w:val="bottom"/>
          </w:tcPr>
          <w:p>
            <w:pPr>
              <w:spacing w:after="0"/>
              <w:rPr>
                <w:sz w:val="24"/>
                <w:szCs w:val="24"/>
                <w:color w:val="auto"/>
              </w:rPr>
            </w:pPr>
          </w:p>
        </w:tc>
        <w:tc>
          <w:tcPr>
            <w:tcW w:w="4420" w:type="dxa"/>
            <w:vAlign w:val="bottom"/>
            <w:gridSpan w:val="4"/>
          </w:tcPr>
          <w:p>
            <w:pPr>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SIGNATURES</w:t>
              </w:r>
            </w:hyperlink>
          </w:p>
        </w:tc>
        <w:tc>
          <w:tcPr>
            <w:tcW w:w="6460" w:type="dxa"/>
            <w:vAlign w:val="bottom"/>
            <w:gridSpan w:val="2"/>
          </w:tcPr>
          <w:p>
            <w:pPr>
              <w:jc w:val="right"/>
              <w:spacing w:after="0"/>
              <w:rPr>
                <w:sz w:val="20"/>
                <w:szCs w:val="20"/>
                <w:color w:val="auto"/>
              </w:rPr>
            </w:pPr>
            <w:r>
              <w:rPr>
                <w:rFonts w:ascii="Arial" w:cs="Arial" w:eastAsia="Arial" w:hAnsi="Arial"/>
                <w:sz w:val="20"/>
                <w:szCs w:val="20"/>
                <w:color w:val="auto"/>
              </w:rPr>
              <w:t>6</w:t>
            </w:r>
          </w:p>
        </w:tc>
      </w:tr>
      <w:tr>
        <w:trPr>
          <w:trHeight w:val="228"/>
        </w:trPr>
        <w:tc>
          <w:tcPr>
            <w:tcW w:w="160" w:type="dxa"/>
            <w:vAlign w:val="bottom"/>
          </w:tcPr>
          <w:p>
            <w:pPr>
              <w:spacing w:after="0"/>
              <w:rPr>
                <w:sz w:val="19"/>
                <w:szCs w:val="19"/>
                <w:color w:val="auto"/>
              </w:rPr>
            </w:pPr>
          </w:p>
        </w:tc>
        <w:tc>
          <w:tcPr>
            <w:tcW w:w="4420" w:type="dxa"/>
            <w:vAlign w:val="bottom"/>
            <w:gridSpan w:val="4"/>
          </w:tcPr>
          <w:p>
            <w:pPr>
              <w:ind w:left="200"/>
              <w:spacing w:after="0" w:line="228" w:lineRule="exact"/>
              <w:rPr>
                <w:sz w:val="20"/>
                <w:szCs w:val="20"/>
                <w:color w:val="auto"/>
              </w:rPr>
            </w:pPr>
            <w:r>
              <w:rPr>
                <w:rFonts w:ascii="Arial" w:cs="Arial" w:eastAsia="Arial" w:hAnsi="Arial"/>
                <w:sz w:val="20"/>
                <w:szCs w:val="20"/>
                <w:color w:val="auto"/>
              </w:rPr>
              <w:t>EX-4.1</w:t>
            </w:r>
          </w:p>
        </w:tc>
        <w:tc>
          <w:tcPr>
            <w:tcW w:w="2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28"/>
        </w:trPr>
        <w:tc>
          <w:tcPr>
            <w:tcW w:w="160" w:type="dxa"/>
            <w:vAlign w:val="bottom"/>
          </w:tcPr>
          <w:p>
            <w:pPr>
              <w:spacing w:after="0"/>
              <w:rPr>
                <w:sz w:val="19"/>
                <w:szCs w:val="19"/>
                <w:color w:val="auto"/>
              </w:rPr>
            </w:pPr>
          </w:p>
        </w:tc>
        <w:tc>
          <w:tcPr>
            <w:tcW w:w="4420" w:type="dxa"/>
            <w:vAlign w:val="bottom"/>
            <w:gridSpan w:val="4"/>
          </w:tcPr>
          <w:p>
            <w:pPr>
              <w:ind w:left="200"/>
              <w:spacing w:after="0" w:line="228" w:lineRule="exact"/>
              <w:rPr>
                <w:sz w:val="20"/>
                <w:szCs w:val="20"/>
                <w:color w:val="auto"/>
              </w:rPr>
            </w:pPr>
            <w:r>
              <w:rPr>
                <w:rFonts w:ascii="Arial" w:cs="Arial" w:eastAsia="Arial" w:hAnsi="Arial"/>
                <w:sz w:val="20"/>
                <w:szCs w:val="20"/>
                <w:color w:val="auto"/>
              </w:rPr>
              <w:t>EX-4.2</w:t>
            </w:r>
          </w:p>
        </w:tc>
        <w:tc>
          <w:tcPr>
            <w:tcW w:w="2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49"/>
        </w:trPr>
        <w:tc>
          <w:tcPr>
            <w:tcW w:w="160" w:type="dxa"/>
            <w:vAlign w:val="bottom"/>
          </w:tcPr>
          <w:p>
            <w:pPr>
              <w:spacing w:after="0"/>
              <w:rPr>
                <w:sz w:val="21"/>
                <w:szCs w:val="21"/>
                <w:color w:val="auto"/>
              </w:rPr>
            </w:pPr>
          </w:p>
        </w:tc>
        <w:tc>
          <w:tcPr>
            <w:tcW w:w="4420" w:type="dxa"/>
            <w:vAlign w:val="bottom"/>
            <w:gridSpan w:val="4"/>
          </w:tcPr>
          <w:p>
            <w:pPr>
              <w:ind w:left="200"/>
              <w:spacing w:after="0"/>
              <w:rPr>
                <w:sz w:val="20"/>
                <w:szCs w:val="20"/>
                <w:color w:val="auto"/>
              </w:rPr>
            </w:pPr>
            <w:r>
              <w:rPr>
                <w:rFonts w:ascii="Arial" w:cs="Arial" w:eastAsia="Arial" w:hAnsi="Arial"/>
                <w:sz w:val="20"/>
                <w:szCs w:val="20"/>
                <w:color w:val="auto"/>
              </w:rPr>
              <w:t>EX-104</w:t>
            </w:r>
          </w:p>
        </w:tc>
        <w:tc>
          <w:tcPr>
            <w:tcW w:w="2100" w:type="dxa"/>
            <w:vAlign w:val="bottom"/>
          </w:tcPr>
          <w:p>
            <w:pPr>
              <w:spacing w:after="0"/>
              <w:rPr>
                <w:sz w:val="21"/>
                <w:szCs w:val="21"/>
                <w:color w:val="auto"/>
              </w:rPr>
            </w:pPr>
          </w:p>
        </w:tc>
        <w:tc>
          <w:tcPr>
            <w:tcW w:w="4360" w:type="dxa"/>
            <w:vAlign w:val="bottom"/>
          </w:tcPr>
          <w:p>
            <w:pPr>
              <w:spacing w:after="0"/>
              <w:rPr>
                <w:sz w:val="21"/>
                <w:szCs w:val="21"/>
                <w:color w:val="auto"/>
              </w:rPr>
            </w:pPr>
          </w:p>
        </w:tc>
      </w:tr>
      <w:tr>
        <w:trPr>
          <w:trHeight w:val="356"/>
        </w:trPr>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00" w:type="dxa"/>
            <w:vAlign w:val="bottom"/>
          </w:tcPr>
          <w:p>
            <w:pPr>
              <w:jc w:val="right"/>
              <w:ind w:right="923"/>
              <w:spacing w:after="0"/>
              <w:rPr>
                <w:sz w:val="20"/>
                <w:szCs w:val="20"/>
                <w:color w:val="auto"/>
              </w:rPr>
            </w:pPr>
            <w:r>
              <w:rPr>
                <w:rFonts w:ascii="Arial" w:cs="Arial" w:eastAsia="Arial" w:hAnsi="Arial"/>
                <w:sz w:val="18"/>
                <w:szCs w:val="18"/>
                <w:color w:val="auto"/>
              </w:rPr>
              <w:t>2</w:t>
            </w:r>
          </w:p>
        </w:tc>
        <w:tc>
          <w:tcPr>
            <w:tcW w:w="4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320" w:top="483" w:right="539"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4254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Item 1.01 ENTRY INTO A MATERIAL DEFINITIVE AGREEMENT.</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Entry into New Credit Agreement</w:t>
      </w:r>
    </w:p>
    <w:p>
      <w:pPr>
        <w:spacing w:after="0" w:line="212" w:lineRule="exact"/>
        <w:rPr>
          <w:sz w:val="20"/>
          <w:szCs w:val="20"/>
          <w:color w:val="auto"/>
        </w:rPr>
      </w:pPr>
    </w:p>
    <w:p>
      <w:pPr>
        <w:ind w:left="160" w:right="400"/>
        <w:spacing w:after="0" w:line="247" w:lineRule="auto"/>
        <w:rPr>
          <w:sz w:val="20"/>
          <w:szCs w:val="20"/>
          <w:color w:val="auto"/>
        </w:rPr>
      </w:pPr>
      <w:r>
        <w:rPr>
          <w:rFonts w:ascii="Arial" w:cs="Arial" w:eastAsia="Arial" w:hAnsi="Arial"/>
          <w:sz w:val="20"/>
          <w:szCs w:val="20"/>
          <w:color w:val="auto"/>
        </w:rPr>
        <w:t>On August 25, 2020, Republic Services, Inc. (the “Company”) entered into a $1 billion 364-day revolving credit facility pursuant to a Credit Agreement with Bank of America, N.A., as Administrative Agent, and the other lenders party thereto (the “New Credit Agreement”).</w:t>
      </w:r>
    </w:p>
    <w:p>
      <w:pPr>
        <w:spacing w:after="0" w:line="187" w:lineRule="exact"/>
        <w:rPr>
          <w:sz w:val="20"/>
          <w:szCs w:val="20"/>
          <w:color w:val="auto"/>
        </w:rPr>
      </w:pPr>
    </w:p>
    <w:p>
      <w:pPr>
        <w:ind w:left="160" w:right="80"/>
        <w:spacing w:after="0" w:line="255" w:lineRule="auto"/>
        <w:rPr>
          <w:sz w:val="20"/>
          <w:szCs w:val="20"/>
          <w:color w:val="auto"/>
        </w:rPr>
      </w:pPr>
      <w:r>
        <w:rPr>
          <w:rFonts w:ascii="Arial" w:cs="Arial" w:eastAsia="Arial" w:hAnsi="Arial"/>
          <w:sz w:val="19"/>
          <w:szCs w:val="19"/>
          <w:color w:val="auto"/>
        </w:rPr>
        <w:t>Borrowings under the New Credit Agreement are unsecured and will mature in August 2021. At the Company’s option, and subject to customary conditions, borrowings bear interest at a base rate or a Eurodollar rate, plus an applicable margin based on the Company’s debt ratings. The New Credit Agreement provides that the Eurodollar rate may not be less than 0.25%. Outstanding principal, accrued and unpaid interest and other amounts payable pursuant to the New Credit Agreement may be accelerated upon the occurrence of customary events of default, including (subject to certain materiality thresholds and grace periods) payment defaults, failures to comply with covenants, material inaccuracies of representations and warranties, bankruptcy or insolvency proceedings, changes of control, ERISA matters and cross-defaults to other debt agreements.</w:t>
      </w:r>
    </w:p>
    <w:p>
      <w:pPr>
        <w:spacing w:after="0" w:line="183" w:lineRule="exact"/>
        <w:rPr>
          <w:sz w:val="20"/>
          <w:szCs w:val="20"/>
          <w:color w:val="auto"/>
        </w:rPr>
      </w:pPr>
    </w:p>
    <w:p>
      <w:pPr>
        <w:ind w:left="160"/>
        <w:spacing w:after="0" w:line="244" w:lineRule="auto"/>
        <w:rPr>
          <w:sz w:val="20"/>
          <w:szCs w:val="20"/>
          <w:color w:val="auto"/>
        </w:rPr>
      </w:pPr>
      <w:r>
        <w:rPr>
          <w:rFonts w:ascii="Arial" w:cs="Arial" w:eastAsia="Arial" w:hAnsi="Arial"/>
          <w:sz w:val="20"/>
          <w:szCs w:val="20"/>
          <w:color w:val="auto"/>
        </w:rPr>
        <w:t>Subject to certain exceptions, upon the sale or issuance of any equity interests by the Company or any of its subsidiaries (other than any sales or issuances of equity interests by a subsidiary to the Company), the Company must make a mandatory prepayment equal to 100% of the net cash proceeds received from such sale or issuance, and the aggregate commitments under the New Credit Agreement will be automatically and permanently reduced by such amount.</w:t>
      </w:r>
    </w:p>
    <w:p>
      <w:pPr>
        <w:spacing w:after="0" w:line="189" w:lineRule="exact"/>
        <w:rPr>
          <w:sz w:val="20"/>
          <w:szCs w:val="20"/>
          <w:color w:val="auto"/>
        </w:rPr>
      </w:pPr>
    </w:p>
    <w:p>
      <w:pPr>
        <w:ind w:left="160" w:right="180"/>
        <w:spacing w:after="0" w:line="312" w:lineRule="auto"/>
        <w:rPr>
          <w:sz w:val="20"/>
          <w:szCs w:val="20"/>
          <w:color w:val="auto"/>
        </w:rPr>
      </w:pPr>
      <w:r>
        <w:rPr>
          <w:rFonts w:ascii="Arial" w:cs="Arial" w:eastAsia="Arial" w:hAnsi="Arial"/>
          <w:sz w:val="17"/>
          <w:szCs w:val="17"/>
          <w:color w:val="auto"/>
        </w:rPr>
        <w:t>The New Credit Agreement contains customary affirmative and negative covenants, including, among other things, a covenant requiring the Company not to exceed a maximum ratio of total debt to EBITDA, as defined in the New Credit Agreement. The New Credit Agreement permits the Company to pay dividends and repurchase common stock if it is in compliance with these covenants.</w:t>
      </w:r>
    </w:p>
    <w:p>
      <w:pPr>
        <w:spacing w:after="0" w:line="135" w:lineRule="exact"/>
        <w:rPr>
          <w:sz w:val="20"/>
          <w:szCs w:val="20"/>
          <w:color w:val="auto"/>
        </w:rPr>
      </w:pPr>
    </w:p>
    <w:p>
      <w:pPr>
        <w:ind w:left="160" w:right="40"/>
        <w:spacing w:after="0" w:line="288" w:lineRule="auto"/>
        <w:rPr>
          <w:sz w:val="20"/>
          <w:szCs w:val="20"/>
          <w:color w:val="auto"/>
        </w:rPr>
      </w:pPr>
      <w:r>
        <w:rPr>
          <w:rFonts w:ascii="Arial" w:cs="Arial" w:eastAsia="Arial" w:hAnsi="Arial"/>
          <w:sz w:val="17"/>
          <w:szCs w:val="17"/>
          <w:color w:val="auto"/>
        </w:rPr>
        <w:t>The foregoing description of the New Credit Agreement does not purport to be complete and is qualified in its entirety by reference to the New Credit Agreement, a copy of which is filed as Exhibit 4.1 to this Current Report on Form 8-K. The New Credit Agreement is not intended to be a source of factual, business or operational information about the Company or its subsidiaries. The representations and warranties contained in the New Credit Agreement were made only for purposes of such agreement and as of specific dates, were solely for the benefit of the parties to such agreement, and may be subject to limitations agreed upon by the parties, including being qualified by disclosures for the purpose of allocating contractual risk between the parties instead of establishing matters as facts; and may be subject to standards of materiality applicable to the contracting parties that differ from those applicable to investors or security holders. Accordingly, investors should not rely on the representations, warranties and covenants or any descriptions thereof as characterizations of the actual state of facts or condition of the parties.</w:t>
      </w:r>
    </w:p>
    <w:p>
      <w:pPr>
        <w:spacing w:after="0" w:line="386"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Amendment to Existing Credit Agreement</w:t>
      </w:r>
    </w:p>
    <w:p>
      <w:pPr>
        <w:spacing w:after="0" w:line="212" w:lineRule="exact"/>
        <w:rPr>
          <w:sz w:val="20"/>
          <w:szCs w:val="20"/>
          <w:color w:val="auto"/>
        </w:rPr>
      </w:pPr>
    </w:p>
    <w:p>
      <w:pPr>
        <w:jc w:val="both"/>
        <w:ind w:left="160" w:right="40"/>
        <w:spacing w:after="0" w:line="266" w:lineRule="auto"/>
        <w:rPr>
          <w:sz w:val="20"/>
          <w:szCs w:val="20"/>
          <w:color w:val="auto"/>
        </w:rPr>
      </w:pPr>
      <w:r>
        <w:rPr>
          <w:rFonts w:ascii="Arial" w:cs="Arial" w:eastAsia="Arial" w:hAnsi="Arial"/>
          <w:sz w:val="19"/>
          <w:szCs w:val="19"/>
          <w:color w:val="auto"/>
        </w:rPr>
        <w:t>On August 25, 2020, the Company entered into Amendment No. 3 (the “Credit Agreement Amendment”) to the Credit Agreement, dated June 8, 2018, as amended, with Bank of America, N.A., as Administrative Agent, Swing Line Lender and L/C Issuer and the other lenders party thereto (the “Credit Agreement”) to make certain conforming changes to the Credit Agreement.</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The foregoing description of the Credit Agreement Amendment does not purport to be complete</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83"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73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160"/>
        <w:spacing w:after="0" w:line="288" w:lineRule="auto"/>
        <w:rPr>
          <w:sz w:val="20"/>
          <w:szCs w:val="20"/>
          <w:color w:val="auto"/>
        </w:rPr>
      </w:pPr>
      <w:r>
        <w:rPr>
          <w:rFonts w:ascii="Arial" w:cs="Arial" w:eastAsia="Arial" w:hAnsi="Arial"/>
          <w:sz w:val="17"/>
          <w:szCs w:val="17"/>
          <w:color w:val="auto"/>
        </w:rPr>
        <w:t>and is qualified in its entirety by reference to the Credit Agreement Amendment, a copy of which is filed as Exhibit 4.2 to this Current Report on Form 8-K. The Credit Agreement Amendment is not intended to be a source of factual, business or operational information about the Company or its subsidiaries. The representations and warranties contained in the Credit Agreement Amendment were made only for purposes of such agreement and as of specific dates, were solely for the benefit of the parties to such agreement, and may be subject to limitations agreed upon by the parties, including being qualified by disclosures for the purpose of allocating contractual risk between the parties instead of establishing matters as facts; and may be subject to standards of materiality applicable to the contracting parties that differ from those applicable to investors or security holders. Accordingly, investors should not rely on the representations, warranties and covenants or any descriptions thereof as characterizations of the actual state of facts or condition of the parties.</w:t>
      </w:r>
    </w:p>
    <w:p>
      <w:pPr>
        <w:spacing w:after="0" w:line="153" w:lineRule="exact"/>
        <w:rPr>
          <w:sz w:val="20"/>
          <w:szCs w:val="20"/>
          <w:color w:val="auto"/>
        </w:rPr>
      </w:pPr>
    </w:p>
    <w:p>
      <w:pPr>
        <w:ind w:left="160" w:right="660"/>
        <w:spacing w:after="0" w:line="263" w:lineRule="auto"/>
        <w:rPr>
          <w:sz w:val="20"/>
          <w:szCs w:val="20"/>
          <w:color w:val="auto"/>
        </w:rPr>
      </w:pPr>
      <w:r>
        <w:rPr>
          <w:rFonts w:ascii="Arial" w:cs="Arial" w:eastAsia="Arial" w:hAnsi="Arial"/>
          <w:sz w:val="20"/>
          <w:szCs w:val="20"/>
          <w:b w:val="1"/>
          <w:bCs w:val="1"/>
          <w:color w:val="auto"/>
        </w:rPr>
        <w:t>Item 2.03 CREATION OF A DIRECT FINANCIAL OBLIGATION OR AN OBLIGATION UNDER AN OFF-BALANCE SHEET ARRANGEMENT OF A REGISTRANT.</w:t>
      </w:r>
    </w:p>
    <w:p>
      <w:pPr>
        <w:spacing w:after="0" w:line="171" w:lineRule="exact"/>
        <w:rPr>
          <w:sz w:val="20"/>
          <w:szCs w:val="20"/>
          <w:color w:val="auto"/>
        </w:rPr>
      </w:pPr>
    </w:p>
    <w:p>
      <w:pPr>
        <w:ind w:left="160" w:right="820"/>
        <w:spacing w:after="0" w:line="257" w:lineRule="auto"/>
        <w:rPr>
          <w:sz w:val="20"/>
          <w:szCs w:val="20"/>
          <w:color w:val="auto"/>
        </w:rPr>
      </w:pPr>
      <w:r>
        <w:rPr>
          <w:rFonts w:ascii="Arial" w:cs="Arial" w:eastAsia="Arial" w:hAnsi="Arial"/>
          <w:sz w:val="20"/>
          <w:szCs w:val="20"/>
          <w:color w:val="auto"/>
        </w:rPr>
        <w:t>The disclosure required hereunder is provided under Item 1.01 above relating to the entry into the New Credit Agreement and is incorporated by reference herein.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83"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073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(d) Exhibits</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Exhibit</w:t>
      </w:r>
    </w:p>
    <w:p>
      <w:pPr>
        <w:spacing w:after="0" w:line="14"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Description</w:t>
      </w:r>
    </w:p>
    <w:p>
      <w:pPr>
        <w:spacing w:after="0" w:line="3" w:lineRule="exact"/>
        <w:rPr>
          <w:sz w:val="20"/>
          <w:szCs w:val="20"/>
          <w:color w:val="auto"/>
        </w:rPr>
      </w:pPr>
    </w:p>
    <w:p>
      <w:pPr>
        <w:ind w:left="1460" w:right="20" w:hanging="876"/>
        <w:spacing w:after="0" w:line="257" w:lineRule="auto"/>
        <w:tabs>
          <w:tab w:leader="none" w:pos="1440" w:val="left"/>
        </w:tabs>
        <w:rPr>
          <w:rFonts w:ascii="Arial" w:cs="Arial" w:eastAsia="Arial" w:hAnsi="Arial"/>
          <w:sz w:val="20"/>
          <w:szCs w:val="20"/>
          <w:u w:val="single" w:color="auto"/>
          <w:color w:val="0000EE"/>
        </w:rPr>
      </w:pPr>
      <w:r>
        <w:rPr>
          <w:rFonts w:ascii="Arial" w:cs="Arial" w:eastAsia="Arial" w:hAnsi="Arial"/>
          <w:sz w:val="20"/>
          <w:szCs w:val="20"/>
          <w:color w:val="auto"/>
        </w:rPr>
        <w:t>4.1</w:t>
      </w:r>
      <w:r>
        <w:rPr>
          <w:sz w:val="20"/>
          <w:szCs w:val="20"/>
          <w:color w:val="auto"/>
        </w:rPr>
        <w:tab/>
      </w:r>
      <w:hyperlink w:anchor="page7">
        <w:r>
          <w:rPr>
            <w:rFonts w:ascii="Arial" w:cs="Arial" w:eastAsia="Arial" w:hAnsi="Arial"/>
            <w:sz w:val="20"/>
            <w:szCs w:val="20"/>
            <w:u w:val="single" w:color="auto"/>
            <w:color w:val="0000EE"/>
          </w:rPr>
          <w:t>Credit Agreement, dated as of August 25, 2020, by and among Republic Services, Inc., as Borrower, Bank of America,</w:t>
        </w:r>
      </w:hyperlink>
      <w:r>
        <w:rPr>
          <w:rFonts w:ascii="Arial" w:cs="Arial" w:eastAsia="Arial" w:hAnsi="Arial"/>
          <w:sz w:val="20"/>
          <w:szCs w:val="20"/>
          <w:u w:val="single" w:color="auto"/>
          <w:color w:val="0000EE"/>
        </w:rPr>
        <w:t xml:space="preserve"> </w:t>
      </w:r>
      <w:hyperlink w:anchor="page7">
        <w:r>
          <w:rPr>
            <w:rFonts w:ascii="Arial" w:cs="Arial" w:eastAsia="Arial" w:hAnsi="Arial"/>
            <w:sz w:val="20"/>
            <w:szCs w:val="20"/>
            <w:u w:val="single" w:color="auto"/>
            <w:color w:val="0000EE"/>
          </w:rPr>
          <w:t>N.A., as Administrative Agent, and the other lenders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-306705</wp:posOffset>
            </wp:positionV>
            <wp:extent cx="6903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3720" cy="8255"/>
                    </a:xfrm>
                    <a:prstGeom prst="rect">
                      <a:avLst/>
                    </a:prstGeom>
                    <a:noFill/>
                  </pic:spPr>
                </pic:pic>
              </a:graphicData>
            </a:graphic>
          </wp:anchor>
        </w:drawing>
      </w:r>
    </w:p>
    <w:p>
      <w:pPr>
        <w:spacing w:after="0" w:line="203" w:lineRule="exact"/>
        <w:rPr>
          <w:sz w:val="20"/>
          <w:szCs w:val="20"/>
          <w:color w:val="auto"/>
        </w:rPr>
      </w:pPr>
    </w:p>
    <w:p>
      <w:pPr>
        <w:ind w:left="1460" w:hanging="876"/>
        <w:spacing w:after="0" w:line="247" w:lineRule="auto"/>
        <w:tabs>
          <w:tab w:leader="none" w:pos="1440" w:val="left"/>
        </w:tabs>
        <w:rPr>
          <w:rFonts w:ascii="Arial" w:cs="Arial" w:eastAsia="Arial" w:hAnsi="Arial"/>
          <w:sz w:val="20"/>
          <w:szCs w:val="20"/>
          <w:u w:val="single" w:color="auto"/>
          <w:color w:val="0000EE"/>
        </w:rPr>
      </w:pPr>
      <w:r>
        <w:rPr>
          <w:rFonts w:ascii="Arial" w:cs="Arial" w:eastAsia="Arial" w:hAnsi="Arial"/>
          <w:sz w:val="20"/>
          <w:szCs w:val="20"/>
          <w:color w:val="auto"/>
        </w:rPr>
        <w:t>4.2</w:t>
      </w:r>
      <w:r>
        <w:rPr>
          <w:sz w:val="20"/>
          <w:szCs w:val="20"/>
          <w:color w:val="auto"/>
        </w:rPr>
        <w:tab/>
      </w:r>
      <w:hyperlink w:anchor="page145">
        <w:r>
          <w:rPr>
            <w:rFonts w:ascii="Arial" w:cs="Arial" w:eastAsia="Arial" w:hAnsi="Arial"/>
            <w:sz w:val="20"/>
            <w:szCs w:val="20"/>
            <w:u w:val="single" w:color="auto"/>
            <w:color w:val="0000EE"/>
          </w:rPr>
          <w:t>Amendment No. 3, dated as of August 25, 2020, to Credit Agreement, dated as of June 8, 2018, as amended, by and</w:t>
        </w:r>
      </w:hyperlink>
      <w:r>
        <w:rPr>
          <w:rFonts w:ascii="Arial" w:cs="Arial" w:eastAsia="Arial" w:hAnsi="Arial"/>
          <w:sz w:val="20"/>
          <w:szCs w:val="20"/>
          <w:u w:val="single" w:color="auto"/>
          <w:color w:val="0000EE"/>
        </w:rPr>
        <w:t xml:space="preserve"> </w:t>
      </w:r>
      <w:hyperlink w:anchor="page145">
        <w:r>
          <w:rPr>
            <w:rFonts w:ascii="Arial" w:cs="Arial" w:eastAsia="Arial" w:hAnsi="Arial"/>
            <w:sz w:val="20"/>
            <w:szCs w:val="20"/>
            <w:u w:val="single" w:color="auto"/>
            <w:color w:val="0000EE"/>
          </w:rPr>
          <w:t>among Republic Services, Inc., as Borrower, Bank of America, N.A., as Administrative Agent, Swing Line Lender and</w:t>
        </w:r>
      </w:hyperlink>
      <w:r>
        <w:rPr>
          <w:rFonts w:ascii="Arial" w:cs="Arial" w:eastAsia="Arial" w:hAnsi="Arial"/>
          <w:sz w:val="20"/>
          <w:szCs w:val="20"/>
          <w:u w:val="single" w:color="auto"/>
          <w:color w:val="0000EE"/>
        </w:rPr>
        <w:t xml:space="preserve"> </w:t>
      </w:r>
      <w:hyperlink w:anchor="page145">
        <w:r>
          <w:rPr>
            <w:rFonts w:ascii="Arial" w:cs="Arial" w:eastAsia="Arial" w:hAnsi="Arial"/>
            <w:sz w:val="20"/>
            <w:szCs w:val="20"/>
            <w:u w:val="single" w:color="auto"/>
            <w:color w:val="0000EE"/>
          </w:rPr>
          <w:t>L/C Issuer, and the other lenders party thereto</w:t>
        </w:r>
      </w:hyperlink>
    </w:p>
    <w:p>
      <w:pPr>
        <w:spacing w:after="0" w:line="227" w:lineRule="exact"/>
        <w:rPr>
          <w:rFonts w:ascii="Arial" w:cs="Arial" w:eastAsia="Arial" w:hAnsi="Arial"/>
          <w:sz w:val="20"/>
          <w:szCs w:val="20"/>
          <w:u w:val="single" w:color="auto"/>
          <w:color w:val="0000EE"/>
        </w:rPr>
      </w:pPr>
    </w:p>
    <w:p>
      <w:pPr>
        <w:ind w:left="1460" w:hanging="897"/>
        <w:spacing w:after="0"/>
        <w:tabs>
          <w:tab w:leader="none" w:pos="1460" w:val="left"/>
        </w:tabs>
        <w:numPr>
          <w:ilvl w:val="0"/>
          <w:numId w:val="2"/>
        </w:numPr>
        <w:rPr>
          <w:rFonts w:ascii="Arial" w:cs="Arial" w:eastAsia="Arial" w:hAnsi="Arial"/>
          <w:sz w:val="19"/>
          <w:szCs w:val="19"/>
          <w:color w:val="auto"/>
        </w:rPr>
      </w:pPr>
      <w:r>
        <w:rPr>
          <w:rFonts w:ascii="Arial" w:cs="Arial" w:eastAsia="Arial" w:hAnsi="Arial"/>
          <w:sz w:val="19"/>
          <w:szCs w:val="19"/>
          <w:color w:val="auto"/>
        </w:rPr>
        <w:t>Cover Page Interactive Data File – the cover page XBRL tags are embedded within the Inline XBRL document</w:t>
      </w:r>
    </w:p>
    <w:p>
      <w:pPr>
        <w:spacing w:after="0" w:line="158"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Arial" w:cs="Arial" w:eastAsia="Arial" w:hAnsi="Arial"/>
          <w:sz w:val="18"/>
          <w:szCs w:val="18"/>
          <w:color w:val="auto"/>
        </w:rPr>
        <w:t>5</w:t>
      </w:r>
    </w:p>
    <w:p>
      <w:pPr>
        <w:sectPr>
          <w:pgSz w:w="11900" w:h="16838" w:orient="portrait"/>
          <w:cols w:equalWidth="0" w:num="1">
            <w:col w:w="10820"/>
          </w:cols>
          <w:pgMar w:left="320" w:top="483" w:right="7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425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SIGNATURES</w:t>
      </w:r>
    </w:p>
    <w:p>
      <w:pPr>
        <w:spacing w:after="0" w:line="218" w:lineRule="exact"/>
        <w:rPr>
          <w:sz w:val="20"/>
          <w:szCs w:val="20"/>
          <w:color w:val="auto"/>
        </w:rPr>
      </w:pPr>
    </w:p>
    <w:p>
      <w:pPr>
        <w:ind w:left="160"/>
        <w:spacing w:after="0" w:line="25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6" w:lineRule="exact"/>
        <w:rPr>
          <w:sz w:val="20"/>
          <w:szCs w:val="20"/>
          <w:color w:val="auto"/>
        </w:rPr>
      </w:pPr>
    </w:p>
    <w:p>
      <w:pPr>
        <w:ind w:left="6500"/>
        <w:spacing w:after="0"/>
        <w:rPr>
          <w:sz w:val="20"/>
          <w:szCs w:val="20"/>
          <w:color w:val="auto"/>
        </w:rPr>
      </w:pPr>
      <w:r>
        <w:rPr>
          <w:rFonts w:ascii="Arial" w:cs="Arial" w:eastAsia="Arial" w:hAnsi="Arial"/>
          <w:sz w:val="20"/>
          <w:szCs w:val="20"/>
          <w:b w:val="1"/>
          <w:bCs w:val="1"/>
          <w:color w:val="auto"/>
        </w:rPr>
        <w:t>REPUBLIC SERVICES, INC.</w:t>
      </w:r>
    </w:p>
    <w:p>
      <w:pPr>
        <w:spacing w:after="0" w:line="200" w:lineRule="exact"/>
        <w:rPr>
          <w:sz w:val="20"/>
          <w:szCs w:val="20"/>
          <w:color w:val="auto"/>
        </w:rPr>
      </w:pPr>
    </w:p>
    <w:p>
      <w:pPr>
        <w:spacing w:after="0" w:line="339" w:lineRule="exact"/>
        <w:rPr>
          <w:sz w:val="20"/>
          <w:szCs w:val="20"/>
          <w:color w:val="auto"/>
        </w:rPr>
      </w:pPr>
    </w:p>
    <w:p>
      <w:pPr>
        <w:ind w:left="360"/>
        <w:spacing w:after="0"/>
        <w:tabs>
          <w:tab w:leader="none" w:pos="6480" w:val="left"/>
          <w:tab w:leader="none" w:pos="8000" w:val="left"/>
        </w:tabs>
        <w:rPr>
          <w:sz w:val="20"/>
          <w:szCs w:val="20"/>
          <w:color w:val="auto"/>
        </w:rPr>
      </w:pPr>
      <w:r>
        <w:rPr>
          <w:rFonts w:ascii="Arial" w:cs="Arial" w:eastAsia="Arial" w:hAnsi="Arial"/>
          <w:sz w:val="20"/>
          <w:szCs w:val="20"/>
          <w:color w:val="auto"/>
        </w:rPr>
        <w:t>Date:  August 27,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Brian M. DelGhiaccio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8890</wp:posOffset>
            </wp:positionV>
            <wp:extent cx="2635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4" w:lineRule="exact"/>
        <w:rPr>
          <w:sz w:val="20"/>
          <w:szCs w:val="20"/>
          <w:color w:val="auto"/>
        </w:rPr>
      </w:pPr>
    </w:p>
    <w:p>
      <w:pPr>
        <w:jc w:val="center"/>
        <w:ind w:left="6760"/>
        <w:spacing w:after="0"/>
        <w:rPr>
          <w:sz w:val="20"/>
          <w:szCs w:val="20"/>
          <w:color w:val="auto"/>
        </w:rPr>
      </w:pPr>
      <w:r>
        <w:rPr>
          <w:rFonts w:ascii="Arial" w:cs="Arial" w:eastAsia="Arial" w:hAnsi="Arial"/>
          <w:sz w:val="20"/>
          <w:szCs w:val="20"/>
          <w:color w:val="auto"/>
        </w:rPr>
        <w:t>Brian M. DelGhiaccio</w:t>
      </w:r>
    </w:p>
    <w:p>
      <w:pPr>
        <w:spacing w:after="0" w:line="11" w:lineRule="exact"/>
        <w:rPr>
          <w:sz w:val="20"/>
          <w:szCs w:val="20"/>
          <w:color w:val="auto"/>
        </w:rPr>
      </w:pPr>
    </w:p>
    <w:p>
      <w:pPr>
        <w:jc w:val="center"/>
        <w:ind w:left="6760"/>
        <w:spacing w:after="0"/>
        <w:rPr>
          <w:sz w:val="20"/>
          <w:szCs w:val="20"/>
          <w:color w:val="auto"/>
        </w:rPr>
      </w:pPr>
      <w:r>
        <w:rPr>
          <w:rFonts w:ascii="Arial" w:cs="Arial" w:eastAsia="Arial" w:hAnsi="Arial"/>
          <w:sz w:val="20"/>
          <w:szCs w:val="20"/>
          <w:color w:val="auto"/>
        </w:rPr>
        <w:t>Executive Vice President, Chief</w:t>
      </w:r>
    </w:p>
    <w:p>
      <w:pPr>
        <w:jc w:val="center"/>
        <w:ind w:left="6760"/>
        <w:spacing w:after="0" w:line="237" w:lineRule="auto"/>
        <w:rPr>
          <w:sz w:val="20"/>
          <w:szCs w:val="20"/>
          <w:color w:val="auto"/>
        </w:rPr>
      </w:pPr>
      <w:r>
        <w:rPr>
          <w:rFonts w:ascii="Arial" w:cs="Arial" w:eastAsia="Arial" w:hAnsi="Arial"/>
          <w:sz w:val="20"/>
          <w:szCs w:val="20"/>
          <w:color w:val="auto"/>
        </w:rPr>
        <w:t>Financial Officer and Treasurer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20"/>
          <w:szCs w:val="20"/>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0"/>
        <w:spacing w:after="0"/>
        <w:tabs>
          <w:tab w:leader="none" w:pos="6480" w:val="left"/>
          <w:tab w:leader="none" w:pos="8220" w:val="left"/>
        </w:tabs>
        <w:rPr>
          <w:sz w:val="20"/>
          <w:szCs w:val="20"/>
          <w:color w:val="auto"/>
        </w:rPr>
      </w:pPr>
      <w:r>
        <w:rPr>
          <w:rFonts w:ascii="Arial" w:cs="Arial" w:eastAsia="Arial" w:hAnsi="Arial"/>
          <w:sz w:val="20"/>
          <w:szCs w:val="20"/>
          <w:color w:val="auto"/>
        </w:rPr>
        <w:t>Date:  August 27,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Brian A.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8890</wp:posOffset>
            </wp:positionV>
            <wp:extent cx="2635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5885" cy="8255"/>
                    </a:xfrm>
                    <a:prstGeom prst="rect">
                      <a:avLst/>
                    </a:prstGeom>
                    <a:noFill/>
                  </pic:spPr>
                </pic:pic>
              </a:graphicData>
            </a:graphic>
          </wp:anchor>
        </w:drawing>
      </w:r>
    </w:p>
    <w:p>
      <w:pPr>
        <w:spacing w:after="0" w:line="4" w:lineRule="exact"/>
        <w:rPr>
          <w:sz w:val="20"/>
          <w:szCs w:val="20"/>
          <w:color w:val="auto"/>
        </w:rPr>
      </w:pPr>
    </w:p>
    <w:p>
      <w:pPr>
        <w:jc w:val="center"/>
        <w:ind w:left="6760"/>
        <w:spacing w:after="0"/>
        <w:rPr>
          <w:sz w:val="20"/>
          <w:szCs w:val="20"/>
          <w:color w:val="auto"/>
        </w:rPr>
      </w:pPr>
      <w:r>
        <w:rPr>
          <w:rFonts w:ascii="Arial" w:cs="Arial" w:eastAsia="Arial" w:hAnsi="Arial"/>
          <w:sz w:val="20"/>
          <w:szCs w:val="20"/>
          <w:color w:val="auto"/>
        </w:rPr>
        <w:t>Brian A. Goebel</w:t>
      </w:r>
    </w:p>
    <w:p>
      <w:pPr>
        <w:spacing w:after="0" w:line="11" w:lineRule="exact"/>
        <w:rPr>
          <w:sz w:val="20"/>
          <w:szCs w:val="20"/>
          <w:color w:val="auto"/>
        </w:rPr>
      </w:pPr>
    </w:p>
    <w:p>
      <w:pPr>
        <w:jc w:val="center"/>
        <w:ind w:left="6760"/>
        <w:spacing w:after="0"/>
        <w:rPr>
          <w:sz w:val="20"/>
          <w:szCs w:val="20"/>
          <w:color w:val="auto"/>
        </w:rPr>
      </w:pPr>
      <w:r>
        <w:rPr>
          <w:rFonts w:ascii="Arial" w:cs="Arial" w:eastAsia="Arial" w:hAnsi="Arial"/>
          <w:sz w:val="20"/>
          <w:szCs w:val="20"/>
          <w:color w:val="auto"/>
        </w:rPr>
        <w:t>Vice President and</w:t>
      </w:r>
    </w:p>
    <w:p>
      <w:pPr>
        <w:jc w:val="center"/>
        <w:ind w:left="6760"/>
        <w:spacing w:after="0" w:line="237" w:lineRule="auto"/>
        <w:rPr>
          <w:sz w:val="20"/>
          <w:szCs w:val="20"/>
          <w:color w:val="auto"/>
        </w:rPr>
      </w:pPr>
      <w:r>
        <w:rPr>
          <w:rFonts w:ascii="Arial" w:cs="Arial" w:eastAsia="Arial" w:hAnsi="Arial"/>
          <w:sz w:val="20"/>
          <w:szCs w:val="20"/>
          <w:color w:val="auto"/>
        </w:rPr>
        <w:t>Chief Accounting Officer</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20"/>
          <w:szCs w:val="20"/>
          <w:color w:val="auto"/>
        </w:rPr>
        <w:t>(Principal Accounting Officer)</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83" w:right="4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4.1</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526415</wp:posOffset>
            </wp:positionV>
            <wp:extent cx="693801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42545"/>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586105</wp:posOffset>
            </wp:positionV>
            <wp:extent cx="69380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8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Deal CUSIP Number: 760760AL2</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Revolver CUSIP Number: 760760AM0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60"/>
        <w:spacing w:after="0"/>
        <w:rPr>
          <w:sz w:val="20"/>
          <w:szCs w:val="20"/>
          <w:color w:val="auto"/>
        </w:rPr>
      </w:pPr>
      <w:r>
        <w:rPr>
          <w:rFonts w:ascii="Arial" w:cs="Arial" w:eastAsia="Arial" w:hAnsi="Arial"/>
          <w:sz w:val="20"/>
          <w:szCs w:val="20"/>
          <w:b w:val="1"/>
          <w:bCs w:val="1"/>
          <w:color w:val="auto"/>
        </w:rPr>
        <w:t>CREDIT AGREEMENT</w:t>
      </w: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20"/>
          <w:szCs w:val="20"/>
          <w:color w:val="auto"/>
        </w:rPr>
        <w:t>Dated as of August 25, 2020</w:t>
      </w:r>
    </w:p>
    <w:p>
      <w:pPr>
        <w:spacing w:after="0" w:line="212" w:lineRule="exact"/>
        <w:rPr>
          <w:sz w:val="20"/>
          <w:szCs w:val="20"/>
          <w:color w:val="auto"/>
        </w:rPr>
      </w:pPr>
    </w:p>
    <w:p>
      <w:pPr>
        <w:jc w:val="center"/>
        <w:ind w:right="960"/>
        <w:spacing w:after="0"/>
        <w:rPr>
          <w:sz w:val="20"/>
          <w:szCs w:val="20"/>
          <w:color w:val="auto"/>
        </w:rPr>
      </w:pPr>
      <w:r>
        <w:rPr>
          <w:rFonts w:ascii="Arial" w:cs="Arial" w:eastAsia="Arial" w:hAnsi="Arial"/>
          <w:sz w:val="20"/>
          <w:szCs w:val="20"/>
          <w:color w:val="auto"/>
        </w:rPr>
        <w:t>among</w:t>
      </w:r>
    </w:p>
    <w:p>
      <w:pPr>
        <w:spacing w:after="0" w:line="206" w:lineRule="exact"/>
        <w:rPr>
          <w:sz w:val="20"/>
          <w:szCs w:val="20"/>
          <w:color w:val="auto"/>
        </w:rPr>
      </w:pPr>
    </w:p>
    <w:p>
      <w:pPr>
        <w:jc w:val="center"/>
        <w:ind w:right="960"/>
        <w:spacing w:after="0"/>
        <w:rPr>
          <w:sz w:val="20"/>
          <w:szCs w:val="20"/>
          <w:color w:val="auto"/>
        </w:rPr>
      </w:pPr>
      <w:r>
        <w:rPr>
          <w:rFonts w:ascii="Arial" w:cs="Arial" w:eastAsia="Arial" w:hAnsi="Arial"/>
          <w:sz w:val="20"/>
          <w:szCs w:val="20"/>
          <w:b w:val="1"/>
          <w:bCs w:val="1"/>
          <w:color w:val="auto"/>
        </w:rPr>
        <w:t>REPUBLIC SERVICES, INC.</w:t>
      </w:r>
      <w:r>
        <w:rPr>
          <w:rFonts w:ascii="Arial" w:cs="Arial" w:eastAsia="Arial" w:hAnsi="Arial"/>
          <w:sz w:val="20"/>
          <w:szCs w:val="20"/>
          <w:color w:val="auto"/>
        </w:rPr>
        <w:t>,</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20"/>
          <w:szCs w:val="20"/>
          <w:color w:val="auto"/>
        </w:rPr>
        <w:t>as the Borrower,</w:t>
      </w:r>
    </w:p>
    <w:p>
      <w:pPr>
        <w:spacing w:after="0" w:line="297" w:lineRule="exact"/>
        <w:rPr>
          <w:sz w:val="20"/>
          <w:szCs w:val="20"/>
          <w:color w:val="auto"/>
        </w:rPr>
      </w:pPr>
    </w:p>
    <w:p>
      <w:pPr>
        <w:jc w:val="center"/>
        <w:ind w:right="9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20"/>
          <w:szCs w:val="20"/>
          <w:color w:val="auto"/>
        </w:rPr>
        <w:t>as Administrative Agent,</w:t>
      </w:r>
    </w:p>
    <w:p>
      <w:pPr>
        <w:spacing w:after="0" w:line="303"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The Lenders Party Hereto</w:t>
      </w:r>
    </w:p>
    <w:p>
      <w:pPr>
        <w:spacing w:after="0" w:line="200" w:lineRule="exact"/>
        <w:rPr>
          <w:sz w:val="20"/>
          <w:szCs w:val="20"/>
          <w:color w:val="auto"/>
        </w:rPr>
      </w:pPr>
    </w:p>
    <w:p>
      <w:pPr>
        <w:spacing w:after="0" w:line="220" w:lineRule="exact"/>
        <w:rPr>
          <w:sz w:val="20"/>
          <w:szCs w:val="20"/>
          <w:color w:val="auto"/>
        </w:rPr>
      </w:pPr>
    </w:p>
    <w:p>
      <w:pPr>
        <w:jc w:val="center"/>
        <w:ind w:right="960"/>
        <w:spacing w:after="0"/>
        <w:rPr>
          <w:sz w:val="20"/>
          <w:szCs w:val="20"/>
          <w:color w:val="auto"/>
        </w:rPr>
      </w:pPr>
      <w:r>
        <w:rPr>
          <w:rFonts w:ascii="Arial" w:cs="Arial" w:eastAsia="Arial" w:hAnsi="Arial"/>
          <w:sz w:val="20"/>
          <w:szCs w:val="20"/>
          <w:b w:val="1"/>
          <w:bCs w:val="1"/>
          <w:color w:val="auto"/>
        </w:rPr>
        <w:t>JPMORGAN CHASE BANK, N.A.</w:t>
      </w:r>
    </w:p>
    <w:p>
      <w:pPr>
        <w:spacing w:after="0" w:line="17" w:lineRule="exact"/>
        <w:rPr>
          <w:sz w:val="20"/>
          <w:szCs w:val="20"/>
          <w:color w:val="auto"/>
        </w:rPr>
      </w:pPr>
    </w:p>
    <w:p>
      <w:pPr>
        <w:jc w:val="center"/>
        <w:ind w:right="960"/>
        <w:spacing w:after="0"/>
        <w:rPr>
          <w:sz w:val="20"/>
          <w:szCs w:val="20"/>
          <w:color w:val="auto"/>
        </w:rPr>
      </w:pPr>
      <w:r>
        <w:rPr>
          <w:rFonts w:ascii="Arial" w:cs="Arial" w:eastAsia="Arial" w:hAnsi="Arial"/>
          <w:sz w:val="20"/>
          <w:szCs w:val="20"/>
          <w:color w:val="auto"/>
        </w:rPr>
        <w:t>and</w:t>
      </w:r>
    </w:p>
    <w:p>
      <w:pPr>
        <w:jc w:val="center"/>
        <w:ind w:right="960"/>
        <w:spacing w:after="0" w:line="237" w:lineRule="auto"/>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w:t>
      </w:r>
    </w:p>
    <w:p>
      <w:pPr>
        <w:spacing w:after="0" w:line="1" w:lineRule="exact"/>
        <w:rPr>
          <w:sz w:val="20"/>
          <w:szCs w:val="20"/>
          <w:color w:val="auto"/>
        </w:rPr>
      </w:pPr>
    </w:p>
    <w:p>
      <w:pPr>
        <w:jc w:val="center"/>
        <w:ind w:right="960"/>
        <w:spacing w:after="0"/>
        <w:rPr>
          <w:sz w:val="20"/>
          <w:szCs w:val="20"/>
          <w:color w:val="auto"/>
        </w:rPr>
      </w:pPr>
      <w:r>
        <w:rPr>
          <w:rFonts w:ascii="Arial" w:cs="Arial" w:eastAsia="Arial" w:hAnsi="Arial"/>
          <w:sz w:val="20"/>
          <w:szCs w:val="20"/>
          <w:color w:val="auto"/>
        </w:rPr>
        <w:t>as Co-Syndication Agents</w:t>
      </w:r>
    </w:p>
    <w:p>
      <w:pPr>
        <w:spacing w:after="0" w:line="200" w:lineRule="exact"/>
        <w:rPr>
          <w:sz w:val="20"/>
          <w:szCs w:val="20"/>
          <w:color w:val="auto"/>
        </w:rPr>
      </w:pPr>
    </w:p>
    <w:p>
      <w:pPr>
        <w:spacing w:after="0" w:line="204" w:lineRule="exact"/>
        <w:rPr>
          <w:sz w:val="20"/>
          <w:szCs w:val="20"/>
          <w:color w:val="auto"/>
        </w:rPr>
      </w:pPr>
    </w:p>
    <w:p>
      <w:pPr>
        <w:jc w:val="center"/>
        <w:ind w:left="620" w:right="1580"/>
        <w:spacing w:after="0" w:line="246" w:lineRule="auto"/>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w:t>
      </w:r>
      <w:r>
        <w:rPr>
          <w:rFonts w:ascii="Arial" w:cs="Arial" w:eastAsia="Arial" w:hAnsi="Arial"/>
          <w:sz w:val="20"/>
          <w:szCs w:val="20"/>
          <w:b w:val="1"/>
          <w:bCs w:val="1"/>
          <w:color w:val="auto"/>
        </w:rPr>
        <w:t xml:space="preserve"> BNP PARIBAS</w:t>
      </w:r>
      <w:r>
        <w:rPr>
          <w:rFonts w:ascii="Arial" w:cs="Arial" w:eastAsia="Arial" w:hAnsi="Arial"/>
          <w:sz w:val="20"/>
          <w:szCs w:val="20"/>
          <w:color w:val="auto"/>
        </w:rPr>
        <w:t>,</w:t>
      </w:r>
      <w:r>
        <w:rPr>
          <w:rFonts w:ascii="Arial" w:cs="Arial" w:eastAsia="Arial" w:hAnsi="Arial"/>
          <w:sz w:val="20"/>
          <w:szCs w:val="20"/>
          <w:b w:val="1"/>
          <w:bCs w:val="1"/>
          <w:color w:val="auto"/>
        </w:rPr>
        <w:t xml:space="preserve"> COBANK, ACB</w:t>
      </w:r>
      <w:r>
        <w:rPr>
          <w:rFonts w:ascii="Arial" w:cs="Arial" w:eastAsia="Arial" w:hAnsi="Arial"/>
          <w:sz w:val="20"/>
          <w:szCs w:val="20"/>
          <w:color w:val="auto"/>
        </w:rPr>
        <w:t>,</w:t>
      </w:r>
      <w:r>
        <w:rPr>
          <w:rFonts w:ascii="Arial" w:cs="Arial" w:eastAsia="Arial" w:hAnsi="Arial"/>
          <w:sz w:val="20"/>
          <w:szCs w:val="20"/>
          <w:b w:val="1"/>
          <w:bCs w:val="1"/>
          <w:color w:val="auto"/>
        </w:rPr>
        <w:t xml:space="preserve"> MIZUHO BANK, LTD.</w:t>
      </w:r>
      <w:r>
        <w:rPr>
          <w:rFonts w:ascii="Arial" w:cs="Arial" w:eastAsia="Arial" w:hAnsi="Arial"/>
          <w:sz w:val="20"/>
          <w:szCs w:val="20"/>
          <w:color w:val="auto"/>
        </w:rPr>
        <w:t>,</w:t>
      </w:r>
      <w:r>
        <w:rPr>
          <w:rFonts w:ascii="Arial" w:cs="Arial" w:eastAsia="Arial" w:hAnsi="Arial"/>
          <w:sz w:val="20"/>
          <w:szCs w:val="20"/>
          <w:b w:val="1"/>
          <w:bCs w:val="1"/>
          <w:color w:val="auto"/>
        </w:rPr>
        <w:t xml:space="preserve"> MUFG BANK, LTD.</w:t>
      </w:r>
      <w:r>
        <w:rPr>
          <w:rFonts w:ascii="Arial" w:cs="Arial" w:eastAsia="Arial" w:hAnsi="Arial"/>
          <w:sz w:val="20"/>
          <w:szCs w:val="20"/>
          <w:color w:val="auto"/>
        </w:rPr>
        <w:t>,</w:t>
      </w:r>
      <w:r>
        <w:rPr>
          <w:rFonts w:ascii="Arial" w:cs="Arial" w:eastAsia="Arial" w:hAnsi="Arial"/>
          <w:sz w:val="20"/>
          <w:szCs w:val="20"/>
          <w:b w:val="1"/>
          <w:bCs w:val="1"/>
          <w:color w:val="auto"/>
        </w:rPr>
        <w:t xml:space="preserve"> SUMITOMO MITSUI BANKING CORPORATION</w:t>
      </w:r>
      <w:r>
        <w:rPr>
          <w:rFonts w:ascii="Arial" w:cs="Arial" w:eastAsia="Arial" w:hAnsi="Arial"/>
          <w:sz w:val="20"/>
          <w:szCs w:val="20"/>
          <w:color w:val="auto"/>
        </w:rPr>
        <w:t>,</w:t>
      </w:r>
      <w:r>
        <w:rPr>
          <w:rFonts w:ascii="Arial" w:cs="Arial" w:eastAsia="Arial" w:hAnsi="Arial"/>
          <w:sz w:val="20"/>
          <w:szCs w:val="20"/>
          <w:b w:val="1"/>
          <w:bCs w:val="1"/>
          <w:color w:val="auto"/>
        </w:rPr>
        <w:t xml:space="preserve"> THE BANK OF NOVA SCOTIA</w:t>
      </w:r>
      <w:r>
        <w:rPr>
          <w:rFonts w:ascii="Arial" w:cs="Arial" w:eastAsia="Arial" w:hAnsi="Arial"/>
          <w:sz w:val="20"/>
          <w:szCs w:val="20"/>
          <w:color w:val="auto"/>
        </w:rPr>
        <w:t>,</w:t>
      </w:r>
      <w:r>
        <w:rPr>
          <w:rFonts w:ascii="Arial" w:cs="Arial" w:eastAsia="Arial" w:hAnsi="Arial"/>
          <w:sz w:val="20"/>
          <w:szCs w:val="20"/>
          <w:b w:val="1"/>
          <w:bCs w:val="1"/>
          <w:color w:val="auto"/>
        </w:rPr>
        <w:t xml:space="preserve"> TRUIST BANK </w:t>
      </w:r>
      <w:r>
        <w:rPr>
          <w:rFonts w:ascii="Arial" w:cs="Arial" w:eastAsia="Arial" w:hAnsi="Arial"/>
          <w:sz w:val="20"/>
          <w:szCs w:val="20"/>
          <w:color w:val="auto"/>
        </w:rPr>
        <w:t>and</w:t>
      </w:r>
      <w:r>
        <w:rPr>
          <w:rFonts w:ascii="Arial" w:cs="Arial" w:eastAsia="Arial" w:hAnsi="Arial"/>
          <w:sz w:val="20"/>
          <w:szCs w:val="20"/>
          <w:b w:val="1"/>
          <w:bCs w:val="1"/>
          <w:color w:val="auto"/>
        </w:rPr>
        <w:t xml:space="preserve"> U.S. BANK NATIONAL ASSOCIATION</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Co-Documentation Agents</w:t>
      </w:r>
    </w:p>
    <w:p>
      <w:pPr>
        <w:spacing w:after="0" w:line="396" w:lineRule="exact"/>
        <w:rPr>
          <w:sz w:val="20"/>
          <w:szCs w:val="20"/>
          <w:color w:val="auto"/>
        </w:rPr>
      </w:pPr>
    </w:p>
    <w:p>
      <w:pPr>
        <w:jc w:val="center"/>
        <w:ind w:right="960"/>
        <w:spacing w:after="0"/>
        <w:rPr>
          <w:sz w:val="20"/>
          <w:szCs w:val="20"/>
          <w:color w:val="auto"/>
        </w:rPr>
      </w:pPr>
      <w:r>
        <w:rPr>
          <w:rFonts w:ascii="Arial" w:cs="Arial" w:eastAsia="Arial" w:hAnsi="Arial"/>
          <w:sz w:val="20"/>
          <w:szCs w:val="20"/>
          <w:b w:val="1"/>
          <w:bCs w:val="1"/>
          <w:color w:val="auto"/>
        </w:rPr>
        <w:t>BofA SECURITIES, INC.</w:t>
      </w:r>
      <w:r>
        <w:rPr>
          <w:rFonts w:ascii="Arial" w:cs="Arial" w:eastAsia="Arial" w:hAnsi="Arial"/>
          <w:sz w:val="20"/>
          <w:szCs w:val="20"/>
          <w:color w:val="auto"/>
        </w:rPr>
        <w:t>,</w:t>
      </w:r>
    </w:p>
    <w:p>
      <w:pPr>
        <w:spacing w:after="0" w:line="17" w:lineRule="exact"/>
        <w:rPr>
          <w:sz w:val="20"/>
          <w:szCs w:val="20"/>
          <w:color w:val="auto"/>
        </w:rPr>
      </w:pPr>
    </w:p>
    <w:p>
      <w:pPr>
        <w:jc w:val="center"/>
        <w:ind w:right="960"/>
        <w:spacing w:after="0"/>
        <w:rPr>
          <w:sz w:val="20"/>
          <w:szCs w:val="20"/>
          <w:color w:val="auto"/>
        </w:rPr>
      </w:pPr>
      <w:r>
        <w:rPr>
          <w:rFonts w:ascii="Arial" w:cs="Arial" w:eastAsia="Arial" w:hAnsi="Arial"/>
          <w:sz w:val="20"/>
          <w:szCs w:val="20"/>
          <w:b w:val="1"/>
          <w:bCs w:val="1"/>
          <w:color w:val="auto"/>
        </w:rPr>
        <w:t>JPMORGAN CHASE BANK, N.A.</w:t>
      </w:r>
    </w:p>
    <w:p>
      <w:pPr>
        <w:jc w:val="center"/>
        <w:ind w:right="960"/>
        <w:spacing w:after="0" w:line="237" w:lineRule="auto"/>
        <w:rPr>
          <w:sz w:val="20"/>
          <w:szCs w:val="20"/>
          <w:color w:val="auto"/>
        </w:rPr>
      </w:pPr>
      <w:r>
        <w:rPr>
          <w:rFonts w:ascii="Arial" w:cs="Arial" w:eastAsia="Arial" w:hAnsi="Arial"/>
          <w:sz w:val="20"/>
          <w:szCs w:val="20"/>
          <w:color w:val="auto"/>
        </w:rPr>
        <w:t>and</w:t>
      </w:r>
    </w:p>
    <w:p>
      <w:pPr>
        <w:jc w:val="center"/>
        <w:ind w:right="960"/>
        <w:spacing w:after="0" w:line="238" w:lineRule="auto"/>
        <w:rPr>
          <w:sz w:val="20"/>
          <w:szCs w:val="20"/>
          <w:color w:val="auto"/>
        </w:rPr>
      </w:pPr>
      <w:r>
        <w:rPr>
          <w:rFonts w:ascii="Arial" w:cs="Arial" w:eastAsia="Arial" w:hAnsi="Arial"/>
          <w:sz w:val="20"/>
          <w:szCs w:val="20"/>
          <w:b w:val="1"/>
          <w:bCs w:val="1"/>
          <w:color w:val="auto"/>
        </w:rPr>
        <w:t>WELLS FARGO SECURITIES, LLC</w:t>
      </w:r>
      <w:r>
        <w:rPr>
          <w:rFonts w:ascii="Arial" w:cs="Arial" w:eastAsia="Arial" w:hAnsi="Arial"/>
          <w:sz w:val="20"/>
          <w:szCs w:val="20"/>
          <w:color w:val="auto"/>
        </w:rPr>
        <w:t>,</w:t>
      </w:r>
    </w:p>
    <w:p>
      <w:pPr>
        <w:jc w:val="center"/>
        <w:ind w:right="960"/>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474980</wp:posOffset>
            </wp:positionV>
            <wp:extent cx="69380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8010" cy="8255"/>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492125</wp:posOffset>
            </wp:positionV>
            <wp:extent cx="693801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8010" cy="42545"/>
                    </a:xfrm>
                    <a:prstGeom prst="rect">
                      <a:avLst/>
                    </a:prstGeom>
                    <a:noFill/>
                  </pic:spPr>
                </pic:pic>
              </a:graphicData>
            </a:graphic>
          </wp:anchor>
        </w:drawing>
      </w:r>
    </w:p>
    <w:p>
      <w:pPr>
        <w:sectPr>
          <w:pgSz w:w="11900" w:h="16838" w:orient="portrait"/>
          <w:cols w:equalWidth="0" w:num="1">
            <w:col w:w="9960"/>
          </w:cols>
          <w:pgMar w:left="1440" w:top="121"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1"/>
        </w:trPr>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00" w:type="dxa"/>
            <w:vAlign w:val="bottom"/>
          </w:tcPr>
          <w:p>
            <w:pPr>
              <w:ind w:left="3300"/>
              <w:spacing w:after="0"/>
              <w:rPr>
                <w:sz w:val="20"/>
                <w:szCs w:val="20"/>
                <w:color w:val="auto"/>
              </w:rPr>
            </w:pPr>
            <w:r>
              <w:rPr>
                <w:rFonts w:ascii="Arial" w:cs="Arial" w:eastAsia="Arial" w:hAnsi="Arial"/>
                <w:sz w:val="18"/>
                <w:szCs w:val="18"/>
                <w:b w:val="1"/>
                <w:bCs w:val="1"/>
                <w:color w:val="auto"/>
              </w:rPr>
              <w:t>TABLE OF CONTENTS</w:t>
            </w:r>
          </w:p>
        </w:tc>
        <w:tc>
          <w:tcPr>
            <w:tcW w:w="20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0"/>
        </w:trPr>
        <w:tc>
          <w:tcPr>
            <w:tcW w:w="6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w w:val="83"/>
              </w:rPr>
              <w:t>Section</w:t>
            </w:r>
          </w:p>
        </w:tc>
        <w:tc>
          <w:tcPr>
            <w:tcW w:w="5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Arial" w:cs="Arial" w:eastAsia="Arial" w:hAnsi="Arial"/>
                <w:sz w:val="20"/>
                <w:szCs w:val="20"/>
                <w:color w:val="auto"/>
              </w:rPr>
              <w:t>Page</w:t>
            </w:r>
          </w:p>
        </w:tc>
      </w:tr>
      <w:tr>
        <w:trPr>
          <w:trHeight w:val="20"/>
        </w:trPr>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426"/>
        </w:trPr>
        <w:tc>
          <w:tcPr>
            <w:tcW w:w="1200" w:type="dxa"/>
            <w:vAlign w:val="bottom"/>
            <w:gridSpan w:val="3"/>
          </w:tcPr>
          <w:p>
            <w:pPr>
              <w:spacing w:after="0"/>
              <w:rPr>
                <w:sz w:val="20"/>
                <w:szCs w:val="20"/>
                <w:color w:val="auto"/>
              </w:rPr>
            </w:pPr>
            <w:r>
              <w:rPr>
                <w:rFonts w:ascii="Arial" w:cs="Arial" w:eastAsia="Arial" w:hAnsi="Arial"/>
                <w:sz w:val="20"/>
                <w:szCs w:val="20"/>
                <w:color w:val="auto"/>
              </w:rPr>
              <w:t>ARTICLE I.</w:t>
            </w:r>
          </w:p>
        </w:tc>
        <w:tc>
          <w:tcPr>
            <w:tcW w:w="7300" w:type="dxa"/>
            <w:vAlign w:val="bottom"/>
          </w:tcPr>
          <w:p>
            <w:pPr>
              <w:ind w:left="380"/>
              <w:spacing w:after="0"/>
              <w:rPr>
                <w:sz w:val="20"/>
                <w:szCs w:val="20"/>
                <w:color w:val="auto"/>
              </w:rPr>
            </w:pPr>
            <w:r>
              <w:rPr>
                <w:rFonts w:ascii="Arial" w:cs="Arial" w:eastAsia="Arial" w:hAnsi="Arial"/>
                <w:sz w:val="20"/>
                <w:szCs w:val="20"/>
                <w:color w:val="auto"/>
              </w:rPr>
              <w:t>DEFINITIONS AND ACCOUNTING TERMS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1</w:t>
            </w:r>
          </w:p>
        </w:tc>
      </w:tr>
      <w:tr>
        <w:trPr>
          <w:trHeight w:val="313"/>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1.01</w:t>
            </w:r>
          </w:p>
        </w:tc>
        <w:tc>
          <w:tcPr>
            <w:tcW w:w="7300" w:type="dxa"/>
            <w:vAlign w:val="bottom"/>
          </w:tcPr>
          <w:p>
            <w:pPr>
              <w:ind w:left="80"/>
              <w:spacing w:after="0"/>
              <w:rPr>
                <w:sz w:val="20"/>
                <w:szCs w:val="20"/>
                <w:color w:val="auto"/>
              </w:rPr>
            </w:pPr>
            <w:r>
              <w:rPr>
                <w:rFonts w:ascii="Arial" w:cs="Arial" w:eastAsia="Arial" w:hAnsi="Arial"/>
                <w:sz w:val="20"/>
                <w:szCs w:val="20"/>
                <w:color w:val="auto"/>
              </w:rPr>
              <w:t>Defined Terms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1</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1.02</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Other Interpretive Provisions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21</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1.03</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Accounting Terms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22</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1.04</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Rounding</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23</w:t>
            </w:r>
          </w:p>
        </w:tc>
      </w:tr>
      <w:tr>
        <w:trPr>
          <w:trHeight w:val="249"/>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1.05</w:t>
            </w:r>
          </w:p>
        </w:tc>
        <w:tc>
          <w:tcPr>
            <w:tcW w:w="7300" w:type="dxa"/>
            <w:vAlign w:val="bottom"/>
          </w:tcPr>
          <w:p>
            <w:pPr>
              <w:ind w:left="80"/>
              <w:spacing w:after="0"/>
              <w:rPr>
                <w:sz w:val="20"/>
                <w:szCs w:val="20"/>
                <w:color w:val="auto"/>
              </w:rPr>
            </w:pPr>
            <w:r>
              <w:rPr>
                <w:rFonts w:ascii="Arial" w:cs="Arial" w:eastAsia="Arial" w:hAnsi="Arial"/>
                <w:sz w:val="20"/>
                <w:szCs w:val="20"/>
                <w:color w:val="auto"/>
              </w:rPr>
              <w:t>Times of Day</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23</w:t>
            </w:r>
          </w:p>
        </w:tc>
      </w:tr>
      <w:tr>
        <w:trPr>
          <w:trHeight w:val="335"/>
        </w:trPr>
        <w:tc>
          <w:tcPr>
            <w:tcW w:w="1200" w:type="dxa"/>
            <w:vAlign w:val="bottom"/>
            <w:gridSpan w:val="3"/>
          </w:tcPr>
          <w:p>
            <w:pPr>
              <w:spacing w:after="0"/>
              <w:rPr>
                <w:sz w:val="20"/>
                <w:szCs w:val="20"/>
                <w:color w:val="auto"/>
              </w:rPr>
            </w:pPr>
            <w:r>
              <w:rPr>
                <w:rFonts w:ascii="Arial" w:cs="Arial" w:eastAsia="Arial" w:hAnsi="Arial"/>
                <w:sz w:val="20"/>
                <w:szCs w:val="20"/>
                <w:color w:val="auto"/>
              </w:rPr>
              <w:t>ARTICLE II.</w:t>
            </w:r>
          </w:p>
        </w:tc>
        <w:tc>
          <w:tcPr>
            <w:tcW w:w="7300" w:type="dxa"/>
            <w:vAlign w:val="bottom"/>
          </w:tcPr>
          <w:p>
            <w:pPr>
              <w:ind w:left="380"/>
              <w:spacing w:after="0"/>
              <w:rPr>
                <w:sz w:val="20"/>
                <w:szCs w:val="20"/>
                <w:color w:val="auto"/>
              </w:rPr>
            </w:pPr>
            <w:r>
              <w:rPr>
                <w:rFonts w:ascii="Arial" w:cs="Arial" w:eastAsia="Arial" w:hAnsi="Arial"/>
                <w:sz w:val="20"/>
                <w:szCs w:val="20"/>
                <w:color w:val="auto"/>
              </w:rPr>
              <w:t>THE COMMITMENTS AND CREDIT EXTENSIONS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23</w:t>
            </w:r>
          </w:p>
        </w:tc>
      </w:tr>
      <w:tr>
        <w:trPr>
          <w:trHeight w:val="313"/>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2.01</w:t>
            </w:r>
          </w:p>
        </w:tc>
        <w:tc>
          <w:tcPr>
            <w:tcW w:w="7300" w:type="dxa"/>
            <w:vAlign w:val="bottom"/>
          </w:tcPr>
          <w:p>
            <w:pPr>
              <w:ind w:left="80"/>
              <w:spacing w:after="0"/>
              <w:rPr>
                <w:sz w:val="20"/>
                <w:szCs w:val="20"/>
                <w:color w:val="auto"/>
              </w:rPr>
            </w:pPr>
            <w:r>
              <w:rPr>
                <w:rFonts w:ascii="Arial" w:cs="Arial" w:eastAsia="Arial" w:hAnsi="Arial"/>
                <w:sz w:val="20"/>
                <w:szCs w:val="20"/>
                <w:color w:val="auto"/>
              </w:rPr>
              <w:t>Committed Loans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23</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2.02</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Borrowings, Conversions and Continuations of Committed Loans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23</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2.03</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[Reserved]</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24</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2.04</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[Reserved]</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24</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2.05</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Prepayments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24</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2.06</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Termination or Reduction of Commitments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25</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2.07</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Repayment of Loans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26</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2.08</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Interest</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26</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2.09</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Fees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26</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2.10</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Computation of Interest and Fees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27</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2.11</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Evidence of Debt</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27</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2.12</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Payments Generally; Administrative Agent’s Clawback</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27</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2.13</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Sharing of Payments by Lenders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29</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2.14</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[Reserved]</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29</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2.15</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[Reserved]</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29</w:t>
            </w:r>
          </w:p>
        </w:tc>
      </w:tr>
      <w:tr>
        <w:trPr>
          <w:trHeight w:val="249"/>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2.16</w:t>
            </w:r>
          </w:p>
        </w:tc>
        <w:tc>
          <w:tcPr>
            <w:tcW w:w="7300" w:type="dxa"/>
            <w:vAlign w:val="bottom"/>
          </w:tcPr>
          <w:p>
            <w:pPr>
              <w:ind w:left="80"/>
              <w:spacing w:after="0"/>
              <w:rPr>
                <w:sz w:val="20"/>
                <w:szCs w:val="20"/>
                <w:color w:val="auto"/>
              </w:rPr>
            </w:pPr>
            <w:r>
              <w:rPr>
                <w:rFonts w:ascii="Arial" w:cs="Arial" w:eastAsia="Arial" w:hAnsi="Arial"/>
                <w:sz w:val="20"/>
                <w:szCs w:val="20"/>
                <w:color w:val="auto"/>
              </w:rPr>
              <w:t>Defaulting Lenders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29</w:t>
            </w:r>
          </w:p>
        </w:tc>
      </w:tr>
      <w:tr>
        <w:trPr>
          <w:trHeight w:val="335"/>
        </w:trPr>
        <w:tc>
          <w:tcPr>
            <w:tcW w:w="1200" w:type="dxa"/>
            <w:vAlign w:val="bottom"/>
            <w:gridSpan w:val="3"/>
          </w:tcPr>
          <w:p>
            <w:pPr>
              <w:spacing w:after="0"/>
              <w:rPr>
                <w:sz w:val="20"/>
                <w:szCs w:val="20"/>
                <w:color w:val="auto"/>
              </w:rPr>
            </w:pPr>
            <w:r>
              <w:rPr>
                <w:rFonts w:ascii="Arial" w:cs="Arial" w:eastAsia="Arial" w:hAnsi="Arial"/>
                <w:sz w:val="20"/>
                <w:szCs w:val="20"/>
                <w:color w:val="auto"/>
              </w:rPr>
              <w:t>ARTICLE III.</w:t>
            </w:r>
          </w:p>
        </w:tc>
        <w:tc>
          <w:tcPr>
            <w:tcW w:w="7300" w:type="dxa"/>
            <w:vAlign w:val="bottom"/>
          </w:tcPr>
          <w:p>
            <w:pPr>
              <w:ind w:left="380"/>
              <w:spacing w:after="0"/>
              <w:rPr>
                <w:sz w:val="20"/>
                <w:szCs w:val="20"/>
                <w:color w:val="auto"/>
              </w:rPr>
            </w:pPr>
            <w:r>
              <w:rPr>
                <w:rFonts w:ascii="Arial" w:cs="Arial" w:eastAsia="Arial" w:hAnsi="Arial"/>
                <w:sz w:val="20"/>
                <w:szCs w:val="20"/>
                <w:color w:val="auto"/>
              </w:rPr>
              <w:t>TAXES, YIELD PROTECTION AND ILLEGALITY</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31</w:t>
            </w:r>
          </w:p>
        </w:tc>
      </w:tr>
      <w:tr>
        <w:trPr>
          <w:trHeight w:val="313"/>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3.01</w:t>
            </w:r>
          </w:p>
        </w:tc>
        <w:tc>
          <w:tcPr>
            <w:tcW w:w="7300" w:type="dxa"/>
            <w:vAlign w:val="bottom"/>
          </w:tcPr>
          <w:p>
            <w:pPr>
              <w:ind w:left="80"/>
              <w:spacing w:after="0"/>
              <w:rPr>
                <w:sz w:val="20"/>
                <w:szCs w:val="20"/>
                <w:color w:val="auto"/>
              </w:rPr>
            </w:pPr>
            <w:r>
              <w:rPr>
                <w:rFonts w:ascii="Arial" w:cs="Arial" w:eastAsia="Arial" w:hAnsi="Arial"/>
                <w:sz w:val="20"/>
                <w:szCs w:val="20"/>
                <w:color w:val="auto"/>
              </w:rPr>
              <w:t>Taxes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31</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3.02</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Illegality</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35</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3.03</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Inability to Determine Rates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35</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3.04</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Increased Costs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37</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3.05</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Compensation for Losses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38</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3.06</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Mitigation Obligations; Replacement of Lenders</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39</w:t>
            </w:r>
          </w:p>
        </w:tc>
      </w:tr>
      <w:tr>
        <w:trPr>
          <w:trHeight w:val="249"/>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3.07</w:t>
            </w:r>
          </w:p>
        </w:tc>
        <w:tc>
          <w:tcPr>
            <w:tcW w:w="7300" w:type="dxa"/>
            <w:vAlign w:val="bottom"/>
          </w:tcPr>
          <w:p>
            <w:pPr>
              <w:ind w:left="80"/>
              <w:spacing w:after="0"/>
              <w:rPr>
                <w:sz w:val="20"/>
                <w:szCs w:val="20"/>
                <w:color w:val="auto"/>
              </w:rPr>
            </w:pPr>
            <w:r>
              <w:rPr>
                <w:rFonts w:ascii="Arial" w:cs="Arial" w:eastAsia="Arial" w:hAnsi="Arial"/>
                <w:sz w:val="20"/>
                <w:szCs w:val="20"/>
                <w:color w:val="auto"/>
              </w:rPr>
              <w:t>Survival</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39</w:t>
            </w:r>
          </w:p>
        </w:tc>
      </w:tr>
      <w:tr>
        <w:trPr>
          <w:trHeight w:val="335"/>
        </w:trPr>
        <w:tc>
          <w:tcPr>
            <w:tcW w:w="1200" w:type="dxa"/>
            <w:vAlign w:val="bottom"/>
            <w:gridSpan w:val="3"/>
          </w:tcPr>
          <w:p>
            <w:pPr>
              <w:spacing w:after="0"/>
              <w:rPr>
                <w:sz w:val="20"/>
                <w:szCs w:val="20"/>
                <w:color w:val="auto"/>
              </w:rPr>
            </w:pPr>
            <w:r>
              <w:rPr>
                <w:rFonts w:ascii="Arial" w:cs="Arial" w:eastAsia="Arial" w:hAnsi="Arial"/>
                <w:sz w:val="20"/>
                <w:szCs w:val="20"/>
                <w:color w:val="auto"/>
              </w:rPr>
              <w:t>ARTICLE IV.</w:t>
            </w:r>
          </w:p>
        </w:tc>
        <w:tc>
          <w:tcPr>
            <w:tcW w:w="7300" w:type="dxa"/>
            <w:vAlign w:val="bottom"/>
          </w:tcPr>
          <w:p>
            <w:pPr>
              <w:ind w:left="360"/>
              <w:spacing w:after="0"/>
              <w:rPr>
                <w:sz w:val="20"/>
                <w:szCs w:val="20"/>
                <w:color w:val="auto"/>
              </w:rPr>
            </w:pPr>
            <w:r>
              <w:rPr>
                <w:rFonts w:ascii="Arial" w:cs="Arial" w:eastAsia="Arial" w:hAnsi="Arial"/>
                <w:sz w:val="20"/>
                <w:szCs w:val="20"/>
                <w:color w:val="auto"/>
              </w:rPr>
              <w:t>CONDITIONS PRECEDENT TO CREDIT EXTENSIONS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40</w:t>
            </w:r>
          </w:p>
        </w:tc>
      </w:tr>
      <w:tr>
        <w:trPr>
          <w:trHeight w:val="313"/>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4.01</w:t>
            </w:r>
          </w:p>
        </w:tc>
        <w:tc>
          <w:tcPr>
            <w:tcW w:w="7300" w:type="dxa"/>
            <w:vAlign w:val="bottom"/>
          </w:tcPr>
          <w:p>
            <w:pPr>
              <w:ind w:left="80"/>
              <w:spacing w:after="0"/>
              <w:rPr>
                <w:sz w:val="20"/>
                <w:szCs w:val="20"/>
                <w:color w:val="auto"/>
              </w:rPr>
            </w:pPr>
            <w:r>
              <w:rPr>
                <w:rFonts w:ascii="Arial" w:cs="Arial" w:eastAsia="Arial" w:hAnsi="Arial"/>
                <w:sz w:val="20"/>
                <w:szCs w:val="20"/>
                <w:color w:val="auto"/>
              </w:rPr>
              <w:t>Conditions of Initial Credit Extension</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40</w:t>
            </w:r>
          </w:p>
        </w:tc>
      </w:tr>
      <w:tr>
        <w:trPr>
          <w:trHeight w:val="249"/>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4.02</w:t>
            </w:r>
          </w:p>
        </w:tc>
        <w:tc>
          <w:tcPr>
            <w:tcW w:w="7300" w:type="dxa"/>
            <w:vAlign w:val="bottom"/>
          </w:tcPr>
          <w:p>
            <w:pPr>
              <w:ind w:left="80"/>
              <w:spacing w:after="0"/>
              <w:rPr>
                <w:sz w:val="20"/>
                <w:szCs w:val="20"/>
                <w:color w:val="auto"/>
              </w:rPr>
            </w:pPr>
            <w:r>
              <w:rPr>
                <w:rFonts w:ascii="Arial" w:cs="Arial" w:eastAsia="Arial" w:hAnsi="Arial"/>
                <w:sz w:val="20"/>
                <w:szCs w:val="20"/>
                <w:color w:val="auto"/>
              </w:rPr>
              <w:t>Conditions to all Credit Extensions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41</w:t>
            </w:r>
          </w:p>
        </w:tc>
      </w:tr>
      <w:tr>
        <w:trPr>
          <w:trHeight w:val="335"/>
        </w:trPr>
        <w:tc>
          <w:tcPr>
            <w:tcW w:w="1200" w:type="dxa"/>
            <w:vAlign w:val="bottom"/>
            <w:gridSpan w:val="3"/>
          </w:tcPr>
          <w:p>
            <w:pPr>
              <w:spacing w:after="0"/>
              <w:rPr>
                <w:sz w:val="20"/>
                <w:szCs w:val="20"/>
                <w:color w:val="auto"/>
              </w:rPr>
            </w:pPr>
            <w:r>
              <w:rPr>
                <w:rFonts w:ascii="Arial" w:cs="Arial" w:eastAsia="Arial" w:hAnsi="Arial"/>
                <w:sz w:val="20"/>
                <w:szCs w:val="20"/>
                <w:color w:val="auto"/>
              </w:rPr>
              <w:t>ARTICLE V.</w:t>
            </w:r>
          </w:p>
        </w:tc>
        <w:tc>
          <w:tcPr>
            <w:tcW w:w="7300" w:type="dxa"/>
            <w:vAlign w:val="bottom"/>
          </w:tcPr>
          <w:p>
            <w:pPr>
              <w:ind w:left="360"/>
              <w:spacing w:after="0"/>
              <w:rPr>
                <w:sz w:val="20"/>
                <w:szCs w:val="20"/>
                <w:color w:val="auto"/>
              </w:rPr>
            </w:pPr>
            <w:r>
              <w:rPr>
                <w:rFonts w:ascii="Arial" w:cs="Arial" w:eastAsia="Arial" w:hAnsi="Arial"/>
                <w:sz w:val="20"/>
                <w:szCs w:val="20"/>
                <w:color w:val="auto"/>
              </w:rPr>
              <w:t>REPRESENTATIONS AND WARRANTIES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42</w:t>
            </w:r>
          </w:p>
        </w:tc>
      </w:tr>
      <w:tr>
        <w:trPr>
          <w:trHeight w:val="313"/>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5.01</w:t>
            </w:r>
          </w:p>
        </w:tc>
        <w:tc>
          <w:tcPr>
            <w:tcW w:w="7300" w:type="dxa"/>
            <w:vAlign w:val="bottom"/>
          </w:tcPr>
          <w:p>
            <w:pPr>
              <w:ind w:left="80"/>
              <w:spacing w:after="0"/>
              <w:rPr>
                <w:sz w:val="20"/>
                <w:szCs w:val="20"/>
                <w:color w:val="auto"/>
              </w:rPr>
            </w:pPr>
            <w:r>
              <w:rPr>
                <w:rFonts w:ascii="Arial" w:cs="Arial" w:eastAsia="Arial" w:hAnsi="Arial"/>
                <w:sz w:val="20"/>
                <w:szCs w:val="20"/>
                <w:color w:val="auto"/>
              </w:rPr>
              <w:t>Corporate Existence and Power</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42</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5.02</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Corporate Authorization; No Contravention</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42</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5.03</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Governmental Authorization</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42</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5.04</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Binding Effect</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42</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5.05</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Litigation</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43</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5.06</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No Default</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43</w:t>
            </w:r>
          </w:p>
        </w:tc>
      </w:tr>
      <w:tr>
        <w:trPr>
          <w:trHeight w:val="228"/>
        </w:trPr>
        <w:tc>
          <w:tcPr>
            <w:tcW w:w="120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5.07</w:t>
            </w:r>
          </w:p>
        </w:tc>
        <w:tc>
          <w:tcPr>
            <w:tcW w:w="7300" w:type="dxa"/>
            <w:vAlign w:val="bottom"/>
          </w:tcPr>
          <w:p>
            <w:pPr>
              <w:ind w:left="80"/>
              <w:spacing w:after="0" w:line="228" w:lineRule="exact"/>
              <w:rPr>
                <w:sz w:val="20"/>
                <w:szCs w:val="20"/>
                <w:color w:val="auto"/>
              </w:rPr>
            </w:pPr>
            <w:r>
              <w:rPr>
                <w:rFonts w:ascii="Arial" w:cs="Arial" w:eastAsia="Arial" w:hAnsi="Arial"/>
                <w:sz w:val="20"/>
                <w:szCs w:val="20"/>
                <w:color w:val="auto"/>
              </w:rPr>
              <w:t>ERISA Compliance</w:t>
            </w:r>
          </w:p>
        </w:tc>
        <w:tc>
          <w:tcPr>
            <w:tcW w:w="2420" w:type="dxa"/>
            <w:vAlign w:val="bottom"/>
            <w:gridSpan w:val="2"/>
          </w:tcPr>
          <w:p>
            <w:pPr>
              <w:jc w:val="right"/>
              <w:ind w:right="140"/>
              <w:spacing w:after="0" w:line="228" w:lineRule="exact"/>
              <w:rPr>
                <w:sz w:val="20"/>
                <w:szCs w:val="20"/>
                <w:color w:val="auto"/>
              </w:rPr>
            </w:pPr>
            <w:r>
              <w:rPr>
                <w:rFonts w:ascii="Arial" w:cs="Arial" w:eastAsia="Arial" w:hAnsi="Arial"/>
                <w:sz w:val="20"/>
                <w:szCs w:val="20"/>
                <w:color w:val="auto"/>
              </w:rPr>
              <w:t>43</w:t>
            </w:r>
          </w:p>
        </w:tc>
      </w:tr>
      <w:tr>
        <w:trPr>
          <w:trHeight w:val="249"/>
        </w:trPr>
        <w:tc>
          <w:tcPr>
            <w:tcW w:w="1200" w:type="dxa"/>
            <w:vAlign w:val="bottom"/>
            <w:gridSpan w:val="3"/>
          </w:tcPr>
          <w:p>
            <w:pPr>
              <w:ind w:left="640"/>
              <w:spacing w:after="0"/>
              <w:rPr>
                <w:sz w:val="20"/>
                <w:szCs w:val="20"/>
                <w:color w:val="auto"/>
              </w:rPr>
            </w:pPr>
            <w:r>
              <w:rPr>
                <w:rFonts w:ascii="Arial" w:cs="Arial" w:eastAsia="Arial" w:hAnsi="Arial"/>
                <w:sz w:val="20"/>
                <w:szCs w:val="20"/>
                <w:color w:val="auto"/>
              </w:rPr>
              <w:t>5.08</w:t>
            </w:r>
          </w:p>
        </w:tc>
        <w:tc>
          <w:tcPr>
            <w:tcW w:w="7300" w:type="dxa"/>
            <w:vAlign w:val="bottom"/>
          </w:tcPr>
          <w:p>
            <w:pPr>
              <w:ind w:left="80"/>
              <w:spacing w:after="0"/>
              <w:rPr>
                <w:sz w:val="20"/>
                <w:szCs w:val="20"/>
                <w:color w:val="auto"/>
              </w:rPr>
            </w:pPr>
            <w:r>
              <w:rPr>
                <w:rFonts w:ascii="Arial" w:cs="Arial" w:eastAsia="Arial" w:hAnsi="Arial"/>
                <w:sz w:val="20"/>
                <w:szCs w:val="20"/>
                <w:color w:val="auto"/>
              </w:rPr>
              <w:t>Use of Proceeds; Margin Regulations</w:t>
            </w:r>
          </w:p>
        </w:tc>
        <w:tc>
          <w:tcPr>
            <w:tcW w:w="2420" w:type="dxa"/>
            <w:vAlign w:val="bottom"/>
            <w:gridSpan w:val="2"/>
          </w:tcPr>
          <w:p>
            <w:pPr>
              <w:jc w:val="right"/>
              <w:ind w:right="140"/>
              <w:spacing w:after="0"/>
              <w:rPr>
                <w:sz w:val="20"/>
                <w:szCs w:val="20"/>
                <w:color w:val="auto"/>
              </w:rPr>
            </w:pPr>
            <w:r>
              <w:rPr>
                <w:rFonts w:ascii="Arial" w:cs="Arial" w:eastAsia="Arial" w:hAnsi="Arial"/>
                <w:sz w:val="20"/>
                <w:szCs w:val="20"/>
                <w:color w:val="auto"/>
              </w:rPr>
              <w:t>44</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10920"/>
          </w:cols>
          <w:pgMar w:left="480" w:top="268"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260" w:type="dxa"/>
            <w:vAlign w:val="bottom"/>
          </w:tcPr>
          <w:p>
            <w:pPr>
              <w:ind w:left="640"/>
              <w:spacing w:after="0"/>
              <w:rPr>
                <w:sz w:val="20"/>
                <w:szCs w:val="20"/>
                <w:color w:val="auto"/>
              </w:rPr>
            </w:pPr>
            <w:r>
              <w:rPr>
                <w:rFonts w:ascii="Arial" w:cs="Arial" w:eastAsia="Arial" w:hAnsi="Arial"/>
                <w:sz w:val="20"/>
                <w:szCs w:val="20"/>
                <w:color w:val="auto"/>
              </w:rPr>
              <w:t>5.09</w:t>
            </w:r>
          </w:p>
        </w:tc>
        <w:tc>
          <w:tcPr>
            <w:tcW w:w="7080" w:type="dxa"/>
            <w:vAlign w:val="bottom"/>
          </w:tcPr>
          <w:p>
            <w:pPr>
              <w:ind w:left="20"/>
              <w:spacing w:after="0"/>
              <w:rPr>
                <w:sz w:val="20"/>
                <w:szCs w:val="20"/>
                <w:color w:val="auto"/>
              </w:rPr>
            </w:pPr>
            <w:r>
              <w:rPr>
                <w:rFonts w:ascii="Arial" w:cs="Arial" w:eastAsia="Arial" w:hAnsi="Arial"/>
                <w:sz w:val="20"/>
                <w:szCs w:val="20"/>
                <w:color w:val="auto"/>
              </w:rPr>
              <w:t>Title to Properties</w:t>
            </w:r>
          </w:p>
        </w:tc>
        <w:tc>
          <w:tcPr>
            <w:tcW w:w="244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5.10</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Taxes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44</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5.11</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Financial Condition</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44</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5.12</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Environmental Matters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5.13</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Regulated Entities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5.14</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No Burdensome Restrictions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5.15</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Copyrights, Patents, Trademarks and Licenses, Etc</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5.16</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Subsidiaries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5.17</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Insurance</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5.18</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Solvency</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5.19</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Full Disclosure</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5.20</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OFAC</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5.21</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Anti-Corruption Laws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46</w:t>
            </w:r>
          </w:p>
        </w:tc>
      </w:tr>
      <w:tr>
        <w:trPr>
          <w:trHeight w:val="249"/>
        </w:trPr>
        <w:tc>
          <w:tcPr>
            <w:tcW w:w="1260" w:type="dxa"/>
            <w:vAlign w:val="bottom"/>
          </w:tcPr>
          <w:p>
            <w:pPr>
              <w:ind w:left="640"/>
              <w:spacing w:after="0"/>
              <w:rPr>
                <w:sz w:val="20"/>
                <w:szCs w:val="20"/>
                <w:color w:val="auto"/>
              </w:rPr>
            </w:pPr>
            <w:r>
              <w:rPr>
                <w:rFonts w:ascii="Arial" w:cs="Arial" w:eastAsia="Arial" w:hAnsi="Arial"/>
                <w:sz w:val="20"/>
                <w:szCs w:val="20"/>
                <w:color w:val="auto"/>
              </w:rPr>
              <w:t>5.22</w:t>
            </w:r>
          </w:p>
        </w:tc>
        <w:tc>
          <w:tcPr>
            <w:tcW w:w="7080" w:type="dxa"/>
            <w:vAlign w:val="bottom"/>
          </w:tcPr>
          <w:p>
            <w:pPr>
              <w:ind w:left="20"/>
              <w:spacing w:after="0"/>
              <w:rPr>
                <w:sz w:val="20"/>
                <w:szCs w:val="20"/>
                <w:color w:val="auto"/>
              </w:rPr>
            </w:pPr>
            <w:r>
              <w:rPr>
                <w:rFonts w:ascii="Arial" w:cs="Arial" w:eastAsia="Arial" w:hAnsi="Arial"/>
                <w:sz w:val="20"/>
                <w:szCs w:val="20"/>
                <w:color w:val="auto"/>
              </w:rPr>
              <w:t>EEA Financial Institutions</w:t>
            </w:r>
          </w:p>
        </w:tc>
        <w:tc>
          <w:tcPr>
            <w:tcW w:w="244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35"/>
        </w:trPr>
        <w:tc>
          <w:tcPr>
            <w:tcW w:w="1260" w:type="dxa"/>
            <w:vAlign w:val="bottom"/>
          </w:tcPr>
          <w:p>
            <w:pPr>
              <w:spacing w:after="0"/>
              <w:rPr>
                <w:sz w:val="20"/>
                <w:szCs w:val="20"/>
                <w:color w:val="auto"/>
              </w:rPr>
            </w:pPr>
            <w:r>
              <w:rPr>
                <w:rFonts w:ascii="Arial" w:cs="Arial" w:eastAsia="Arial" w:hAnsi="Arial"/>
                <w:sz w:val="20"/>
                <w:szCs w:val="20"/>
                <w:color w:val="auto"/>
              </w:rPr>
              <w:t>ARTICLE VI.</w:t>
            </w:r>
          </w:p>
        </w:tc>
        <w:tc>
          <w:tcPr>
            <w:tcW w:w="7080" w:type="dxa"/>
            <w:vAlign w:val="bottom"/>
          </w:tcPr>
          <w:p>
            <w:pPr>
              <w:ind w:left="320"/>
              <w:spacing w:after="0"/>
              <w:rPr>
                <w:sz w:val="20"/>
                <w:szCs w:val="20"/>
                <w:color w:val="auto"/>
              </w:rPr>
            </w:pPr>
            <w:r>
              <w:rPr>
                <w:rFonts w:ascii="Arial" w:cs="Arial" w:eastAsia="Arial" w:hAnsi="Arial"/>
                <w:sz w:val="20"/>
                <w:szCs w:val="20"/>
                <w:color w:val="auto"/>
              </w:rPr>
              <w:t>AFFIRMATIVE COVENANTS</w:t>
            </w:r>
          </w:p>
        </w:tc>
        <w:tc>
          <w:tcPr>
            <w:tcW w:w="244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13"/>
        </w:trPr>
        <w:tc>
          <w:tcPr>
            <w:tcW w:w="1260" w:type="dxa"/>
            <w:vAlign w:val="bottom"/>
          </w:tcPr>
          <w:p>
            <w:pPr>
              <w:ind w:left="640"/>
              <w:spacing w:after="0"/>
              <w:rPr>
                <w:sz w:val="20"/>
                <w:szCs w:val="20"/>
                <w:color w:val="auto"/>
              </w:rPr>
            </w:pPr>
            <w:r>
              <w:rPr>
                <w:rFonts w:ascii="Arial" w:cs="Arial" w:eastAsia="Arial" w:hAnsi="Arial"/>
                <w:sz w:val="20"/>
                <w:szCs w:val="20"/>
                <w:color w:val="auto"/>
              </w:rPr>
              <w:t>6.01</w:t>
            </w:r>
          </w:p>
        </w:tc>
        <w:tc>
          <w:tcPr>
            <w:tcW w:w="7080" w:type="dxa"/>
            <w:vAlign w:val="bottom"/>
          </w:tcPr>
          <w:p>
            <w:pPr>
              <w:ind w:left="20"/>
              <w:spacing w:after="0"/>
              <w:rPr>
                <w:sz w:val="20"/>
                <w:szCs w:val="20"/>
                <w:color w:val="auto"/>
              </w:rPr>
            </w:pPr>
            <w:r>
              <w:rPr>
                <w:rFonts w:ascii="Arial" w:cs="Arial" w:eastAsia="Arial" w:hAnsi="Arial"/>
                <w:sz w:val="20"/>
                <w:szCs w:val="20"/>
                <w:color w:val="auto"/>
              </w:rPr>
              <w:t>Financial Statements</w:t>
            </w:r>
          </w:p>
        </w:tc>
        <w:tc>
          <w:tcPr>
            <w:tcW w:w="244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6.02</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Certificates; Other Information</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46</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6.03</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Notices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48</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6.04</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Preservation of Corporate Existence, Etc</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49</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6.05</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Maintenance of Property</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49</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6.06</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Insurance</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49</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6.07</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Tax Obligations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49</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6.08</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Compliance with Laws; Contractual Obligations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49</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6.09</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Compliance with ERISA</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50</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6.10</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Inspection of Property and Books and Records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50</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6.11</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Environmental Laws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50</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6.12</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Use of Proceeds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50</w:t>
            </w:r>
          </w:p>
        </w:tc>
      </w:tr>
      <w:tr>
        <w:trPr>
          <w:trHeight w:val="249"/>
        </w:trPr>
        <w:tc>
          <w:tcPr>
            <w:tcW w:w="1260" w:type="dxa"/>
            <w:vAlign w:val="bottom"/>
          </w:tcPr>
          <w:p>
            <w:pPr>
              <w:ind w:left="640"/>
              <w:spacing w:after="0"/>
              <w:rPr>
                <w:sz w:val="20"/>
                <w:szCs w:val="20"/>
                <w:color w:val="auto"/>
              </w:rPr>
            </w:pPr>
            <w:r>
              <w:rPr>
                <w:rFonts w:ascii="Arial" w:cs="Arial" w:eastAsia="Arial" w:hAnsi="Arial"/>
                <w:sz w:val="20"/>
                <w:szCs w:val="20"/>
                <w:color w:val="auto"/>
              </w:rPr>
              <w:t>6.13</w:t>
            </w:r>
          </w:p>
        </w:tc>
        <w:tc>
          <w:tcPr>
            <w:tcW w:w="7080" w:type="dxa"/>
            <w:vAlign w:val="bottom"/>
          </w:tcPr>
          <w:p>
            <w:pPr>
              <w:ind w:left="20"/>
              <w:spacing w:after="0"/>
              <w:rPr>
                <w:sz w:val="20"/>
                <w:szCs w:val="20"/>
                <w:color w:val="auto"/>
              </w:rPr>
            </w:pPr>
            <w:r>
              <w:rPr>
                <w:rFonts w:ascii="Arial" w:cs="Arial" w:eastAsia="Arial" w:hAnsi="Arial"/>
                <w:sz w:val="20"/>
                <w:szCs w:val="20"/>
                <w:color w:val="auto"/>
              </w:rPr>
              <w:t>Anti-Corruption Laws</w:t>
            </w:r>
          </w:p>
        </w:tc>
        <w:tc>
          <w:tcPr>
            <w:tcW w:w="24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335"/>
        </w:trPr>
        <w:tc>
          <w:tcPr>
            <w:tcW w:w="1260" w:type="dxa"/>
            <w:vAlign w:val="bottom"/>
          </w:tcPr>
          <w:p>
            <w:pPr>
              <w:spacing w:after="0"/>
              <w:rPr>
                <w:sz w:val="20"/>
                <w:szCs w:val="20"/>
                <w:color w:val="auto"/>
              </w:rPr>
            </w:pPr>
            <w:r>
              <w:rPr>
                <w:rFonts w:ascii="Arial" w:cs="Arial" w:eastAsia="Arial" w:hAnsi="Arial"/>
                <w:sz w:val="20"/>
                <w:szCs w:val="20"/>
                <w:color w:val="auto"/>
              </w:rPr>
              <w:t>ARTICLE VII.</w:t>
            </w:r>
          </w:p>
        </w:tc>
        <w:tc>
          <w:tcPr>
            <w:tcW w:w="7080" w:type="dxa"/>
            <w:vAlign w:val="bottom"/>
          </w:tcPr>
          <w:p>
            <w:pPr>
              <w:ind w:left="320"/>
              <w:spacing w:after="0"/>
              <w:rPr>
                <w:sz w:val="20"/>
                <w:szCs w:val="20"/>
                <w:color w:val="auto"/>
              </w:rPr>
            </w:pPr>
            <w:r>
              <w:rPr>
                <w:rFonts w:ascii="Arial" w:cs="Arial" w:eastAsia="Arial" w:hAnsi="Arial"/>
                <w:sz w:val="20"/>
                <w:szCs w:val="20"/>
                <w:color w:val="auto"/>
              </w:rPr>
              <w:t>NEGATIVE COVENANTS</w:t>
            </w:r>
          </w:p>
        </w:tc>
        <w:tc>
          <w:tcPr>
            <w:tcW w:w="24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313"/>
        </w:trPr>
        <w:tc>
          <w:tcPr>
            <w:tcW w:w="1260" w:type="dxa"/>
            <w:vAlign w:val="bottom"/>
          </w:tcPr>
          <w:p>
            <w:pPr>
              <w:ind w:left="640"/>
              <w:spacing w:after="0"/>
              <w:rPr>
                <w:sz w:val="20"/>
                <w:szCs w:val="20"/>
                <w:color w:val="auto"/>
              </w:rPr>
            </w:pPr>
            <w:r>
              <w:rPr>
                <w:rFonts w:ascii="Arial" w:cs="Arial" w:eastAsia="Arial" w:hAnsi="Arial"/>
                <w:sz w:val="20"/>
                <w:szCs w:val="20"/>
                <w:color w:val="auto"/>
              </w:rPr>
              <w:t>7.01</w:t>
            </w:r>
          </w:p>
        </w:tc>
        <w:tc>
          <w:tcPr>
            <w:tcW w:w="7080" w:type="dxa"/>
            <w:vAlign w:val="bottom"/>
          </w:tcPr>
          <w:p>
            <w:pPr>
              <w:ind w:left="20"/>
              <w:spacing w:after="0"/>
              <w:rPr>
                <w:sz w:val="20"/>
                <w:szCs w:val="20"/>
                <w:color w:val="auto"/>
              </w:rPr>
            </w:pPr>
            <w:r>
              <w:rPr>
                <w:rFonts w:ascii="Arial" w:cs="Arial" w:eastAsia="Arial" w:hAnsi="Arial"/>
                <w:sz w:val="20"/>
                <w:szCs w:val="20"/>
                <w:color w:val="auto"/>
              </w:rPr>
              <w:t>Financial Condition Covenant - Total Debt to EBITDA Ratio</w:t>
            </w:r>
          </w:p>
        </w:tc>
        <w:tc>
          <w:tcPr>
            <w:tcW w:w="24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7.02</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Limitation on Liens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51</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7.03</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Disposition of Assets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52</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7.04</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Consolidations and Mergers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53</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7.05</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Loans and Investments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53</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7.06</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Limitation on Subsidiary Indebtedness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54</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7.07</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Transactions with Affiliates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54</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7.08</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Use of Proceeds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54</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7.09</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Restricted Payments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54</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7.10</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ERISA</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7.11</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Change in Business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7.12</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Burdensome Agreements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55</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7.13</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Sanctions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55</w:t>
            </w:r>
          </w:p>
        </w:tc>
      </w:tr>
      <w:tr>
        <w:trPr>
          <w:trHeight w:val="249"/>
        </w:trPr>
        <w:tc>
          <w:tcPr>
            <w:tcW w:w="1260" w:type="dxa"/>
            <w:vAlign w:val="bottom"/>
          </w:tcPr>
          <w:p>
            <w:pPr>
              <w:ind w:left="640"/>
              <w:spacing w:after="0"/>
              <w:rPr>
                <w:sz w:val="20"/>
                <w:szCs w:val="20"/>
                <w:color w:val="auto"/>
              </w:rPr>
            </w:pPr>
            <w:r>
              <w:rPr>
                <w:rFonts w:ascii="Arial" w:cs="Arial" w:eastAsia="Arial" w:hAnsi="Arial"/>
                <w:sz w:val="20"/>
                <w:szCs w:val="20"/>
                <w:color w:val="auto"/>
              </w:rPr>
              <w:t>7.14</w:t>
            </w:r>
          </w:p>
        </w:tc>
        <w:tc>
          <w:tcPr>
            <w:tcW w:w="7080" w:type="dxa"/>
            <w:vAlign w:val="bottom"/>
          </w:tcPr>
          <w:p>
            <w:pPr>
              <w:ind w:left="20"/>
              <w:spacing w:after="0"/>
              <w:rPr>
                <w:sz w:val="20"/>
                <w:szCs w:val="20"/>
                <w:color w:val="auto"/>
              </w:rPr>
            </w:pPr>
            <w:r>
              <w:rPr>
                <w:rFonts w:ascii="Arial" w:cs="Arial" w:eastAsia="Arial" w:hAnsi="Arial"/>
                <w:sz w:val="20"/>
                <w:szCs w:val="20"/>
                <w:color w:val="auto"/>
              </w:rPr>
              <w:t>Anti-Corruption Laws</w:t>
            </w:r>
          </w:p>
        </w:tc>
        <w:tc>
          <w:tcPr>
            <w:tcW w:w="24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35"/>
        </w:trPr>
        <w:tc>
          <w:tcPr>
            <w:tcW w:w="1260" w:type="dxa"/>
            <w:vAlign w:val="bottom"/>
          </w:tcPr>
          <w:p>
            <w:pPr>
              <w:spacing w:after="0"/>
              <w:rPr>
                <w:sz w:val="20"/>
                <w:szCs w:val="20"/>
                <w:color w:val="auto"/>
              </w:rPr>
            </w:pPr>
            <w:r>
              <w:rPr>
                <w:rFonts w:ascii="Arial" w:cs="Arial" w:eastAsia="Arial" w:hAnsi="Arial"/>
                <w:sz w:val="20"/>
                <w:szCs w:val="20"/>
                <w:color w:val="auto"/>
                <w:w w:val="98"/>
              </w:rPr>
              <w:t>ARTICLE VIII.</w:t>
            </w:r>
          </w:p>
        </w:tc>
        <w:tc>
          <w:tcPr>
            <w:tcW w:w="7080" w:type="dxa"/>
            <w:vAlign w:val="bottom"/>
          </w:tcPr>
          <w:p>
            <w:pPr>
              <w:ind w:left="320"/>
              <w:spacing w:after="0"/>
              <w:rPr>
                <w:sz w:val="20"/>
                <w:szCs w:val="20"/>
                <w:color w:val="auto"/>
              </w:rPr>
            </w:pPr>
            <w:r>
              <w:rPr>
                <w:rFonts w:ascii="Arial" w:cs="Arial" w:eastAsia="Arial" w:hAnsi="Arial"/>
                <w:sz w:val="20"/>
                <w:szCs w:val="20"/>
                <w:color w:val="auto"/>
              </w:rPr>
              <w:t>EVENTS OF DEFAULT AND REMEDIES</w:t>
            </w:r>
          </w:p>
        </w:tc>
        <w:tc>
          <w:tcPr>
            <w:tcW w:w="24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13"/>
        </w:trPr>
        <w:tc>
          <w:tcPr>
            <w:tcW w:w="1260" w:type="dxa"/>
            <w:vAlign w:val="bottom"/>
          </w:tcPr>
          <w:p>
            <w:pPr>
              <w:ind w:left="640"/>
              <w:spacing w:after="0"/>
              <w:rPr>
                <w:sz w:val="20"/>
                <w:szCs w:val="20"/>
                <w:color w:val="auto"/>
              </w:rPr>
            </w:pPr>
            <w:r>
              <w:rPr>
                <w:rFonts w:ascii="Arial" w:cs="Arial" w:eastAsia="Arial" w:hAnsi="Arial"/>
                <w:sz w:val="20"/>
                <w:szCs w:val="20"/>
                <w:color w:val="auto"/>
              </w:rPr>
              <w:t>8.01</w:t>
            </w:r>
          </w:p>
        </w:tc>
        <w:tc>
          <w:tcPr>
            <w:tcW w:w="7080" w:type="dxa"/>
            <w:vAlign w:val="bottom"/>
          </w:tcPr>
          <w:p>
            <w:pPr>
              <w:ind w:left="20"/>
              <w:spacing w:after="0"/>
              <w:rPr>
                <w:sz w:val="20"/>
                <w:szCs w:val="20"/>
                <w:color w:val="auto"/>
              </w:rPr>
            </w:pPr>
            <w:r>
              <w:rPr>
                <w:rFonts w:ascii="Arial" w:cs="Arial" w:eastAsia="Arial" w:hAnsi="Arial"/>
                <w:sz w:val="20"/>
                <w:szCs w:val="20"/>
                <w:color w:val="auto"/>
              </w:rPr>
              <w:t>Event of Default</w:t>
            </w:r>
          </w:p>
        </w:tc>
        <w:tc>
          <w:tcPr>
            <w:tcW w:w="24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28"/>
        </w:trPr>
        <w:tc>
          <w:tcPr>
            <w:tcW w:w="1260" w:type="dxa"/>
            <w:vAlign w:val="bottom"/>
          </w:tcPr>
          <w:p>
            <w:pPr>
              <w:ind w:left="640"/>
              <w:spacing w:after="0" w:line="228" w:lineRule="exact"/>
              <w:rPr>
                <w:sz w:val="20"/>
                <w:szCs w:val="20"/>
                <w:color w:val="auto"/>
              </w:rPr>
            </w:pPr>
            <w:r>
              <w:rPr>
                <w:rFonts w:ascii="Arial" w:cs="Arial" w:eastAsia="Arial" w:hAnsi="Arial"/>
                <w:sz w:val="20"/>
                <w:szCs w:val="20"/>
                <w:color w:val="auto"/>
              </w:rPr>
              <w:t>8.02</w:t>
            </w:r>
          </w:p>
        </w:tc>
        <w:tc>
          <w:tcPr>
            <w:tcW w:w="7080" w:type="dxa"/>
            <w:vAlign w:val="bottom"/>
          </w:tcPr>
          <w:p>
            <w:pPr>
              <w:ind w:left="20"/>
              <w:spacing w:after="0" w:line="228" w:lineRule="exact"/>
              <w:rPr>
                <w:sz w:val="20"/>
                <w:szCs w:val="20"/>
                <w:color w:val="auto"/>
              </w:rPr>
            </w:pPr>
            <w:r>
              <w:rPr>
                <w:rFonts w:ascii="Arial" w:cs="Arial" w:eastAsia="Arial" w:hAnsi="Arial"/>
                <w:sz w:val="20"/>
                <w:szCs w:val="20"/>
                <w:color w:val="auto"/>
              </w:rPr>
              <w:t>Remedies</w:t>
            </w:r>
          </w:p>
        </w:tc>
        <w:tc>
          <w:tcPr>
            <w:tcW w:w="2440" w:type="dxa"/>
            <w:vAlign w:val="bottom"/>
          </w:tcPr>
          <w:p>
            <w:pPr>
              <w:jc w:val="right"/>
              <w:spacing w:after="0" w:line="228" w:lineRule="exact"/>
              <w:rPr>
                <w:sz w:val="20"/>
                <w:szCs w:val="20"/>
                <w:color w:val="auto"/>
              </w:rPr>
            </w:pPr>
            <w:r>
              <w:rPr>
                <w:rFonts w:ascii="Arial" w:cs="Arial" w:eastAsia="Arial" w:hAnsi="Arial"/>
                <w:sz w:val="20"/>
                <w:szCs w:val="20"/>
                <w:color w:val="auto"/>
              </w:rPr>
              <w:t>57</w:t>
            </w:r>
          </w:p>
        </w:tc>
      </w:tr>
      <w:tr>
        <w:trPr>
          <w:trHeight w:val="249"/>
        </w:trPr>
        <w:tc>
          <w:tcPr>
            <w:tcW w:w="1260" w:type="dxa"/>
            <w:vAlign w:val="bottom"/>
          </w:tcPr>
          <w:p>
            <w:pPr>
              <w:ind w:left="640"/>
              <w:spacing w:after="0"/>
              <w:rPr>
                <w:sz w:val="20"/>
                <w:szCs w:val="20"/>
                <w:color w:val="auto"/>
              </w:rPr>
            </w:pPr>
            <w:r>
              <w:rPr>
                <w:rFonts w:ascii="Arial" w:cs="Arial" w:eastAsia="Arial" w:hAnsi="Arial"/>
                <w:sz w:val="20"/>
                <w:szCs w:val="20"/>
                <w:color w:val="auto"/>
              </w:rPr>
              <w:t>8.03</w:t>
            </w:r>
          </w:p>
        </w:tc>
        <w:tc>
          <w:tcPr>
            <w:tcW w:w="7080" w:type="dxa"/>
            <w:vAlign w:val="bottom"/>
          </w:tcPr>
          <w:p>
            <w:pPr>
              <w:ind w:left="20"/>
              <w:spacing w:after="0"/>
              <w:rPr>
                <w:sz w:val="20"/>
                <w:szCs w:val="20"/>
                <w:color w:val="auto"/>
              </w:rPr>
            </w:pPr>
            <w:r>
              <w:rPr>
                <w:rFonts w:ascii="Arial" w:cs="Arial" w:eastAsia="Arial" w:hAnsi="Arial"/>
                <w:sz w:val="20"/>
                <w:szCs w:val="20"/>
                <w:color w:val="auto"/>
              </w:rPr>
              <w:t>Rights Not Exclusive</w:t>
            </w:r>
          </w:p>
        </w:tc>
        <w:tc>
          <w:tcPr>
            <w:tcW w:w="2440" w:type="dxa"/>
            <w:vAlign w:val="bottom"/>
          </w:tcPr>
          <w:p>
            <w:pPr>
              <w:jc w:val="right"/>
              <w:spacing w:after="0"/>
              <w:rPr>
                <w:sz w:val="20"/>
                <w:szCs w:val="20"/>
                <w:color w:val="auto"/>
              </w:rPr>
            </w:pPr>
            <w:r>
              <w:rPr>
                <w:rFonts w:ascii="Arial" w:cs="Arial" w:eastAsia="Arial" w:hAnsi="Arial"/>
                <w:sz w:val="20"/>
                <w:szCs w:val="20"/>
                <w:color w:val="auto"/>
              </w:rPr>
              <w:t>58</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780"/>
          </w:cols>
          <w:pgMar w:left="480" w:top="268" w:right="6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9"/>
        </w:trPr>
        <w:tc>
          <w:tcPr>
            <w:tcW w:w="1160" w:type="dxa"/>
            <w:vAlign w:val="bottom"/>
          </w:tcPr>
          <w:p>
            <w:pPr>
              <w:ind w:left="640"/>
              <w:spacing w:after="0"/>
              <w:rPr>
                <w:sz w:val="20"/>
                <w:szCs w:val="20"/>
                <w:color w:val="auto"/>
              </w:rPr>
            </w:pPr>
            <w:r>
              <w:rPr>
                <w:rFonts w:ascii="Arial" w:cs="Arial" w:eastAsia="Arial" w:hAnsi="Arial"/>
                <w:sz w:val="20"/>
                <w:szCs w:val="20"/>
                <w:color w:val="auto"/>
              </w:rPr>
              <w:t>8.04</w:t>
            </w:r>
          </w:p>
        </w:tc>
        <w:tc>
          <w:tcPr>
            <w:tcW w:w="80" w:type="dxa"/>
            <w:vAlign w:val="bottom"/>
          </w:tcPr>
          <w:p>
            <w:pPr>
              <w:spacing w:after="0"/>
              <w:rPr>
                <w:sz w:val="21"/>
                <w:szCs w:val="21"/>
                <w:color w:val="auto"/>
              </w:rPr>
            </w:pPr>
          </w:p>
        </w:tc>
        <w:tc>
          <w:tcPr>
            <w:tcW w:w="7640" w:type="dxa"/>
            <w:vAlign w:val="bottom"/>
          </w:tcPr>
          <w:p>
            <w:pPr>
              <w:ind w:left="40"/>
              <w:spacing w:after="0"/>
              <w:rPr>
                <w:sz w:val="20"/>
                <w:szCs w:val="20"/>
                <w:color w:val="auto"/>
              </w:rPr>
            </w:pPr>
            <w:r>
              <w:rPr>
                <w:rFonts w:ascii="Arial" w:cs="Arial" w:eastAsia="Arial" w:hAnsi="Arial"/>
                <w:sz w:val="20"/>
                <w:szCs w:val="20"/>
                <w:color w:val="auto"/>
              </w:rPr>
              <w:t>Application of Receipts</w:t>
            </w:r>
          </w:p>
        </w:tc>
        <w:tc>
          <w:tcPr>
            <w:tcW w:w="19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35"/>
        </w:trPr>
        <w:tc>
          <w:tcPr>
            <w:tcW w:w="1240" w:type="dxa"/>
            <w:vAlign w:val="bottom"/>
            <w:gridSpan w:val="2"/>
          </w:tcPr>
          <w:p>
            <w:pPr>
              <w:spacing w:after="0"/>
              <w:rPr>
                <w:sz w:val="20"/>
                <w:szCs w:val="20"/>
                <w:color w:val="auto"/>
              </w:rPr>
            </w:pPr>
            <w:r>
              <w:rPr>
                <w:rFonts w:ascii="Arial" w:cs="Arial" w:eastAsia="Arial" w:hAnsi="Arial"/>
                <w:sz w:val="20"/>
                <w:szCs w:val="20"/>
                <w:color w:val="auto"/>
              </w:rPr>
              <w:t>ARTICLE IX.</w:t>
            </w:r>
          </w:p>
        </w:tc>
        <w:tc>
          <w:tcPr>
            <w:tcW w:w="7640" w:type="dxa"/>
            <w:vAlign w:val="bottom"/>
          </w:tcPr>
          <w:p>
            <w:pPr>
              <w:ind w:left="340"/>
              <w:spacing w:after="0"/>
              <w:rPr>
                <w:sz w:val="20"/>
                <w:szCs w:val="20"/>
                <w:color w:val="auto"/>
              </w:rPr>
            </w:pPr>
            <w:r>
              <w:rPr>
                <w:rFonts w:ascii="Arial" w:cs="Arial" w:eastAsia="Arial" w:hAnsi="Arial"/>
                <w:sz w:val="20"/>
                <w:szCs w:val="20"/>
                <w:color w:val="auto"/>
              </w:rPr>
              <w:t>ADMINISTRATIVE AGENT</w:t>
            </w:r>
          </w:p>
        </w:tc>
        <w:tc>
          <w:tcPr>
            <w:tcW w:w="19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13"/>
        </w:trPr>
        <w:tc>
          <w:tcPr>
            <w:tcW w:w="1160" w:type="dxa"/>
            <w:vAlign w:val="bottom"/>
          </w:tcPr>
          <w:p>
            <w:pPr>
              <w:ind w:left="640"/>
              <w:spacing w:after="0"/>
              <w:rPr>
                <w:sz w:val="20"/>
                <w:szCs w:val="20"/>
                <w:color w:val="auto"/>
              </w:rPr>
            </w:pPr>
            <w:r>
              <w:rPr>
                <w:rFonts w:ascii="Arial" w:cs="Arial" w:eastAsia="Arial" w:hAnsi="Arial"/>
                <w:sz w:val="20"/>
                <w:szCs w:val="20"/>
                <w:color w:val="auto"/>
              </w:rPr>
              <w:t>9.01</w:t>
            </w:r>
          </w:p>
        </w:tc>
        <w:tc>
          <w:tcPr>
            <w:tcW w:w="80" w:type="dxa"/>
            <w:vAlign w:val="bottom"/>
          </w:tcPr>
          <w:p>
            <w:pPr>
              <w:spacing w:after="0"/>
              <w:rPr>
                <w:sz w:val="24"/>
                <w:szCs w:val="24"/>
                <w:color w:val="auto"/>
              </w:rPr>
            </w:pPr>
          </w:p>
        </w:tc>
        <w:tc>
          <w:tcPr>
            <w:tcW w:w="7640" w:type="dxa"/>
            <w:vAlign w:val="bottom"/>
          </w:tcPr>
          <w:p>
            <w:pPr>
              <w:ind w:left="40"/>
              <w:spacing w:after="0"/>
              <w:rPr>
                <w:sz w:val="20"/>
                <w:szCs w:val="20"/>
                <w:color w:val="auto"/>
              </w:rPr>
            </w:pPr>
            <w:r>
              <w:rPr>
                <w:rFonts w:ascii="Arial" w:cs="Arial" w:eastAsia="Arial" w:hAnsi="Arial"/>
                <w:sz w:val="20"/>
                <w:szCs w:val="20"/>
                <w:color w:val="auto"/>
              </w:rPr>
              <w:t>Appointment and Authority</w:t>
            </w:r>
          </w:p>
        </w:tc>
        <w:tc>
          <w:tcPr>
            <w:tcW w:w="190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28"/>
        </w:trPr>
        <w:tc>
          <w:tcPr>
            <w:tcW w:w="1160" w:type="dxa"/>
            <w:vAlign w:val="bottom"/>
          </w:tcPr>
          <w:p>
            <w:pPr>
              <w:ind w:left="640"/>
              <w:spacing w:after="0" w:line="228" w:lineRule="exact"/>
              <w:rPr>
                <w:sz w:val="20"/>
                <w:szCs w:val="20"/>
                <w:color w:val="auto"/>
              </w:rPr>
            </w:pPr>
            <w:r>
              <w:rPr>
                <w:rFonts w:ascii="Arial" w:cs="Arial" w:eastAsia="Arial" w:hAnsi="Arial"/>
                <w:sz w:val="20"/>
                <w:szCs w:val="20"/>
                <w:color w:val="auto"/>
              </w:rPr>
              <w:t>9.02</w:t>
            </w:r>
          </w:p>
        </w:tc>
        <w:tc>
          <w:tcPr>
            <w:tcW w:w="80" w:type="dxa"/>
            <w:vAlign w:val="bottom"/>
          </w:tcPr>
          <w:p>
            <w:pPr>
              <w:spacing w:after="0"/>
              <w:rPr>
                <w:sz w:val="19"/>
                <w:szCs w:val="19"/>
                <w:color w:val="auto"/>
              </w:rPr>
            </w:pP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Rights as a Lender</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59</w:t>
            </w:r>
          </w:p>
        </w:tc>
      </w:tr>
      <w:tr>
        <w:trPr>
          <w:trHeight w:val="228"/>
        </w:trPr>
        <w:tc>
          <w:tcPr>
            <w:tcW w:w="1160" w:type="dxa"/>
            <w:vAlign w:val="bottom"/>
          </w:tcPr>
          <w:p>
            <w:pPr>
              <w:ind w:left="640"/>
              <w:spacing w:after="0" w:line="228" w:lineRule="exact"/>
              <w:rPr>
                <w:sz w:val="20"/>
                <w:szCs w:val="20"/>
                <w:color w:val="auto"/>
              </w:rPr>
            </w:pPr>
            <w:r>
              <w:rPr>
                <w:rFonts w:ascii="Arial" w:cs="Arial" w:eastAsia="Arial" w:hAnsi="Arial"/>
                <w:sz w:val="20"/>
                <w:szCs w:val="20"/>
                <w:color w:val="auto"/>
              </w:rPr>
              <w:t>9.03</w:t>
            </w:r>
          </w:p>
        </w:tc>
        <w:tc>
          <w:tcPr>
            <w:tcW w:w="80" w:type="dxa"/>
            <w:vAlign w:val="bottom"/>
          </w:tcPr>
          <w:p>
            <w:pPr>
              <w:spacing w:after="0"/>
              <w:rPr>
                <w:sz w:val="19"/>
                <w:szCs w:val="19"/>
                <w:color w:val="auto"/>
              </w:rPr>
            </w:pP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Exculpatory Provisions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59</w:t>
            </w:r>
          </w:p>
        </w:tc>
      </w:tr>
      <w:tr>
        <w:trPr>
          <w:trHeight w:val="228"/>
        </w:trPr>
        <w:tc>
          <w:tcPr>
            <w:tcW w:w="1160" w:type="dxa"/>
            <w:vAlign w:val="bottom"/>
          </w:tcPr>
          <w:p>
            <w:pPr>
              <w:ind w:left="640"/>
              <w:spacing w:after="0" w:line="228" w:lineRule="exact"/>
              <w:rPr>
                <w:sz w:val="20"/>
                <w:szCs w:val="20"/>
                <w:color w:val="auto"/>
              </w:rPr>
            </w:pPr>
            <w:r>
              <w:rPr>
                <w:rFonts w:ascii="Arial" w:cs="Arial" w:eastAsia="Arial" w:hAnsi="Arial"/>
                <w:sz w:val="20"/>
                <w:szCs w:val="20"/>
                <w:color w:val="auto"/>
              </w:rPr>
              <w:t>9.04</w:t>
            </w:r>
          </w:p>
        </w:tc>
        <w:tc>
          <w:tcPr>
            <w:tcW w:w="80" w:type="dxa"/>
            <w:vAlign w:val="bottom"/>
          </w:tcPr>
          <w:p>
            <w:pPr>
              <w:spacing w:after="0"/>
              <w:rPr>
                <w:sz w:val="19"/>
                <w:szCs w:val="19"/>
                <w:color w:val="auto"/>
              </w:rPr>
            </w:pP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Reliance by Administrative Agent</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60</w:t>
            </w:r>
          </w:p>
        </w:tc>
      </w:tr>
      <w:tr>
        <w:trPr>
          <w:trHeight w:val="228"/>
        </w:trPr>
        <w:tc>
          <w:tcPr>
            <w:tcW w:w="1160" w:type="dxa"/>
            <w:vAlign w:val="bottom"/>
          </w:tcPr>
          <w:p>
            <w:pPr>
              <w:ind w:left="640"/>
              <w:spacing w:after="0" w:line="228" w:lineRule="exact"/>
              <w:rPr>
                <w:sz w:val="20"/>
                <w:szCs w:val="20"/>
                <w:color w:val="auto"/>
              </w:rPr>
            </w:pPr>
            <w:r>
              <w:rPr>
                <w:rFonts w:ascii="Arial" w:cs="Arial" w:eastAsia="Arial" w:hAnsi="Arial"/>
                <w:sz w:val="20"/>
                <w:szCs w:val="20"/>
                <w:color w:val="auto"/>
              </w:rPr>
              <w:t>9.05</w:t>
            </w:r>
          </w:p>
        </w:tc>
        <w:tc>
          <w:tcPr>
            <w:tcW w:w="80" w:type="dxa"/>
            <w:vAlign w:val="bottom"/>
          </w:tcPr>
          <w:p>
            <w:pPr>
              <w:spacing w:after="0"/>
              <w:rPr>
                <w:sz w:val="19"/>
                <w:szCs w:val="19"/>
                <w:color w:val="auto"/>
              </w:rPr>
            </w:pP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Delegation of Duties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60</w:t>
            </w:r>
          </w:p>
        </w:tc>
      </w:tr>
      <w:tr>
        <w:trPr>
          <w:trHeight w:val="228"/>
        </w:trPr>
        <w:tc>
          <w:tcPr>
            <w:tcW w:w="1160" w:type="dxa"/>
            <w:vAlign w:val="bottom"/>
          </w:tcPr>
          <w:p>
            <w:pPr>
              <w:ind w:left="640"/>
              <w:spacing w:after="0" w:line="228" w:lineRule="exact"/>
              <w:rPr>
                <w:sz w:val="20"/>
                <w:szCs w:val="20"/>
                <w:color w:val="auto"/>
              </w:rPr>
            </w:pPr>
            <w:r>
              <w:rPr>
                <w:rFonts w:ascii="Arial" w:cs="Arial" w:eastAsia="Arial" w:hAnsi="Arial"/>
                <w:sz w:val="20"/>
                <w:szCs w:val="20"/>
                <w:color w:val="auto"/>
              </w:rPr>
              <w:t>9.06</w:t>
            </w:r>
          </w:p>
        </w:tc>
        <w:tc>
          <w:tcPr>
            <w:tcW w:w="80" w:type="dxa"/>
            <w:vAlign w:val="bottom"/>
          </w:tcPr>
          <w:p>
            <w:pPr>
              <w:spacing w:after="0"/>
              <w:rPr>
                <w:sz w:val="19"/>
                <w:szCs w:val="19"/>
                <w:color w:val="auto"/>
              </w:rPr>
            </w:pP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Resignation of Administrative Agent</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60</w:t>
            </w:r>
          </w:p>
        </w:tc>
      </w:tr>
      <w:tr>
        <w:trPr>
          <w:trHeight w:val="228"/>
        </w:trPr>
        <w:tc>
          <w:tcPr>
            <w:tcW w:w="1160" w:type="dxa"/>
            <w:vAlign w:val="bottom"/>
          </w:tcPr>
          <w:p>
            <w:pPr>
              <w:ind w:left="640"/>
              <w:spacing w:after="0" w:line="228" w:lineRule="exact"/>
              <w:rPr>
                <w:sz w:val="20"/>
                <w:szCs w:val="20"/>
                <w:color w:val="auto"/>
              </w:rPr>
            </w:pPr>
            <w:r>
              <w:rPr>
                <w:rFonts w:ascii="Arial" w:cs="Arial" w:eastAsia="Arial" w:hAnsi="Arial"/>
                <w:sz w:val="20"/>
                <w:szCs w:val="20"/>
                <w:color w:val="auto"/>
              </w:rPr>
              <w:t>9.07</w:t>
            </w:r>
          </w:p>
        </w:tc>
        <w:tc>
          <w:tcPr>
            <w:tcW w:w="80" w:type="dxa"/>
            <w:vAlign w:val="bottom"/>
          </w:tcPr>
          <w:p>
            <w:pPr>
              <w:spacing w:after="0"/>
              <w:rPr>
                <w:sz w:val="19"/>
                <w:szCs w:val="19"/>
                <w:color w:val="auto"/>
              </w:rPr>
            </w:pP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Non-Reliance on Administrative Agent and Other Lenders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61</w:t>
            </w:r>
          </w:p>
        </w:tc>
      </w:tr>
      <w:tr>
        <w:trPr>
          <w:trHeight w:val="228"/>
        </w:trPr>
        <w:tc>
          <w:tcPr>
            <w:tcW w:w="1160" w:type="dxa"/>
            <w:vAlign w:val="bottom"/>
          </w:tcPr>
          <w:p>
            <w:pPr>
              <w:ind w:left="640"/>
              <w:spacing w:after="0" w:line="228" w:lineRule="exact"/>
              <w:rPr>
                <w:sz w:val="20"/>
                <w:szCs w:val="20"/>
                <w:color w:val="auto"/>
              </w:rPr>
            </w:pPr>
            <w:r>
              <w:rPr>
                <w:rFonts w:ascii="Arial" w:cs="Arial" w:eastAsia="Arial" w:hAnsi="Arial"/>
                <w:sz w:val="20"/>
                <w:szCs w:val="20"/>
                <w:color w:val="auto"/>
              </w:rPr>
              <w:t>9.08</w:t>
            </w:r>
          </w:p>
        </w:tc>
        <w:tc>
          <w:tcPr>
            <w:tcW w:w="80" w:type="dxa"/>
            <w:vAlign w:val="bottom"/>
          </w:tcPr>
          <w:p>
            <w:pPr>
              <w:spacing w:after="0"/>
              <w:rPr>
                <w:sz w:val="19"/>
                <w:szCs w:val="19"/>
                <w:color w:val="auto"/>
              </w:rPr>
            </w:pP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No Other Duties, Etc</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61</w:t>
            </w:r>
          </w:p>
        </w:tc>
      </w:tr>
      <w:tr>
        <w:trPr>
          <w:trHeight w:val="228"/>
        </w:trPr>
        <w:tc>
          <w:tcPr>
            <w:tcW w:w="1160" w:type="dxa"/>
            <w:vAlign w:val="bottom"/>
          </w:tcPr>
          <w:p>
            <w:pPr>
              <w:ind w:left="640"/>
              <w:spacing w:after="0" w:line="228" w:lineRule="exact"/>
              <w:rPr>
                <w:sz w:val="20"/>
                <w:szCs w:val="20"/>
                <w:color w:val="auto"/>
              </w:rPr>
            </w:pPr>
            <w:r>
              <w:rPr>
                <w:rFonts w:ascii="Arial" w:cs="Arial" w:eastAsia="Arial" w:hAnsi="Arial"/>
                <w:sz w:val="20"/>
                <w:szCs w:val="20"/>
                <w:color w:val="auto"/>
              </w:rPr>
              <w:t>9.09</w:t>
            </w:r>
          </w:p>
        </w:tc>
        <w:tc>
          <w:tcPr>
            <w:tcW w:w="7720" w:type="dxa"/>
            <w:vAlign w:val="bottom"/>
            <w:gridSpan w:val="2"/>
          </w:tcPr>
          <w:p>
            <w:pPr>
              <w:ind w:left="120"/>
              <w:spacing w:after="0" w:line="228" w:lineRule="exact"/>
              <w:rPr>
                <w:sz w:val="20"/>
                <w:szCs w:val="20"/>
                <w:color w:val="auto"/>
              </w:rPr>
            </w:pPr>
            <w:r>
              <w:rPr>
                <w:rFonts w:ascii="Arial" w:cs="Arial" w:eastAsia="Arial" w:hAnsi="Arial"/>
                <w:sz w:val="20"/>
                <w:szCs w:val="20"/>
                <w:color w:val="auto"/>
              </w:rPr>
              <w:t>Administrative Agent May File Proofs of Claim</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61</w:t>
            </w:r>
          </w:p>
        </w:tc>
      </w:tr>
      <w:tr>
        <w:trPr>
          <w:trHeight w:val="249"/>
        </w:trPr>
        <w:tc>
          <w:tcPr>
            <w:tcW w:w="1160" w:type="dxa"/>
            <w:vAlign w:val="bottom"/>
          </w:tcPr>
          <w:p>
            <w:pPr>
              <w:ind w:left="640"/>
              <w:spacing w:after="0"/>
              <w:rPr>
                <w:sz w:val="20"/>
                <w:szCs w:val="20"/>
                <w:color w:val="auto"/>
              </w:rPr>
            </w:pPr>
            <w:r>
              <w:rPr>
                <w:rFonts w:ascii="Arial" w:cs="Arial" w:eastAsia="Arial" w:hAnsi="Arial"/>
                <w:sz w:val="20"/>
                <w:szCs w:val="20"/>
                <w:color w:val="auto"/>
              </w:rPr>
              <w:t>9.10</w:t>
            </w:r>
          </w:p>
        </w:tc>
        <w:tc>
          <w:tcPr>
            <w:tcW w:w="80" w:type="dxa"/>
            <w:vAlign w:val="bottom"/>
          </w:tcPr>
          <w:p>
            <w:pPr>
              <w:spacing w:after="0"/>
              <w:rPr>
                <w:sz w:val="21"/>
                <w:szCs w:val="21"/>
                <w:color w:val="auto"/>
              </w:rPr>
            </w:pPr>
          </w:p>
        </w:tc>
        <w:tc>
          <w:tcPr>
            <w:tcW w:w="7640" w:type="dxa"/>
            <w:vAlign w:val="bottom"/>
          </w:tcPr>
          <w:p>
            <w:pPr>
              <w:ind w:left="40"/>
              <w:spacing w:after="0"/>
              <w:rPr>
                <w:sz w:val="20"/>
                <w:szCs w:val="20"/>
                <w:color w:val="auto"/>
              </w:rPr>
            </w:pPr>
            <w:r>
              <w:rPr>
                <w:rFonts w:ascii="Arial" w:cs="Arial" w:eastAsia="Arial" w:hAnsi="Arial"/>
                <w:sz w:val="20"/>
                <w:szCs w:val="20"/>
                <w:color w:val="auto"/>
              </w:rPr>
              <w:t>Certain ERISA Matters</w:t>
            </w:r>
          </w:p>
        </w:tc>
        <w:tc>
          <w:tcPr>
            <w:tcW w:w="19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35"/>
        </w:trPr>
        <w:tc>
          <w:tcPr>
            <w:tcW w:w="1160" w:type="dxa"/>
            <w:vAlign w:val="bottom"/>
          </w:tcPr>
          <w:p>
            <w:pPr>
              <w:spacing w:after="0"/>
              <w:rPr>
                <w:sz w:val="20"/>
                <w:szCs w:val="20"/>
                <w:color w:val="auto"/>
              </w:rPr>
            </w:pPr>
            <w:r>
              <w:rPr>
                <w:rFonts w:ascii="Arial" w:cs="Arial" w:eastAsia="Arial" w:hAnsi="Arial"/>
                <w:sz w:val="20"/>
                <w:szCs w:val="20"/>
                <w:color w:val="auto"/>
              </w:rPr>
              <w:t>ARTICLE X.</w:t>
            </w:r>
          </w:p>
        </w:tc>
        <w:tc>
          <w:tcPr>
            <w:tcW w:w="80" w:type="dxa"/>
            <w:vAlign w:val="bottom"/>
          </w:tcPr>
          <w:p>
            <w:pPr>
              <w:spacing w:after="0"/>
              <w:rPr>
                <w:sz w:val="24"/>
                <w:szCs w:val="24"/>
                <w:color w:val="auto"/>
              </w:rPr>
            </w:pPr>
          </w:p>
        </w:tc>
        <w:tc>
          <w:tcPr>
            <w:tcW w:w="7640" w:type="dxa"/>
            <w:vAlign w:val="bottom"/>
          </w:tcPr>
          <w:p>
            <w:pPr>
              <w:ind w:left="340"/>
              <w:spacing w:after="0"/>
              <w:rPr>
                <w:sz w:val="20"/>
                <w:szCs w:val="20"/>
                <w:color w:val="auto"/>
              </w:rPr>
            </w:pPr>
            <w:r>
              <w:rPr>
                <w:rFonts w:ascii="Arial" w:cs="Arial" w:eastAsia="Arial" w:hAnsi="Arial"/>
                <w:sz w:val="20"/>
                <w:szCs w:val="20"/>
                <w:color w:val="auto"/>
              </w:rPr>
              <w:t>MISCELLANEOUS</w:t>
            </w:r>
          </w:p>
        </w:tc>
        <w:tc>
          <w:tcPr>
            <w:tcW w:w="19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13"/>
        </w:trPr>
        <w:tc>
          <w:tcPr>
            <w:tcW w:w="1240" w:type="dxa"/>
            <w:vAlign w:val="bottom"/>
            <w:gridSpan w:val="2"/>
          </w:tcPr>
          <w:p>
            <w:pPr>
              <w:ind w:left="640"/>
              <w:spacing w:after="0"/>
              <w:rPr>
                <w:sz w:val="20"/>
                <w:szCs w:val="20"/>
                <w:color w:val="auto"/>
              </w:rPr>
            </w:pPr>
            <w:r>
              <w:rPr>
                <w:rFonts w:ascii="Arial" w:cs="Arial" w:eastAsia="Arial" w:hAnsi="Arial"/>
                <w:sz w:val="20"/>
                <w:szCs w:val="20"/>
                <w:color w:val="auto"/>
              </w:rPr>
              <w:t>10.01</w:t>
            </w:r>
          </w:p>
        </w:tc>
        <w:tc>
          <w:tcPr>
            <w:tcW w:w="7640" w:type="dxa"/>
            <w:vAlign w:val="bottom"/>
          </w:tcPr>
          <w:p>
            <w:pPr>
              <w:ind w:left="40"/>
              <w:spacing w:after="0"/>
              <w:rPr>
                <w:sz w:val="20"/>
                <w:szCs w:val="20"/>
                <w:color w:val="auto"/>
              </w:rPr>
            </w:pPr>
            <w:r>
              <w:rPr>
                <w:rFonts w:ascii="Arial" w:cs="Arial" w:eastAsia="Arial" w:hAnsi="Arial"/>
                <w:sz w:val="20"/>
                <w:szCs w:val="20"/>
                <w:color w:val="auto"/>
              </w:rPr>
              <w:t>Amendments, Etc</w:t>
            </w:r>
          </w:p>
        </w:tc>
        <w:tc>
          <w:tcPr>
            <w:tcW w:w="190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10.02</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Notices; Effectiveness; Electronic Communication</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64</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10.03</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No Waiver; Cumulative Remedies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66</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10.04</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Expenses; Indemnity; Damage Waiver</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67</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10.05</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Payments Set Aside</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68</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10.06</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Successors and Assigns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68</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10.07</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Treatment of Certain Information; Confidentiality</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72</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10.08</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Right of Setoff</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73</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10.09</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Interest Rate Limitation</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73</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10.10</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Counterparts; Integration; Effectiveness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73</w:t>
            </w:r>
          </w:p>
        </w:tc>
      </w:tr>
      <w:tr>
        <w:trPr>
          <w:trHeight w:val="228"/>
        </w:trPr>
        <w:tc>
          <w:tcPr>
            <w:tcW w:w="8880" w:type="dxa"/>
            <w:vAlign w:val="bottom"/>
            <w:gridSpan w:val="3"/>
          </w:tcPr>
          <w:p>
            <w:pPr>
              <w:ind w:left="640"/>
              <w:spacing w:after="0" w:line="228" w:lineRule="exact"/>
              <w:rPr>
                <w:sz w:val="20"/>
                <w:szCs w:val="20"/>
                <w:color w:val="auto"/>
              </w:rPr>
            </w:pPr>
            <w:r>
              <w:rPr>
                <w:rFonts w:ascii="Arial" w:cs="Arial" w:eastAsia="Arial" w:hAnsi="Arial"/>
                <w:sz w:val="20"/>
                <w:szCs w:val="20"/>
                <w:color w:val="auto"/>
              </w:rPr>
              <w:t>10.11  Survival of Representations and Warranties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74</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10.12</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Severability</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74</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10.13</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Replacement of Lenders; Termination of Commitments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74</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10.14</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Governing Law; Jurisdiction; Etc</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75</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10.15</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Waiver of Jury Trial</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76</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10.16</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No Advisory or Fiduciary Responsibility</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76</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10.17</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Electronic Execution of Assignments and Certain Other Documents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77</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10.18</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USA PATRIOT Act Notice</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77</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10.19</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Acknowledgement and Consent to Bail-In of Affected Financial Institutions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77</w:t>
            </w:r>
          </w:p>
        </w:tc>
      </w:tr>
      <w:tr>
        <w:trPr>
          <w:trHeight w:val="228"/>
        </w:trPr>
        <w:tc>
          <w:tcPr>
            <w:tcW w:w="124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10.20</w:t>
            </w:r>
          </w:p>
        </w:tc>
        <w:tc>
          <w:tcPr>
            <w:tcW w:w="7640" w:type="dxa"/>
            <w:vAlign w:val="bottom"/>
          </w:tcPr>
          <w:p>
            <w:pPr>
              <w:ind w:left="40"/>
              <w:spacing w:after="0" w:line="228" w:lineRule="exact"/>
              <w:rPr>
                <w:sz w:val="20"/>
                <w:szCs w:val="20"/>
                <w:color w:val="auto"/>
              </w:rPr>
            </w:pPr>
            <w:r>
              <w:rPr>
                <w:rFonts w:ascii="Arial" w:cs="Arial" w:eastAsia="Arial" w:hAnsi="Arial"/>
                <w:sz w:val="20"/>
                <w:szCs w:val="20"/>
                <w:color w:val="auto"/>
              </w:rPr>
              <w:t>Acknowledgement Regarding Any Supported QFCs</w:t>
            </w:r>
          </w:p>
        </w:tc>
        <w:tc>
          <w:tcPr>
            <w:tcW w:w="1900" w:type="dxa"/>
            <w:vAlign w:val="bottom"/>
          </w:tcPr>
          <w:p>
            <w:pPr>
              <w:jc w:val="right"/>
              <w:spacing w:after="0" w:line="228" w:lineRule="exact"/>
              <w:rPr>
                <w:sz w:val="20"/>
                <w:szCs w:val="20"/>
                <w:color w:val="auto"/>
              </w:rPr>
            </w:pPr>
            <w:r>
              <w:rPr>
                <w:rFonts w:ascii="Arial" w:cs="Arial" w:eastAsia="Arial" w:hAnsi="Arial"/>
                <w:sz w:val="20"/>
                <w:szCs w:val="20"/>
                <w:color w:val="auto"/>
              </w:rPr>
              <w:t>78</w:t>
            </w:r>
          </w:p>
        </w:tc>
      </w:tr>
      <w:tr>
        <w:trPr>
          <w:trHeight w:val="249"/>
        </w:trPr>
        <w:tc>
          <w:tcPr>
            <w:tcW w:w="1240" w:type="dxa"/>
            <w:vAlign w:val="bottom"/>
            <w:gridSpan w:val="2"/>
          </w:tcPr>
          <w:p>
            <w:pPr>
              <w:ind w:left="640"/>
              <w:spacing w:after="0"/>
              <w:rPr>
                <w:sz w:val="20"/>
                <w:szCs w:val="20"/>
                <w:color w:val="auto"/>
              </w:rPr>
            </w:pPr>
            <w:r>
              <w:rPr>
                <w:rFonts w:ascii="Arial" w:cs="Arial" w:eastAsia="Arial" w:hAnsi="Arial"/>
                <w:sz w:val="20"/>
                <w:szCs w:val="20"/>
                <w:color w:val="auto"/>
              </w:rPr>
              <w:t>10.21</w:t>
            </w:r>
          </w:p>
        </w:tc>
        <w:tc>
          <w:tcPr>
            <w:tcW w:w="7640" w:type="dxa"/>
            <w:vAlign w:val="bottom"/>
          </w:tcPr>
          <w:p>
            <w:pPr>
              <w:ind w:left="40"/>
              <w:spacing w:after="0"/>
              <w:rPr>
                <w:sz w:val="20"/>
                <w:szCs w:val="20"/>
                <w:color w:val="auto"/>
              </w:rPr>
            </w:pPr>
            <w:r>
              <w:rPr>
                <w:rFonts w:ascii="Arial" w:cs="Arial" w:eastAsia="Arial" w:hAnsi="Arial"/>
                <w:sz w:val="20"/>
                <w:szCs w:val="20"/>
                <w:color w:val="auto"/>
              </w:rPr>
              <w:t>ENTIRE AGREEMENT</w:t>
            </w:r>
          </w:p>
        </w:tc>
        <w:tc>
          <w:tcPr>
            <w:tcW w:w="190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402"/>
        </w:trPr>
        <w:tc>
          <w:tcPr>
            <w:tcW w:w="1240" w:type="dxa"/>
            <w:vAlign w:val="bottom"/>
            <w:gridSpan w:val="2"/>
          </w:tcPr>
          <w:p>
            <w:pPr>
              <w:spacing w:after="0"/>
              <w:rPr>
                <w:sz w:val="20"/>
                <w:szCs w:val="20"/>
                <w:color w:val="auto"/>
              </w:rPr>
            </w:pPr>
            <w:r>
              <w:rPr>
                <w:rFonts w:ascii="Arial" w:cs="Arial" w:eastAsia="Arial" w:hAnsi="Arial"/>
                <w:sz w:val="20"/>
                <w:szCs w:val="20"/>
                <w:color w:val="auto"/>
                <w:w w:val="93"/>
              </w:rPr>
              <w:t>SIGNATURES</w:t>
            </w:r>
          </w:p>
        </w:tc>
        <w:tc>
          <w:tcPr>
            <w:tcW w:w="76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S-1</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0780"/>
          </w:cols>
          <w:pgMar w:left="480" w:top="270" w:right="6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spacing w:after="0"/>
              <w:rPr>
                <w:sz w:val="20"/>
                <w:szCs w:val="20"/>
                <w:color w:val="auto"/>
              </w:rPr>
            </w:pPr>
            <w:r>
              <w:rPr>
                <w:rFonts w:ascii="Arial" w:cs="Arial" w:eastAsia="Arial" w:hAnsi="Arial"/>
                <w:sz w:val="20"/>
                <w:szCs w:val="20"/>
                <w:b w:val="1"/>
                <w:bCs w:val="1"/>
                <w:color w:val="auto"/>
              </w:rPr>
              <w:t>SCHEDULES</w:t>
            </w:r>
          </w:p>
        </w:tc>
        <w:tc>
          <w:tcPr>
            <w:tcW w:w="5300" w:type="dxa"/>
            <w:vAlign w:val="bottom"/>
          </w:tcPr>
          <w:p>
            <w:pPr>
              <w:spacing w:after="0"/>
              <w:rPr>
                <w:sz w:val="19"/>
                <w:szCs w:val="19"/>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72"/>
        </w:trPr>
        <w:tc>
          <w:tcPr>
            <w:tcW w:w="1660" w:type="dxa"/>
            <w:vAlign w:val="bottom"/>
            <w:gridSpan w:val="2"/>
          </w:tcPr>
          <w:p>
            <w:pPr>
              <w:ind w:left="640"/>
              <w:spacing w:after="0"/>
              <w:rPr>
                <w:sz w:val="20"/>
                <w:szCs w:val="20"/>
                <w:color w:val="auto"/>
              </w:rPr>
            </w:pPr>
            <w:r>
              <w:rPr>
                <w:rFonts w:ascii="Arial" w:cs="Arial" w:eastAsia="Arial" w:hAnsi="Arial"/>
                <w:sz w:val="20"/>
                <w:szCs w:val="20"/>
                <w:color w:val="auto"/>
              </w:rPr>
              <w:t>1.01(a)</w:t>
            </w:r>
          </w:p>
        </w:tc>
        <w:tc>
          <w:tcPr>
            <w:tcW w:w="5300" w:type="dxa"/>
            <w:vAlign w:val="bottom"/>
          </w:tcPr>
          <w:p>
            <w:pPr>
              <w:ind w:left="460"/>
              <w:spacing w:after="0"/>
              <w:rPr>
                <w:sz w:val="20"/>
                <w:szCs w:val="20"/>
                <w:color w:val="auto"/>
              </w:rPr>
            </w:pPr>
            <w:r>
              <w:rPr>
                <w:rFonts w:ascii="Arial" w:cs="Arial" w:eastAsia="Arial" w:hAnsi="Arial"/>
                <w:sz w:val="20"/>
                <w:szCs w:val="20"/>
                <w:color w:val="auto"/>
              </w:rPr>
              <w:t>Allied Unrestricted Subsidiaries</w:t>
            </w:r>
          </w:p>
        </w:tc>
      </w:tr>
      <w:tr>
        <w:trPr>
          <w:trHeight w:val="228"/>
        </w:trPr>
        <w:tc>
          <w:tcPr>
            <w:tcW w:w="166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1.01(b)</w:t>
            </w:r>
          </w:p>
        </w:tc>
        <w:tc>
          <w:tcPr>
            <w:tcW w:w="5300" w:type="dxa"/>
            <w:vAlign w:val="bottom"/>
          </w:tcPr>
          <w:p>
            <w:pPr>
              <w:ind w:left="460"/>
              <w:spacing w:after="0" w:line="228" w:lineRule="exact"/>
              <w:rPr>
                <w:sz w:val="20"/>
                <w:szCs w:val="20"/>
                <w:color w:val="auto"/>
              </w:rPr>
            </w:pPr>
            <w:r>
              <w:rPr>
                <w:rFonts w:ascii="Arial" w:cs="Arial" w:eastAsia="Arial" w:hAnsi="Arial"/>
                <w:sz w:val="20"/>
                <w:szCs w:val="20"/>
                <w:color w:val="auto"/>
              </w:rPr>
              <w:t>Excluded Subsidiaries</w:t>
            </w:r>
          </w:p>
        </w:tc>
      </w:tr>
      <w:tr>
        <w:trPr>
          <w:trHeight w:val="228"/>
        </w:trPr>
        <w:tc>
          <w:tcPr>
            <w:tcW w:w="1660" w:type="dxa"/>
            <w:vAlign w:val="bottom"/>
            <w:gridSpan w:val="2"/>
          </w:tcPr>
          <w:p>
            <w:pPr>
              <w:ind w:left="640"/>
              <w:spacing w:after="0" w:line="228" w:lineRule="exact"/>
              <w:rPr>
                <w:sz w:val="20"/>
                <w:szCs w:val="20"/>
                <w:color w:val="auto"/>
              </w:rPr>
            </w:pPr>
            <w:r>
              <w:rPr>
                <w:rFonts w:ascii="Arial" w:cs="Arial" w:eastAsia="Arial" w:hAnsi="Arial"/>
                <w:sz w:val="20"/>
                <w:szCs w:val="20"/>
                <w:color w:val="auto"/>
              </w:rPr>
              <w:t>1.01(c)</w:t>
            </w:r>
          </w:p>
        </w:tc>
        <w:tc>
          <w:tcPr>
            <w:tcW w:w="5300" w:type="dxa"/>
            <w:vAlign w:val="bottom"/>
          </w:tcPr>
          <w:p>
            <w:pPr>
              <w:ind w:left="460"/>
              <w:spacing w:after="0" w:line="228" w:lineRule="exact"/>
              <w:rPr>
                <w:sz w:val="20"/>
                <w:szCs w:val="20"/>
                <w:color w:val="auto"/>
              </w:rPr>
            </w:pPr>
            <w:r>
              <w:rPr>
                <w:rFonts w:ascii="Arial" w:cs="Arial" w:eastAsia="Arial" w:hAnsi="Arial"/>
                <w:sz w:val="20"/>
                <w:szCs w:val="20"/>
                <w:color w:val="auto"/>
              </w:rPr>
              <w:t>Disqualified Lenders</w:t>
            </w:r>
          </w:p>
        </w:tc>
      </w:tr>
      <w:tr>
        <w:trPr>
          <w:trHeight w:val="228"/>
        </w:trPr>
        <w:tc>
          <w:tcPr>
            <w:tcW w:w="1180" w:type="dxa"/>
            <w:vAlign w:val="bottom"/>
          </w:tcPr>
          <w:p>
            <w:pPr>
              <w:ind w:left="640"/>
              <w:spacing w:after="0" w:line="228" w:lineRule="exact"/>
              <w:rPr>
                <w:sz w:val="20"/>
                <w:szCs w:val="20"/>
                <w:color w:val="auto"/>
              </w:rPr>
            </w:pPr>
            <w:r>
              <w:rPr>
                <w:rFonts w:ascii="Arial" w:cs="Arial" w:eastAsia="Arial" w:hAnsi="Arial"/>
                <w:sz w:val="20"/>
                <w:szCs w:val="20"/>
                <w:color w:val="auto"/>
              </w:rPr>
              <w:t>2.01</w:t>
            </w:r>
          </w:p>
        </w:tc>
        <w:tc>
          <w:tcPr>
            <w:tcW w:w="480" w:type="dxa"/>
            <w:vAlign w:val="bottom"/>
          </w:tcPr>
          <w:p>
            <w:pPr>
              <w:spacing w:after="0"/>
              <w:rPr>
                <w:sz w:val="19"/>
                <w:szCs w:val="19"/>
                <w:color w:val="auto"/>
              </w:rPr>
            </w:pPr>
          </w:p>
        </w:tc>
        <w:tc>
          <w:tcPr>
            <w:tcW w:w="5300" w:type="dxa"/>
            <w:vAlign w:val="bottom"/>
          </w:tcPr>
          <w:p>
            <w:pPr>
              <w:ind w:left="460"/>
              <w:spacing w:after="0" w:line="228" w:lineRule="exact"/>
              <w:rPr>
                <w:sz w:val="20"/>
                <w:szCs w:val="20"/>
                <w:color w:val="auto"/>
              </w:rPr>
            </w:pPr>
            <w:r>
              <w:rPr>
                <w:rFonts w:ascii="Arial" w:cs="Arial" w:eastAsia="Arial" w:hAnsi="Arial"/>
                <w:sz w:val="20"/>
                <w:szCs w:val="20"/>
                <w:color w:val="auto"/>
              </w:rPr>
              <w:t>Commitments and Applicable Percentages</w:t>
            </w:r>
          </w:p>
        </w:tc>
      </w:tr>
      <w:tr>
        <w:trPr>
          <w:trHeight w:val="228"/>
        </w:trPr>
        <w:tc>
          <w:tcPr>
            <w:tcW w:w="1180" w:type="dxa"/>
            <w:vAlign w:val="bottom"/>
          </w:tcPr>
          <w:p>
            <w:pPr>
              <w:ind w:left="640"/>
              <w:spacing w:after="0" w:line="228" w:lineRule="exact"/>
              <w:rPr>
                <w:sz w:val="20"/>
                <w:szCs w:val="20"/>
                <w:color w:val="auto"/>
              </w:rPr>
            </w:pPr>
            <w:r>
              <w:rPr>
                <w:rFonts w:ascii="Arial" w:cs="Arial" w:eastAsia="Arial" w:hAnsi="Arial"/>
                <w:sz w:val="20"/>
                <w:szCs w:val="20"/>
                <w:color w:val="auto"/>
              </w:rPr>
              <w:t>5.07</w:t>
            </w:r>
          </w:p>
        </w:tc>
        <w:tc>
          <w:tcPr>
            <w:tcW w:w="480" w:type="dxa"/>
            <w:vAlign w:val="bottom"/>
          </w:tcPr>
          <w:p>
            <w:pPr>
              <w:spacing w:after="0"/>
              <w:rPr>
                <w:sz w:val="19"/>
                <w:szCs w:val="19"/>
                <w:color w:val="auto"/>
              </w:rPr>
            </w:pPr>
          </w:p>
        </w:tc>
        <w:tc>
          <w:tcPr>
            <w:tcW w:w="5300" w:type="dxa"/>
            <w:vAlign w:val="bottom"/>
          </w:tcPr>
          <w:p>
            <w:pPr>
              <w:ind w:left="460"/>
              <w:spacing w:after="0" w:line="228" w:lineRule="exact"/>
              <w:rPr>
                <w:sz w:val="20"/>
                <w:szCs w:val="20"/>
                <w:color w:val="auto"/>
              </w:rPr>
            </w:pPr>
            <w:r>
              <w:rPr>
                <w:rFonts w:ascii="Arial" w:cs="Arial" w:eastAsia="Arial" w:hAnsi="Arial"/>
                <w:sz w:val="20"/>
                <w:szCs w:val="20"/>
                <w:color w:val="auto"/>
              </w:rPr>
              <w:t>ERISA Matters</w:t>
            </w:r>
          </w:p>
        </w:tc>
      </w:tr>
      <w:tr>
        <w:trPr>
          <w:trHeight w:val="228"/>
        </w:trPr>
        <w:tc>
          <w:tcPr>
            <w:tcW w:w="1180" w:type="dxa"/>
            <w:vAlign w:val="bottom"/>
          </w:tcPr>
          <w:p>
            <w:pPr>
              <w:ind w:left="640"/>
              <w:spacing w:after="0" w:line="228" w:lineRule="exact"/>
              <w:rPr>
                <w:sz w:val="20"/>
                <w:szCs w:val="20"/>
                <w:color w:val="auto"/>
              </w:rPr>
            </w:pPr>
            <w:r>
              <w:rPr>
                <w:rFonts w:ascii="Arial" w:cs="Arial" w:eastAsia="Arial" w:hAnsi="Arial"/>
                <w:sz w:val="20"/>
                <w:szCs w:val="20"/>
                <w:color w:val="auto"/>
              </w:rPr>
              <w:t>5.12</w:t>
            </w:r>
          </w:p>
        </w:tc>
        <w:tc>
          <w:tcPr>
            <w:tcW w:w="480" w:type="dxa"/>
            <w:vAlign w:val="bottom"/>
          </w:tcPr>
          <w:p>
            <w:pPr>
              <w:spacing w:after="0"/>
              <w:rPr>
                <w:sz w:val="19"/>
                <w:szCs w:val="19"/>
                <w:color w:val="auto"/>
              </w:rPr>
            </w:pPr>
          </w:p>
        </w:tc>
        <w:tc>
          <w:tcPr>
            <w:tcW w:w="5300" w:type="dxa"/>
            <w:vAlign w:val="bottom"/>
          </w:tcPr>
          <w:p>
            <w:pPr>
              <w:ind w:left="460"/>
              <w:spacing w:after="0" w:line="228" w:lineRule="exact"/>
              <w:rPr>
                <w:sz w:val="20"/>
                <w:szCs w:val="20"/>
                <w:color w:val="auto"/>
              </w:rPr>
            </w:pPr>
            <w:r>
              <w:rPr>
                <w:rFonts w:ascii="Arial" w:cs="Arial" w:eastAsia="Arial" w:hAnsi="Arial"/>
                <w:sz w:val="20"/>
                <w:szCs w:val="20"/>
                <w:color w:val="auto"/>
              </w:rPr>
              <w:t>Environmental Matters</w:t>
            </w:r>
          </w:p>
        </w:tc>
      </w:tr>
      <w:tr>
        <w:trPr>
          <w:trHeight w:val="228"/>
        </w:trPr>
        <w:tc>
          <w:tcPr>
            <w:tcW w:w="1180" w:type="dxa"/>
            <w:vAlign w:val="bottom"/>
          </w:tcPr>
          <w:p>
            <w:pPr>
              <w:ind w:left="640"/>
              <w:spacing w:after="0" w:line="228" w:lineRule="exact"/>
              <w:rPr>
                <w:sz w:val="20"/>
                <w:szCs w:val="20"/>
                <w:color w:val="auto"/>
              </w:rPr>
            </w:pPr>
            <w:r>
              <w:rPr>
                <w:rFonts w:ascii="Arial" w:cs="Arial" w:eastAsia="Arial" w:hAnsi="Arial"/>
                <w:sz w:val="20"/>
                <w:szCs w:val="20"/>
                <w:color w:val="auto"/>
              </w:rPr>
              <w:t>5.16</w:t>
            </w:r>
          </w:p>
        </w:tc>
        <w:tc>
          <w:tcPr>
            <w:tcW w:w="480" w:type="dxa"/>
            <w:vAlign w:val="bottom"/>
          </w:tcPr>
          <w:p>
            <w:pPr>
              <w:spacing w:after="0"/>
              <w:rPr>
                <w:sz w:val="19"/>
                <w:szCs w:val="19"/>
                <w:color w:val="auto"/>
              </w:rPr>
            </w:pPr>
          </w:p>
        </w:tc>
        <w:tc>
          <w:tcPr>
            <w:tcW w:w="5300" w:type="dxa"/>
            <w:vAlign w:val="bottom"/>
          </w:tcPr>
          <w:p>
            <w:pPr>
              <w:ind w:left="460"/>
              <w:spacing w:after="0" w:line="228" w:lineRule="exact"/>
              <w:rPr>
                <w:sz w:val="20"/>
                <w:szCs w:val="20"/>
                <w:color w:val="auto"/>
              </w:rPr>
            </w:pPr>
            <w:r>
              <w:rPr>
                <w:rFonts w:ascii="Arial" w:cs="Arial" w:eastAsia="Arial" w:hAnsi="Arial"/>
                <w:sz w:val="20"/>
                <w:szCs w:val="20"/>
                <w:color w:val="auto"/>
              </w:rPr>
              <w:t>Material Subsidiaries</w:t>
            </w:r>
          </w:p>
        </w:tc>
      </w:tr>
      <w:tr>
        <w:trPr>
          <w:trHeight w:val="228"/>
        </w:trPr>
        <w:tc>
          <w:tcPr>
            <w:tcW w:w="1180" w:type="dxa"/>
            <w:vAlign w:val="bottom"/>
          </w:tcPr>
          <w:p>
            <w:pPr>
              <w:ind w:left="640"/>
              <w:spacing w:after="0" w:line="228" w:lineRule="exact"/>
              <w:rPr>
                <w:sz w:val="20"/>
                <w:szCs w:val="20"/>
                <w:color w:val="auto"/>
              </w:rPr>
            </w:pPr>
            <w:r>
              <w:rPr>
                <w:rFonts w:ascii="Arial" w:cs="Arial" w:eastAsia="Arial" w:hAnsi="Arial"/>
                <w:sz w:val="20"/>
                <w:szCs w:val="20"/>
                <w:color w:val="auto"/>
              </w:rPr>
              <w:t>7.02</w:t>
            </w:r>
          </w:p>
        </w:tc>
        <w:tc>
          <w:tcPr>
            <w:tcW w:w="480" w:type="dxa"/>
            <w:vAlign w:val="bottom"/>
          </w:tcPr>
          <w:p>
            <w:pPr>
              <w:spacing w:after="0"/>
              <w:rPr>
                <w:sz w:val="19"/>
                <w:szCs w:val="19"/>
                <w:color w:val="auto"/>
              </w:rPr>
            </w:pPr>
          </w:p>
        </w:tc>
        <w:tc>
          <w:tcPr>
            <w:tcW w:w="5300" w:type="dxa"/>
            <w:vAlign w:val="bottom"/>
          </w:tcPr>
          <w:p>
            <w:pPr>
              <w:ind w:left="460"/>
              <w:spacing w:after="0" w:line="228" w:lineRule="exact"/>
              <w:rPr>
                <w:sz w:val="20"/>
                <w:szCs w:val="20"/>
                <w:color w:val="auto"/>
              </w:rPr>
            </w:pPr>
            <w:r>
              <w:rPr>
                <w:rFonts w:ascii="Arial" w:cs="Arial" w:eastAsia="Arial" w:hAnsi="Arial"/>
                <w:sz w:val="20"/>
                <w:szCs w:val="20"/>
                <w:color w:val="auto"/>
              </w:rPr>
              <w:t>Existing Liens</w:t>
            </w:r>
          </w:p>
        </w:tc>
      </w:tr>
      <w:tr>
        <w:trPr>
          <w:trHeight w:val="228"/>
        </w:trPr>
        <w:tc>
          <w:tcPr>
            <w:tcW w:w="1180" w:type="dxa"/>
            <w:vAlign w:val="bottom"/>
          </w:tcPr>
          <w:p>
            <w:pPr>
              <w:ind w:left="640"/>
              <w:spacing w:after="0" w:line="228" w:lineRule="exact"/>
              <w:rPr>
                <w:sz w:val="20"/>
                <w:szCs w:val="20"/>
                <w:color w:val="auto"/>
              </w:rPr>
            </w:pPr>
            <w:r>
              <w:rPr>
                <w:rFonts w:ascii="Arial" w:cs="Arial" w:eastAsia="Arial" w:hAnsi="Arial"/>
                <w:sz w:val="20"/>
                <w:szCs w:val="20"/>
                <w:color w:val="auto"/>
              </w:rPr>
              <w:t>7.06</w:t>
            </w:r>
          </w:p>
        </w:tc>
        <w:tc>
          <w:tcPr>
            <w:tcW w:w="480" w:type="dxa"/>
            <w:vAlign w:val="bottom"/>
          </w:tcPr>
          <w:p>
            <w:pPr>
              <w:spacing w:after="0"/>
              <w:rPr>
                <w:sz w:val="19"/>
                <w:szCs w:val="19"/>
                <w:color w:val="auto"/>
              </w:rPr>
            </w:pPr>
          </w:p>
        </w:tc>
        <w:tc>
          <w:tcPr>
            <w:tcW w:w="5300" w:type="dxa"/>
            <w:vAlign w:val="bottom"/>
          </w:tcPr>
          <w:p>
            <w:pPr>
              <w:ind w:left="460"/>
              <w:spacing w:after="0" w:line="228" w:lineRule="exact"/>
              <w:rPr>
                <w:sz w:val="20"/>
                <w:szCs w:val="20"/>
                <w:color w:val="auto"/>
              </w:rPr>
            </w:pPr>
            <w:r>
              <w:rPr>
                <w:rFonts w:ascii="Arial" w:cs="Arial" w:eastAsia="Arial" w:hAnsi="Arial"/>
                <w:sz w:val="20"/>
                <w:szCs w:val="20"/>
                <w:color w:val="auto"/>
              </w:rPr>
              <w:t>Existing Subsidiary Indebtedness</w:t>
            </w:r>
          </w:p>
        </w:tc>
      </w:tr>
      <w:tr>
        <w:trPr>
          <w:trHeight w:val="228"/>
        </w:trPr>
        <w:tc>
          <w:tcPr>
            <w:tcW w:w="1180" w:type="dxa"/>
            <w:vAlign w:val="bottom"/>
          </w:tcPr>
          <w:p>
            <w:pPr>
              <w:ind w:left="640"/>
              <w:spacing w:after="0" w:line="228" w:lineRule="exact"/>
              <w:rPr>
                <w:sz w:val="20"/>
                <w:szCs w:val="20"/>
                <w:color w:val="auto"/>
              </w:rPr>
            </w:pPr>
            <w:r>
              <w:rPr>
                <w:rFonts w:ascii="Arial" w:cs="Arial" w:eastAsia="Arial" w:hAnsi="Arial"/>
                <w:sz w:val="20"/>
                <w:szCs w:val="20"/>
                <w:color w:val="auto"/>
              </w:rPr>
              <w:t>7.12</w:t>
            </w:r>
          </w:p>
        </w:tc>
        <w:tc>
          <w:tcPr>
            <w:tcW w:w="480" w:type="dxa"/>
            <w:vAlign w:val="bottom"/>
          </w:tcPr>
          <w:p>
            <w:pPr>
              <w:spacing w:after="0"/>
              <w:rPr>
                <w:sz w:val="19"/>
                <w:szCs w:val="19"/>
                <w:color w:val="auto"/>
              </w:rPr>
            </w:pPr>
          </w:p>
        </w:tc>
        <w:tc>
          <w:tcPr>
            <w:tcW w:w="5300" w:type="dxa"/>
            <w:vAlign w:val="bottom"/>
          </w:tcPr>
          <w:p>
            <w:pPr>
              <w:ind w:left="460"/>
              <w:spacing w:after="0" w:line="228" w:lineRule="exact"/>
              <w:rPr>
                <w:sz w:val="20"/>
                <w:szCs w:val="20"/>
                <w:color w:val="auto"/>
              </w:rPr>
            </w:pPr>
            <w:r>
              <w:rPr>
                <w:rFonts w:ascii="Arial" w:cs="Arial" w:eastAsia="Arial" w:hAnsi="Arial"/>
                <w:sz w:val="20"/>
                <w:szCs w:val="20"/>
                <w:color w:val="auto"/>
              </w:rPr>
              <w:t>Existing Burdensome Agreements</w:t>
            </w:r>
          </w:p>
        </w:tc>
      </w:tr>
      <w:tr>
        <w:trPr>
          <w:trHeight w:val="249"/>
        </w:trPr>
        <w:tc>
          <w:tcPr>
            <w:tcW w:w="1180" w:type="dxa"/>
            <w:vAlign w:val="bottom"/>
          </w:tcPr>
          <w:p>
            <w:pPr>
              <w:ind w:left="640"/>
              <w:spacing w:after="0"/>
              <w:rPr>
                <w:sz w:val="20"/>
                <w:szCs w:val="20"/>
                <w:color w:val="auto"/>
              </w:rPr>
            </w:pPr>
            <w:r>
              <w:rPr>
                <w:rFonts w:ascii="Arial" w:cs="Arial" w:eastAsia="Arial" w:hAnsi="Arial"/>
                <w:sz w:val="20"/>
                <w:szCs w:val="20"/>
                <w:color w:val="auto"/>
              </w:rPr>
              <w:t>10.02</w:t>
            </w:r>
          </w:p>
        </w:tc>
        <w:tc>
          <w:tcPr>
            <w:tcW w:w="480" w:type="dxa"/>
            <w:vAlign w:val="bottom"/>
          </w:tcPr>
          <w:p>
            <w:pPr>
              <w:spacing w:after="0"/>
              <w:rPr>
                <w:sz w:val="21"/>
                <w:szCs w:val="21"/>
                <w:color w:val="auto"/>
              </w:rPr>
            </w:pPr>
          </w:p>
        </w:tc>
        <w:tc>
          <w:tcPr>
            <w:tcW w:w="5300" w:type="dxa"/>
            <w:vAlign w:val="bottom"/>
          </w:tcPr>
          <w:p>
            <w:pPr>
              <w:ind w:left="460"/>
              <w:spacing w:after="0"/>
              <w:rPr>
                <w:sz w:val="20"/>
                <w:szCs w:val="20"/>
                <w:color w:val="auto"/>
              </w:rPr>
            </w:pPr>
            <w:r>
              <w:rPr>
                <w:rFonts w:ascii="Arial" w:cs="Arial" w:eastAsia="Arial" w:hAnsi="Arial"/>
                <w:sz w:val="20"/>
                <w:szCs w:val="20"/>
                <w:color w:val="auto"/>
                <w:w w:val="90"/>
              </w:rPr>
              <w:t>Administrative Agent’s Office; Certain Addresses for Notices</w:t>
            </w:r>
          </w:p>
        </w:tc>
      </w:tr>
    </w:tbl>
    <w:p>
      <w:pPr>
        <w:spacing w:after="0" w:line="3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u w:val="single" w:color="auto"/>
          <w:color w:val="auto"/>
        </w:rPr>
        <w:t>EXHIBITS</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0"/>
          <w:szCs w:val="20"/>
          <w:u w:val="single" w:color="auto"/>
          <w:color w:val="auto"/>
        </w:rPr>
        <w:t>Form of</w:t>
      </w:r>
    </w:p>
    <w:p>
      <w:pPr>
        <w:spacing w:after="0" w:line="319" w:lineRule="exact"/>
        <w:rPr>
          <w:sz w:val="20"/>
          <w:szCs w:val="20"/>
          <w:color w:val="auto"/>
        </w:rPr>
      </w:pPr>
    </w:p>
    <w:p>
      <w:pPr>
        <w:ind w:left="1460" w:hanging="817"/>
        <w:spacing w:after="0"/>
        <w:tabs>
          <w:tab w:leader="none" w:pos="14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Committed Loan Notice</w:t>
      </w:r>
    </w:p>
    <w:p>
      <w:pPr>
        <w:spacing w:after="0" w:line="11" w:lineRule="exact"/>
        <w:rPr>
          <w:sz w:val="20"/>
          <w:szCs w:val="20"/>
          <w:color w:val="auto"/>
        </w:rPr>
      </w:pPr>
    </w:p>
    <w:p>
      <w:pPr>
        <w:ind w:left="1460" w:hanging="817"/>
        <w:spacing w:after="0"/>
        <w:tabs>
          <w:tab w:leader="none" w:pos="1460" w:val="left"/>
        </w:tabs>
        <w:numPr>
          <w:ilvl w:val="0"/>
          <w:numId w:val="4"/>
        </w:numPr>
        <w:rPr>
          <w:rFonts w:ascii="Arial" w:cs="Arial" w:eastAsia="Arial" w:hAnsi="Arial"/>
          <w:sz w:val="20"/>
          <w:szCs w:val="20"/>
          <w:color w:val="auto"/>
        </w:rPr>
      </w:pPr>
      <w:r>
        <w:rPr>
          <w:rFonts w:ascii="Arial" w:cs="Arial" w:eastAsia="Arial" w:hAnsi="Arial"/>
          <w:sz w:val="20"/>
          <w:szCs w:val="20"/>
          <w:color w:val="auto"/>
        </w:rPr>
        <w:t>Note</w:t>
      </w:r>
    </w:p>
    <w:p>
      <w:pPr>
        <w:ind w:left="1460" w:hanging="817"/>
        <w:spacing w:after="0"/>
        <w:tabs>
          <w:tab w:leader="none" w:pos="14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Compliance Certificate</w:t>
      </w:r>
    </w:p>
    <w:p>
      <w:pPr>
        <w:spacing w:after="0" w:line="200" w:lineRule="exact"/>
        <w:rPr>
          <w:sz w:val="20"/>
          <w:szCs w:val="20"/>
          <w:color w:val="auto"/>
        </w:rPr>
      </w:pPr>
    </w:p>
    <w:p>
      <w:pPr>
        <w:spacing w:after="0" w:line="237" w:lineRule="exact"/>
        <w:rPr>
          <w:sz w:val="20"/>
          <w:szCs w:val="20"/>
          <w:color w:val="auto"/>
        </w:rPr>
      </w:pPr>
    </w:p>
    <w:p>
      <w:pPr>
        <w:ind w:left="1460" w:hanging="817"/>
        <w:spacing w:after="0"/>
        <w:tabs>
          <w:tab w:leader="none" w:pos="1460" w:val="left"/>
        </w:tabs>
        <w:numPr>
          <w:ilvl w:val="0"/>
          <w:numId w:val="6"/>
        </w:numPr>
        <w:rPr>
          <w:rFonts w:ascii="Arial" w:cs="Arial" w:eastAsia="Arial" w:hAnsi="Arial"/>
          <w:sz w:val="20"/>
          <w:szCs w:val="20"/>
          <w:color w:val="auto"/>
        </w:rPr>
      </w:pPr>
      <w:r>
        <w:rPr>
          <w:rFonts w:ascii="Arial" w:cs="Arial" w:eastAsia="Arial" w:hAnsi="Arial"/>
          <w:sz w:val="20"/>
          <w:szCs w:val="20"/>
          <w:color w:val="auto"/>
        </w:rPr>
        <w:t>U.S. Tax Compliance Certificates</w:t>
      </w:r>
    </w:p>
    <w:p>
      <w:pPr>
        <w:spacing w:after="0" w:line="140" w:lineRule="exact"/>
        <w:rPr>
          <w:sz w:val="20"/>
          <w:szCs w:val="20"/>
          <w:color w:val="auto"/>
        </w:rPr>
      </w:pPr>
    </w:p>
    <w:p>
      <w:pPr>
        <w:ind w:left="5380"/>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9979"/>
          </w:cols>
          <w:pgMar w:left="480" w:top="244"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CREDIT AGREEMENT</w:t>
      </w:r>
    </w:p>
    <w:p>
      <w:pPr>
        <w:spacing w:after="0" w:line="218"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This 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as of August 25, 2020, among REPUBLIC SERVICES,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and BANK OF AMERICA, N.A., as Administrative Agent.</w:t>
      </w:r>
    </w:p>
    <w:p>
      <w:pPr>
        <w:spacing w:after="0" w:line="18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The Borrower has requested that the Lenders provide a revolving credit facility, and the Lenders are willing to do so on the terms and conditions set forth herein.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consideration of the mutual covenants and agreements herein contained, the parties hereto covenant and agree as follows: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ACCOUNTING TERMS</w:t>
      </w:r>
    </w:p>
    <w:p>
      <w:pPr>
        <w:spacing w:after="0" w:line="190"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7"/>
          <w:szCs w:val="17"/>
          <w:b w:val="1"/>
          <w:bCs w:val="1"/>
          <w:color w:val="auto"/>
        </w:rPr>
        <w:t>Defined Terms</w:t>
      </w:r>
      <w:r>
        <w:rPr>
          <w:rFonts w:ascii="Arial" w:cs="Arial" w:eastAsia="Arial" w:hAnsi="Arial"/>
          <w:sz w:val="17"/>
          <w:szCs w:val="17"/>
          <w:color w:val="auto"/>
        </w:rPr>
        <w:t>. As used in this Agreement, the following terms shall have the meanings set forth below:</w:t>
      </w:r>
    </w:p>
    <w:p>
      <w:pPr>
        <w:spacing w:after="0" w:line="218" w:lineRule="exact"/>
        <w:rPr>
          <w:sz w:val="20"/>
          <w:szCs w:val="20"/>
          <w:color w:val="auto"/>
        </w:rPr>
      </w:pPr>
    </w:p>
    <w:p>
      <w:pPr>
        <w:jc w:val="both"/>
        <w:ind w:firstLine="874"/>
        <w:spacing w:after="0" w:line="3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Plan</w:t>
      </w:r>
      <w:r>
        <w:rPr>
          <w:rFonts w:ascii="Arial" w:cs="Arial" w:eastAsia="Arial" w:hAnsi="Arial"/>
          <w:sz w:val="17"/>
          <w:szCs w:val="17"/>
          <w:color w:val="auto"/>
        </w:rPr>
        <w:t>” means any Plan which was originally established and maintained by a Person other than the Borrower or an ERISA Affiliate and which became, or hereafter becomes, a Plan as a result of an Acquisition by the Borrower or any Subsidiary.</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series of related transactions for the purpose of or resulting, directly or indirectly, in</w:t>
      </w:r>
    </w:p>
    <w:p>
      <w:pPr>
        <w:spacing w:after="0" w:line="48" w:lineRule="exact"/>
        <w:rPr>
          <w:sz w:val="20"/>
          <w:szCs w:val="20"/>
          <w:color w:val="auto"/>
        </w:rPr>
      </w:pPr>
    </w:p>
    <w:p>
      <w:pPr>
        <w:ind w:left="280" w:hanging="279"/>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acquisition of all or substantially all of the assets of a Person, or of all or substantially all of any business or division of a Person,</w:t>
      </w:r>
    </w:p>
    <w:p>
      <w:pPr>
        <w:spacing w:after="0" w:line="32" w:lineRule="exact"/>
        <w:rPr>
          <w:rFonts w:ascii="Arial" w:cs="Arial" w:eastAsia="Arial" w:hAnsi="Arial"/>
          <w:sz w:val="17"/>
          <w:szCs w:val="17"/>
          <w:color w:val="auto"/>
        </w:rPr>
      </w:pPr>
    </w:p>
    <w:p>
      <w:pPr>
        <w:jc w:val="both"/>
        <w:ind w:firstLine="1"/>
        <w:spacing w:after="0" w:line="257" w:lineRule="auto"/>
        <w:tabs>
          <w:tab w:leader="none" w:pos="314"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acquisition of in excess of 50% of the capital stock, partnership interests, membership interests or equity of any Person, or otherwise causing any Person to become a Subsidiary, or (c) a merger or consolidation or any other combination with another Person (other than a Person that is a Subsidiary) provided that the Borrower or the Subsidiary is the surviving entity.</w:t>
      </w:r>
    </w:p>
    <w:p>
      <w:pPr>
        <w:spacing w:after="0" w:line="179"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in its capacity as administrative agent under any of the Loan Documents, or any successor administrative agent.</w:t>
      </w:r>
    </w:p>
    <w:p>
      <w:pPr>
        <w:spacing w:after="0" w:line="17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the Administrative Agent’s address and, as appropriate, account as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 or such other address or account as the Administrative Agent may from time to time notify to the Borrower and the Lenders.</w:t>
      </w:r>
    </w:p>
    <w:p>
      <w:pPr>
        <w:spacing w:after="0" w:line="18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xml:space="preserve">” means an Administrative Questionnaire in substantially the form of </w:t>
      </w:r>
      <w:r>
        <w:rPr>
          <w:rFonts w:ascii="Arial" w:cs="Arial" w:eastAsia="Arial" w:hAnsi="Arial"/>
          <w:sz w:val="20"/>
          <w:szCs w:val="20"/>
          <w:u w:val="single" w:color="auto"/>
          <w:color w:val="auto"/>
        </w:rPr>
        <w:t>Exhibit D-2</w:t>
      </w:r>
      <w:r>
        <w:rPr>
          <w:rFonts w:ascii="Arial" w:cs="Arial" w:eastAsia="Arial" w:hAnsi="Arial"/>
          <w:sz w:val="20"/>
          <w:szCs w:val="20"/>
          <w:color w:val="auto"/>
        </w:rPr>
        <w:t xml:space="preserve"> or any other form approved by the Administrative Agent.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21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920"/>
          </w:cols>
          <w:pgMar w:left="480" w:top="264" w:right="499" w:bottom="1440" w:gutter="0" w:footer="0" w:header="0"/>
        </w:sectPr>
      </w:pPr>
    </w:p>
    <w:bookmarkStart w:id="12" w:name="page13"/>
    <w:bookmarkEnd w:id="12"/>
    <w:p>
      <w:pPr>
        <w:jc w:val="both"/>
        <w:ind w:right="20" w:firstLine="874"/>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20"/>
          <w:szCs w:val="20"/>
          <w:u w:val="single" w:color="auto"/>
          <w:color w:val="auto"/>
        </w:rPr>
        <w:t>Allied Unrestricted Subsidiary</w:t>
      </w:r>
      <w:r>
        <w:rPr>
          <w:rFonts w:ascii="Arial" w:cs="Arial" w:eastAsia="Arial" w:hAnsi="Arial"/>
          <w:sz w:val="20"/>
          <w:szCs w:val="20"/>
          <w:color w:val="auto"/>
        </w:rPr>
        <w:t xml:space="preserve">” means each Subsidiary of Allied Waste Industries, LLC, a Delaware limited liability company, set forth on </w:t>
      </w:r>
      <w:r>
        <w:rPr>
          <w:rFonts w:ascii="Arial" w:cs="Arial" w:eastAsia="Arial" w:hAnsi="Arial"/>
          <w:sz w:val="20"/>
          <w:szCs w:val="20"/>
          <w:u w:val="single" w:color="auto"/>
          <w:color w:val="auto"/>
        </w:rPr>
        <w:t>Schedule 1.01(a)</w:t>
      </w:r>
      <w:r>
        <w:rPr>
          <w:rFonts w:ascii="Arial" w:cs="Arial" w:eastAsia="Arial" w:hAnsi="Arial"/>
          <w:sz w:val="20"/>
          <w:szCs w:val="20"/>
          <w:color w:val="auto"/>
        </w:rPr>
        <w:t>.</w:t>
      </w:r>
    </w:p>
    <w:p>
      <w:pPr>
        <w:spacing w:after="0" w:line="137" w:lineRule="exact"/>
        <w:rPr>
          <w:sz w:val="20"/>
          <w:szCs w:val="20"/>
          <w:color w:val="auto"/>
        </w:rPr>
      </w:pPr>
    </w:p>
    <w:p>
      <w:pPr>
        <w:jc w:val="both"/>
        <w:ind w:right="20"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and its Affiliates from time to time concerning or relating to bribery or corruption, including without limitation the United States Foreign Corrupt Practices Act of 1977 and the UK Bribery Act of 2010, as each may be amended from time to time.</w:t>
      </w:r>
    </w:p>
    <w:p>
      <w:pPr>
        <w:spacing w:after="0" w:line="160" w:lineRule="exact"/>
        <w:rPr>
          <w:sz w:val="20"/>
          <w:szCs w:val="20"/>
          <w:color w:val="auto"/>
        </w:rPr>
      </w:pPr>
    </w:p>
    <w:p>
      <w:pPr>
        <w:jc w:val="both"/>
        <w:ind w:right="20" w:firstLine="87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If the commitment of each Lender to make Loans has been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pursuant to which such Lender becomes a party hereto, as applicable.</w:t>
      </w:r>
    </w:p>
    <w:p>
      <w:pPr>
        <w:spacing w:after="0" w:line="158" w:lineRule="exact"/>
        <w:rPr>
          <w:sz w:val="20"/>
          <w:szCs w:val="20"/>
          <w:color w:val="auto"/>
        </w:rPr>
      </w:pPr>
    </w:p>
    <w:p>
      <w:pPr>
        <w:jc w:val="both"/>
        <w:ind w:right="20"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from time to time, the following percentages per annum, based upon the Pricing Level for the applicable Debt Rating as set forth below:</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10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236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Debt Rating</w:t>
            </w:r>
          </w:p>
        </w:tc>
        <w:tc>
          <w:tcPr>
            <w:tcW w:w="1540" w:type="dxa"/>
            <w:vAlign w:val="bottom"/>
            <w:tcBorders>
              <w:top w:val="single" w:sz="8" w:color="auto"/>
              <w:right w:val="single" w:sz="8" w:color="auto"/>
            </w:tcBorders>
            <w:shd w:val="clear" w:color="auto" w:fill="BFBFBF"/>
          </w:tcPr>
          <w:p>
            <w:pPr>
              <w:spacing w:after="0"/>
              <w:rPr>
                <w:sz w:val="18"/>
                <w:szCs w:val="18"/>
                <w:color w:val="auto"/>
              </w:rPr>
            </w:pPr>
          </w:p>
        </w:tc>
        <w:tc>
          <w:tcPr>
            <w:tcW w:w="24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Applicable Margin</w:t>
            </w:r>
          </w:p>
        </w:tc>
        <w:tc>
          <w:tcPr>
            <w:tcW w:w="20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Applicable</w:t>
            </w:r>
          </w:p>
        </w:tc>
        <w:tc>
          <w:tcPr>
            <w:tcW w:w="1420" w:type="dxa"/>
            <w:vAlign w:val="bottom"/>
            <w:tcBorders>
              <w:top w:val="single" w:sz="8" w:color="auto"/>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00" w:type="dxa"/>
            <w:vAlign w:val="bottom"/>
            <w:tcBorders>
              <w:left w:val="single" w:sz="8" w:color="auto"/>
              <w:right w:val="single" w:sz="8" w:color="auto"/>
            </w:tcBorders>
            <w:shd w:val="clear" w:color="auto" w:fill="BFBFBF"/>
          </w:tcPr>
          <w:p>
            <w:pPr>
              <w:jc w:val="right"/>
              <w:ind w:right="111"/>
              <w:spacing w:after="0" w:line="201" w:lineRule="exact"/>
              <w:rPr>
                <w:sz w:val="20"/>
                <w:szCs w:val="20"/>
                <w:color w:val="auto"/>
              </w:rPr>
            </w:pPr>
            <w:r>
              <w:rPr>
                <w:rFonts w:ascii="Arial" w:cs="Arial" w:eastAsia="Arial" w:hAnsi="Arial"/>
                <w:sz w:val="18"/>
                <w:szCs w:val="18"/>
                <w:b w:val="1"/>
                <w:bCs w:val="1"/>
                <w:color w:val="auto"/>
              </w:rPr>
              <w:t>Pricing</w:t>
            </w:r>
          </w:p>
        </w:tc>
        <w:tc>
          <w:tcPr>
            <w:tcW w:w="2360" w:type="dxa"/>
            <w:vAlign w:val="bottom"/>
            <w:tcBorders>
              <w:right w:val="single" w:sz="8" w:color="auto"/>
            </w:tcBorders>
            <w:vMerge w:val="continue"/>
            <w:shd w:val="clear" w:color="auto" w:fill="BFBFBF"/>
          </w:tcPr>
          <w:p>
            <w:pPr>
              <w:spacing w:after="0"/>
              <w:rPr>
                <w:sz w:val="17"/>
                <w:szCs w:val="17"/>
                <w:color w:val="auto"/>
              </w:rPr>
            </w:pPr>
          </w:p>
        </w:tc>
        <w:tc>
          <w:tcPr>
            <w:tcW w:w="1540" w:type="dxa"/>
            <w:vAlign w:val="bottom"/>
            <w:tcBorders>
              <w:right w:val="single" w:sz="8" w:color="auto"/>
            </w:tcBorders>
            <w:shd w:val="clear" w:color="auto" w:fill="BFBFBF"/>
          </w:tcPr>
          <w:p>
            <w:pPr>
              <w:spacing w:after="0"/>
              <w:rPr>
                <w:sz w:val="17"/>
                <w:szCs w:val="17"/>
                <w:color w:val="auto"/>
              </w:rPr>
            </w:pPr>
          </w:p>
        </w:tc>
        <w:tc>
          <w:tcPr>
            <w:tcW w:w="2480" w:type="dxa"/>
            <w:vAlign w:val="bottom"/>
            <w:tcBorders>
              <w:right w:val="single" w:sz="8" w:color="auto"/>
            </w:tcBorders>
            <w:shd w:val="clear" w:color="auto" w:fill="BFBFBF"/>
          </w:tcPr>
          <w:p>
            <w:pPr>
              <w:jc w:val="center"/>
              <w:spacing w:after="0" w:line="201" w:lineRule="exact"/>
              <w:rPr>
                <w:sz w:val="20"/>
                <w:szCs w:val="20"/>
                <w:color w:val="auto"/>
              </w:rPr>
            </w:pPr>
            <w:r>
              <w:rPr>
                <w:rFonts w:ascii="Arial" w:cs="Arial" w:eastAsia="Arial" w:hAnsi="Arial"/>
                <w:sz w:val="18"/>
                <w:szCs w:val="18"/>
                <w:b w:val="1"/>
                <w:bCs w:val="1"/>
                <w:color w:val="auto"/>
                <w:w w:val="91"/>
              </w:rPr>
              <w:t>for Eurodollar Rate</w:t>
            </w:r>
          </w:p>
        </w:tc>
        <w:tc>
          <w:tcPr>
            <w:tcW w:w="2060" w:type="dxa"/>
            <w:vAlign w:val="bottom"/>
            <w:tcBorders>
              <w:right w:val="single" w:sz="8" w:color="auto"/>
            </w:tcBorders>
            <w:shd w:val="clear" w:color="auto" w:fill="BFBFBF"/>
          </w:tcPr>
          <w:p>
            <w:pPr>
              <w:jc w:val="center"/>
              <w:spacing w:after="0" w:line="201" w:lineRule="exact"/>
              <w:rPr>
                <w:sz w:val="20"/>
                <w:szCs w:val="20"/>
                <w:color w:val="auto"/>
              </w:rPr>
            </w:pPr>
            <w:r>
              <w:rPr>
                <w:rFonts w:ascii="Arial" w:cs="Arial" w:eastAsia="Arial" w:hAnsi="Arial"/>
                <w:sz w:val="18"/>
                <w:szCs w:val="18"/>
                <w:b w:val="1"/>
                <w:bCs w:val="1"/>
                <w:color w:val="auto"/>
                <w:w w:val="91"/>
              </w:rPr>
              <w:t>Margin for Base</w:t>
            </w:r>
          </w:p>
        </w:tc>
        <w:tc>
          <w:tcPr>
            <w:tcW w:w="1420" w:type="dxa"/>
            <w:vAlign w:val="bottom"/>
            <w:tcBorders>
              <w:right w:val="single" w:sz="8" w:color="auto"/>
            </w:tcBorders>
            <w:shd w:val="clear" w:color="auto" w:fill="BFBFBF"/>
          </w:tcPr>
          <w:p>
            <w:pPr>
              <w:jc w:val="center"/>
              <w:spacing w:after="0" w:line="201" w:lineRule="exact"/>
              <w:rPr>
                <w:sz w:val="20"/>
                <w:szCs w:val="20"/>
                <w:color w:val="auto"/>
              </w:rPr>
            </w:pPr>
            <w:r>
              <w:rPr>
                <w:rFonts w:ascii="Arial" w:cs="Arial" w:eastAsia="Arial" w:hAnsi="Arial"/>
                <w:sz w:val="18"/>
                <w:szCs w:val="18"/>
                <w:b w:val="1"/>
                <w:bCs w:val="1"/>
                <w:color w:val="auto"/>
                <w:w w:val="92"/>
              </w:rPr>
              <w:t>Utilization</w:t>
            </w:r>
          </w:p>
        </w:tc>
        <w:tc>
          <w:tcPr>
            <w:tcW w:w="0" w:type="dxa"/>
            <w:vAlign w:val="bottom"/>
          </w:tcPr>
          <w:p>
            <w:pPr>
              <w:spacing w:after="0"/>
              <w:rPr>
                <w:sz w:val="1"/>
                <w:szCs w:val="1"/>
                <w:color w:val="auto"/>
              </w:rPr>
            </w:pPr>
          </w:p>
        </w:tc>
      </w:tr>
      <w:tr>
        <w:trPr>
          <w:trHeight w:val="246"/>
        </w:trPr>
        <w:tc>
          <w:tcPr>
            <w:tcW w:w="1100" w:type="dxa"/>
            <w:vAlign w:val="bottom"/>
            <w:tcBorders>
              <w:left w:val="single" w:sz="8" w:color="auto"/>
              <w:bottom w:val="single" w:sz="8" w:color="auto"/>
              <w:right w:val="single" w:sz="8" w:color="auto"/>
            </w:tcBorders>
            <w:shd w:val="clear" w:color="auto" w:fill="BFBFBF"/>
          </w:tcPr>
          <w:p>
            <w:pPr>
              <w:jc w:val="right"/>
              <w:ind w:right="191"/>
              <w:spacing w:after="0"/>
              <w:rPr>
                <w:sz w:val="20"/>
                <w:szCs w:val="20"/>
                <w:color w:val="auto"/>
              </w:rPr>
            </w:pPr>
            <w:r>
              <w:rPr>
                <w:rFonts w:ascii="Arial" w:cs="Arial" w:eastAsia="Arial" w:hAnsi="Arial"/>
                <w:sz w:val="18"/>
                <w:szCs w:val="18"/>
                <w:b w:val="1"/>
                <w:bCs w:val="1"/>
                <w:color w:val="auto"/>
              </w:rPr>
              <w:t>Level</w:t>
            </w:r>
          </w:p>
        </w:tc>
        <w:tc>
          <w:tcPr>
            <w:tcW w:w="23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S&amp;P/Moody’s</w:t>
            </w:r>
          </w:p>
        </w:tc>
        <w:tc>
          <w:tcPr>
            <w:tcW w:w="15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Facility Fee</w:t>
            </w:r>
          </w:p>
        </w:tc>
        <w:tc>
          <w:tcPr>
            <w:tcW w:w="24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6"/>
              </w:rPr>
              <w:t>Loans</w:t>
            </w:r>
          </w:p>
        </w:tc>
        <w:tc>
          <w:tcPr>
            <w:tcW w:w="20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Rate Loans</w:t>
            </w:r>
          </w:p>
        </w:tc>
        <w:tc>
          <w:tcPr>
            <w:tcW w:w="14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³ A-/A3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1.025%</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0.025%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0.125%</w:t>
            </w: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2</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BBB+/Baa1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0.125%</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1.125%</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0.125%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0.125%</w:t>
            </w: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BBB/Baa2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0.175%</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1.200%</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0.200%</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0.125%</w:t>
            </w: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4</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BBB-/Baa3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0.250%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1.375%</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0.375%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0.125%</w:t>
            </w: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bottom w:val="single" w:sz="8" w:color="auto"/>
              <w:right w:val="single" w:sz="8" w:color="auto"/>
            </w:tcBorders>
          </w:tcPr>
          <w:p>
            <w:pPr>
              <w:jc w:val="right"/>
              <w:ind w:right="271"/>
              <w:spacing w:after="0"/>
              <w:rPr>
                <w:sz w:val="20"/>
                <w:szCs w:val="20"/>
                <w:color w:val="auto"/>
              </w:rPr>
            </w:pPr>
            <w:r>
              <w:rPr>
                <w:rFonts w:ascii="Arial" w:cs="Arial" w:eastAsia="Arial" w:hAnsi="Arial"/>
                <w:sz w:val="18"/>
                <w:szCs w:val="18"/>
                <w:color w:val="auto"/>
              </w:rPr>
              <w:t>5</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 BB+/Ba1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0.375%</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1.625%</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0.625%</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0.125%</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0" w:firstLine="87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Rating</w:t>
      </w:r>
      <w:r>
        <w:rPr>
          <w:rFonts w:ascii="Arial" w:cs="Arial" w:eastAsia="Arial" w:hAnsi="Arial"/>
          <w:sz w:val="19"/>
          <w:szCs w:val="19"/>
          <w:color w:val="auto"/>
        </w:rPr>
        <w:t>” means, as of any date of determination, the debt rating of the Borrower’s non-credit-enhanced, senior unsecured long-term debt as determined by either of S&amp;P or Moody’s (each a “</w:t>
      </w:r>
      <w:r>
        <w:rPr>
          <w:rFonts w:ascii="Arial" w:cs="Arial" w:eastAsia="Arial" w:hAnsi="Arial"/>
          <w:sz w:val="19"/>
          <w:szCs w:val="19"/>
          <w:u w:val="single" w:color="auto"/>
          <w:color w:val="auto"/>
        </w:rPr>
        <w:t>Debt Rating</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Debt Ratings</w:t>
      </w:r>
      <w:r>
        <w:rPr>
          <w:rFonts w:ascii="Arial" w:cs="Arial" w:eastAsia="Arial" w:hAnsi="Arial"/>
          <w:sz w:val="19"/>
          <w:szCs w:val="19"/>
          <w:color w:val="auto"/>
        </w:rPr>
        <w:t>”).</w:t>
      </w:r>
    </w:p>
    <w:p>
      <w:pPr>
        <w:spacing w:after="0" w:line="154" w:lineRule="exact"/>
        <w:rPr>
          <w:sz w:val="20"/>
          <w:szCs w:val="20"/>
          <w:color w:val="auto"/>
        </w:rPr>
      </w:pPr>
    </w:p>
    <w:p>
      <w:pPr>
        <w:jc w:val="both"/>
        <w:ind w:right="20" w:firstLine="874"/>
        <w:spacing w:after="0" w:line="253" w:lineRule="auto"/>
        <w:rPr>
          <w:sz w:val="20"/>
          <w:szCs w:val="20"/>
          <w:color w:val="auto"/>
        </w:rPr>
      </w:pPr>
      <w:r>
        <w:rPr>
          <w:rFonts w:ascii="Arial" w:cs="Arial" w:eastAsia="Arial" w:hAnsi="Arial"/>
          <w:sz w:val="19"/>
          <w:szCs w:val="19"/>
          <w:color w:val="auto"/>
        </w:rPr>
        <w:t xml:space="preserve">For purposes of each of the rates set forth in the table above such rates shall be the applicable rate per annum determined as of the day of receipt by the Administrative Agent from the Borrower of evidence satisfactory to the Administrative Agent of the then-applicable Debt Rating. The applicable Debt Rating for determining the Pricing Level shall be the highest Debt Rating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 two Debt Ratings differ by more than one level, the Pricing Level applicable to the level that is one level lower than the higher Debt Rating shall apply, (ii) if the Borrower has only one Debt Rating, the Pricing Level applicable to the level of that Debt Rating shall apply, and (iii) if the Borrower does not have any Debt Rating, Pricing Level 5 shall apply. Initially, the Applicable Rate shall be determined based upon the Debt Rating specified in the certificate delivered pursuant to </w:t>
      </w:r>
      <w:r>
        <w:rPr>
          <w:rFonts w:ascii="Arial" w:cs="Arial" w:eastAsia="Arial" w:hAnsi="Arial"/>
          <w:sz w:val="19"/>
          <w:szCs w:val="19"/>
          <w:u w:val="single" w:color="auto"/>
          <w:color w:val="auto"/>
        </w:rPr>
        <w:t>Section 4.01(a)(vi)</w:t>
      </w:r>
      <w:r>
        <w:rPr>
          <w:rFonts w:ascii="Arial" w:cs="Arial" w:eastAsia="Arial" w:hAnsi="Arial"/>
          <w:sz w:val="19"/>
          <w:szCs w:val="19"/>
          <w:color w:val="auto"/>
        </w:rPr>
        <w:t xml:space="preserve">. Thereafter, each change in the Applicable Rate resulting from a publicly announced change in the Debt Rating shall be effective during the period commencing on the date of delivery by the Borrower to the Administrative Agent of notice thereof pursuant to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(or, if earlier, on the date that the Administrative Agent becomes aware of such public announcement) and ending on the date immediately preceding the effective date of the next such change.</w:t>
      </w:r>
    </w:p>
    <w:p>
      <w:pPr>
        <w:spacing w:after="0" w:line="185" w:lineRule="exact"/>
        <w:rPr>
          <w:sz w:val="20"/>
          <w:szCs w:val="20"/>
          <w:color w:val="auto"/>
        </w:rPr>
      </w:pPr>
    </w:p>
    <w:p>
      <w:pPr>
        <w:jc w:val="both"/>
        <w:ind w:right="20"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40"/>
          </w:cols>
          <w:pgMar w:left="480" w:top="270" w:right="479" w:bottom="1440" w:gutter="0" w:footer="0" w:header="0"/>
        </w:sectPr>
      </w:pPr>
    </w:p>
    <w:bookmarkStart w:id="13" w:name="page14"/>
    <w:bookmarkEnd w:id="13"/>
    <w:p>
      <w:pPr>
        <w:jc w:val="both"/>
        <w:ind w:firstLine="874"/>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20"/>
          <w:szCs w:val="20"/>
          <w:u w:val="single" w:color="auto"/>
          <w:color w:val="auto"/>
        </w:rPr>
        <w:t>Arrangers</w:t>
      </w:r>
      <w:r>
        <w:rPr>
          <w:rFonts w:ascii="Arial" w:cs="Arial" w:eastAsia="Arial" w:hAnsi="Arial"/>
          <w:sz w:val="20"/>
          <w:szCs w:val="20"/>
          <w:color w:val="auto"/>
        </w:rPr>
        <w:t>” means BofA Securities, Inc., JPMorgan Chase Bank, N.A. and Wells Fargo Securities, LLC, each in its capacity as joint lead arranger and joint bookrunner.</w:t>
      </w:r>
    </w:p>
    <w:p>
      <w:pPr>
        <w:spacing w:after="0" w:line="17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 or two or more Approved Funds managed by the same investment advisor.</w:t>
      </w:r>
    </w:p>
    <w:p>
      <w:pPr>
        <w:spacing w:after="0" w:line="177"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D-1</w:t>
      </w:r>
      <w:r>
        <w:rPr>
          <w:rFonts w:ascii="Arial" w:cs="Arial" w:eastAsia="Arial" w:hAnsi="Arial"/>
          <w:sz w:val="20"/>
          <w:szCs w:val="20"/>
          <w:color w:val="auto"/>
        </w:rPr>
        <w:t xml:space="preserve"> or any other form (including electronic documentation generated by use of an electronic platform) approved by the Administrative Agent.</w:t>
      </w:r>
    </w:p>
    <w:p>
      <w:pPr>
        <w:spacing w:after="0" w:line="189" w:lineRule="exact"/>
        <w:rPr>
          <w:sz w:val="20"/>
          <w:szCs w:val="20"/>
          <w:color w:val="auto"/>
        </w:rPr>
      </w:pPr>
    </w:p>
    <w:p>
      <w:pPr>
        <w:jc w:val="both"/>
        <w:ind w:firstLine="874"/>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Indebtedness</w:t>
      </w:r>
      <w:r>
        <w:rPr>
          <w:rFonts w:ascii="Arial" w:cs="Arial" w:eastAsia="Arial" w:hAnsi="Arial"/>
          <w:sz w:val="19"/>
          <w:szCs w:val="19"/>
          <w:color w:val="auto"/>
        </w:rPr>
        <w:t>” means, with respect to any Person, on any date, (a) in respect of any Synthetic Lease Obligation, the capitalized amount of the remaining lease payments under the relevant lease that would appear on a balance sheet of such Person prepared as of such date in accordance with GAAP if such lease were accounted for as a capital lease, and (b) in respect of any Securitization Transaction, the aggregate principal amount of obligations owed by such Person.</w:t>
      </w:r>
    </w:p>
    <w:p>
      <w:pPr>
        <w:spacing w:after="0" w:line="174" w:lineRule="exact"/>
        <w:rPr>
          <w:sz w:val="20"/>
          <w:szCs w:val="20"/>
          <w:color w:val="auto"/>
        </w:rPr>
      </w:pPr>
    </w:p>
    <w:p>
      <w:pPr>
        <w:jc w:val="both"/>
        <w:ind w:firstLine="87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means the audited consolidated balance sheet of the Borrower and its Subsidiaries for the fiscal year ended December 31, 2019, and the related consolidated statements of income or operations, shareholders’ equity and cash flows for such fiscal year of the Borrower and its Subsidiaries, including the notes thereto.</w:t>
      </w:r>
    </w:p>
    <w:p>
      <w:pPr>
        <w:spacing w:after="0" w:line="171"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the period from and including the Effective Date to the earliest of (a) the Maturity Date, (b) the date of termination of the Aggregate Commitments pursuant to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(c) the date of termination of the commitment of each Lender to make Loans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8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87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xml:space="preserve">” means the Federal Bankruptcy Reform Act of 1978 (11 U.S.C. §101, </w:t>
      </w:r>
      <w:r>
        <w:rPr>
          <w:rFonts w:ascii="Arial" w:cs="Arial" w:eastAsia="Arial" w:hAnsi="Arial"/>
          <w:sz w:val="20"/>
          <w:szCs w:val="20"/>
          <w:u w:val="single" w:color="auto"/>
          <w:color w:val="auto"/>
        </w:rPr>
        <w:t>et seq</w:t>
      </w:r>
      <w:r>
        <w:rPr>
          <w:rFonts w:ascii="Arial" w:cs="Arial" w:eastAsia="Arial" w:hAnsi="Arial"/>
          <w:sz w:val="20"/>
          <w:szCs w:val="20"/>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highest of (a) the Federal Funds Rate plus 1/2 of 1%,</w:t>
      </w:r>
    </w:p>
    <w:p>
      <w:pPr>
        <w:spacing w:after="0" w:line="48" w:lineRule="exact"/>
        <w:rPr>
          <w:sz w:val="20"/>
          <w:szCs w:val="20"/>
          <w:color w:val="auto"/>
        </w:rPr>
      </w:pPr>
    </w:p>
    <w:p>
      <w:pPr>
        <w:jc w:val="both"/>
        <w:ind w:firstLine="1"/>
        <w:spacing w:after="0" w:line="238" w:lineRule="auto"/>
        <w:tabs>
          <w:tab w:leader="none" w:pos="288"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rate of interest in effect for such day as publicly announced from time to time by Bank of America as its “prime rate” and (c) the Eurodollar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20"/>
          </w:cols>
          <w:pgMar w:left="480" w:top="270" w:right="49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pursuant to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hereof, then the Base Rate shall be the greater of clauses (a) and (b) above and shall be determined without reference to clause (c) above.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Committed Loan</w:t>
      </w:r>
      <w:r>
        <w:rPr>
          <w:rFonts w:ascii="Arial" w:cs="Arial" w:eastAsia="Arial" w:hAnsi="Arial"/>
          <w:sz w:val="20"/>
          <w:szCs w:val="20"/>
          <w:color w:val="auto"/>
        </w:rPr>
        <w:t>” means a Committed Loan that is a Base Rate Loan.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212"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2" w:lineRule="exact"/>
        <w:rPr>
          <w:sz w:val="20"/>
          <w:szCs w:val="20"/>
          <w:color w:val="auto"/>
        </w:rPr>
      </w:pPr>
    </w:p>
    <w:p>
      <w:pPr>
        <w:jc w:val="both"/>
        <w:ind w:firstLine="87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Browning-Ferris Indenture</w:t>
      </w:r>
      <w:r>
        <w:rPr>
          <w:rFonts w:ascii="Arial" w:cs="Arial" w:eastAsia="Arial" w:hAnsi="Arial"/>
          <w:sz w:val="20"/>
          <w:szCs w:val="20"/>
          <w:color w:val="auto"/>
        </w:rPr>
        <w:t>” means the Restated Indenture dated as of September 1, 1991, between Browning-Ferris Industries, LLC (f/k/a Browning-Ferris Industries, Inc.), a Delaware limited liability company, and The Bank of New York Mellon Trust Company, N.A., as successor trustee to JPMorgan Chase Bank, N.A. (formerly Chase Bank of Texas, N.A.) as successor trustee to First City, Texas-Houston, N.A., including all amendments thereto, all supplements thereto and any amendments and restatements or refinancings thereof.</w:t>
      </w:r>
    </w:p>
    <w:p>
      <w:pPr>
        <w:spacing w:after="0" w:line="193"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7" w:lineRule="exact"/>
        <w:rPr>
          <w:sz w:val="20"/>
          <w:szCs w:val="20"/>
          <w:color w:val="auto"/>
        </w:rPr>
      </w:pPr>
    </w:p>
    <w:p>
      <w:pPr>
        <w:jc w:val="both"/>
        <w:ind w:firstLine="874"/>
        <w:spacing w:after="0" w:line="3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Lease</w:t>
      </w:r>
      <w:r>
        <w:rPr>
          <w:rFonts w:ascii="Arial" w:cs="Arial" w:eastAsia="Arial" w:hAnsi="Arial"/>
          <w:sz w:val="17"/>
          <w:szCs w:val="17"/>
          <w:color w:val="auto"/>
        </w:rPr>
        <w:t>” means, with respect to any Person, any lease of (or other agreement conveying the right to use) any real or personal property by such Person that, in conformity with GAAP, is accounted for as a capital lease on the balance sheet of such Person.</w:t>
      </w:r>
    </w:p>
    <w:p>
      <w:pPr>
        <w:spacing w:after="0" w:line="107" w:lineRule="exact"/>
        <w:rPr>
          <w:sz w:val="20"/>
          <w:szCs w:val="20"/>
          <w:color w:val="auto"/>
        </w:rPr>
      </w:pPr>
    </w:p>
    <w:p>
      <w:pPr>
        <w:jc w:val="both"/>
        <w:ind w:firstLine="87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20"/>
          </w:cols>
          <w:pgMar w:left="480" w:top="270" w:right="499" w:bottom="1440" w:gutter="0" w:footer="0" w:header="0"/>
        </w:sectPr>
      </w:pPr>
    </w:p>
    <w:bookmarkStart w:id="15" w:name="page16"/>
    <w:bookmarkEnd w:id="15"/>
    <w:p>
      <w:pPr>
        <w:ind w:left="88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212" w:lineRule="exact"/>
        <w:rPr>
          <w:sz w:val="20"/>
          <w:szCs w:val="20"/>
          <w:color w:val="auto"/>
        </w:rPr>
      </w:pPr>
    </w:p>
    <w:p>
      <w:pPr>
        <w:jc w:val="both"/>
        <w:ind w:left="880" w:firstLine="799"/>
        <w:spacing w:after="0" w:line="284" w:lineRule="auto"/>
        <w:tabs>
          <w:tab w:leader="none" w:pos="2413"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other than any Gates Entity (as hereinafter defined)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“option right”)), directly or indirectly, of more than 25% of the equity securities of the Borrower entitled to vote for members of the board of directors or equivalent governing body of the Borrower (“</w:t>
      </w:r>
      <w:r>
        <w:rPr>
          <w:rFonts w:ascii="Arial" w:cs="Arial" w:eastAsia="Arial" w:hAnsi="Arial"/>
          <w:sz w:val="17"/>
          <w:szCs w:val="17"/>
          <w:u w:val="single" w:color="auto"/>
          <w:color w:val="auto"/>
        </w:rPr>
        <w:t>Voting Securities</w:t>
      </w:r>
      <w:r>
        <w:rPr>
          <w:rFonts w:ascii="Arial" w:cs="Arial" w:eastAsia="Arial" w:hAnsi="Arial"/>
          <w:sz w:val="17"/>
          <w:szCs w:val="17"/>
          <w:color w:val="auto"/>
        </w:rPr>
        <w:t>”) on a fully-diluted basis (and taking into account all such securities that such person or group has the right to acquire pursuant to any option right) or (ii) any one or more of Cascade Investment, L.L.C. (“</w:t>
      </w:r>
      <w:r>
        <w:rPr>
          <w:rFonts w:ascii="Arial" w:cs="Arial" w:eastAsia="Arial" w:hAnsi="Arial"/>
          <w:sz w:val="17"/>
          <w:szCs w:val="17"/>
          <w:u w:val="single" w:color="auto"/>
          <w:color w:val="auto"/>
        </w:rPr>
        <w:t>Cascade</w:t>
      </w:r>
      <w:r>
        <w:rPr>
          <w:rFonts w:ascii="Arial" w:cs="Arial" w:eastAsia="Arial" w:hAnsi="Arial"/>
          <w:sz w:val="17"/>
          <w:szCs w:val="17"/>
          <w:color w:val="auto"/>
        </w:rPr>
        <w:t>”), the Bill &amp; Melinda Gates Foundation Trust (the “</w:t>
      </w:r>
      <w:r>
        <w:rPr>
          <w:rFonts w:ascii="Arial" w:cs="Arial" w:eastAsia="Arial" w:hAnsi="Arial"/>
          <w:sz w:val="17"/>
          <w:szCs w:val="17"/>
          <w:u w:val="single" w:color="auto"/>
          <w:color w:val="auto"/>
        </w:rPr>
        <w:t>Trust</w:t>
      </w:r>
      <w:r>
        <w:rPr>
          <w:rFonts w:ascii="Arial" w:cs="Arial" w:eastAsia="Arial" w:hAnsi="Arial"/>
          <w:sz w:val="17"/>
          <w:szCs w:val="17"/>
          <w:color w:val="auto"/>
        </w:rPr>
        <w:t>”), any entity directly or indirectly owned or controlled by Cascade or the Trust, or any Person directly or indirectly controlling Cascade, the Trust or any such entity, or any trustee of any of the foregoing (collectively, the “</w:t>
      </w:r>
      <w:r>
        <w:rPr>
          <w:rFonts w:ascii="Arial" w:cs="Arial" w:eastAsia="Arial" w:hAnsi="Arial"/>
          <w:sz w:val="17"/>
          <w:szCs w:val="17"/>
          <w:u w:val="single" w:color="auto"/>
          <w:color w:val="auto"/>
        </w:rPr>
        <w:t>Gates Entities</w:t>
      </w:r>
      <w:r>
        <w:rPr>
          <w:rFonts w:ascii="Arial" w:cs="Arial" w:eastAsia="Arial" w:hAnsi="Arial"/>
          <w:sz w:val="17"/>
          <w:szCs w:val="17"/>
          <w:color w:val="auto"/>
        </w:rPr>
        <w:t>”) becomes the “beneficial owner”, directly or indirectly, of Voting Securities of the Borrower sufficient to cause the aggregate “beneficial ownership” of Voting Securities of the Borrower by all of the Gates Entities to exceed 49% of the Voting Securities of the Borrower on a fully-diluted basis (and taking into account all such securities that the Gates Entities have the right to acquire pursuant to any option right); or</w:t>
      </w:r>
    </w:p>
    <w:p>
      <w:pPr>
        <w:spacing w:after="0" w:line="158" w:lineRule="exact"/>
        <w:rPr>
          <w:rFonts w:ascii="Arial" w:cs="Arial" w:eastAsia="Arial" w:hAnsi="Arial"/>
          <w:sz w:val="17"/>
          <w:szCs w:val="17"/>
          <w:color w:val="auto"/>
        </w:rPr>
      </w:pPr>
    </w:p>
    <w:p>
      <w:pPr>
        <w:jc w:val="both"/>
        <w:ind w:left="880" w:firstLine="799"/>
        <w:spacing w:after="0" w:line="290" w:lineRule="auto"/>
        <w:tabs>
          <w:tab w:leader="none" w:pos="242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constituting at the time of such election or nomination at least a majority of that board or equivalent governing body.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2"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xml:space="preserve">” means, as to each Lender, its obligation to make Committed Loans to the Borrower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in an aggregate principal amount at any one time outstanding not to exceed the amount set forth opposite such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or in the Assignment and Assumption pursuant to which such Lender becomes a party hereto, as applicable, as such amount may be adjusted from time to time in accordance with this Agreement.</w:t>
      </w:r>
    </w:p>
    <w:p>
      <w:pPr>
        <w:spacing w:after="0" w:line="189" w:lineRule="exact"/>
        <w:rPr>
          <w:sz w:val="20"/>
          <w:szCs w:val="20"/>
          <w:color w:val="auto"/>
        </w:rPr>
      </w:pPr>
    </w:p>
    <w:p>
      <w:pPr>
        <w:jc w:val="both"/>
        <w:ind w:firstLine="87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Committed Borrowing</w:t>
      </w:r>
      <w:r>
        <w:rPr>
          <w:rFonts w:ascii="Arial" w:cs="Arial" w:eastAsia="Arial" w:hAnsi="Arial"/>
          <w:sz w:val="19"/>
          <w:szCs w:val="19"/>
          <w:color w:val="auto"/>
        </w:rPr>
        <w:t xml:space="preserve">” means a borrowing consisting of simultaneous Committed Loans of the same Type and, in the case of Eurodollar Rate Loans, having the same Interest Period made by each of the Lenders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Loan Notice</w:t>
      </w:r>
      <w:r>
        <w:rPr>
          <w:rFonts w:ascii="Arial" w:cs="Arial" w:eastAsia="Arial" w:hAnsi="Arial"/>
          <w:sz w:val="17"/>
          <w:szCs w:val="17"/>
          <w:color w:val="auto"/>
        </w:rPr>
        <w:t xml:space="preserve">” means a notice of (a) a Committed Borrowing, (b) a conversion of Committed Loans from one Type to the other, or (c) a continuation of Eurodollar Rate Loans,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approved by the Administrative Agent (including any form on an electronic platform or electronic</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920"/>
          </w:cols>
          <w:pgMar w:left="480" w:top="270" w:right="49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transmission system as shall be approved by the Administrative Agent), appropriately completed and signed by a Responsible Officer of the Borrower.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Computation Period</w:t>
      </w:r>
      <w:r>
        <w:rPr>
          <w:rFonts w:ascii="Arial" w:cs="Arial" w:eastAsia="Arial" w:hAnsi="Arial"/>
          <w:sz w:val="19"/>
          <w:szCs w:val="19"/>
          <w:color w:val="auto"/>
        </w:rPr>
        <w:t>” means any period of four consecutive fiscal quarters ending on the last day of a fiscal quarter.</w:t>
      </w:r>
    </w:p>
    <w:p>
      <w:pPr>
        <w:spacing w:after="0" w:line="223"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87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with respect to the Borrower and its Subsidiaries for any Computation Period, the sum of, without duplication, (a) Consolidated Net Income during such Computation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following, in each case to the extent deducted in computing Consolidated Net Income during such Computation Period: (i) Consolidated Interest Expense; (ii) taxes on income;</w:t>
      </w:r>
    </w:p>
    <w:p>
      <w:pPr>
        <w:jc w:val="both"/>
        <w:ind w:firstLine="1"/>
        <w:spacing w:after="0" w:line="285" w:lineRule="auto"/>
        <w:tabs>
          <w:tab w:leader="none" w:pos="361"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depreciation, amortization and depletion; (iv) accretion; (v) loss on extinguishment of Indebtedness, (vi) non-cash charges incurred with respect to Borrower’s withdrawal liabilities disclosed on </w:t>
      </w:r>
      <w:r>
        <w:rPr>
          <w:rFonts w:ascii="Arial" w:cs="Arial" w:eastAsia="Arial" w:hAnsi="Arial"/>
          <w:sz w:val="17"/>
          <w:szCs w:val="17"/>
          <w:u w:val="single" w:color="auto"/>
          <w:color w:val="auto"/>
        </w:rPr>
        <w:t>Schedule 5.07</w:t>
      </w:r>
      <w:r>
        <w:rPr>
          <w:rFonts w:ascii="Arial" w:cs="Arial" w:eastAsia="Arial" w:hAnsi="Arial"/>
          <w:sz w:val="17"/>
          <w:szCs w:val="17"/>
          <w:color w:val="auto"/>
        </w:rPr>
        <w:t xml:space="preserve"> and (vii) non-cash write-downs or write-offs of assets, including non-cash losses on the sale of assets outside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Acquisition has been consummated during a Computation Period, Consolidated EBITDA shall be computed on a pro forma basis in accordance with Article 11 of Regulation S-X of the SEC or in a manner otherwise approved by the Administrative Agent for the purposes of determining the Total Debt to EBITDA Ratio;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in any Computation Period in which pro forma adjustments are made in accordance with the foregoing proviso, the Borrower’s Chief Financial Officer (or other approved Responsible Officer) will, at the time that it submits each applicable Compliance Certificate, include documentation (including calculations) in form and detail satisfactory to the Administrative Agent as to the historical operating results and adjustments included in such Computation Period.</w:t>
      </w:r>
    </w:p>
    <w:p>
      <w:pPr>
        <w:spacing w:after="0" w:line="158" w:lineRule="exact"/>
        <w:rPr>
          <w:sz w:val="20"/>
          <w:szCs w:val="20"/>
          <w:color w:val="auto"/>
        </w:rPr>
      </w:pPr>
    </w:p>
    <w:p>
      <w:pPr>
        <w:jc w:val="both"/>
        <w:ind w:firstLine="874"/>
        <w:spacing w:after="0" w:line="29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with respect to any Computation Period, the gross interest expense of the Borrower and its Subsidiaries, including, (i) the amortization of debt discounts, (ii) the amortization of all fees payable in connection with the incurrence of Indebtedness to the extent included in interest expense, (iii) the portion of any liabilities incurred in connection with Capital Leases allocable to interest expense and (iv) consolidated yield or discount accrued on the aggregate outstanding investment or claim held by purchasers, assignees or other transferees of (or of interests in) receivables of the Borrower and its Subsidiaries in connection with any Securitization Transaction (regardless of the accounting treatment of such Securitization Transaction).</w:t>
      </w:r>
    </w:p>
    <w:p>
      <w:pPr>
        <w:spacing w:after="0" w:line="153"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means, for any Computation Period, the gross revenues from operations of the Borrower and its Subsidiaries, less all operating and non-operating expenses of the Borrower and its Subsidiaries, including taxes on income but excluding all non-cash, non-recurring charges and all extraordinary gains or losses.</w:t>
      </w:r>
    </w:p>
    <w:p>
      <w:pPr>
        <w:spacing w:after="0" w:line="18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Tangible Assets</w:t>
      </w:r>
      <w:r>
        <w:rPr>
          <w:rFonts w:ascii="Arial" w:cs="Arial" w:eastAsia="Arial" w:hAnsi="Arial"/>
          <w:sz w:val="20"/>
          <w:szCs w:val="20"/>
          <w:color w:val="auto"/>
        </w:rPr>
        <w:t>” means the consolidated total assets of the Borrower and its Subsidiaries but excluding goodwill, franchises, licenses, patents, trademarks, trade names, copyrights and any other intangible assets.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Contingent Obligation</w:t>
      </w:r>
      <w:r>
        <w:rPr>
          <w:rFonts w:ascii="Arial" w:cs="Arial" w:eastAsia="Arial" w:hAnsi="Arial"/>
          <w:sz w:val="17"/>
          <w:szCs w:val="17"/>
          <w:color w:val="auto"/>
        </w:rPr>
        <w:t>” means, as to any Person, any direct or indirect liability of such Person, whether or not contingent,</w:t>
      </w:r>
    </w:p>
    <w:p>
      <w:pPr>
        <w:spacing w:after="0" w:line="48" w:lineRule="exact"/>
        <w:rPr>
          <w:sz w:val="20"/>
          <w:szCs w:val="20"/>
          <w:color w:val="auto"/>
        </w:rPr>
      </w:pPr>
    </w:p>
    <w:p>
      <w:pPr>
        <w:jc w:val="both"/>
        <w:ind w:firstLine="1"/>
        <w:spacing w:after="0" w:line="302" w:lineRule="auto"/>
        <w:tabs>
          <w:tab w:leader="none" w:pos="2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 respect to any Indebtedness, lease, dividend, letter of credit or other obligation (the “primary obligations”) of another Person (the “primary obligor”), including any obligation of such Person (i) to purchase, repurchase or otherwise acquire such primary obligations or any security therefor, (ii) to advance or provide funds for the payment or discharge of any such primary obligation, or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20"/>
          </w:cols>
          <w:pgMar w:left="480" w:top="270" w:right="499" w:bottom="1440" w:gutter="0" w:footer="0" w:header="0"/>
        </w:sectPr>
      </w:pPr>
    </w:p>
    <w:bookmarkStart w:id="17" w:name="page18"/>
    <w:bookmarkEnd w:id="17"/>
    <w:p>
      <w:pPr>
        <w:jc w:val="both"/>
        <w:spacing w:after="0" w:line="25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Arial" w:cs="Arial" w:eastAsia="Arial" w:hAnsi="Arial"/>
          <w:sz w:val="19"/>
          <w:szCs w:val="19"/>
          <w:u w:val="single" w:color="auto"/>
          <w:color w:val="auto"/>
        </w:rPr>
        <w:t>Guaranty Obligation</w:t>
      </w:r>
      <w:r>
        <w:rPr>
          <w:rFonts w:ascii="Arial" w:cs="Arial" w:eastAsia="Arial" w:hAnsi="Arial"/>
          <w:sz w:val="19"/>
          <w:szCs w:val="19"/>
          <w:color w:val="auto"/>
        </w:rPr>
        <w:t>”); (b) with respect to any Surety Instrument issued for the account of such Person or as to which such Person is otherwise liable for reimbursement of drawings or payments; or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The amount of any Contingent Obligation shall (a) in the case of Guaranty Obligations, be deemed equal to the stated or determinable amount of the primary obligation in respect of which such Guaranty Obligation is made (subject to any limitation set forth in such guaranty) or, if not stated or if indeterminable, the maximum reasonably anticipated liability in respect thereof, and (b) in the case of other Contingent Obligations, be equal to the maximum reasonably anticipated liability in respect thereof.</w:t>
      </w:r>
    </w:p>
    <w:p>
      <w:pPr>
        <w:spacing w:after="0" w:line="191"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10.20(b)</w:t>
      </w:r>
      <w:r>
        <w:rPr>
          <w:rFonts w:ascii="Arial" w:cs="Arial" w:eastAsia="Arial" w:hAnsi="Arial"/>
          <w:sz w:val="20"/>
          <w:szCs w:val="20"/>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a Committed Borrowing.</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Rating</w:t>
      </w:r>
      <w:r>
        <w:rPr>
          <w:rFonts w:ascii="Arial" w:cs="Arial" w:eastAsia="Arial" w:hAnsi="Arial"/>
          <w:sz w:val="20"/>
          <w:szCs w:val="20"/>
          <w:color w:val="auto"/>
        </w:rPr>
        <w:t>” has the meaning specified in the definition of “Applicable Rate.”</w:t>
      </w:r>
    </w:p>
    <w:p>
      <w:pPr>
        <w:spacing w:after="0" w:line="212" w:lineRule="exact"/>
        <w:rPr>
          <w:sz w:val="20"/>
          <w:szCs w:val="20"/>
          <w:color w:val="auto"/>
        </w:rPr>
      </w:pPr>
    </w:p>
    <w:p>
      <w:pPr>
        <w:jc w:val="both"/>
        <w:ind w:firstLine="87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Debtor Relief Laws</w:t>
      </w:r>
      <w:r>
        <w:rPr>
          <w:rFonts w:ascii="Arial" w:cs="Arial" w:eastAsia="Arial" w:hAnsi="Arial"/>
          <w:sz w:val="17"/>
          <w:szCs w:val="17"/>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35"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87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means an interest rate equal to (i)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Applicable Rate, if any applicable to Base Rate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2% per annum;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 Eurodollar Rate Loan, the Default Rate shall be an interest rate equal to the interest rate (including any Applicable Rate) otherwise applicable to such Loan plus 2% per annum.</w:t>
      </w:r>
    </w:p>
    <w:p>
      <w:pPr>
        <w:spacing w:after="0" w:line="171" w:lineRule="exact"/>
        <w:rPr>
          <w:sz w:val="20"/>
          <w:szCs w:val="20"/>
          <w:color w:val="auto"/>
        </w:rPr>
      </w:pPr>
    </w:p>
    <w:p>
      <w:pPr>
        <w:jc w:val="both"/>
        <w:ind w:firstLine="87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2.16(b)</w:t>
      </w:r>
      <w:r>
        <w:rPr>
          <w:rFonts w:ascii="Arial" w:cs="Arial" w:eastAsia="Arial" w:hAnsi="Arial"/>
          <w:sz w:val="20"/>
          <w:szCs w:val="20"/>
          <w:color w:val="auto"/>
        </w:rPr>
        <w:t>, any Lender that (a) has failed to (i) fund all or any portion of its Loans within three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three Business Days of the date when due, (b) has notified the Borrower, the Administrative Agent or any Lender in writing that it does not intend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920"/>
          </w:cols>
          <w:pgMar w:left="480" w:top="270" w:right="499" w:bottom="1440" w:gutter="0" w:footer="0" w:header="0"/>
        </w:sectPr>
      </w:pPr>
    </w:p>
    <w:bookmarkStart w:id="18" w:name="page19"/>
    <w:bookmarkEnd w:id="18"/>
    <w:p>
      <w:pPr>
        <w:jc w:val="both"/>
        <w:spacing w:after="0" w:line="28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comply with its funding obligations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7"/>
          <w:szCs w:val="17"/>
          <w:u w:val="single" w:color="auto"/>
          <w:color w:val="auto"/>
        </w:rPr>
        <w:t>Section 2.16(b)</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Borrower and each Lender promptly following such determination.</w:t>
      </w:r>
    </w:p>
    <w:p>
      <w:pPr>
        <w:spacing w:after="0" w:line="390"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region or territory to the extent that such country, region or territory itself is the subject of any Sanction.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Lender</w:t>
      </w:r>
      <w:r>
        <w:rPr>
          <w:rFonts w:ascii="Arial" w:cs="Arial" w:eastAsia="Arial" w:hAnsi="Arial"/>
          <w:sz w:val="20"/>
          <w:szCs w:val="20"/>
          <w:color w:val="auto"/>
        </w:rPr>
        <w:t xml:space="preserve">” means each Person described on </w:t>
      </w:r>
      <w:r>
        <w:rPr>
          <w:rFonts w:ascii="Arial" w:cs="Arial" w:eastAsia="Arial" w:hAnsi="Arial"/>
          <w:sz w:val="20"/>
          <w:szCs w:val="20"/>
          <w:u w:val="single" w:color="auto"/>
          <w:color w:val="auto"/>
        </w:rPr>
        <w:t>Schedule 1.01(c)</w:t>
      </w:r>
      <w:r>
        <w:rPr>
          <w:rFonts w:ascii="Arial" w:cs="Arial" w:eastAsia="Arial" w:hAnsi="Arial"/>
          <w:sz w:val="20"/>
          <w:szCs w:val="20"/>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Dividing Person</w:t>
      </w:r>
      <w:r>
        <w:rPr>
          <w:rFonts w:ascii="Arial" w:cs="Arial" w:eastAsia="Arial" w:hAnsi="Arial"/>
          <w:sz w:val="20"/>
          <w:szCs w:val="20"/>
          <w:color w:val="auto"/>
        </w:rPr>
        <w:t>” has the meaning assigned to it in the definition of “Division.”</w:t>
      </w:r>
    </w:p>
    <w:p>
      <w:pPr>
        <w:spacing w:after="0" w:line="212"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Division</w:t>
      </w:r>
      <w:r>
        <w:rPr>
          <w:rFonts w:ascii="Arial" w:cs="Arial" w:eastAsia="Arial" w:hAnsi="Arial"/>
          <w:sz w:val="20"/>
          <w:szCs w:val="20"/>
          <w:color w:val="auto"/>
        </w:rPr>
        <w:t>” means the division of the assets, liabilities and/or obligations of a Person (the “</w:t>
      </w:r>
      <w:r>
        <w:rPr>
          <w:rFonts w:ascii="Arial" w:cs="Arial" w:eastAsia="Arial" w:hAnsi="Arial"/>
          <w:sz w:val="20"/>
          <w:szCs w:val="20"/>
          <w:u w:val="single" w:color="auto"/>
          <w:color w:val="auto"/>
        </w:rPr>
        <w:t>Dividing Person</w:t>
      </w:r>
      <w:r>
        <w:rPr>
          <w:rFonts w:ascii="Arial" w:cs="Arial" w:eastAsia="Arial" w:hAnsi="Arial"/>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any political subdivision of the United States (for the avoidance of doubt, excluding Puerto Rico).</w:t>
      </w:r>
    </w:p>
    <w:p>
      <w:pPr>
        <w:spacing w:after="0" w:line="177" w:lineRule="exact"/>
        <w:rPr>
          <w:sz w:val="20"/>
          <w:szCs w:val="20"/>
          <w:color w:val="auto"/>
        </w:rPr>
      </w:pPr>
    </w:p>
    <w:p>
      <w:pPr>
        <w:jc w:val="both"/>
        <w:ind w:firstLine="874"/>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Financial Institution</w:t>
      </w:r>
      <w:r>
        <w:rPr>
          <w:rFonts w:ascii="Arial" w:cs="Arial" w:eastAsia="Arial" w:hAnsi="Arial"/>
          <w:sz w:val="17"/>
          <w:szCs w:val="17"/>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20"/>
          </w:cols>
          <w:pgMar w:left="480" w:top="270" w:right="499" w:bottom="1440" w:gutter="0" w:footer="0" w:header="0"/>
        </w:sectPr>
      </w:pPr>
    </w:p>
    <w:bookmarkStart w:id="19" w:name="page20"/>
    <w:bookmarkEnd w:id="19"/>
    <w:p>
      <w:pPr>
        <w:ind w:left="88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23" w:lineRule="exact"/>
        <w:rPr>
          <w:sz w:val="20"/>
          <w:szCs w:val="20"/>
          <w:color w:val="auto"/>
        </w:rPr>
      </w:pPr>
    </w:p>
    <w:p>
      <w:pPr>
        <w:jc w:val="both"/>
        <w:ind w:firstLine="874"/>
        <w:spacing w:after="0" w:line="3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EEA Resolution Authority</w:t>
      </w:r>
      <w:r>
        <w:rPr>
          <w:rFonts w:ascii="Arial" w:cs="Arial" w:eastAsia="Arial" w:hAnsi="Arial"/>
          <w:sz w:val="17"/>
          <w:szCs w:val="17"/>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0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w:t>
      </w:r>
      <w:r>
        <w:rPr>
          <w:rFonts w:ascii="Arial" w:cs="Arial" w:eastAsia="Arial" w:hAnsi="Arial"/>
          <w:sz w:val="20"/>
          <w:szCs w:val="20"/>
          <w:color w:val="auto"/>
        </w:rPr>
        <w:t xml:space="preserve">” means the first date all the conditions precedent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7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77" w:lineRule="exact"/>
        <w:rPr>
          <w:sz w:val="20"/>
          <w:szCs w:val="20"/>
          <w:color w:val="auto"/>
        </w:rPr>
      </w:pPr>
    </w:p>
    <w:p>
      <w:pPr>
        <w:jc w:val="both"/>
        <w:ind w:firstLine="87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Claims</w:t>
      </w:r>
      <w:r>
        <w:rPr>
          <w:rFonts w:ascii="Arial" w:cs="Arial" w:eastAsia="Arial" w:hAnsi="Arial"/>
          <w:sz w:val="19"/>
          <w:szCs w:val="19"/>
          <w:color w:val="auto"/>
        </w:rPr>
        <w:t>” means all written claims, however asserted, by any Governmental Authority or other Person alleging potential liability or responsibility for violation of any Environmental Law, or for release or injury to the environment.</w:t>
      </w:r>
    </w:p>
    <w:p>
      <w:pPr>
        <w:spacing w:after="0" w:line="154"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other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9" w:lineRule="exact"/>
        <w:rPr>
          <w:sz w:val="20"/>
          <w:szCs w:val="20"/>
          <w:color w:val="auto"/>
        </w:rPr>
      </w:pPr>
    </w:p>
    <w:p>
      <w:pPr>
        <w:jc w:val="both"/>
        <w:ind w:firstLine="874"/>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4" w:lineRule="exact"/>
        <w:rPr>
          <w:sz w:val="20"/>
          <w:szCs w:val="20"/>
          <w:color w:val="auto"/>
        </w:rPr>
      </w:pPr>
    </w:p>
    <w:p>
      <w:pPr>
        <w:jc w:val="both"/>
        <w:ind w:firstLine="874"/>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3"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rules and regulations promulgated thereunder.</w:t>
      </w:r>
    </w:p>
    <w:p>
      <w:pPr>
        <w:spacing w:after="0" w:line="17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8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Event</w:t>
      </w:r>
      <w:r>
        <w:rPr>
          <w:rFonts w:ascii="Arial" w:cs="Arial" w:eastAsia="Arial" w:hAnsi="Arial"/>
          <w:sz w:val="20"/>
          <w:szCs w:val="20"/>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920"/>
          </w:cols>
          <w:pgMar w:left="480" w:top="270" w:right="49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substantial cessation of operations which are treated as such a withdrawal under Section 4062(e) of ERISA; (c) a complete or partial withdrawal by the Borrower or any ERISA Affiliate from a Multiemployer Plan or notification that a Multiemployer Plan is in reorganization; (d) the filing of a notice of intent to terminate a Pension Plan under Section 4041(c) of ERISA, the termination of a Multiemployer Plan under 4041A of ERISA, or the commencement of proceedings by the PBGC to terminate a Pension Plan or Multiemployer Plan; (e) an event or condition which might reasonably be expected to constitute grounds under Section 4042 of ERISA for the termination of, or the appointment of a trustee to administer, any Pension Plan or Multiemployer Plan; (f) the imposition of any liability under Title IV of ERISA, other than PBGC premiums due but not delinquent under Section 4007 of ERISA, upon the Borrower or any ERISA Affiliate or (g) the determination that any Pension Plan is considered an at-risk plan or a plan in endangered or critical status within the meaning of Sections 430, 431 and 432 of the Code or Sections 303, 304 and 305 of ERISA.</w:t>
      </w:r>
    </w:p>
    <w:p>
      <w:pPr>
        <w:spacing w:after="0" w:line="159"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w:t>
      </w:r>
      <w:r>
        <w:rPr>
          <w:rFonts w:ascii="Arial" w:cs="Arial" w:eastAsia="Arial" w:hAnsi="Arial"/>
          <w:sz w:val="20"/>
          <w:szCs w:val="20"/>
          <w:color w:val="auto"/>
        </w:rPr>
        <w:t>” means:</w:t>
      </w:r>
    </w:p>
    <w:p>
      <w:pPr>
        <w:spacing w:after="0" w:line="212" w:lineRule="exact"/>
        <w:rPr>
          <w:sz w:val="20"/>
          <w:szCs w:val="20"/>
          <w:color w:val="auto"/>
        </w:rPr>
      </w:pPr>
    </w:p>
    <w:p>
      <w:pPr>
        <w:jc w:val="both"/>
        <w:ind w:firstLine="875"/>
        <w:spacing w:after="0" w:line="292" w:lineRule="auto"/>
        <w:tabs>
          <w:tab w:leader="none" w:pos="1663"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any Interest Period with respect to a Eurodollar Rate Loan, the rate per annum equal to the London Interbank Offered Rate as administered by ICE Benchmark Administration (or any other Person that takes over the administration of such rate) for U.S. Dollars for a period equal in length to such Interest Period (“</w:t>
      </w:r>
      <w:r>
        <w:rPr>
          <w:rFonts w:ascii="Arial" w:cs="Arial" w:eastAsia="Arial" w:hAnsi="Arial"/>
          <w:sz w:val="17"/>
          <w:szCs w:val="17"/>
          <w:u w:val="single" w:color="auto"/>
          <w:color w:val="auto"/>
        </w:rPr>
        <w:t>LIBOR</w:t>
      </w:r>
      <w:r>
        <w:rPr>
          <w:rFonts w:ascii="Arial" w:cs="Arial" w:eastAsia="Arial" w:hAnsi="Arial"/>
          <w:sz w:val="17"/>
          <w:szCs w:val="17"/>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w:t>
      </w:r>
    </w:p>
    <w:p>
      <w:pPr>
        <w:spacing w:after="0" w:line="153" w:lineRule="exact"/>
        <w:rPr>
          <w:rFonts w:ascii="Arial" w:cs="Arial" w:eastAsia="Arial" w:hAnsi="Arial"/>
          <w:sz w:val="17"/>
          <w:szCs w:val="17"/>
          <w:color w:val="auto"/>
        </w:rPr>
      </w:pPr>
    </w:p>
    <w:p>
      <w:pPr>
        <w:jc w:val="both"/>
        <w:ind w:firstLine="875"/>
        <w:spacing w:after="0" w:line="247" w:lineRule="auto"/>
        <w:tabs>
          <w:tab w:leader="none" w:pos="1606"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 any interest calculation with respect to a Base Rate Loan on any date, the rate per annum equal to LIBOR, at or about 11:00 a.m., London time determined two London Banking Days prior to such date for U.S. Dollar deposits with a term of one month commencing that day; and</w:t>
      </w:r>
    </w:p>
    <w:p>
      <w:pPr>
        <w:spacing w:after="0" w:line="187" w:lineRule="exact"/>
        <w:rPr>
          <w:rFonts w:ascii="Arial" w:cs="Arial" w:eastAsia="Arial" w:hAnsi="Arial"/>
          <w:sz w:val="20"/>
          <w:szCs w:val="20"/>
          <w:color w:val="auto"/>
        </w:rPr>
      </w:pPr>
    </w:p>
    <w:p>
      <w:pPr>
        <w:ind w:left="1480" w:hanging="605"/>
        <w:spacing w:after="0"/>
        <w:tabs>
          <w:tab w:leader="none" w:pos="1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Eurodollar Rate shall be less than 0.25%, such rate shall be deemed 0.25% for purposes of this Agreement.</w:t>
      </w:r>
    </w:p>
    <w:p>
      <w:pPr>
        <w:spacing w:after="0" w:line="246"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 Rate Loan</w:t>
      </w:r>
      <w:r>
        <w:rPr>
          <w:rFonts w:ascii="Arial" w:cs="Arial" w:eastAsia="Arial" w:hAnsi="Arial"/>
          <w:sz w:val="20"/>
          <w:szCs w:val="20"/>
          <w:color w:val="auto"/>
        </w:rPr>
        <w:t xml:space="preserve">” means a Committed Loan that bears interest at a rate based on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definition of “Eurodollar Rate.”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w:t>
      </w:r>
    </w:p>
    <w:p>
      <w:pPr>
        <w:spacing w:after="0" w:line="212" w:lineRule="exact"/>
        <w:rPr>
          <w:sz w:val="20"/>
          <w:szCs w:val="20"/>
          <w:color w:val="auto"/>
        </w:rPr>
      </w:pPr>
    </w:p>
    <w:p>
      <w:pPr>
        <w:jc w:val="both"/>
        <w:ind w:firstLine="874"/>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Equity Interests</w:t>
      </w:r>
      <w:r>
        <w:rPr>
          <w:rFonts w:ascii="Arial" w:cs="Arial" w:eastAsia="Arial" w:hAnsi="Arial"/>
          <w:sz w:val="19"/>
          <w:szCs w:val="19"/>
          <w:color w:val="auto"/>
        </w:rPr>
        <w:t>” means any Equity Interests issued pursuant to: (a) any sale or issuance of Equity Interests by a Subsidiary to the Borrower; (b) a grant to any existing or prospective consultants, employees, officers or directors of the Borrower or a Subsidiary pursuant to any profits interest plan or similar equity-based plans or other compensation agreement; (c) the exercise of any warrants, options or other rights to acquire Equity Interests of the Borrower or a Subsidiary; (d) any acquisition by the Borrower or a Subsidiary of any Equity Interests, assets, properties or business of any Person; or (e) a split of Equity Interests of the Borrower or a Subsidiary, payment of distributions or any similar recapitalization.</w:t>
      </w:r>
    </w:p>
    <w:p>
      <w:pPr>
        <w:spacing w:after="0" w:line="18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xml:space="preserve">” means each Subsidiary set forth on </w:t>
      </w:r>
      <w:r>
        <w:rPr>
          <w:rFonts w:ascii="Arial" w:cs="Arial" w:eastAsia="Arial" w:hAnsi="Arial"/>
          <w:sz w:val="20"/>
          <w:szCs w:val="20"/>
          <w:u w:val="single" w:color="auto"/>
          <w:color w:val="auto"/>
        </w:rPr>
        <w:t>Schedule 1.01(b)</w:t>
      </w:r>
      <w:r>
        <w:rPr>
          <w:rFonts w:ascii="Arial" w:cs="Arial" w:eastAsia="Arial" w:hAnsi="Arial"/>
          <w:sz w:val="20"/>
          <w:szCs w:val="20"/>
          <w:color w:val="auto"/>
        </w:rPr>
        <w:t xml:space="preserve"> and each other Subsidiary that is approved from time to time as an Excluded Subsidiary by the Administrative Agent.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920"/>
          </w:cols>
          <w:pgMar w:left="480" w:top="270" w:right="499" w:bottom="1440" w:gutter="0" w:footer="0" w:header="0"/>
        </w:sectPr>
      </w:pPr>
    </w:p>
    <w:bookmarkStart w:id="21" w:name="page22"/>
    <w:bookmarkEnd w:id="21"/>
    <w:p>
      <w:pPr>
        <w:jc w:val="both"/>
        <w:ind w:firstLine="874"/>
        <w:spacing w:after="0" w:line="28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spacing w:after="0" w:line="4" w:lineRule="exact"/>
        <w:rPr>
          <w:sz w:val="20"/>
          <w:szCs w:val="20"/>
          <w:color w:val="auto"/>
        </w:rPr>
      </w:pPr>
    </w:p>
    <w:p>
      <w:pPr>
        <w:jc w:val="both"/>
        <w:ind w:firstLine="1"/>
        <w:spacing w:after="0" w:line="253" w:lineRule="auto"/>
        <w:tabs>
          <w:tab w:leader="none" w:pos="248"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such Lender acquires such interest in the Loan or Commitment (other than pursuant to an assignment request by the Borrower under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3.01(a)(ii), (a)(iii)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and (d) any U.S. federal withholding Taxes imposed pursuant to FATCA.</w:t>
      </w:r>
    </w:p>
    <w:p>
      <w:pPr>
        <w:spacing w:after="0" w:line="185" w:lineRule="exact"/>
        <w:rPr>
          <w:sz w:val="20"/>
          <w:szCs w:val="20"/>
          <w:color w:val="auto"/>
        </w:rPr>
      </w:pPr>
    </w:p>
    <w:p>
      <w:pPr>
        <w:jc w:val="both"/>
        <w:ind w:firstLine="87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2018 Credit Agreement</w:t>
      </w:r>
      <w:r>
        <w:rPr>
          <w:rFonts w:ascii="Arial" w:cs="Arial" w:eastAsia="Arial" w:hAnsi="Arial"/>
          <w:sz w:val="19"/>
          <w:szCs w:val="19"/>
          <w:color w:val="auto"/>
        </w:rPr>
        <w:t>” means that certain Credit Agreement, dated as of June 8, 2018, among the Borrower, the lenders from time to time party thereto and Bank of America, N.A., as administrative agent thereunder, as amended.</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2"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7" w:lineRule="exact"/>
        <w:rPr>
          <w:sz w:val="20"/>
          <w:szCs w:val="20"/>
          <w:color w:val="auto"/>
        </w:rPr>
      </w:pPr>
    </w:p>
    <w:p>
      <w:pPr>
        <w:jc w:val="both"/>
        <w:ind w:firstLine="874"/>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Rate as so determined would be less than zero, such rate shall be deemed to be zero for purposes of this Agreement.</w:t>
      </w:r>
    </w:p>
    <w:p>
      <w:pPr>
        <w:spacing w:after="0" w:line="178"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means, collectively, (a) that certain letter agreement, dated July 28, 2020, among the Borrower, the Administrative Agent, Bank of America, N.A. and BofA Securities, Inc., and (b) those certain letter agreements between the Borrower and the other Arrangers.</w:t>
      </w:r>
    </w:p>
    <w:p>
      <w:pPr>
        <w:spacing w:after="0" w:line="18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that is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920"/>
          </w:cols>
          <w:pgMar w:left="480" w:top="270" w:right="49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such other principles as may be approved by a significant segment of the accounting profession in the United States, that are applicable to the circumstances as of the date of determination, consistently applied.</w:t>
      </w:r>
    </w:p>
    <w:p>
      <w:pPr>
        <w:spacing w:after="0" w:line="177"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Obligation</w:t>
      </w:r>
      <w:r>
        <w:rPr>
          <w:rFonts w:ascii="Arial" w:cs="Arial" w:eastAsia="Arial" w:hAnsi="Arial"/>
          <w:sz w:val="20"/>
          <w:szCs w:val="20"/>
          <w:color w:val="auto"/>
        </w:rPr>
        <w:t>” has the meaning specified in the definition of “Contingent Obligation.”</w:t>
      </w:r>
    </w:p>
    <w:p>
      <w:pPr>
        <w:spacing w:after="0" w:line="212" w:lineRule="exact"/>
        <w:rPr>
          <w:sz w:val="20"/>
          <w:szCs w:val="20"/>
          <w:color w:val="auto"/>
        </w:rPr>
      </w:pPr>
    </w:p>
    <w:p>
      <w:pPr>
        <w:jc w:val="both"/>
        <w:ind w:firstLine="87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Loans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3.03(a)</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xml:space="preserve">” means, for any Person, without duplication, (a) all indebtedness of such Person for borrowed money; (b) all obligations issued, undertaken or assumed by such Person as the deferred purchase price of property or services (other than trade payables entered into in the ordinary course of business on ordinary terms); (c) all reimbursement or payment obligations of such Person with respect to Surety Instruments; (d) all obligations of such Person evidenced by notes, bonds, debentures or similar instruments; (e) all indebtedness of such Person created or arising under any conditional sale or other title retention agreement, or incurred as financing, in either case with respect to property acquired by such Person (even though the rights and remedies of the seller or lender under such agreement in the event of default are limited to repossession or sale of such property); (f) all obligations of such Person with respect to Capital Leases; (g) Attributable Indebtedness; (h) all indebtedness of the types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provided that the amount of any such Indebtedness shall be deemed to be the lesser of the face principal amount thereof and the fair market value of the property subject to such Lien; and (i) all Guaranty Obligations of such Person in respect of Indebtedness of the types described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Indebtedness shall not include obligations arising out of the endorsement of instruments for deposit or collection in the ordinary course of business. For all purposes of this Agreement, the Indebtedness of any Person shall include all Indebtedness of any partnership or joint venture in which such Person is a general partner or a joint venturer (other than any such Indebtedness which is expressly non-recourse to such Person).</w:t>
      </w:r>
    </w:p>
    <w:p>
      <w:pPr>
        <w:spacing w:after="0" w:line="387" w:lineRule="exact"/>
        <w:rPr>
          <w:sz w:val="20"/>
          <w:szCs w:val="20"/>
          <w:color w:val="auto"/>
        </w:rPr>
      </w:pPr>
    </w:p>
    <w:p>
      <w:pPr>
        <w:jc w:val="both"/>
        <w:ind w:firstLine="874"/>
        <w:spacing w:after="0" w:line="3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any Loan Document and (b) to the extent not otherwise described in (a), Other Taxes.</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Proceeding</w:t>
      </w:r>
      <w:r>
        <w:rPr>
          <w:rFonts w:ascii="Arial" w:cs="Arial" w:eastAsia="Arial" w:hAnsi="Arial"/>
          <w:sz w:val="20"/>
          <w:szCs w:val="20"/>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920"/>
          </w:cols>
          <w:pgMar w:left="480" w:top="270" w:right="499" w:bottom="1440" w:gutter="0" w:footer="0" w:header="0"/>
        </w:sectPr>
      </w:pPr>
    </w:p>
    <w:bookmarkStart w:id="23" w:name="page24"/>
    <w:bookmarkEnd w:id="23"/>
    <w:p>
      <w:pPr>
        <w:jc w:val="both"/>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general assignment for the benefit of creditors, composition, marshalling of assets for creditors, or other similar arrangement in respect of its creditors generally or any substantial portion of its creditors; in each case undertaken under any U.S. Federal, state or foreign law, including the Bankruptcy Code.</w:t>
      </w:r>
    </w:p>
    <w:p>
      <w:pPr>
        <w:spacing w:after="0" w:line="187" w:lineRule="exact"/>
        <w:rPr>
          <w:sz w:val="20"/>
          <w:szCs w:val="20"/>
          <w:color w:val="auto"/>
        </w:rPr>
      </w:pPr>
    </w:p>
    <w:p>
      <w:pPr>
        <w:jc w:val="both"/>
        <w:ind w:firstLine="874"/>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xml:space="preserve">” means, (a) as to any Loan other than a Base Rate Loan, the last day of each Interest Period applicable to such Loan and the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Interest Period for a Eurodollar Rate Loan exceeds three months, the respective dates that fall every three months after the beginning of such Interest Period shall also be Interest Payment Dates; and (b) as to any Base Rate Loan, the first Business Day after the end of each March, June, September and December and the Maturity Date.</w:t>
      </w:r>
    </w:p>
    <w:p>
      <w:pPr>
        <w:spacing w:after="0" w:line="144"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Eurodollar Rate Loan, the period commencing on the date such Eurodollar Rate Loan is disbursed or converted to or continued as a Eurodollar Rate Loan and ending on the date one week (if offered by all Lenders) or one, two, three or six months (or twelve months, if offered by all Lenders) thereafter, as selected by the Borrower in its Committed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9" w:lineRule="exact"/>
        <w:rPr>
          <w:sz w:val="20"/>
          <w:szCs w:val="20"/>
          <w:color w:val="auto"/>
        </w:rPr>
      </w:pPr>
    </w:p>
    <w:p>
      <w:pPr>
        <w:jc w:val="both"/>
        <w:ind w:left="880" w:firstLine="799"/>
        <w:spacing w:after="0" w:line="266" w:lineRule="auto"/>
        <w:tabs>
          <w:tab w:leader="none" w:pos="2305"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170" w:lineRule="exact"/>
        <w:rPr>
          <w:rFonts w:ascii="Arial" w:cs="Arial" w:eastAsia="Arial" w:hAnsi="Arial"/>
          <w:sz w:val="19"/>
          <w:szCs w:val="19"/>
          <w:color w:val="auto"/>
        </w:rPr>
      </w:pPr>
    </w:p>
    <w:p>
      <w:pPr>
        <w:jc w:val="both"/>
        <w:ind w:left="880" w:firstLine="799"/>
        <w:spacing w:after="0" w:line="266" w:lineRule="auto"/>
        <w:tabs>
          <w:tab w:leader="none" w:pos="2384"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0" w:lineRule="exact"/>
        <w:rPr>
          <w:rFonts w:ascii="Arial" w:cs="Arial" w:eastAsia="Arial" w:hAnsi="Arial"/>
          <w:sz w:val="19"/>
          <w:szCs w:val="19"/>
          <w:color w:val="auto"/>
        </w:rPr>
      </w:pPr>
    </w:p>
    <w:p>
      <w:pPr>
        <w:ind w:left="2280" w:hanging="601"/>
        <w:spacing w:after="0"/>
        <w:tabs>
          <w:tab w:leader="none" w:pos="22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no Interest Period shall extend beyond the scheduled Maturity Date.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7.05</w:t>
      </w:r>
      <w:r>
        <w:rPr>
          <w:rFonts w:ascii="Arial" w:cs="Arial" w:eastAsia="Arial" w:hAnsi="Arial"/>
          <w:sz w:val="20"/>
          <w:szCs w:val="20"/>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2"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regulations, ordinances, codes and administrative or judicial determinations, including the interpretation or administration thereof by any Governmental Authority charged with the enforcement, interpretation or administration thereof, and all administrative orders, licenses and authorizations of any Governmental Authority applicable to Borrower and permits of, and agreements with, any Governmental Authority, applicable to Borrower, any Lender or the Administrative Agent.</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has the meaning specified in the introductory paragraph hereto.</w:t>
      </w:r>
    </w:p>
    <w:p>
      <w:pPr>
        <w:spacing w:after="0" w:line="212" w:lineRule="exact"/>
        <w:rPr>
          <w:sz w:val="20"/>
          <w:szCs w:val="20"/>
          <w:color w:val="auto"/>
        </w:rPr>
      </w:pPr>
    </w:p>
    <w:p>
      <w:pPr>
        <w:jc w:val="both"/>
        <w:ind w:firstLine="874"/>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“Eurodollar Rate.”</w:t>
      </w:r>
    </w:p>
    <w:p>
      <w:pPr>
        <w:spacing w:after="0" w:line="14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920"/>
          </w:cols>
          <w:pgMar w:left="480" w:top="270" w:right="499" w:bottom="1440" w:gutter="0" w:footer="0" w:header="0"/>
        </w:sectPr>
      </w:pPr>
    </w:p>
    <w:bookmarkStart w:id="24" w:name="page25"/>
    <w:bookmarkEnd w:id="24"/>
    <w:p>
      <w:pPr>
        <w:jc w:val="both"/>
        <w:ind w:firstLine="874"/>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20"/>
          <w:szCs w:val="20"/>
          <w:u w:val="single" w:color="auto"/>
          <w:color w:val="auto"/>
        </w:rPr>
        <w:t>LIBOR Screen Rate</w:t>
      </w:r>
      <w:r>
        <w:rPr>
          <w:rFonts w:ascii="Arial" w:cs="Arial" w:eastAsia="Arial" w:hAnsi="Arial"/>
          <w:sz w:val="20"/>
          <w:szCs w:val="20"/>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Successor Rate Conforming Changes</w:t>
      </w:r>
      <w:r>
        <w:rPr>
          <w:rFonts w:ascii="Arial" w:cs="Arial" w:eastAsia="Arial" w:hAnsi="Arial"/>
          <w:sz w:val="19"/>
          <w:szCs w:val="19"/>
          <w:color w:val="auto"/>
        </w:rPr>
        <w:t>”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discretion of the Administrative Agent, to reflect the adoption and implementation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in consultation with the Borrower, determines is reasonably necessary in connection with the administration of this Agreement).</w:t>
      </w:r>
    </w:p>
    <w:p>
      <w:pPr>
        <w:spacing w:after="0" w:line="185" w:lineRule="exact"/>
        <w:rPr>
          <w:sz w:val="20"/>
          <w:szCs w:val="20"/>
          <w:color w:val="auto"/>
        </w:rPr>
      </w:pPr>
    </w:p>
    <w:p>
      <w:pPr>
        <w:jc w:val="both"/>
        <w:ind w:firstLine="874"/>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hypothecation, assignment, deposit arrangement, encumbrance, lien (statutory or other), or other preferential arrangement in the nature of a security interest of any kind or nature whatsoever (including any conditional sale or other title retention agreement, the interest of a lessor under a Capital Lease, and any financing lease having substantially the same economic effect as any of the foregoing, but not including the interest of a lessor under an operating lease).</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means an extension of credit in Dollars by a Lender to the Borrower under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 the form of a Committed Loan.</w:t>
      </w:r>
    </w:p>
    <w:p>
      <w:pPr>
        <w:spacing w:after="0" w:line="246"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w:t>
      </w:r>
      <w:r>
        <w:rPr>
          <w:rFonts w:ascii="Arial" w:cs="Arial" w:eastAsia="Arial" w:hAnsi="Arial"/>
          <w:sz w:val="20"/>
          <w:szCs w:val="20"/>
          <w:color w:val="auto"/>
        </w:rPr>
        <w:t>” means each of this Agreement, each Note and the Fee Letters; and “</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two or more of the foregoing.</w:t>
      </w:r>
    </w:p>
    <w:p>
      <w:pPr>
        <w:spacing w:after="0" w:line="17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means “margin stock” as such term is defined in Regulation T, U or X of the FRB.</w:t>
      </w:r>
    </w:p>
    <w:p>
      <w:pPr>
        <w:spacing w:after="0" w:line="21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material adverse change in, or a material adverse effect upon, the operations, business, properties, assets or condition (financial or otherwise) of the Borrower and its Subsidiaries taken as a whole.</w:t>
      </w:r>
    </w:p>
    <w:p>
      <w:pPr>
        <w:spacing w:after="0" w:line="177" w:lineRule="exact"/>
        <w:rPr>
          <w:sz w:val="20"/>
          <w:szCs w:val="20"/>
          <w:color w:val="auto"/>
        </w:rPr>
      </w:pPr>
    </w:p>
    <w:p>
      <w:pPr>
        <w:jc w:val="both"/>
        <w:ind w:firstLine="874"/>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Financial Obligation</w:t>
      </w:r>
      <w:r>
        <w:rPr>
          <w:rFonts w:ascii="Arial" w:cs="Arial" w:eastAsia="Arial" w:hAnsi="Arial"/>
          <w:sz w:val="20"/>
          <w:szCs w:val="20"/>
          <w:color w:val="auto"/>
        </w:rPr>
        <w:t>” means Indebtedness, Attributable Indebtedness, Contingent Obligations and obligations under Swap Contracts of the Borrower or any Subsidiary, and obligations of the Borrower or any Subsidiary in respect of any Securitization Transaction, in an aggregate amount (or, in the case of a Swap Contract, having a Swap Termination Value), for all such Indebtedness, Attributable Indebtedness, Contingent Obligations, obligations under Swap Contracts and obligations in respect of Securitization Transactions, but without duplication, equal to $100,000,000 or more, including, without limitation, Indebtedness under the Existing 2018 Credit Agreement.</w:t>
      </w:r>
    </w:p>
    <w:p>
      <w:pPr>
        <w:spacing w:after="0" w:line="194" w:lineRule="exact"/>
        <w:rPr>
          <w:sz w:val="20"/>
          <w:szCs w:val="20"/>
          <w:color w:val="auto"/>
        </w:rPr>
      </w:pPr>
    </w:p>
    <w:p>
      <w:pPr>
        <w:jc w:val="both"/>
        <w:ind w:firstLine="874"/>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means, as of any date of determination, each direct or indirect Domestic Subsidiary (other than an Excluded Subsidiary) that (a) has total assets (including Equity Interests in other Subsidiaries) equal to or greater than 5% of consolidated total assets of the Borrower and its Subsidiaries (calculated as of the end of the most recent fiscal period for which financial statements are available), or has revenues equal to or greater than 5% of the consolidated total revenues of the Borrower and its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920"/>
          </w:cols>
          <w:pgMar w:left="480" w:top="270" w:right="499" w:bottom="1440" w:gutter="0" w:footer="0" w:header="0"/>
        </w:sectPr>
      </w:pPr>
    </w:p>
    <w:bookmarkStart w:id="25" w:name="page26"/>
    <w:bookmarkEnd w:id="25"/>
    <w:p>
      <w:pPr>
        <w:jc w:val="both"/>
        <w:spacing w:after="0" w:line="34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Subsidiaries (calculated for the most recent four-fiscal quarter period for which financial statements are available), (b) is designated by the Borrower as a Material Subsidiary, or (c) guarantees any Senior Note Indebtedness or the Existing 2018 Credit Agreement.</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August 24, 2021.</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2"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within the meaning of Section 4001(a)(3) of ERISA, with respect to which the Borrower or any ERISA Affiliate (i) may have any liability or (ii) has made or been obligated to contribute to during the preceding five plan years.</w:t>
      </w:r>
    </w:p>
    <w:p>
      <w:pPr>
        <w:spacing w:after="0" w:line="187" w:lineRule="exact"/>
        <w:rPr>
          <w:sz w:val="20"/>
          <w:szCs w:val="20"/>
          <w:color w:val="auto"/>
        </w:rPr>
      </w:pPr>
    </w:p>
    <w:p>
      <w:pPr>
        <w:jc w:val="both"/>
        <w:ind w:firstLine="87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means the excess of (a) the sum of the cash and cash equivalents received pursuant to the sale or issuance of any Equity Interest by the Borrower or any of its Subsidiaries over (ii) the underwriting discounts and commissions, and other reasonable and customary out-of-pocket expenses incurred by the Borrower or such Subsidiary in connection therewith.</w:t>
      </w:r>
    </w:p>
    <w:p>
      <w:pPr>
        <w:spacing w:after="0" w:line="171"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made by the Borrower in favor of a Lender evidencing Loans made by such Lender,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7" w:lineRule="exact"/>
        <w:rPr>
          <w:sz w:val="20"/>
          <w:szCs w:val="20"/>
          <w:color w:val="auto"/>
        </w:rPr>
      </w:pPr>
    </w:p>
    <w:p>
      <w:pPr>
        <w:jc w:val="both"/>
        <w:ind w:firstLine="874"/>
        <w:spacing w:after="0" w:line="29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claims in such proceeding.</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2" w:lineRule="exact"/>
        <w:rPr>
          <w:sz w:val="20"/>
          <w:szCs w:val="20"/>
          <w:color w:val="auto"/>
        </w:rPr>
      </w:pPr>
    </w:p>
    <w:p>
      <w:pPr>
        <w:jc w:val="both"/>
        <w:ind w:firstLine="87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 Documents</w:t>
      </w:r>
      <w:r>
        <w:rPr>
          <w:rFonts w:ascii="Arial" w:cs="Arial" w:eastAsia="Arial" w:hAnsi="Arial"/>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8"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3"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920"/>
          </w:cols>
          <w:pgMar w:left="480" w:top="270" w:right="499" w:bottom="1440" w:gutter="0" w:footer="0" w:header="0"/>
        </w:sectPr>
      </w:pPr>
    </w:p>
    <w:bookmarkStart w:id="26" w:name="page27"/>
    <w:bookmarkEnd w:id="26"/>
    <w:p>
      <w:pPr>
        <w:jc w:val="both"/>
        <w:ind w:firstLine="874"/>
        <w:spacing w:after="0" w:line="28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with respect to Committed Loans on any date, the aggregate outstanding principal amount thereof after giving effect to any borrowings and prepayments or repayments of Committed Loans occurring on such date.</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or any Governmental Authority succeeding to any of its principal functions under ERISA.</w:t>
      </w:r>
    </w:p>
    <w:p>
      <w:pPr>
        <w:spacing w:after="0" w:line="17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 pension plan (as defined in Section 3(2) of ERISA), subject to Title IV of ERISA, other than a Multiemployer Plan, with respect to which the Borrower or any ERISA Affiliate may have any liability.</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 employee benefit plan (as defined in Section 3(3) of ERISA), other than a Multiemployer Plan, with respect to which the Borrower or any ERISA Affiliate may have any liability, and includes any Pension Plan.</w:t>
      </w:r>
    </w:p>
    <w:p>
      <w:pPr>
        <w:spacing w:after="0" w:line="17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Acquisition Date</w:t>
      </w:r>
      <w:r>
        <w:rPr>
          <w:rFonts w:ascii="Arial" w:cs="Arial" w:eastAsia="Arial" w:hAnsi="Arial"/>
          <w:sz w:val="20"/>
          <w:szCs w:val="20"/>
          <w:color w:val="auto"/>
        </w:rPr>
        <w:t>” means, with respect to any Acquired Plan, the first date on which the Borrower or any ERISA Affiliate may have any liability with respect to such Acquired Plan.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29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Priority Indebtedness</w:t>
      </w:r>
      <w:r>
        <w:rPr>
          <w:rFonts w:ascii="Arial" w:cs="Arial" w:eastAsia="Arial" w:hAnsi="Arial"/>
          <w:sz w:val="17"/>
          <w:szCs w:val="17"/>
          <w:color w:val="auto"/>
        </w:rPr>
        <w:t xml:space="preserve">” means, at any time, the sum (determined on a consolidated basis without duplication) of (i) the aggregate outstanding amount of Indebtedness of the Borrower and its Subsidiaries secured by Liens permitted under clause (j) of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of this Agreement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aggregate Investment or claim held at such time by all purchasers, assignees or other transferees of (or interests in) receivables and other rights to payment in all Securitization Transactions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the aggregate outstanding amount of Indebtedness of the Borrower’s Subsidiaries at such time permitted under clause (d) of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151"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or any other recipient of any payment to be made by or on account of any obligation of the Borrower hereunder.</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1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Public Accounting Firm</w:t>
      </w:r>
      <w:r>
        <w:rPr>
          <w:rFonts w:ascii="Arial" w:cs="Arial" w:eastAsia="Arial" w:hAnsi="Arial"/>
          <w:sz w:val="20"/>
          <w:szCs w:val="20"/>
          <w:color w:val="auto"/>
        </w:rPr>
        <w:t>” has the meaning specified in the Securities Laws and shall be independent of the Borrower as prescribed in the Securities Laws.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920"/>
          </w:cols>
          <w:pgMar w:left="480" w:top="270" w:right="499" w:bottom="1440" w:gutter="0" w:footer="0" w:header="0"/>
        </w:sectPr>
      </w:pPr>
    </w:p>
    <w:bookmarkStart w:id="27" w:name="page28"/>
    <w:bookmarkEnd w:id="27"/>
    <w:p>
      <w:pPr>
        <w:jc w:val="both"/>
        <w:ind w:firstLine="874"/>
        <w:spacing w:after="0" w:line="34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07" w:lineRule="exact"/>
        <w:rPr>
          <w:sz w:val="20"/>
          <w:szCs w:val="20"/>
          <w:color w:val="auto"/>
        </w:rPr>
      </w:pPr>
    </w:p>
    <w:p>
      <w:pPr>
        <w:jc w:val="both"/>
        <w:ind w:firstLine="874"/>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71" w:lineRule="exact"/>
        <w:rPr>
          <w:sz w:val="20"/>
          <w:szCs w:val="20"/>
          <w:color w:val="auto"/>
        </w:rPr>
      </w:pPr>
    </w:p>
    <w:p>
      <w:pPr>
        <w:jc w:val="both"/>
        <w:ind w:firstLine="874"/>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Reportable Event</w:t>
      </w:r>
      <w:r>
        <w:rPr>
          <w:rFonts w:ascii="Arial" w:cs="Arial" w:eastAsia="Arial" w:hAnsi="Arial"/>
          <w:sz w:val="19"/>
          <w:szCs w:val="19"/>
          <w:color w:val="auto"/>
        </w:rPr>
        <w:t>” means any of the events set forth in Section 4043(c) of ERISA or the regulations thereunder, other than any such event for which the 30-day notice requirement under ERISA has been waived in regulations issued by the PBGC.</w:t>
      </w:r>
    </w:p>
    <w:p>
      <w:pPr>
        <w:spacing w:after="0" w:line="154"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Republic Indentures</w:t>
      </w:r>
      <w:r>
        <w:rPr>
          <w:rFonts w:ascii="Arial" w:cs="Arial" w:eastAsia="Arial" w:hAnsi="Arial"/>
          <w:sz w:val="20"/>
          <w:szCs w:val="20"/>
          <w:color w:val="auto"/>
        </w:rPr>
        <w:t>” means (i) that certain Indenture dated as of September 8, 2009 between the Borrower and The Bank of New York Mellon Trust Company, N.A., as Trustee, (ii) that certain Indenture dated as of November 25, 2009 between the Borrower and U.S. Bank National Association, as Trustee, and (iii) that certain Indenture dated as of May 21, 2012 between the Borrower and Wells Fargo Bank, National Association, as Trustee, including, in each case, all amendments thereto, supplements thereto and any amendments and restatements or refinancings thereof.</w:t>
      </w:r>
    </w:p>
    <w:p>
      <w:pPr>
        <w:spacing w:after="0" w:line="193"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Republic Insurance Entity</w:t>
      </w:r>
      <w:r>
        <w:rPr>
          <w:rFonts w:ascii="Arial" w:cs="Arial" w:eastAsia="Arial" w:hAnsi="Arial"/>
          <w:sz w:val="20"/>
          <w:szCs w:val="20"/>
          <w:color w:val="auto"/>
        </w:rPr>
        <w:t>” means Bom Ambiente Insurance Company, a Cayman Islands exempted company, Republic Services Risk Management, Inc., a Delaware corporation, RSG Cayman Group, Inc., a Delaware corporation, Saguaro National Captive Insurance Company, an Arizona corporation, Global Indemnity Assurance Company, a Vermont insurance company, and each other Subsidiary formed in connection with any captive insurance program that is approved from time to time as a Republic Insurance Entity by the Administrative Agent.</w:t>
      </w:r>
    </w:p>
    <w:p>
      <w:pPr>
        <w:spacing w:after="0" w:line="193"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with respect to a Committed Borrowing, conversion or continuation of Committed Loans, a Committed Loan Notice.</w:t>
      </w:r>
    </w:p>
    <w:p>
      <w:pPr>
        <w:spacing w:after="0" w:line="177" w:lineRule="exact"/>
        <w:rPr>
          <w:sz w:val="20"/>
          <w:szCs w:val="20"/>
          <w:color w:val="auto"/>
        </w:rPr>
      </w:pPr>
    </w:p>
    <w:p>
      <w:pPr>
        <w:jc w:val="both"/>
        <w:ind w:firstLine="874"/>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as of any date of determination, Lenders having more than 50% of the Aggregate Commitments or, if the commitment of each Lender to make Loans has expired or been terminated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or otherwise, Lenders holding in the aggregate more than 50% of the Total Outstandings;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Commitment of, and the portion of the Total Outstandings held or deemed held by, any Defaulting Lender shall be excluded for purposes of making a determination of Required Lenders.</w:t>
      </w:r>
    </w:p>
    <w:p>
      <w:pPr>
        <w:spacing w:after="0" w:line="144"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means, as to any Person, any law (statutory or common), treaty, rule or regulation or determination of an arbitrator or of a Governmental Authority, in each case applicable to or binding upon such Person or any of its property or to which such Person or any of its property is subject.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Authority.</w:t>
      </w:r>
    </w:p>
    <w:p>
      <w:pPr>
        <w:spacing w:after="0" w:line="196" w:lineRule="exact"/>
        <w:rPr>
          <w:sz w:val="20"/>
          <w:szCs w:val="20"/>
          <w:color w:val="auto"/>
        </w:rPr>
      </w:pPr>
    </w:p>
    <w:p>
      <w:pPr>
        <w:jc w:val="both"/>
        <w:ind w:firstLine="87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xml:space="preserve">” means the chief executive officer, the president or any vice president of the Borrower, or any other officer having substantially the same authority and responsibility; or, with respect to financial matters, the chief financial officer, the vice president-finance, vice president - treasury, the treasurer or any assistant treasurer of the Borrower, or any other officer having substantially the same authority and responsibility; and, solely for purposes of notices given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any other officer or employee of the Borrower so designated by any of the foregoing officers in a notice to the Administrative Agent; or, with respect to corporate offices and authority, the secretary or assistant secretary of the Borrower or any other officer having the same authority and responsibility. 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0920"/>
          </w:cols>
          <w:pgMar w:left="480" w:top="270" w:right="499" w:bottom="1440" w:gutter="0" w:footer="0" w:header="0"/>
        </w:sectPr>
      </w:pPr>
    </w:p>
    <w:bookmarkStart w:id="28" w:name="page29"/>
    <w:bookmarkEnd w:id="28"/>
    <w:p>
      <w:pPr>
        <w:jc w:val="both"/>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8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Cash</w:t>
      </w:r>
      <w:r>
        <w:rPr>
          <w:rFonts w:ascii="Arial" w:cs="Arial" w:eastAsia="Arial" w:hAnsi="Arial"/>
          <w:sz w:val="20"/>
          <w:szCs w:val="20"/>
          <w:color w:val="auto"/>
        </w:rPr>
        <w:t>” means that amount of cash of the Borrower and its Subsidiaries held by or pledged to trustees for industrial revenue bonds and tax-exempt financings that is included on the balance sheet of the Borrower, at any date of determination, in the line item “Restricted Cash.”</w:t>
      </w:r>
    </w:p>
    <w:p>
      <w:pPr>
        <w:spacing w:after="0" w:line="187"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as to any Person, any dividend or other distribution (whether in cash, securities or other property) with respect to any capital stock or other Equity Interest of such Person,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such Person’s stockholders, partners or members (or the equivalent Person thereof).</w:t>
      </w:r>
    </w:p>
    <w:p>
      <w:pPr>
        <w:spacing w:after="0" w:line="193" w:lineRule="exact"/>
        <w:rPr>
          <w:sz w:val="20"/>
          <w:szCs w:val="20"/>
          <w:color w:val="auto"/>
        </w:rPr>
      </w:pPr>
    </w:p>
    <w:p>
      <w:pPr>
        <w:jc w:val="both"/>
        <w:ind w:firstLine="874"/>
        <w:spacing w:after="0" w:line="34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Sanction(s)</w:t>
      </w:r>
      <w:r>
        <w:rPr>
          <w:rFonts w:ascii="Arial" w:cs="Arial" w:eastAsia="Arial" w:hAnsi="Arial"/>
          <w:sz w:val="17"/>
          <w:szCs w:val="17"/>
          <w:color w:val="auto"/>
        </w:rPr>
        <w:t>” means any sanction administered or enforced by the United States Government (including without limitation, OFAC), the United Nations Security Council, the European Union,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w:t>
      </w:r>
    </w:p>
    <w:p>
      <w:pPr>
        <w:spacing w:after="0" w:line="10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a subsidiary of The McGraw-Hill Companies, Inc., and any successor thereto.</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Sarbanes Oxley</w:t>
      </w:r>
      <w:r>
        <w:rPr>
          <w:rFonts w:ascii="Arial" w:cs="Arial" w:eastAsia="Arial" w:hAnsi="Arial"/>
          <w:sz w:val="20"/>
          <w:szCs w:val="20"/>
          <w:color w:val="auto"/>
        </w:rPr>
        <w:t>” means the Sarbanes Oxley Act of 2002.</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3.03(c)</w:t>
      </w:r>
      <w:r>
        <w:rPr>
          <w:rFonts w:ascii="Arial" w:cs="Arial" w:eastAsia="Arial" w:hAnsi="Arial"/>
          <w:sz w:val="20"/>
          <w:szCs w:val="20"/>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w:t>
      </w:r>
      <w:r>
        <w:rPr>
          <w:rFonts w:ascii="Arial" w:cs="Arial" w:eastAsia="Arial" w:hAnsi="Arial"/>
          <w:sz w:val="17"/>
          <w:szCs w:val="17"/>
          <w:color w:val="auto"/>
        </w:rPr>
        <w:t>” means the Securities and Exchange Commission, or any Governmental Authority succeeding to any of its principal</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functions.</w:t>
      </w:r>
    </w:p>
    <w:p>
      <w:pPr>
        <w:spacing w:after="0" w:line="196"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Laws</w:t>
      </w:r>
      <w:r>
        <w:rPr>
          <w:rFonts w:ascii="Arial" w:cs="Arial" w:eastAsia="Arial" w:hAnsi="Arial"/>
          <w:sz w:val="20"/>
          <w:szCs w:val="20"/>
          <w:color w:val="auto"/>
        </w:rPr>
        <w:t>” means the Securities Act of 1933, the Securities Exchange Act of 1934, Sarbanes Oxley and the applicable accounting and auditing principles, rules, standards and practices promulgated, approved or incorporated by the SEC or the Public Company Accounting Oversight Board.</w:t>
      </w:r>
    </w:p>
    <w:p>
      <w:pPr>
        <w:spacing w:after="0" w:line="18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Subsidiary</w:t>
      </w:r>
      <w:r>
        <w:rPr>
          <w:rFonts w:ascii="Arial" w:cs="Arial" w:eastAsia="Arial" w:hAnsi="Arial"/>
          <w:sz w:val="20"/>
          <w:szCs w:val="20"/>
          <w:color w:val="auto"/>
        </w:rPr>
        <w:t>” means any special purpose, bankruptcy remote Subsidiary of the Borrower that purchases accounts receivable, lease receivables or other payment obligations generated by the Borrower or any of its Subsidiaries in connection with any Securitization Transaction.</w:t>
      </w:r>
    </w:p>
    <w:p>
      <w:pPr>
        <w:spacing w:after="0" w:line="187"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Securitization Transaction</w:t>
      </w:r>
      <w:r>
        <w:rPr>
          <w:rFonts w:ascii="Arial" w:cs="Arial" w:eastAsia="Arial" w:hAnsi="Arial"/>
          <w:sz w:val="20"/>
          <w:szCs w:val="20"/>
          <w:color w:val="auto"/>
        </w:rPr>
        <w:t>” means any sale, assignment or other transfer by the Borrower or any Subsidiary of accounts receivable, lease receivables or other payment obligations owing to the Borrower or any Subsidiary or any interest in any of the foregoing, together in each case with any collections and other proceeds thereof, any collection or deposit accounts related thereto, and any collateral, guaranties or other property or claims in favor of the Borrower or such Subsidiary supporting, securing or otherwise relating to any such receivables or other payment obligations.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 Indebtedness</w:t>
      </w:r>
      <w:r>
        <w:rPr>
          <w:rFonts w:ascii="Arial" w:cs="Arial" w:eastAsia="Arial" w:hAnsi="Arial"/>
          <w:sz w:val="20"/>
          <w:szCs w:val="20"/>
          <w:color w:val="auto"/>
        </w:rPr>
        <w:t>” means any Indebtedness outstanding under any of the Senior Note Indentures.</w:t>
      </w:r>
    </w:p>
    <w:p>
      <w:pPr>
        <w:spacing w:after="0" w:line="212"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Note Indentures</w:t>
      </w:r>
      <w:r>
        <w:rPr>
          <w:rFonts w:ascii="Arial" w:cs="Arial" w:eastAsia="Arial" w:hAnsi="Arial"/>
          <w:sz w:val="20"/>
          <w:szCs w:val="20"/>
          <w:color w:val="auto"/>
        </w:rPr>
        <w:t>” means, collectively, the Republic Indentures, the Browning-Ferris Indenture and any additional Indentures pursuant to which the Borrower or its Subsidiaries from time to time issue any senior notes in accordance with the provisions of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0920"/>
          </w:cols>
          <w:pgMar w:left="480" w:top="270" w:right="499" w:bottom="1440" w:gutter="0" w:footer="0" w:header="0"/>
        </w:sectPr>
      </w:pPr>
    </w:p>
    <w:bookmarkStart w:id="29" w:name="page30"/>
    <w:bookmarkEnd w:id="29"/>
    <w:p>
      <w:pPr>
        <w:jc w:val="both"/>
        <w:ind w:firstLine="874"/>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7"/>
          <w:szCs w:val="17"/>
          <w:u w:val="single" w:color="auto"/>
          <w:color w:val="auto"/>
        </w:rPr>
        <w:t>SOFR</w:t>
      </w:r>
      <w:r>
        <w:rPr>
          <w:rFonts w:ascii="Arial" w:cs="Arial" w:eastAsia="Arial" w:hAnsi="Arial"/>
          <w:sz w:val="17"/>
          <w:szCs w:val="17"/>
          <w:color w:val="auto"/>
        </w:rPr>
        <w:t>”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SOFR-Based Rate</w:t>
      </w:r>
      <w:r>
        <w:rPr>
          <w:rFonts w:ascii="Arial" w:cs="Arial" w:eastAsia="Arial" w:hAnsi="Arial"/>
          <w:sz w:val="20"/>
          <w:szCs w:val="20"/>
          <w:color w:val="auto"/>
        </w:rPr>
        <w:t>” means SOFR or Term SOFR.</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Solvent</w:t>
      </w:r>
      <w:r>
        <w:rPr>
          <w:rFonts w:ascii="Arial" w:cs="Arial" w:eastAsia="Arial" w:hAnsi="Arial"/>
          <w:sz w:val="20"/>
          <w:szCs w:val="20"/>
          <w:color w:val="auto"/>
        </w:rPr>
        <w:t>” means, when used with respect to any Person, that at the time of determination:</w:t>
      </w:r>
    </w:p>
    <w:p>
      <w:pPr>
        <w:spacing w:after="0" w:line="212" w:lineRule="exact"/>
        <w:rPr>
          <w:sz w:val="20"/>
          <w:szCs w:val="20"/>
          <w:color w:val="auto"/>
        </w:rPr>
      </w:pPr>
    </w:p>
    <w:p>
      <w:pPr>
        <w:ind w:left="880" w:firstLine="799"/>
        <w:spacing w:after="0" w:line="257" w:lineRule="auto"/>
        <w:tabs>
          <w:tab w:leader="none" w:pos="2376"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fair value of its assets (both at fair valuation and at present fair saleable value on an orderly basis) is in excess of the total amount of its liabilities, including Contingent Obligations; and</w:t>
      </w:r>
    </w:p>
    <w:p>
      <w:pPr>
        <w:spacing w:after="0" w:line="176" w:lineRule="exact"/>
        <w:rPr>
          <w:rFonts w:ascii="Arial" w:cs="Arial" w:eastAsia="Arial" w:hAnsi="Arial"/>
          <w:sz w:val="20"/>
          <w:szCs w:val="20"/>
          <w:color w:val="auto"/>
        </w:rPr>
      </w:pPr>
    </w:p>
    <w:p>
      <w:pPr>
        <w:ind w:left="2300" w:hanging="621"/>
        <w:spacing w:after="0"/>
        <w:tabs>
          <w:tab w:leader="none" w:pos="2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it is then able and expects to be able to pay its debts as they mature; and</w:t>
      </w:r>
    </w:p>
    <w:p>
      <w:pPr>
        <w:spacing w:after="0" w:line="211" w:lineRule="exact"/>
        <w:rPr>
          <w:rFonts w:ascii="Arial" w:cs="Arial" w:eastAsia="Arial" w:hAnsi="Arial"/>
          <w:sz w:val="20"/>
          <w:szCs w:val="20"/>
          <w:color w:val="auto"/>
        </w:rPr>
      </w:pPr>
    </w:p>
    <w:p>
      <w:pPr>
        <w:ind w:left="2280" w:hanging="601"/>
        <w:spacing w:after="0"/>
        <w:tabs>
          <w:tab w:leader="none" w:pos="228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it has capital sufficient to carry on its business as conducted and as proposed to be conducted.</w:t>
      </w:r>
    </w:p>
    <w:p>
      <w:pPr>
        <w:spacing w:after="0" w:line="212" w:lineRule="exact"/>
        <w:rPr>
          <w:sz w:val="20"/>
          <w:szCs w:val="20"/>
          <w:color w:val="auto"/>
        </w:rPr>
      </w:pPr>
    </w:p>
    <w:p>
      <w:pPr>
        <w:jc w:val="both"/>
        <w:ind w:firstLine="874"/>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94"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Surety Instruments</w:t>
      </w:r>
      <w:r>
        <w:rPr>
          <w:rFonts w:ascii="Arial" w:cs="Arial" w:eastAsia="Arial" w:hAnsi="Arial"/>
          <w:sz w:val="20"/>
          <w:szCs w:val="20"/>
          <w:color w:val="auto"/>
        </w:rPr>
        <w:t>” means all letters of credit (including standby and commercial), banker’s acceptances, bank guaranties, shipside bonds, surety bonds and similar instruments.</w:t>
      </w:r>
    </w:p>
    <w:p>
      <w:pPr>
        <w:spacing w:after="0" w:line="177" w:lineRule="exact"/>
        <w:rPr>
          <w:sz w:val="20"/>
          <w:szCs w:val="20"/>
          <w:color w:val="auto"/>
        </w:rPr>
      </w:pPr>
    </w:p>
    <w:p>
      <w:pPr>
        <w:jc w:val="both"/>
        <w:ind w:firstLine="87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 Agreement</w:t>
      </w:r>
      <w:r>
        <w:rPr>
          <w:rFonts w:ascii="Arial" w:cs="Arial" w:eastAsia="Arial" w:hAnsi="Arial"/>
          <w:sz w:val="17"/>
          <w:szCs w:val="17"/>
          <w:color w:val="auto"/>
        </w:rPr>
        <w:t>”), including any such obligations or liabilities under any Master Agreement.</w:t>
      </w:r>
    </w:p>
    <w:p>
      <w:pPr>
        <w:spacing w:after="0" w:line="161" w:lineRule="exact"/>
        <w:rPr>
          <w:sz w:val="20"/>
          <w:szCs w:val="20"/>
          <w:color w:val="auto"/>
        </w:rPr>
      </w:pPr>
    </w:p>
    <w:p>
      <w:pPr>
        <w:jc w:val="both"/>
        <w:ind w:firstLine="874"/>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0920"/>
          </w:cols>
          <w:pgMar w:left="480" w:top="270" w:right="499" w:bottom="1440" w:gutter="0" w:footer="0" w:header="0"/>
        </w:sectPr>
      </w:pPr>
    </w:p>
    <w:bookmarkStart w:id="30" w:name="page31"/>
    <w:bookmarkEnd w:id="30"/>
    <w:p>
      <w:pPr>
        <w:jc w:val="both"/>
        <w:ind w:firstLine="874"/>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9"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withholdings), assessments, fees or other charges imposed by any Governmental Authority, including any interest, additions to tax or penalties applicable thereto.</w:t>
      </w:r>
    </w:p>
    <w:p>
      <w:pPr>
        <w:spacing w:after="0" w:line="187"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 the forward-looking term rate for any period that is approximately (as determined by the Administrative Agent) as long as any of the Interest Period options set forth in the definition of “Interest Period” and that is based on SOFR and that has been selected or recommended by the Relevant Governmental Body, in each case as published on an information service as selected by the Administrative Agent from time to time in its reasonable discretion.</w:t>
      </w:r>
    </w:p>
    <w:p>
      <w:pPr>
        <w:spacing w:after="0" w:line="189" w:lineRule="exact"/>
        <w:rPr>
          <w:sz w:val="20"/>
          <w:szCs w:val="20"/>
          <w:color w:val="auto"/>
        </w:rPr>
      </w:pPr>
    </w:p>
    <w:p>
      <w:pPr>
        <w:jc w:val="both"/>
        <w:ind w:firstLine="87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Debt</w:t>
      </w:r>
      <w:r>
        <w:rPr>
          <w:rFonts w:ascii="Arial" w:cs="Arial" w:eastAsia="Arial" w:hAnsi="Arial"/>
          <w:sz w:val="17"/>
          <w:szCs w:val="17"/>
          <w:color w:val="auto"/>
        </w:rPr>
        <w:t>” means, at any time, the sum (determined on a consolidated basis and without duplication) of all Indebtedness of the Borrower and its Subsidiaries, excluding contingent obligations with respect to Surety Instruments (other than any letter of credit issued for the account of the Borrower or any Subsidiary to support Indebtedness of a Person other than the Borrower or any Subsidiary).</w:t>
      </w:r>
    </w:p>
    <w:p>
      <w:pPr>
        <w:spacing w:after="0" w:line="135" w:lineRule="exact"/>
        <w:rPr>
          <w:sz w:val="20"/>
          <w:szCs w:val="20"/>
          <w:color w:val="auto"/>
        </w:rPr>
      </w:pPr>
    </w:p>
    <w:p>
      <w:pPr>
        <w:jc w:val="both"/>
        <w:ind w:firstLine="874"/>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Debt to EBITDA Ratio</w:t>
      </w:r>
      <w:r>
        <w:rPr>
          <w:rFonts w:ascii="Arial" w:cs="Arial" w:eastAsia="Arial" w:hAnsi="Arial"/>
          <w:sz w:val="19"/>
          <w:szCs w:val="19"/>
          <w:color w:val="auto"/>
        </w:rPr>
        <w:t xml:space="preserve">” means in respect of any Computation Period the ratio of (a) Total Debt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Restricted Cash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outstanding tax-exempt bonds that are included in Total Debt and that are held by the Borrower or a Subsidiary as an Investment included on the balance sheet of the Borrower or a Subsidiary pending the remarketing or repayment thereof, in each case as at the end of such Computation Period, to (b) Consolidated EBITDA for such Computation Period.</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Committed Loan, its character as a Base Rate Loan or a Eurodollar Rate Loan.</w:t>
      </w:r>
    </w:p>
    <w:p>
      <w:pPr>
        <w:spacing w:after="0" w:line="212" w:lineRule="exact"/>
        <w:rPr>
          <w:sz w:val="20"/>
          <w:szCs w:val="20"/>
          <w:color w:val="auto"/>
        </w:rPr>
      </w:pPr>
    </w:p>
    <w:p>
      <w:pPr>
        <w:jc w:val="both"/>
        <w:ind w:firstLine="874"/>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4"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Unfunded Pension Liability</w:t>
      </w:r>
      <w:r>
        <w:rPr>
          <w:rFonts w:ascii="Arial" w:cs="Arial" w:eastAsia="Arial" w:hAnsi="Arial"/>
          <w:sz w:val="20"/>
          <w:szCs w:val="20"/>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145" w:lineRule="exact"/>
        <w:rPr>
          <w:sz w:val="20"/>
          <w:szCs w:val="20"/>
          <w:color w:val="auto"/>
        </w:rPr>
      </w:pPr>
    </w:p>
    <w:p>
      <w:pPr>
        <w:ind w:left="536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920"/>
          </w:cols>
          <w:pgMar w:left="480" w:top="270" w:right="499" w:bottom="1440" w:gutter="0" w:footer="0" w:header="0"/>
        </w:sectPr>
      </w:pPr>
    </w:p>
    <w:bookmarkStart w:id="31" w:name="page32"/>
    <w:bookmarkEnd w:id="31"/>
    <w:p>
      <w:pPr>
        <w:jc w:val="both"/>
        <w:ind w:firstLine="874"/>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7"/>
          <w:szCs w:val="17"/>
          <w:u w:val="single" w:color="auto"/>
          <w:color w:val="auto"/>
        </w:rPr>
        <w:t>Wholly-Owned Subsidiary</w:t>
      </w:r>
      <w:r>
        <w:rPr>
          <w:rFonts w:ascii="Arial" w:cs="Arial" w:eastAsia="Arial" w:hAnsi="Arial"/>
          <w:sz w:val="17"/>
          <w:szCs w:val="17"/>
          <w:color w:val="auto"/>
        </w:rPr>
        <w:t>” means any Subsidiary in which (other than directors’ qualifying shares required by law) 100% of the capital stock, membership interests or other Equity Interests of each class having ordinary voting power, and 100% of the capital stock, membership interests or other Equity Interests of every other class, in each case, at the time as of which any determination is being made, is owned, beneficially and of record, by the Borrower, or by one or more of the other Wholly-Owned Subsidiaries, or both.</w:t>
      </w:r>
    </w:p>
    <w:p>
      <w:pPr>
        <w:spacing w:after="0" w:line="144" w:lineRule="exact"/>
        <w:rPr>
          <w:sz w:val="20"/>
          <w:szCs w:val="20"/>
          <w:color w:val="auto"/>
        </w:rPr>
      </w:pPr>
    </w:p>
    <w:p>
      <w:pPr>
        <w:jc w:val="both"/>
        <w:ind w:firstLine="87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9" w:lineRule="exact"/>
        <w:rPr>
          <w:sz w:val="20"/>
          <w:szCs w:val="20"/>
          <w:color w:val="auto"/>
        </w:rPr>
      </w:pPr>
    </w:p>
    <w:p>
      <w:pPr>
        <w:jc w:val="both"/>
        <w:ind w:firstLine="874"/>
        <w:spacing w:after="0" w:line="263" w:lineRule="auto"/>
        <w:rPr>
          <w:sz w:val="20"/>
          <w:szCs w:val="20"/>
          <w:color w:val="auto"/>
        </w:rPr>
      </w:pPr>
      <w:r>
        <w:rPr>
          <w:rFonts w:ascii="Arial" w:cs="Arial" w:eastAsia="Arial" w:hAnsi="Arial"/>
          <w:sz w:val="20"/>
          <w:szCs w:val="20"/>
          <w:b w:val="1"/>
          <w:bCs w:val="1"/>
          <w:color w:val="auto"/>
        </w:rPr>
        <w:t>1.02 Other Interpretive Provisions</w:t>
      </w:r>
      <w:r>
        <w:rPr>
          <w:rFonts w:ascii="Arial" w:cs="Arial" w:eastAsia="Arial" w:hAnsi="Arial"/>
          <w:sz w:val="20"/>
          <w:szCs w:val="20"/>
          <w:color w:val="auto"/>
        </w:rPr>
        <w:t>. With reference to this Agreement and each other Loan Document, unless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herein or in such other Loan Document:</w:t>
      </w:r>
    </w:p>
    <w:p>
      <w:pPr>
        <w:spacing w:after="0" w:line="171" w:lineRule="exact"/>
        <w:rPr>
          <w:sz w:val="20"/>
          <w:szCs w:val="20"/>
          <w:color w:val="auto"/>
        </w:rPr>
      </w:pPr>
    </w:p>
    <w:p>
      <w:pPr>
        <w:jc w:val="both"/>
        <w:ind w:firstLine="875"/>
        <w:spacing w:after="0" w:line="281" w:lineRule="auto"/>
        <w:tabs>
          <w:tab w:leader="none" w:pos="1524"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“will” shall be construed to have the same meaning and 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 such Loan Document in its entirety and not to any particular provision thereof,</w:t>
      </w:r>
    </w:p>
    <w:p>
      <w:pPr>
        <w:spacing w:after="0" w:line="4" w:lineRule="exact"/>
        <w:rPr>
          <w:rFonts w:ascii="Arial" w:cs="Arial" w:eastAsia="Arial" w:hAnsi="Arial"/>
          <w:sz w:val="17"/>
          <w:szCs w:val="17"/>
          <w:color w:val="auto"/>
        </w:rPr>
      </w:pPr>
    </w:p>
    <w:p>
      <w:pPr>
        <w:jc w:val="both"/>
        <w:ind w:firstLine="1"/>
        <w:spacing w:after="0" w:line="253" w:lineRule="auto"/>
        <w:tabs>
          <w:tab w:leader="none" w:pos="335" w:val="left"/>
        </w:tabs>
        <w:numPr>
          <w:ilvl w:val="0"/>
          <w:numId w:val="17"/>
        </w:numPr>
        <w:rPr>
          <w:rFonts w:ascii="Arial" w:cs="Arial" w:eastAsia="Arial" w:hAnsi="Arial"/>
          <w:sz w:val="19"/>
          <w:szCs w:val="19"/>
          <w:color w:val="auto"/>
        </w:rPr>
      </w:pPr>
      <w:r>
        <w:rPr>
          <w:rFonts w:ascii="Arial" w:cs="Arial" w:eastAsia="Arial" w:hAnsi="Arial"/>
          <w:sz w:val="19"/>
          <w:szCs w:val="19"/>
          <w:color w:val="auto"/>
        </w:rPr>
        <w:t>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shall be construed to have the same meaning and effect and to refer to any and all tangible and intangible assets and properties, including cash, securities, accounts and contract rights.</w:t>
      </w:r>
    </w:p>
    <w:p>
      <w:pPr>
        <w:spacing w:after="0" w:line="182" w:lineRule="exact"/>
        <w:rPr>
          <w:rFonts w:ascii="Arial" w:cs="Arial" w:eastAsia="Arial" w:hAnsi="Arial"/>
          <w:sz w:val="19"/>
          <w:szCs w:val="19"/>
          <w:color w:val="auto"/>
        </w:rPr>
      </w:pPr>
    </w:p>
    <w:p>
      <w:pPr>
        <w:ind w:firstLine="875"/>
        <w:spacing w:after="0" w:line="283" w:lineRule="auto"/>
        <w:tabs>
          <w:tab w:leader="none" w:pos="1532" w:val="left"/>
        </w:tabs>
        <w:numPr>
          <w:ilvl w:val="1"/>
          <w:numId w:val="17"/>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ind w:firstLine="875"/>
        <w:spacing w:after="0" w:line="257" w:lineRule="auto"/>
        <w:tabs>
          <w:tab w:leader="none" w:pos="1525" w:val="left"/>
        </w:tabs>
        <w:numPr>
          <w:ilvl w:val="1"/>
          <w:numId w:val="17"/>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6" w:lineRule="exact"/>
        <w:rPr>
          <w:rFonts w:ascii="Arial" w:cs="Arial" w:eastAsia="Arial" w:hAnsi="Arial"/>
          <w:sz w:val="20"/>
          <w:szCs w:val="20"/>
          <w:color w:val="auto"/>
        </w:rPr>
      </w:pPr>
    </w:p>
    <w:p>
      <w:pPr>
        <w:ind w:firstLine="875"/>
        <w:spacing w:after="0" w:line="257" w:lineRule="auto"/>
        <w:tabs>
          <w:tab w:leader="none" w:pos="1515" w:val="left"/>
        </w:tabs>
        <w:numPr>
          <w:ilvl w:val="1"/>
          <w:numId w:val="17"/>
        </w:numPr>
        <w:rPr>
          <w:rFonts w:ascii="Arial" w:cs="Arial" w:eastAsia="Arial" w:hAnsi="Arial"/>
          <w:sz w:val="20"/>
          <w:szCs w:val="20"/>
          <w:color w:val="auto"/>
        </w:rPr>
      </w:pPr>
      <w:r>
        <w:rPr>
          <w:rFonts w:ascii="Arial" w:cs="Arial" w:eastAsia="Arial" w:hAnsi="Arial"/>
          <w:sz w:val="20"/>
          <w:szCs w:val="20"/>
          <w:color w:val="auto"/>
        </w:rPr>
        <w:t>Any reference herein to a merger, transfer, consolidation, amalgamation, consolidation, assignment, sale, disposition or transfer, or similar term, shall be deemed to apply to a division of or by 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0920"/>
          </w:cols>
          <w:pgMar w:left="480" w:top="270" w:right="499" w:bottom="1440" w:gutter="0" w:footer="0" w:header="0"/>
        </w:sectPr>
      </w:pPr>
    </w:p>
    <w:bookmarkStart w:id="32" w:name="page33"/>
    <w:bookmarkEnd w:id="32"/>
    <w:p>
      <w:pPr>
        <w:jc w:val="both"/>
        <w:spacing w:after="0" w:line="24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80" w:lineRule="exact"/>
        <w:rPr>
          <w:sz w:val="20"/>
          <w:szCs w:val="20"/>
          <w:color w:val="auto"/>
        </w:rPr>
      </w:pPr>
    </w:p>
    <w:p>
      <w:pPr>
        <w:jc w:val="both"/>
        <w:ind w:firstLine="874"/>
        <w:spacing w:after="0" w:line="254" w:lineRule="auto"/>
        <w:rPr>
          <w:sz w:val="20"/>
          <w:szCs w:val="20"/>
          <w:color w:val="auto"/>
        </w:rPr>
      </w:pPr>
      <w:r>
        <w:rPr>
          <w:rFonts w:ascii="Arial" w:cs="Arial" w:eastAsia="Arial" w:hAnsi="Arial"/>
          <w:sz w:val="19"/>
          <w:szCs w:val="19"/>
          <w:b w:val="1"/>
          <w:bCs w:val="1"/>
          <w:color w:val="auto"/>
        </w:rPr>
        <w:t xml:space="preserve">1.03 Accounting Terms. </w:t>
      </w:r>
      <w:r>
        <w:rPr>
          <w:rFonts w:ascii="Arial" w:cs="Arial" w:eastAsia="Arial" w:hAnsi="Arial"/>
          <w:sz w:val="19"/>
          <w:szCs w:val="19"/>
          <w:color w:val="auto"/>
        </w:rPr>
        <w:t>(a)</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Generally</w:t>
      </w:r>
      <w:r>
        <w:rPr>
          <w:rFonts w:ascii="Arial" w:cs="Arial" w:eastAsia="Arial" w:hAnsi="Arial"/>
          <w:sz w:val="19"/>
          <w:szCs w:val="19"/>
          <w:color w:val="auto"/>
        </w:rPr>
        <w:t>. All accounting terms not specifically or completely defined herein shall be construed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as otherwise specifically prescribed herein and without giving effect to any change in GAAP which would require the Borrower to “mark-for-market” its obligations under Swap Contracts (unless (i) the Borrower and the Required Lenders agree to give effect to such changes or (ii) the Borrower has recognized a gain or loss as a result of such Swap Contract).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84" w:lineRule="exact"/>
        <w:rPr>
          <w:sz w:val="20"/>
          <w:szCs w:val="20"/>
          <w:color w:val="auto"/>
        </w:rPr>
      </w:pPr>
    </w:p>
    <w:p>
      <w:pPr>
        <w:jc w:val="both"/>
        <w:ind w:firstLine="875"/>
        <w:spacing w:after="0" w:line="285" w:lineRule="auto"/>
        <w:tabs>
          <w:tab w:leader="none" w:pos="1736"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of the Borrower for the fiscal year ended December 31, 2017 for all purposes of this Agreement, notwithstanding any change in GAAP relating thereto, unless the parties hereto shall enter into a mutually acceptable amendment addressing such changes, as provided for above. For the avoidance of doubt, GAAP shall take into effect any changes resulting from the adoption of FASB ASU 2018-15 (Intangibles – Goodwill and Other – Internal Use Software; Subtopic 350-40).</w:t>
      </w:r>
    </w:p>
    <w:p>
      <w:pPr>
        <w:spacing w:after="0" w:line="160" w:lineRule="exact"/>
        <w:rPr>
          <w:rFonts w:ascii="Arial" w:cs="Arial" w:eastAsia="Arial" w:hAnsi="Arial"/>
          <w:sz w:val="17"/>
          <w:szCs w:val="17"/>
          <w:color w:val="auto"/>
        </w:rPr>
      </w:pPr>
    </w:p>
    <w:p>
      <w:pPr>
        <w:jc w:val="both"/>
        <w:ind w:firstLine="875"/>
        <w:spacing w:after="0" w:line="261" w:lineRule="auto"/>
        <w:tabs>
          <w:tab w:leader="none" w:pos="1565"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Consolidation of Variable Interest Entities</w:t>
      </w:r>
      <w:r>
        <w:rPr>
          <w:rFonts w:ascii="Arial" w:cs="Arial" w:eastAsia="Arial" w:hAnsi="Arial"/>
          <w:sz w:val="19"/>
          <w:szCs w:val="19"/>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74" w:lineRule="exact"/>
        <w:rPr>
          <w:rFonts w:ascii="Arial" w:cs="Arial" w:eastAsia="Arial" w:hAnsi="Arial"/>
          <w:sz w:val="19"/>
          <w:szCs w:val="19"/>
          <w:color w:val="auto"/>
        </w:rPr>
      </w:pPr>
    </w:p>
    <w:p>
      <w:pPr>
        <w:jc w:val="both"/>
        <w:ind w:firstLine="875"/>
        <w:spacing w:after="0" w:line="242" w:lineRule="auto"/>
        <w:tabs>
          <w:tab w:leader="none" w:pos="195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Rate Determinations</w:t>
      </w:r>
      <w:r>
        <w:rPr>
          <w:rFonts w:ascii="Arial" w:cs="Arial" w:eastAsia="Arial" w:hAnsi="Arial"/>
          <w:sz w:val="20"/>
          <w:szCs w:val="20"/>
          <w:color w:val="auto"/>
        </w:rPr>
        <w:t>. The Administrative Agent does not warrant, nor accept responsibility, nor shall the Administrative Agent have any liability with respect to the administration, submission or any other matter related to the rates in the definition of “Eurodollar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0920"/>
          </w:cols>
          <w:pgMar w:left="480" w:top="270" w:right="499" w:bottom="1440" w:gutter="0" w:footer="0" w:header="0"/>
        </w:sectPr>
      </w:pPr>
    </w:p>
    <w:bookmarkStart w:id="33" w:name="page34"/>
    <w:bookmarkEnd w:id="33"/>
    <w:p>
      <w:pPr>
        <w:jc w:val="both"/>
        <w:ind w:firstLine="874"/>
        <w:spacing w:after="0" w:line="246"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1.04 Rounding</w:t>
      </w:r>
      <w:r>
        <w:rPr>
          <w:rFonts w:ascii="Arial" w:cs="Arial" w:eastAsia="Arial" w:hAnsi="Arial"/>
          <w:sz w:val="20"/>
          <w:szCs w:val="20"/>
          <w:color w:val="auto"/>
        </w:rPr>
        <w:t>. Any financial ratios required to be maintained by the Borrower pursuant to this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2" w:lineRule="exact"/>
        <w:rPr>
          <w:sz w:val="20"/>
          <w:szCs w:val="20"/>
          <w:color w:val="auto"/>
        </w:rPr>
      </w:pPr>
    </w:p>
    <w:p>
      <w:pPr>
        <w:jc w:val="both"/>
        <w:ind w:firstLine="874"/>
        <w:spacing w:after="0" w:line="263" w:lineRule="auto"/>
        <w:rPr>
          <w:sz w:val="20"/>
          <w:szCs w:val="20"/>
          <w:color w:val="auto"/>
        </w:rPr>
      </w:pPr>
      <w:r>
        <w:rPr>
          <w:rFonts w:ascii="Arial" w:cs="Arial" w:eastAsia="Arial" w:hAnsi="Arial"/>
          <w:sz w:val="20"/>
          <w:szCs w:val="20"/>
          <w:b w:val="1"/>
          <w:bCs w:val="1"/>
          <w:color w:val="auto"/>
        </w:rPr>
        <w:t>1.05 Times of Day</w:t>
      </w:r>
      <w:r>
        <w:rPr>
          <w:rFonts w:ascii="Arial" w:cs="Arial" w:eastAsia="Arial" w:hAnsi="Arial"/>
          <w:sz w:val="20"/>
          <w:szCs w:val="20"/>
          <w:color w:val="auto"/>
        </w:rPr>
        <w:t>. Unless otherwise specified, all references herein to times of day shall be references to Eastern time</w:t>
      </w:r>
      <w:r>
        <w:rPr>
          <w:rFonts w:ascii="Arial" w:cs="Arial" w:eastAsia="Arial" w:hAnsi="Arial"/>
          <w:sz w:val="20"/>
          <w:szCs w:val="20"/>
          <w:b w:val="1"/>
          <w:bCs w:val="1"/>
          <w:color w:val="auto"/>
        </w:rPr>
        <w:t xml:space="preserve"> </w:t>
      </w:r>
      <w:r>
        <w:rPr>
          <w:rFonts w:ascii="Arial" w:cs="Arial" w:eastAsia="Arial" w:hAnsi="Arial"/>
          <w:sz w:val="20"/>
          <w:szCs w:val="20"/>
          <w:color w:val="auto"/>
        </w:rPr>
        <w:t>(daylight or standard, as applicable).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COMMITMENTS AND CREDIT EXTENSIONS</w:t>
      </w:r>
    </w:p>
    <w:p>
      <w:pPr>
        <w:spacing w:after="0" w:line="190" w:lineRule="exact"/>
        <w:rPr>
          <w:sz w:val="20"/>
          <w:szCs w:val="20"/>
          <w:color w:val="auto"/>
        </w:rPr>
      </w:pPr>
    </w:p>
    <w:p>
      <w:pPr>
        <w:jc w:val="both"/>
        <w:ind w:firstLine="874"/>
        <w:spacing w:after="0" w:line="241" w:lineRule="auto"/>
        <w:rPr>
          <w:sz w:val="20"/>
          <w:szCs w:val="20"/>
          <w:color w:val="auto"/>
        </w:rPr>
      </w:pPr>
      <w:r>
        <w:rPr>
          <w:rFonts w:ascii="Arial" w:cs="Arial" w:eastAsia="Arial" w:hAnsi="Arial"/>
          <w:sz w:val="20"/>
          <w:szCs w:val="20"/>
          <w:b w:val="1"/>
          <w:bCs w:val="1"/>
          <w:color w:val="auto"/>
        </w:rPr>
        <w:t>2.01 Committed Loans</w:t>
      </w:r>
      <w:r>
        <w:rPr>
          <w:rFonts w:ascii="Arial" w:cs="Arial" w:eastAsia="Arial" w:hAnsi="Arial"/>
          <w:sz w:val="20"/>
          <w:szCs w:val="20"/>
          <w:color w:val="auto"/>
        </w:rPr>
        <w:t>. Subject to the terms and conditions set forth herein, each Lender severally agrees to make loans in</w:t>
      </w:r>
      <w:r>
        <w:rPr>
          <w:rFonts w:ascii="Arial" w:cs="Arial" w:eastAsia="Arial" w:hAnsi="Arial"/>
          <w:sz w:val="20"/>
          <w:szCs w:val="20"/>
          <w:b w:val="1"/>
          <w:bCs w:val="1"/>
          <w:color w:val="auto"/>
        </w:rPr>
        <w:t xml:space="preserve"> </w:t>
      </w:r>
      <w:r>
        <w:rPr>
          <w:rFonts w:ascii="Arial" w:cs="Arial" w:eastAsia="Arial" w:hAnsi="Arial"/>
          <w:sz w:val="20"/>
          <w:szCs w:val="20"/>
          <w:color w:val="auto"/>
        </w:rPr>
        <w:t>Dollars (each such loan, a “</w:t>
      </w:r>
      <w:r>
        <w:rPr>
          <w:rFonts w:ascii="Arial" w:cs="Arial" w:eastAsia="Arial" w:hAnsi="Arial"/>
          <w:sz w:val="20"/>
          <w:szCs w:val="20"/>
          <w:u w:val="single" w:color="auto"/>
          <w:color w:val="auto"/>
        </w:rPr>
        <w:t>Committed Loan</w:t>
      </w:r>
      <w:r>
        <w:rPr>
          <w:rFonts w:ascii="Arial" w:cs="Arial" w:eastAsia="Arial" w:hAnsi="Arial"/>
          <w:sz w:val="20"/>
          <w:szCs w:val="20"/>
          <w:color w:val="auto"/>
        </w:rPr>
        <w:t xml:space="preserve">”) to the Borrower from time to time, on any Business Day during the Availability Period, in an aggregate amount not to exceed at any time outstanding the amount of such Lender’s Commitment;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after giving effect to any Committed Borrowing, (i) the Total Outstandings shall not exceed the Aggregate Commitments, and (ii) the aggregate Outstanding Amount of the Committed Loans of any Lender shall not exceed such Lender’s Commitment. Within the limits of each Lender’s Commitment, and subject to the other terms and conditions hereof, the Borrower may borrow under this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prepay under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and re-borrow under this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Committed Loans may be Base Rate Loans or Eurodollar Rate Loans, as further provided herein.</w:t>
      </w:r>
    </w:p>
    <w:p>
      <w:pPr>
        <w:spacing w:after="0" w:line="188"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7"/>
          <w:szCs w:val="17"/>
          <w:b w:val="1"/>
          <w:bCs w:val="1"/>
          <w:color w:val="auto"/>
        </w:rPr>
        <w:t>Borrowings, Conversions and Continuations of Committed Loans</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289" w:lineRule="auto"/>
        <w:tabs>
          <w:tab w:leader="none" w:pos="1484" w:val="left"/>
        </w:tabs>
        <w:numPr>
          <w:ilvl w:val="1"/>
          <w:numId w:val="19"/>
        </w:numPr>
        <w:rPr>
          <w:rFonts w:ascii="Arial" w:cs="Arial" w:eastAsia="Arial" w:hAnsi="Arial"/>
          <w:sz w:val="17"/>
          <w:szCs w:val="17"/>
          <w:color w:val="auto"/>
        </w:rPr>
      </w:pPr>
      <w:r>
        <w:rPr>
          <w:rFonts w:ascii="Arial" w:cs="Arial" w:eastAsia="Arial" w:hAnsi="Arial"/>
          <w:sz w:val="17"/>
          <w:szCs w:val="17"/>
          <w:color w:val="auto"/>
        </w:rPr>
        <w:t>Each Committed Borrowing, each conversion of Committed Loans from one Type to the other, and each continuation of Eurodollar Rate Loans shall be made upon the Borrower’s irrevocable notice to the Administrative Agent, which may be given by</w:t>
      </w:r>
    </w:p>
    <w:p>
      <w:pPr>
        <w:jc w:val="both"/>
        <w:ind w:firstLine="1"/>
        <w:spacing w:after="0" w:line="279"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telephone or (B) a Committed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immediately by delivery to the Administrative Agent of a Committed Loan Notice. Each such Committed Loan Notice must be received by the Administrative Agent not later than 1:00 p.m. (i) three Business Days prior to the requested date of any Committed Borrowing of, conversion to or continuation of Eurodollar Rate Loans, and (ii) on the requested date of any Committed Borrowing of or conversion to Base Rate Committed Loans. Each Committed Borrowing of, conversion to or continuation of Eurodollar Rate Loans shall be in a principal amount of $5,000,000 or a whole multiple of $1,000,000 in excess thereof. Each Committed Borrowing of or conversion to Base Rate Committed Loans shall be in a principal amount of $5,000,000 or a whole multiple of $1,000,000 in excess thereof. Each Committed Loan Notice shall specify</w:t>
      </w:r>
    </w:p>
    <w:p>
      <w:pPr>
        <w:spacing w:after="0" w:line="2" w:lineRule="exact"/>
        <w:rPr>
          <w:rFonts w:ascii="Arial" w:cs="Arial" w:eastAsia="Arial" w:hAnsi="Arial"/>
          <w:sz w:val="17"/>
          <w:szCs w:val="17"/>
          <w:color w:val="auto"/>
        </w:rPr>
      </w:pPr>
    </w:p>
    <w:p>
      <w:pPr>
        <w:jc w:val="both"/>
        <w:spacing w:after="0" w:line="251" w:lineRule="auto"/>
        <w:rPr>
          <w:rFonts w:ascii="Arial" w:cs="Arial" w:eastAsia="Arial" w:hAnsi="Arial"/>
          <w:sz w:val="17"/>
          <w:szCs w:val="17"/>
          <w:color w:val="auto"/>
        </w:rPr>
      </w:pPr>
      <w:r>
        <w:rPr>
          <w:rFonts w:ascii="Arial" w:cs="Arial" w:eastAsia="Arial" w:hAnsi="Arial"/>
          <w:sz w:val="19"/>
          <w:szCs w:val="19"/>
          <w:color w:val="auto"/>
        </w:rPr>
        <w:t>(i) whether the Borrower is requesting a Committed Borrowing, a conversion of Committed Loans from one Type to the other, or a continuation of Eurodollar Rate Loans, (ii) the requested date of the Committed Borrowing, conversion or continuation, as the case may be (which shall be a Business Day), (iii) the principal amount of Committed Loans to be borrowed, converted or continued, (iv) the Type of Committed Loans to be borrowed or to which existing Committed Loans are to be converted, and (v) if applicable, the duration of the Interest Period with respect thereto. If the Borrower fails to specify a Type of Committed Loan in a Committed Loan Notice or if the Borrower fails to give a timely notice requesting a conversion or continuation, then the applicable Committed Loans shall be made as, or converted to, Base Rate Loans. Any such automatic conversion to Base Rate Loans shall be effective as of the last day of the Interest Period then in effect with respect to the applicable Eurodollar Rate Loans. If the Borrower requests a Committed Borrowing of, conversion to, or continuation of Eurodollar Rate Loans in any Committed Loan Notice, but fails to specify an Interest Period, it will be deemed to have specified an Interest Period of one month.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920"/>
          </w:cols>
          <w:pgMar w:left="480" w:top="264" w:right="499" w:bottom="1440" w:gutter="0" w:footer="0" w:header="0"/>
        </w:sectPr>
      </w:pPr>
    </w:p>
    <w:bookmarkStart w:id="34" w:name="page35"/>
    <w:bookmarkEnd w:id="34"/>
    <w:p>
      <w:pPr>
        <w:jc w:val="both"/>
        <w:ind w:firstLine="875"/>
        <w:spacing w:after="0" w:line="286" w:lineRule="auto"/>
        <w:tabs>
          <w:tab w:leader="none" w:pos="1634"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Following receipt of a Committed Loan Notice, the Administrative Agent shall promptly notify each Lender of the amount of its Applicable Percentage of the applicable Committed Loans, and if no timely notice of a conversion or continuation is provided by the Borrower, the Administrative Agent shall notify each Lender of the details of any automatic conversion to Base Rate Loans described in the preceding subsection. In the case of a Committed Borrowing, each Lender shall make the amount of its Committed Loan available to the Administrative Agent in immediately available funds at the Administrative Agent’s Office not later than 4:00 p.m. on the Business Day specified in the applicable Committed Loan Notice. Upon satisfaction of the applicable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if such Committed Borrowing is the initial Credit Extension, </w:t>
      </w:r>
      <w:r>
        <w:rPr>
          <w:rFonts w:ascii="Arial" w:cs="Arial" w:eastAsia="Arial" w:hAnsi="Arial"/>
          <w:sz w:val="17"/>
          <w:szCs w:val="17"/>
          <w:u w:val="single" w:color="auto"/>
          <w:color w:val="auto"/>
        </w:rPr>
        <w:t>Section 4.01</w:t>
      </w:r>
      <w:r>
        <w:rPr>
          <w:rFonts w:ascii="Arial" w:cs="Arial" w:eastAsia="Arial" w:hAnsi="Arial"/>
          <w:sz w:val="17"/>
          <w:szCs w:val="17"/>
          <w:color w:val="auto"/>
        </w:rPr>
        <w:t>),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w:t>
      </w:r>
    </w:p>
    <w:p>
      <w:pPr>
        <w:spacing w:after="0" w:line="161" w:lineRule="exact"/>
        <w:rPr>
          <w:rFonts w:ascii="Arial" w:cs="Arial" w:eastAsia="Arial" w:hAnsi="Arial"/>
          <w:sz w:val="17"/>
          <w:szCs w:val="17"/>
          <w:color w:val="auto"/>
        </w:rPr>
      </w:pPr>
    </w:p>
    <w:p>
      <w:pPr>
        <w:jc w:val="both"/>
        <w:ind w:firstLine="875"/>
        <w:spacing w:after="0" w:line="247" w:lineRule="auto"/>
        <w:tabs>
          <w:tab w:leader="none" w:pos="1523" w:val="left"/>
        </w:tabs>
        <w:numPr>
          <w:ilvl w:val="0"/>
          <w:numId w:val="21"/>
        </w:numPr>
        <w:rPr>
          <w:rFonts w:ascii="Arial" w:cs="Arial" w:eastAsia="Arial" w:hAnsi="Arial"/>
          <w:sz w:val="20"/>
          <w:szCs w:val="20"/>
          <w:color w:val="auto"/>
        </w:rPr>
      </w:pPr>
      <w:r>
        <w:rPr>
          <w:rFonts w:ascii="Arial" w:cs="Arial" w:eastAsia="Arial" w:hAnsi="Arial"/>
          <w:sz w:val="20"/>
          <w:szCs w:val="20"/>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187" w:lineRule="exact"/>
        <w:rPr>
          <w:rFonts w:ascii="Arial" w:cs="Arial" w:eastAsia="Arial" w:hAnsi="Arial"/>
          <w:sz w:val="20"/>
          <w:szCs w:val="20"/>
          <w:color w:val="auto"/>
        </w:rPr>
      </w:pPr>
    </w:p>
    <w:p>
      <w:pPr>
        <w:jc w:val="both"/>
        <w:ind w:firstLine="875"/>
        <w:spacing w:after="0" w:line="244" w:lineRule="auto"/>
        <w:tabs>
          <w:tab w:leader="none" w:pos="1625"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89" w:lineRule="exact"/>
        <w:rPr>
          <w:rFonts w:ascii="Arial" w:cs="Arial" w:eastAsia="Arial" w:hAnsi="Arial"/>
          <w:sz w:val="20"/>
          <w:szCs w:val="20"/>
          <w:color w:val="auto"/>
        </w:rPr>
      </w:pPr>
    </w:p>
    <w:p>
      <w:pPr>
        <w:jc w:val="both"/>
        <w:ind w:firstLine="875"/>
        <w:spacing w:after="0" w:line="247" w:lineRule="auto"/>
        <w:tabs>
          <w:tab w:leader="none" w:pos="1523" w:val="left"/>
        </w:tabs>
        <w:numPr>
          <w:ilvl w:val="0"/>
          <w:numId w:val="21"/>
        </w:numPr>
        <w:rPr>
          <w:rFonts w:ascii="Arial" w:cs="Arial" w:eastAsia="Arial" w:hAnsi="Arial"/>
          <w:sz w:val="20"/>
          <w:szCs w:val="20"/>
          <w:color w:val="auto"/>
        </w:rPr>
      </w:pPr>
      <w:r>
        <w:rPr>
          <w:rFonts w:ascii="Arial" w:cs="Arial" w:eastAsia="Arial" w:hAnsi="Arial"/>
          <w:sz w:val="20"/>
          <w:szCs w:val="20"/>
          <w:color w:val="auto"/>
        </w:rPr>
        <w:t>After giving effect to all Committed Borrowings, all conversions of Committed Loans from one Type to the other, and all continuations of Committed Loans as the same Type, unless the Administrative Agent otherwise consents, there shall not be more than ten Interest Periods in effect with respect to Committed Loans.</w:t>
      </w:r>
    </w:p>
    <w:p>
      <w:pPr>
        <w:spacing w:after="0" w:line="187" w:lineRule="exact"/>
        <w:rPr>
          <w:rFonts w:ascii="Arial" w:cs="Arial" w:eastAsia="Arial" w:hAnsi="Arial"/>
          <w:sz w:val="20"/>
          <w:szCs w:val="20"/>
          <w:color w:val="auto"/>
        </w:rPr>
      </w:pPr>
    </w:p>
    <w:p>
      <w:pPr>
        <w:jc w:val="both"/>
        <w:ind w:firstLine="875"/>
        <w:spacing w:after="0" w:line="312" w:lineRule="auto"/>
        <w:tabs>
          <w:tab w:leader="none" w:pos="1527"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29"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2.03</w:t>
      </w:r>
      <w:r>
        <w:rPr>
          <w:sz w:val="20"/>
          <w:szCs w:val="20"/>
          <w:color w:val="auto"/>
        </w:rPr>
        <w:tab/>
      </w:r>
      <w:r>
        <w:rPr>
          <w:rFonts w:ascii="Arial" w:cs="Arial" w:eastAsia="Arial" w:hAnsi="Arial"/>
          <w:sz w:val="17"/>
          <w:szCs w:val="17"/>
          <w:b w:val="1"/>
          <w:bCs w:val="1"/>
          <w:color w:val="auto"/>
        </w:rPr>
        <w:t>[Reserved]</w:t>
      </w:r>
      <w:r>
        <w:rPr>
          <w:rFonts w:ascii="Arial" w:cs="Arial" w:eastAsia="Arial" w:hAnsi="Arial"/>
          <w:sz w:val="17"/>
          <w:szCs w:val="17"/>
          <w:color w:val="auto"/>
        </w:rPr>
        <w:t>.</w:t>
      </w:r>
    </w:p>
    <w:p>
      <w:pPr>
        <w:spacing w:after="0" w:line="212"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2.04</w:t>
      </w:r>
      <w:r>
        <w:rPr>
          <w:sz w:val="20"/>
          <w:szCs w:val="20"/>
          <w:color w:val="auto"/>
        </w:rPr>
        <w:tab/>
      </w:r>
      <w:r>
        <w:rPr>
          <w:rFonts w:ascii="Arial" w:cs="Arial" w:eastAsia="Arial" w:hAnsi="Arial"/>
          <w:sz w:val="17"/>
          <w:szCs w:val="17"/>
          <w:b w:val="1"/>
          <w:bCs w:val="1"/>
          <w:color w:val="auto"/>
        </w:rPr>
        <w:t>[Reserved]</w:t>
      </w:r>
      <w:r>
        <w:rPr>
          <w:rFonts w:ascii="Arial" w:cs="Arial" w:eastAsia="Arial" w:hAnsi="Arial"/>
          <w:sz w:val="17"/>
          <w:szCs w:val="17"/>
          <w:color w:val="auto"/>
        </w:rPr>
        <w:t>.</w:t>
      </w:r>
    </w:p>
    <w:p>
      <w:pPr>
        <w:spacing w:after="0" w:line="212"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2.05</w:t>
      </w:r>
      <w:r>
        <w:rPr>
          <w:sz w:val="20"/>
          <w:szCs w:val="20"/>
          <w:color w:val="auto"/>
        </w:rPr>
        <w:tab/>
      </w:r>
      <w:r>
        <w:rPr>
          <w:rFonts w:ascii="Arial" w:cs="Arial" w:eastAsia="Arial" w:hAnsi="Arial"/>
          <w:sz w:val="17"/>
          <w:szCs w:val="17"/>
          <w:b w:val="1"/>
          <w:bCs w:val="1"/>
          <w:color w:val="auto"/>
        </w:rPr>
        <w:t>Prepayments</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288" w:lineRule="auto"/>
        <w:tabs>
          <w:tab w:leader="none" w:pos="1578"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Voluntary</w:t>
      </w:r>
      <w:r>
        <w:rPr>
          <w:rFonts w:ascii="Arial" w:cs="Arial" w:eastAsia="Arial" w:hAnsi="Arial"/>
          <w:sz w:val="17"/>
          <w:szCs w:val="17"/>
          <w:color w:val="auto"/>
        </w:rPr>
        <w:t xml:space="preserve">. The Borrower may, upon notice to the Administrative Agent, at any time or from time to time voluntarily prepay Committed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notice must be in a form reasonably acceptable to the Administrative Agent and be received by the Administrative Agent not later than 1:00 p.m. (A) three Business Days prior to any date of prepayment of Eurodollar Rate Loans and (B) on the date of prepayment of Base Rate Committed Loans; (ii) any prepayment of Eurodollar Rate Loans shall be in a principal amount of $5,000,000 or a whole multiple of $1,000,000 in excess thereof; and (iii) any prepayment of Base Rate Committed Loans shall be in a principal amount of $500,000 or a whole multiple of $100,000 in excess thereof or, in each case, if less, the entire principal amount thereof then outstanding. Each such notice shall specify the date and amount of such prepayment and the Type(s) of Committed Loans to be prepaid and, if Eurodollar Rate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0920"/>
          </w:cols>
          <w:pgMar w:left="480" w:top="270" w:right="499" w:bottom="1440" w:gutter="0" w:footer="0" w:header="0"/>
        </w:sectPr>
      </w:pPr>
    </w:p>
    <w:bookmarkStart w:id="35" w:name="page36"/>
    <w:bookmarkEnd w:id="35"/>
    <w:p>
      <w:pPr>
        <w:jc w:val="both"/>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2.16</w:t>
      </w:r>
      <w:r>
        <w:rPr>
          <w:rFonts w:ascii="Arial" w:cs="Arial" w:eastAsia="Arial" w:hAnsi="Arial"/>
          <w:sz w:val="17"/>
          <w:szCs w:val="17"/>
          <w:color w:val="auto"/>
        </w:rPr>
        <w:t>, each such prepayment shall be applied to the Committed Loans of the Lenders in accordance with their respective Applicable Percentages.</w:t>
      </w:r>
    </w:p>
    <w:p>
      <w:pPr>
        <w:spacing w:after="0" w:line="153" w:lineRule="exact"/>
        <w:rPr>
          <w:sz w:val="20"/>
          <w:szCs w:val="20"/>
          <w:color w:val="auto"/>
        </w:rPr>
      </w:pPr>
    </w:p>
    <w:p>
      <w:pPr>
        <w:ind w:left="1500" w:hanging="625"/>
        <w:spacing w:after="0"/>
        <w:tabs>
          <w:tab w:leader="none" w:pos="150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jc w:val="both"/>
        <w:ind w:left="880" w:firstLine="598"/>
        <w:spacing w:after="0"/>
        <w:tabs>
          <w:tab w:leader="none" w:pos="2061" w:val="left"/>
        </w:tabs>
        <w:numPr>
          <w:ilvl w:val="1"/>
          <w:numId w:val="23"/>
        </w:numPr>
        <w:rPr>
          <w:rFonts w:ascii="Arial" w:cs="Arial" w:eastAsia="Arial" w:hAnsi="Arial"/>
          <w:sz w:val="20"/>
          <w:szCs w:val="20"/>
          <w:color w:val="auto"/>
        </w:rPr>
      </w:pPr>
      <w:r>
        <w:rPr>
          <w:rFonts w:ascii="Arial" w:cs="Arial" w:eastAsia="Arial" w:hAnsi="Arial"/>
          <w:sz w:val="20"/>
          <w:szCs w:val="20"/>
          <w:color w:val="auto"/>
        </w:rPr>
        <w:t xml:space="preserve">Upon the sale or issuance by the Borrower or any of its Subsidiaries of any of its Equity Interests (other than any sales or issuances of Excluded Equity Interests), the Borrower shall prepay an aggregate principal amount of Loans equal to 100% of all Net Cash Proceeds received therefrom within one (1) Business Day upon receipt thereof by the Borrower or such Subsidiary. Prepayments made pursuant to this </w:t>
      </w: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shall be applied to the outstanding Loans and the Aggregate Commitments shall be automatically and permanently reduced in accordance with </w:t>
      </w:r>
      <w:r>
        <w:rPr>
          <w:rFonts w:ascii="Arial" w:cs="Arial" w:eastAsia="Arial" w:hAnsi="Arial"/>
          <w:sz w:val="20"/>
          <w:szCs w:val="20"/>
          <w:u w:val="single" w:color="auto"/>
          <w:color w:val="auto"/>
        </w:rPr>
        <w:t>Section 2.06(b)</w:t>
      </w:r>
      <w:r>
        <w:rPr>
          <w:rFonts w:ascii="Arial" w:cs="Arial" w:eastAsia="Arial" w:hAnsi="Arial"/>
          <w:sz w:val="20"/>
          <w:szCs w:val="20"/>
          <w:color w:val="auto"/>
        </w:rPr>
        <w:t xml:space="preserve"> by the amount equal to 100% of the Net Cash Proceeds received from any such sale or issuance of Equity Interests by the Borrower or any of its Subsidiaries.</w:t>
      </w:r>
    </w:p>
    <w:p>
      <w:pPr>
        <w:spacing w:after="0" w:line="197" w:lineRule="exact"/>
        <w:rPr>
          <w:rFonts w:ascii="Arial" w:cs="Arial" w:eastAsia="Arial" w:hAnsi="Arial"/>
          <w:sz w:val="20"/>
          <w:szCs w:val="20"/>
          <w:color w:val="auto"/>
        </w:rPr>
      </w:pPr>
    </w:p>
    <w:p>
      <w:pPr>
        <w:ind w:left="880" w:firstLine="598"/>
        <w:spacing w:after="0" w:line="257" w:lineRule="auto"/>
        <w:tabs>
          <w:tab w:leader="none" w:pos="2257" w:val="left"/>
        </w:tabs>
        <w:numPr>
          <w:ilvl w:val="1"/>
          <w:numId w:val="23"/>
        </w:numPr>
        <w:rPr>
          <w:rFonts w:ascii="Arial" w:cs="Arial" w:eastAsia="Arial" w:hAnsi="Arial"/>
          <w:sz w:val="20"/>
          <w:szCs w:val="20"/>
          <w:color w:val="auto"/>
        </w:rPr>
      </w:pPr>
      <w:r>
        <w:rPr>
          <w:rFonts w:ascii="Arial" w:cs="Arial" w:eastAsia="Arial" w:hAnsi="Arial"/>
          <w:sz w:val="20"/>
          <w:szCs w:val="20"/>
          <w:color w:val="auto"/>
        </w:rPr>
        <w:t>If for any reason the Total Outstandings at any time exceed the Aggregate Commitments then in effect, the Borrower shall immediately prepay Loans in an aggregate amount equal to such excess.</w:t>
      </w:r>
    </w:p>
    <w:p>
      <w:pPr>
        <w:spacing w:after="0" w:line="17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2.06</w:t>
      </w:r>
      <w:r>
        <w:rPr>
          <w:sz w:val="20"/>
          <w:szCs w:val="20"/>
          <w:color w:val="auto"/>
        </w:rPr>
        <w:tab/>
      </w:r>
      <w:r>
        <w:rPr>
          <w:rFonts w:ascii="Arial" w:cs="Arial" w:eastAsia="Arial" w:hAnsi="Arial"/>
          <w:sz w:val="17"/>
          <w:szCs w:val="17"/>
          <w:b w:val="1"/>
          <w:bCs w:val="1"/>
          <w:color w:val="auto"/>
        </w:rPr>
        <w:t>Termination or Reduction of Commitments</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253" w:lineRule="auto"/>
        <w:tabs>
          <w:tab w:leader="none" w:pos="1498"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Borrower may, upon notice to the Administrative Agent, terminate the Aggregate Commitments, or from time to time permanently reduce the Aggregate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notice shall be received by the Administrative Agent not later than 1:00 p.m. three Business Days prior to the date of termination or reduction (except that if no Loans are outstanding hereunder or the effectiveness of a new credit facility for the Borrower is conditioned on the termination of this Agreement, any notice terminating the Aggregate Commitments may be received on the date of termination), (ii) any such partial reduction shall be in an aggregate amount of $5,000,000 or any whole multiple of $1,000,000 in excess thereof, and (iii) the Borrower shall not terminate or reduce the Aggregate Commitments if, after giving effect thereto and to any concurrent prepayments hereunder, the Total Outstandings would exceed the Aggregate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terminate the Aggregate Commitments if all Loans have been paid in full. The Administrative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81" w:lineRule="exact"/>
        <w:rPr>
          <w:rFonts w:ascii="Arial" w:cs="Arial" w:eastAsia="Arial" w:hAnsi="Arial"/>
          <w:sz w:val="19"/>
          <w:szCs w:val="19"/>
          <w:color w:val="auto"/>
        </w:rPr>
      </w:pPr>
    </w:p>
    <w:p>
      <w:pPr>
        <w:jc w:val="both"/>
        <w:ind w:firstLine="875"/>
        <w:spacing w:after="0" w:line="244" w:lineRule="auto"/>
        <w:tabs>
          <w:tab w:leader="none" w:pos="1495"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The Aggregate Commitments shall be automatically and permanently reduced by an amount equal to 100% of the Net Cash Proceeds received by the Borrower or any Subsidiary from any sale or issuance of Equity Interests (other than any sales or issuance of Excluded Equity Interests) on the first Business Day after receipt of such Net Cash Proceeds by the Borrower or such Subsidiary.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0920"/>
          </w:cols>
          <w:pgMar w:left="480" w:top="270" w:right="499" w:bottom="1440" w:gutter="0" w:footer="0" w:header="0"/>
        </w:sectPr>
      </w:pPr>
    </w:p>
    <w:bookmarkStart w:id="36" w:name="page37"/>
    <w:bookmarkEnd w:id="36"/>
    <w:p>
      <w:pPr>
        <w:ind w:firstLine="874"/>
        <w:spacing w:after="0" w:line="263"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2.07 Repayment of Loans</w:t>
      </w:r>
      <w:r>
        <w:rPr>
          <w:rFonts w:ascii="Arial" w:cs="Arial" w:eastAsia="Arial" w:hAnsi="Arial"/>
          <w:sz w:val="20"/>
          <w:szCs w:val="20"/>
          <w:color w:val="auto"/>
        </w:rPr>
        <w:t>. The Borrower shall repay to the Lenders on the Maturity Date the aggregate principal amount of</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Committed Loans outstanding on such date.</w:t>
      </w:r>
    </w:p>
    <w:p>
      <w:pPr>
        <w:spacing w:after="0" w:line="165"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2.08</w:t>
      </w:r>
      <w:r>
        <w:rPr>
          <w:sz w:val="20"/>
          <w:szCs w:val="20"/>
          <w:color w:val="auto"/>
        </w:rPr>
        <w:tab/>
      </w:r>
      <w:r>
        <w:rPr>
          <w:rFonts w:ascii="Arial" w:cs="Arial" w:eastAsia="Arial" w:hAnsi="Arial"/>
          <w:sz w:val="17"/>
          <w:szCs w:val="17"/>
          <w:b w:val="1"/>
          <w:bCs w:val="1"/>
          <w:color w:val="auto"/>
        </w:rPr>
        <w:t>Interest</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261" w:lineRule="auto"/>
        <w:tabs>
          <w:tab w:leader="none" w:pos="155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(i) each Eurodollar Rate Loan shall bear interest on the outstanding principal amount thereof for each Interest Period at a rate per annum equal to the Eurodollar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and (ii) each Base Rate Committed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w:t>
      </w:r>
    </w:p>
    <w:p>
      <w:pPr>
        <w:spacing w:after="0" w:line="134" w:lineRule="exact"/>
        <w:rPr>
          <w:rFonts w:ascii="Arial" w:cs="Arial" w:eastAsia="Arial" w:hAnsi="Arial"/>
          <w:sz w:val="19"/>
          <w:szCs w:val="19"/>
          <w:color w:val="auto"/>
        </w:rPr>
      </w:pPr>
    </w:p>
    <w:p>
      <w:pPr>
        <w:jc w:val="both"/>
        <w:ind w:left="880" w:hanging="5"/>
        <w:spacing w:after="0" w:line="266" w:lineRule="auto"/>
        <w:tabs>
          <w:tab w:leader="none" w:pos="1556" w:val="left"/>
        </w:tabs>
        <w:numPr>
          <w:ilvl w:val="0"/>
          <w:numId w:val="25"/>
        </w:numPr>
        <w:rPr>
          <w:rFonts w:ascii="Arial" w:cs="Arial" w:eastAsia="Arial" w:hAnsi="Arial"/>
          <w:sz w:val="19"/>
          <w:szCs w:val="19"/>
          <w:color w:val="auto"/>
        </w:rPr>
      </w:pPr>
      <w:r>
        <w:rPr>
          <w:rFonts w:ascii="Arial" w:cs="Arial" w:eastAsia="Arial" w:hAnsi="Arial"/>
          <w:sz w:val="19"/>
          <w:szCs w:val="19"/>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43" w:lineRule="exact"/>
        <w:rPr>
          <w:rFonts w:ascii="Arial" w:cs="Arial" w:eastAsia="Arial" w:hAnsi="Arial"/>
          <w:sz w:val="19"/>
          <w:szCs w:val="19"/>
          <w:color w:val="auto"/>
        </w:rPr>
      </w:pPr>
    </w:p>
    <w:p>
      <w:pPr>
        <w:jc w:val="both"/>
        <w:ind w:left="880" w:firstLine="598"/>
        <w:spacing w:after="0" w:line="261" w:lineRule="auto"/>
        <w:tabs>
          <w:tab w:leader="none" w:pos="2230" w:val="left"/>
        </w:tabs>
        <w:numPr>
          <w:ilvl w:val="1"/>
          <w:numId w:val="25"/>
        </w:numPr>
        <w:rPr>
          <w:rFonts w:ascii="Arial" w:cs="Arial" w:eastAsia="Arial" w:hAnsi="Arial"/>
          <w:sz w:val="19"/>
          <w:szCs w:val="19"/>
          <w:color w:val="auto"/>
        </w:rPr>
      </w:pPr>
      <w:r>
        <w:rPr>
          <w:rFonts w:ascii="Arial" w:cs="Arial" w:eastAsia="Arial" w:hAnsi="Arial"/>
          <w:sz w:val="19"/>
          <w:szCs w:val="19"/>
          <w:color w:val="auto"/>
        </w:rPr>
        <w:t>If any amount (other than principal of any Loan) payable by the Borrower under any Loan Document is not paid when due (after giving effect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34" w:lineRule="exact"/>
        <w:rPr>
          <w:rFonts w:ascii="Arial" w:cs="Arial" w:eastAsia="Arial" w:hAnsi="Arial"/>
          <w:sz w:val="19"/>
          <w:szCs w:val="19"/>
          <w:color w:val="auto"/>
        </w:rPr>
      </w:pPr>
    </w:p>
    <w:p>
      <w:pPr>
        <w:jc w:val="both"/>
        <w:ind w:left="880" w:firstLine="598"/>
        <w:spacing w:after="0" w:line="247" w:lineRule="auto"/>
        <w:tabs>
          <w:tab w:leader="none" w:pos="2242" w:val="left"/>
        </w:tabs>
        <w:numPr>
          <w:ilvl w:val="1"/>
          <w:numId w:val="25"/>
        </w:numPr>
        <w:rPr>
          <w:rFonts w:ascii="Arial" w:cs="Arial" w:eastAsia="Arial" w:hAnsi="Arial"/>
          <w:sz w:val="20"/>
          <w:szCs w:val="20"/>
          <w:color w:val="auto"/>
        </w:rPr>
      </w:pPr>
      <w:r>
        <w:rPr>
          <w:rFonts w:ascii="Arial" w:cs="Arial" w:eastAsia="Arial" w:hAnsi="Arial"/>
          <w:sz w:val="20"/>
          <w:szCs w:val="20"/>
          <w:color w:val="auto"/>
        </w:rPr>
        <w:t>Upon the request of the Required Lenders, while any Event of Default exists, the Borrower shall pay interest on the principal amount of all outstanding Obligations hereunder at a fluctuating interest rate per annum at all times equal to the Default Rate to the fullest extent permitted by applicable Laws.</w:t>
      </w:r>
    </w:p>
    <w:p>
      <w:pPr>
        <w:spacing w:after="0" w:line="146" w:lineRule="exact"/>
        <w:rPr>
          <w:rFonts w:ascii="Arial" w:cs="Arial" w:eastAsia="Arial" w:hAnsi="Arial"/>
          <w:sz w:val="20"/>
          <w:szCs w:val="20"/>
          <w:color w:val="auto"/>
        </w:rPr>
      </w:pPr>
    </w:p>
    <w:p>
      <w:pPr>
        <w:ind w:left="880" w:firstLine="598"/>
        <w:spacing w:after="0" w:line="257" w:lineRule="auto"/>
        <w:tabs>
          <w:tab w:leader="none" w:pos="2302" w:val="left"/>
        </w:tabs>
        <w:numPr>
          <w:ilvl w:val="1"/>
          <w:numId w:val="25"/>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50" w:lineRule="exact"/>
        <w:rPr>
          <w:rFonts w:ascii="Arial" w:cs="Arial" w:eastAsia="Arial" w:hAnsi="Arial"/>
          <w:sz w:val="20"/>
          <w:szCs w:val="20"/>
          <w:color w:val="auto"/>
        </w:rPr>
      </w:pPr>
    </w:p>
    <w:p>
      <w:pPr>
        <w:jc w:val="both"/>
        <w:ind w:firstLine="875"/>
        <w:spacing w:after="0" w:line="266" w:lineRule="auto"/>
        <w:tabs>
          <w:tab w:leader="none" w:pos="1526"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5"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2.09</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w:t>
      </w:r>
    </w:p>
    <w:p>
      <w:pPr>
        <w:spacing w:after="0" w:line="218" w:lineRule="exact"/>
        <w:rPr>
          <w:sz w:val="20"/>
          <w:szCs w:val="20"/>
          <w:color w:val="auto"/>
        </w:rPr>
      </w:pPr>
    </w:p>
    <w:p>
      <w:pPr>
        <w:jc w:val="both"/>
        <w:ind w:firstLine="875"/>
        <w:spacing w:after="0" w:line="253" w:lineRule="auto"/>
        <w:tabs>
          <w:tab w:leader="none" w:pos="1511"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Facility Fee</w:t>
      </w:r>
      <w:r>
        <w:rPr>
          <w:rFonts w:ascii="Arial" w:cs="Arial" w:eastAsia="Arial" w:hAnsi="Arial"/>
          <w:sz w:val="19"/>
          <w:szCs w:val="19"/>
          <w:color w:val="auto"/>
        </w:rPr>
        <w:t xml:space="preserve">. The Borrower shall pay to the Administrative Agent for the account of each Lender in accordance with its Applicable Percentage, a facility fee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actual daily amount of the Aggregate Commitments (or, if the Aggregate Commitments have terminated, on the Outstanding Amount of all Committed Loans), regardless of usage, subject to adjustment as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The facility fee shall accrue at all times during the Availability Period (and thereafter so long as any Committed Loans remain outstanding),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first Business Day after the end of each March, June, September and December, commencing with the first such date to occur after the Effective Date, and on the Maturity Date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7" w:lineRule="exact"/>
        <w:rPr>
          <w:rFonts w:ascii="Arial" w:cs="Arial" w:eastAsia="Arial" w:hAnsi="Arial"/>
          <w:sz w:val="19"/>
          <w:szCs w:val="19"/>
          <w:color w:val="auto"/>
        </w:rPr>
      </w:pPr>
    </w:p>
    <w:p>
      <w:pPr>
        <w:ind w:firstLine="875"/>
        <w:spacing w:after="0" w:line="257" w:lineRule="auto"/>
        <w:tabs>
          <w:tab w:leader="none" w:pos="1509"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Utilization Fee</w:t>
      </w:r>
      <w:r>
        <w:rPr>
          <w:rFonts w:ascii="Arial" w:cs="Arial" w:eastAsia="Arial" w:hAnsi="Arial"/>
          <w:sz w:val="20"/>
          <w:szCs w:val="20"/>
          <w:color w:val="auto"/>
        </w:rPr>
        <w:t>. The Borrower shall pay to the Administrative Agent for the account of each Lender in accordance with its Applicable Percentage, a utilization fee equal to the Applicable Rate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0920"/>
          </w:cols>
          <w:pgMar w:left="480" w:top="264" w:right="499" w:bottom="1440" w:gutter="0" w:footer="0" w:header="0"/>
        </w:sectPr>
      </w:pPr>
    </w:p>
    <w:bookmarkStart w:id="37" w:name="page38"/>
    <w:bookmarkEnd w:id="37"/>
    <w:p>
      <w:pPr>
        <w:jc w:val="both"/>
        <w:spacing w:after="0" w:line="29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times</w:t>
      </w:r>
      <w:r>
        <w:rPr>
          <w:rFonts w:ascii="Arial" w:cs="Arial" w:eastAsia="Arial" w:hAnsi="Arial"/>
          <w:sz w:val="17"/>
          <w:szCs w:val="17"/>
          <w:color w:val="auto"/>
        </w:rPr>
        <w:t xml:space="preserve"> the Total Outstandings, subject to adjustment as provided in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The utilization fee shall be due and payable quarterly in arrears on the last Business Day of each March, June, September and December, commencing with the first such date to occur after the Effective Date, and on the last day of the Availability Period (and, if applicable, thereafter on demand). The utilization fee shall be calculated quarterly in arrears and shall accrue on all days, and only on those days, on which the Total Outstandings exceed 50% of the actual daily amount of the Aggregate Commitments then in effect (whether or not such Commitments are available to be drawn at such time if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then met), or, if terminated, in effect immediately prior to such termination.</w:t>
      </w:r>
    </w:p>
    <w:p>
      <w:pPr>
        <w:spacing w:after="0" w:line="153" w:lineRule="exact"/>
        <w:rPr>
          <w:sz w:val="20"/>
          <w:szCs w:val="20"/>
          <w:color w:val="auto"/>
        </w:rPr>
      </w:pPr>
    </w:p>
    <w:p>
      <w:pPr>
        <w:ind w:left="1540" w:hanging="665"/>
        <w:spacing w:after="0"/>
        <w:tabs>
          <w:tab w:leader="none" w:pos="154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jc w:val="both"/>
        <w:ind w:left="880" w:firstLine="598"/>
        <w:spacing w:after="0" w:line="247" w:lineRule="auto"/>
        <w:tabs>
          <w:tab w:leader="none" w:pos="2087"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Borrower shall pay to the Arrangers and the Administrative Agent for their own respective accounts fees in the amounts and at the times specified in the Fee Letters. Such fees shall be fully earned when paid and shall not be refundable for any reason whatsoever.</w:t>
      </w:r>
    </w:p>
    <w:p>
      <w:pPr>
        <w:spacing w:after="0" w:line="187" w:lineRule="exact"/>
        <w:rPr>
          <w:rFonts w:ascii="Arial" w:cs="Arial" w:eastAsia="Arial" w:hAnsi="Arial"/>
          <w:sz w:val="20"/>
          <w:szCs w:val="20"/>
          <w:color w:val="auto"/>
        </w:rPr>
      </w:pPr>
    </w:p>
    <w:p>
      <w:pPr>
        <w:jc w:val="both"/>
        <w:ind w:left="880" w:firstLine="598"/>
        <w:spacing w:after="0" w:line="247" w:lineRule="auto"/>
        <w:tabs>
          <w:tab w:leader="none" w:pos="2223"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81" w:lineRule="exact"/>
        <w:rPr>
          <w:sz w:val="20"/>
          <w:szCs w:val="20"/>
          <w:color w:val="auto"/>
        </w:rPr>
      </w:pPr>
    </w:p>
    <w:p>
      <w:pPr>
        <w:jc w:val="both"/>
        <w:ind w:firstLine="874"/>
        <w:spacing w:after="0" w:line="291" w:lineRule="auto"/>
        <w:rPr>
          <w:sz w:val="20"/>
          <w:szCs w:val="20"/>
          <w:color w:val="auto"/>
        </w:rPr>
      </w:pPr>
      <w:r>
        <w:rPr>
          <w:rFonts w:ascii="Arial" w:cs="Arial" w:eastAsia="Arial" w:hAnsi="Arial"/>
          <w:sz w:val="17"/>
          <w:szCs w:val="17"/>
          <w:b w:val="1"/>
          <w:bCs w:val="1"/>
          <w:color w:val="auto"/>
        </w:rPr>
        <w:t>2.10 Computation of Interest and Fees</w:t>
      </w:r>
      <w:r>
        <w:rPr>
          <w:rFonts w:ascii="Arial" w:cs="Arial" w:eastAsia="Arial" w:hAnsi="Arial"/>
          <w:sz w:val="17"/>
          <w:szCs w:val="17"/>
          <w:color w:val="auto"/>
        </w:rPr>
        <w:t>. All computations of interest for Base Rate Loans shall be made on the basis of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Arial" w:cs="Arial" w:eastAsia="Arial" w:hAnsi="Arial"/>
          <w:sz w:val="17"/>
          <w:szCs w:val="17"/>
          <w:u w:val="single" w:color="auto"/>
          <w:color w:val="auto"/>
        </w:rPr>
        <w:t>Section 2.12(a)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48" w:lineRule="exact"/>
        <w:rPr>
          <w:sz w:val="20"/>
          <w:szCs w:val="20"/>
          <w:color w:val="auto"/>
        </w:rPr>
      </w:pPr>
    </w:p>
    <w:p>
      <w:pPr>
        <w:jc w:val="both"/>
        <w:ind w:firstLine="874"/>
        <w:spacing w:after="0" w:line="287" w:lineRule="auto"/>
        <w:rPr>
          <w:sz w:val="20"/>
          <w:szCs w:val="20"/>
          <w:color w:val="auto"/>
        </w:rPr>
      </w:pPr>
      <w:r>
        <w:rPr>
          <w:rFonts w:ascii="Arial" w:cs="Arial" w:eastAsia="Arial" w:hAnsi="Arial"/>
          <w:sz w:val="17"/>
          <w:szCs w:val="17"/>
          <w:b w:val="1"/>
          <w:bCs w:val="1"/>
          <w:color w:val="auto"/>
        </w:rPr>
        <w:t>2.11 Evidence of Debt</w:t>
      </w:r>
      <w:r>
        <w:rPr>
          <w:rFonts w:ascii="Arial" w:cs="Arial" w:eastAsia="Arial" w:hAnsi="Arial"/>
          <w:sz w:val="17"/>
          <w:szCs w:val="17"/>
          <w:color w:val="auto"/>
        </w:rPr>
        <w:t>. The Credit Extensions made by each Lender shall be evidenced by one or more accounts or records</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53"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17"/>
          <w:szCs w:val="17"/>
          <w:b w:val="1"/>
          <w:bCs w:val="1"/>
          <w:color w:val="auto"/>
        </w:rPr>
        <w:t>Payments Generally; Administrative Agent’s Clawback</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301" w:lineRule="auto"/>
        <w:tabs>
          <w:tab w:leader="none" w:pos="152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3:00 p.m. on the date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920"/>
          </w:cols>
          <w:pgMar w:left="480" w:top="270" w:right="499" w:bottom="1440" w:gutter="0" w:footer="0" w:header="0"/>
        </w:sectPr>
      </w:pPr>
    </w:p>
    <w:bookmarkStart w:id="38" w:name="page39"/>
    <w:bookmarkEnd w:id="38"/>
    <w:p>
      <w:pPr>
        <w:jc w:val="both"/>
        <w:spacing w:after="0" w:line="29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3:00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51" w:lineRule="exact"/>
        <w:rPr>
          <w:sz w:val="20"/>
          <w:szCs w:val="20"/>
          <w:color w:val="auto"/>
        </w:rPr>
      </w:pPr>
    </w:p>
    <w:p>
      <w:pPr>
        <w:jc w:val="both"/>
        <w:ind w:left="880" w:hanging="5"/>
        <w:spacing w:after="0" w:line="282" w:lineRule="auto"/>
        <w:tabs>
          <w:tab w:leader="none" w:pos="1689"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Committed Borrowing of Eurodollar Rate Loans (or, in the case of any Committed Borrowing of Base Rate Loans, prior to 3:00 p.m.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Committed Borrowing of Base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the Borrower a corresponding amount. In such event, if a Lender has not in fact made its share of the applicable Committed Borrowing available to the Administrative Agent, then the applicable Lender and the Borrower severally agree to pay to the Administrative Agent forthwith on demand such corresponding amount in immediately available funds with interest thereon, for each day from the date such amount is made available to the Borrower to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the applicable Committed Borrowing.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Committed Borrowing to the Administrative Agent, then the amount so paid shall constitute such Lender’s Committed Loan included in such Committed Borrowing. Any payment by the Borrower shall be without prejudice to any claim the Borrower may have against a Lender that shall have failed to make such payment to the Administrative Agent.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jc w:val="both"/>
        <w:ind w:left="880" w:firstLine="799"/>
        <w:spacing w:after="0" w:line="287" w:lineRule="auto"/>
        <w:tabs>
          <w:tab w:leader="none" w:pos="2356"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in immediately available funds with interest thereon, for each day from the date such amount is distributed to it to the date of payment to the Administrative Agent, at the greater of the Federal Funds Rate and a rate determined by the Administrative Agent in accordance with banking industry rules on interbank compensation.</w:t>
      </w:r>
    </w:p>
    <w:p>
      <w:pPr>
        <w:spacing w:after="0" w:line="159" w:lineRule="exact"/>
        <w:rPr>
          <w:sz w:val="20"/>
          <w:szCs w:val="20"/>
          <w:color w:val="auto"/>
        </w:rPr>
      </w:pPr>
    </w:p>
    <w:p>
      <w:pPr>
        <w:ind w:firstLine="874"/>
        <w:spacing w:after="0" w:line="257" w:lineRule="auto"/>
        <w:rPr>
          <w:sz w:val="20"/>
          <w:szCs w:val="20"/>
          <w:color w:val="auto"/>
        </w:rPr>
      </w:pPr>
      <w:r>
        <w:rPr>
          <w:rFonts w:ascii="Arial" w:cs="Arial" w:eastAsia="Arial" w:hAnsi="Arial"/>
          <w:sz w:val="20"/>
          <w:szCs w:val="20"/>
          <w:color w:val="auto"/>
        </w:rPr>
        <w:t xml:space="preserve">A notice of the Administrative Agent to any Lender or the Borrower with respect to any amount owing under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shall be conclusive, absent manifest error.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920"/>
          </w:cols>
          <w:pgMar w:left="480" w:top="270" w:right="499" w:bottom="1440" w:gutter="0" w:footer="0" w:header="0"/>
        </w:sectPr>
      </w:pPr>
    </w:p>
    <w:bookmarkStart w:id="39" w:name="page40"/>
    <w:bookmarkEnd w:id="39"/>
    <w:p>
      <w:pPr>
        <w:jc w:val="both"/>
        <w:ind w:firstLine="875"/>
        <w:spacing w:after="0" w:line="242" w:lineRule="auto"/>
        <w:tabs>
          <w:tab w:leader="none" w:pos="1511"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2" w:lineRule="exact"/>
        <w:rPr>
          <w:rFonts w:ascii="Arial" w:cs="Arial" w:eastAsia="Arial" w:hAnsi="Arial"/>
          <w:sz w:val="20"/>
          <w:szCs w:val="20"/>
          <w:color w:val="auto"/>
        </w:rPr>
      </w:pPr>
    </w:p>
    <w:p>
      <w:pPr>
        <w:jc w:val="both"/>
        <w:ind w:firstLine="875"/>
        <w:spacing w:after="0" w:line="258" w:lineRule="auto"/>
        <w:tabs>
          <w:tab w:leader="none" w:pos="1656"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Obligations of Lenders Several</w:t>
      </w:r>
      <w:r>
        <w:rPr>
          <w:rFonts w:ascii="Arial" w:cs="Arial" w:eastAsia="Arial" w:hAnsi="Arial"/>
          <w:sz w:val="19"/>
          <w:szCs w:val="19"/>
          <w:color w:val="auto"/>
        </w:rPr>
        <w:t xml:space="preserve">. The obligations of the Lenders hereunder to make Committed Loans and to make payments pursuant to </w:t>
      </w:r>
      <w:r>
        <w:rPr>
          <w:rFonts w:ascii="Arial" w:cs="Arial" w:eastAsia="Arial" w:hAnsi="Arial"/>
          <w:sz w:val="19"/>
          <w:szCs w:val="19"/>
          <w:u w:val="single" w:color="auto"/>
          <w:color w:val="auto"/>
        </w:rPr>
        <w:t>Section 10.04(c)</w:t>
      </w:r>
      <w:r>
        <w:rPr>
          <w:rFonts w:ascii="Arial" w:cs="Arial" w:eastAsia="Arial" w:hAnsi="Arial"/>
          <w:sz w:val="19"/>
          <w:szCs w:val="19"/>
          <w:color w:val="auto"/>
        </w:rPr>
        <w:t xml:space="preserve"> are several and not joint. The failure of any Lender to make any Committed Loan, to fund any such participation or to make any payment under </w:t>
      </w:r>
      <w:r>
        <w:rPr>
          <w:rFonts w:ascii="Arial" w:cs="Arial" w:eastAsia="Arial" w:hAnsi="Arial"/>
          <w:sz w:val="19"/>
          <w:szCs w:val="19"/>
          <w:u w:val="single" w:color="auto"/>
          <w:color w:val="auto"/>
        </w:rPr>
        <w:t>Section 10.04(c)</w:t>
      </w:r>
      <w:r>
        <w:rPr>
          <w:rFonts w:ascii="Arial" w:cs="Arial" w:eastAsia="Arial" w:hAnsi="Arial"/>
          <w:sz w:val="19"/>
          <w:szCs w:val="19"/>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Arial" w:cs="Arial" w:eastAsia="Arial" w:hAnsi="Arial"/>
          <w:sz w:val="19"/>
          <w:szCs w:val="19"/>
          <w:u w:val="single" w:color="auto"/>
          <w:color w:val="auto"/>
        </w:rPr>
        <w:t>Section 10.04(c)</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firstLine="875"/>
        <w:spacing w:after="0" w:line="247" w:lineRule="auto"/>
        <w:tabs>
          <w:tab w:leader="none" w:pos="1672"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1" w:lineRule="exact"/>
        <w:rPr>
          <w:sz w:val="20"/>
          <w:szCs w:val="20"/>
          <w:color w:val="auto"/>
        </w:rPr>
      </w:pPr>
    </w:p>
    <w:p>
      <w:pPr>
        <w:jc w:val="both"/>
        <w:ind w:firstLine="874"/>
        <w:spacing w:after="0" w:line="291" w:lineRule="auto"/>
        <w:rPr>
          <w:sz w:val="20"/>
          <w:szCs w:val="20"/>
          <w:color w:val="auto"/>
        </w:rPr>
      </w:pPr>
      <w:r>
        <w:rPr>
          <w:rFonts w:ascii="Arial" w:cs="Arial" w:eastAsia="Arial" w:hAnsi="Arial"/>
          <w:sz w:val="17"/>
          <w:szCs w:val="17"/>
          <w:b w:val="1"/>
          <w:bCs w:val="1"/>
          <w:color w:val="auto"/>
        </w:rPr>
        <w:t>2.13 Sharing of Payments by Lenders</w:t>
      </w:r>
      <w:r>
        <w:rPr>
          <w:rFonts w:ascii="Arial" w:cs="Arial" w:eastAsia="Arial" w:hAnsi="Arial"/>
          <w:sz w:val="17"/>
          <w:szCs w:val="17"/>
          <w:color w:val="auto"/>
        </w:rPr>
        <w:t>. If any Lender shall, by exercising any right of setoff or counterclaim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obtain payment in respect of any principal of or interest on any of the Committed Loans made by it resulting in such Lender’s receiving payment of a proportion of the aggregate amount of such Committed Loans or participations and accrued interest thereon greater than its pro rata share thereof as provided herein, then the Lender receiving such greater proportion shall (a) notify the Administrative Agent of such fact, and (b) purchase (for cash at face value) participations in the Committed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provided that:</w:t>
      </w:r>
    </w:p>
    <w:p>
      <w:pPr>
        <w:spacing w:after="0" w:line="154" w:lineRule="exact"/>
        <w:rPr>
          <w:sz w:val="20"/>
          <w:szCs w:val="20"/>
          <w:color w:val="auto"/>
        </w:rPr>
      </w:pPr>
    </w:p>
    <w:p>
      <w:pPr>
        <w:jc w:val="both"/>
        <w:ind w:left="880" w:firstLine="799"/>
        <w:spacing w:after="0" w:line="247" w:lineRule="auto"/>
        <w:tabs>
          <w:tab w:leader="none" w:pos="227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7" w:lineRule="exact"/>
        <w:rPr>
          <w:rFonts w:ascii="Arial" w:cs="Arial" w:eastAsia="Arial" w:hAnsi="Arial"/>
          <w:sz w:val="20"/>
          <w:szCs w:val="20"/>
          <w:color w:val="auto"/>
        </w:rPr>
      </w:pPr>
    </w:p>
    <w:p>
      <w:pPr>
        <w:jc w:val="both"/>
        <w:ind w:left="880" w:firstLine="799"/>
        <w:spacing w:after="0" w:line="258" w:lineRule="auto"/>
        <w:tabs>
          <w:tab w:leader="none" w:pos="2477"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Committed Loans to any assignee or participant, other than to the Borrower or any Subsidiary thereof (as to which the provisions of this Section shall apply).</w:t>
      </w:r>
    </w:p>
    <w:p>
      <w:pPr>
        <w:spacing w:after="0" w:line="178" w:lineRule="exact"/>
        <w:rPr>
          <w:sz w:val="20"/>
          <w:szCs w:val="20"/>
          <w:color w:val="auto"/>
        </w:rPr>
      </w:pPr>
    </w:p>
    <w:p>
      <w:pPr>
        <w:jc w:val="both"/>
        <w:ind w:firstLine="874"/>
        <w:spacing w:after="0" w:line="312" w:lineRule="auto"/>
        <w:rPr>
          <w:sz w:val="20"/>
          <w:szCs w:val="20"/>
          <w:color w:val="auto"/>
        </w:rPr>
      </w:pPr>
      <w:r>
        <w:rPr>
          <w:rFonts w:ascii="Arial" w:cs="Arial" w:eastAsia="Arial" w:hAnsi="Arial"/>
          <w:sz w:val="17"/>
          <w:szCs w:val="17"/>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29"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b w:val="1"/>
          <w:bCs w:val="1"/>
          <w:color w:val="auto"/>
        </w:rPr>
        <w:t>2.14</w:t>
      </w:r>
      <w:r>
        <w:rPr>
          <w:sz w:val="20"/>
          <w:szCs w:val="20"/>
          <w:color w:val="auto"/>
        </w:rPr>
        <w:tab/>
      </w:r>
      <w:r>
        <w:rPr>
          <w:rFonts w:ascii="Arial" w:cs="Arial" w:eastAsia="Arial" w:hAnsi="Arial"/>
          <w:sz w:val="17"/>
          <w:szCs w:val="17"/>
          <w:b w:val="1"/>
          <w:bCs w:val="1"/>
          <w:color w:val="auto"/>
        </w:rPr>
        <w:t>[Reserved]</w:t>
      </w:r>
      <w:r>
        <w:rPr>
          <w:rFonts w:ascii="Arial" w:cs="Arial" w:eastAsia="Arial" w:hAnsi="Arial"/>
          <w:sz w:val="17"/>
          <w:szCs w:val="17"/>
          <w:color w:val="auto"/>
        </w:rPr>
        <w:t>.</w:t>
      </w:r>
    </w:p>
    <w:p>
      <w:pPr>
        <w:spacing w:after="0" w:line="212"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b w:val="1"/>
          <w:bCs w:val="1"/>
          <w:color w:val="auto"/>
        </w:rPr>
        <w:t>2.15</w:t>
      </w:r>
      <w:r>
        <w:rPr>
          <w:sz w:val="20"/>
          <w:szCs w:val="20"/>
          <w:color w:val="auto"/>
        </w:rPr>
        <w:tab/>
      </w:r>
      <w:r>
        <w:rPr>
          <w:rFonts w:ascii="Arial" w:cs="Arial" w:eastAsia="Arial" w:hAnsi="Arial"/>
          <w:sz w:val="17"/>
          <w:szCs w:val="17"/>
          <w:b w:val="1"/>
          <w:bCs w:val="1"/>
          <w:color w:val="auto"/>
        </w:rPr>
        <w:t>[Reserved]</w:t>
      </w:r>
      <w:r>
        <w:rPr>
          <w:rFonts w:ascii="Arial" w:cs="Arial" w:eastAsia="Arial" w:hAnsi="Arial"/>
          <w:sz w:val="17"/>
          <w:szCs w:val="17"/>
          <w:color w:val="auto"/>
        </w:rPr>
        <w:t>.</w:t>
      </w:r>
    </w:p>
    <w:p>
      <w:pPr>
        <w:spacing w:after="0" w:line="212"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b w:val="1"/>
          <w:bCs w:val="1"/>
          <w:color w:val="auto"/>
        </w:rPr>
        <w:t>2.16</w:t>
      </w:r>
      <w:r>
        <w:rPr>
          <w:sz w:val="20"/>
          <w:szCs w:val="20"/>
          <w:color w:val="auto"/>
        </w:rPr>
        <w:tab/>
      </w:r>
      <w:r>
        <w:rPr>
          <w:rFonts w:ascii="Arial" w:cs="Arial" w:eastAsia="Arial" w:hAnsi="Arial"/>
          <w:sz w:val="17"/>
          <w:szCs w:val="17"/>
          <w:b w:val="1"/>
          <w:bCs w:val="1"/>
          <w:color w:val="auto"/>
        </w:rPr>
        <w:t>Defaulting Lenders</w:t>
      </w:r>
      <w:r>
        <w:rPr>
          <w:rFonts w:ascii="Arial" w:cs="Arial" w:eastAsia="Arial" w:hAnsi="Arial"/>
          <w:sz w:val="17"/>
          <w:szCs w:val="17"/>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920"/>
          </w:cols>
          <w:pgMar w:left="480" w:top="270" w:right="499" w:bottom="1440" w:gutter="0" w:footer="0" w:header="0"/>
        </w:sectPr>
      </w:pPr>
    </w:p>
    <w:bookmarkStart w:id="40" w:name="page41"/>
    <w:bookmarkEnd w:id="40"/>
    <w:p>
      <w:pPr>
        <w:ind w:firstLine="875"/>
        <w:spacing w:after="0" w:line="345" w:lineRule="auto"/>
        <w:tabs>
          <w:tab w:leader="none" w:pos="1779"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Adjustments</w:t>
      </w:r>
      <w:r>
        <w:rPr>
          <w:rFonts w:ascii="Arial" w:cs="Arial" w:eastAsia="Arial" w:hAnsi="Arial"/>
          <w:sz w:val="17"/>
          <w:szCs w:val="17"/>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07" w:lineRule="exact"/>
        <w:rPr>
          <w:rFonts w:ascii="Arial" w:cs="Arial" w:eastAsia="Arial" w:hAnsi="Arial"/>
          <w:sz w:val="17"/>
          <w:szCs w:val="17"/>
          <w:color w:val="auto"/>
        </w:rPr>
      </w:pPr>
    </w:p>
    <w:p>
      <w:pPr>
        <w:jc w:val="both"/>
        <w:ind w:left="880" w:firstLine="598"/>
        <w:spacing w:after="0" w:line="345" w:lineRule="auto"/>
        <w:tabs>
          <w:tab w:leader="none" w:pos="2114"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xml:space="preserve">. That Defaulting Lender’s right to approve or disapprove any amendment, waiver or consent with respect to this Agreement shall be restricted as set forth in the definition of “Required Lenders” and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107" w:lineRule="exact"/>
        <w:rPr>
          <w:rFonts w:ascii="Arial" w:cs="Arial" w:eastAsia="Arial" w:hAnsi="Arial"/>
          <w:sz w:val="17"/>
          <w:szCs w:val="17"/>
          <w:color w:val="auto"/>
        </w:rPr>
      </w:pPr>
    </w:p>
    <w:p>
      <w:pPr>
        <w:jc w:val="both"/>
        <w:ind w:left="880" w:firstLine="598"/>
        <w:spacing w:after="0" w:line="282" w:lineRule="auto"/>
        <w:tabs>
          <w:tab w:leader="none" w:pos="2463"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Reallocation of Payments</w:t>
      </w:r>
      <w:r>
        <w:rPr>
          <w:rFonts w:ascii="Arial" w:cs="Arial" w:eastAsia="Arial" w:hAnsi="Arial"/>
          <w:sz w:val="17"/>
          <w:szCs w:val="17"/>
          <w:color w:val="auto"/>
        </w:rPr>
        <w:t xml:space="preserve">. Any payment of principal, interest, fees or other amounts received by the Administrative Agent for the account of that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and including any amounts made available to the Administrative Agent by that Defaulting Lender pursuant to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to the payment of any amounts owing by that Defaulting Lender to the Administrative Agent hereunder;</w:t>
      </w:r>
      <w:r>
        <w:rPr>
          <w:rFonts w:ascii="Arial" w:cs="Arial" w:eastAsia="Arial" w:hAnsi="Arial"/>
          <w:sz w:val="17"/>
          <w:szCs w:val="17"/>
          <w:i w:val="1"/>
          <w:iCs w:val="1"/>
          <w:color w:val="auto"/>
        </w:rPr>
        <w:t xml:space="preserve"> second</w:t>
      </w:r>
      <w:r>
        <w:rPr>
          <w:rFonts w:ascii="Arial" w:cs="Arial" w:eastAsia="Arial" w:hAnsi="Arial"/>
          <w:sz w:val="17"/>
          <w:szCs w:val="17"/>
          <w:color w:val="auto"/>
        </w:rPr>
        <w:t>, as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Borrower may request (so long as no Default or Event of Default exists), to the funding of any Loan in respect of which that Defaulting Lender has failed to fund its portion thereof as required by this Agreement, as determined by the Administrative Agent; </w:t>
      </w:r>
      <w:r>
        <w:rPr>
          <w:rFonts w:ascii="Arial" w:cs="Arial" w:eastAsia="Arial" w:hAnsi="Arial"/>
          <w:sz w:val="17"/>
          <w:szCs w:val="17"/>
          <w:i w:val="1"/>
          <w:iCs w:val="1"/>
          <w:color w:val="auto"/>
        </w:rPr>
        <w:t>third</w:t>
      </w:r>
      <w:r>
        <w:rPr>
          <w:rFonts w:ascii="Arial" w:cs="Arial" w:eastAsia="Arial" w:hAnsi="Arial"/>
          <w:sz w:val="17"/>
          <w:szCs w:val="17"/>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Arial" w:cs="Arial" w:eastAsia="Arial" w:hAnsi="Arial"/>
          <w:sz w:val="17"/>
          <w:szCs w:val="17"/>
          <w:i w:val="1"/>
          <w:iCs w:val="1"/>
          <w:color w:val="auto"/>
        </w:rPr>
        <w:t>fifth</w:t>
      </w:r>
      <w:r>
        <w:rPr>
          <w:rFonts w:ascii="Arial" w:cs="Arial" w:eastAsia="Arial" w:hAnsi="Arial"/>
          <w:sz w:val="17"/>
          <w:szCs w:val="17"/>
          <w:color w:val="auto"/>
        </w:rPr>
        <w:t>, so long as no Default or Event of Default exists, to the payment of any amounts owing to the Borrower as a result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judgment of a court of competent jurisdiction obtained by the Borrower against that Defaulting Lender as a result of that Defaulting Lender’s breach of its obligations under this Agreement; and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that Defaulting Lender or as otherwise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in respect of which that Defaulting Lender has not fully funded its appropriate share and (y) such Loans were made at a time when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were satisfied or waived, such payment shall be applied solely to pay the Loans of all non-Defaulting Lenders on a pro rata basis prior to being applied to the payment of any Loans of that Defaulting Lender. Any payments, prepayments or other amounts paid or payable to a Defaulting Lender that are applied (or held) to pay amounts owed by a Defaulting Lender pursuant to this </w:t>
      </w:r>
      <w:r>
        <w:rPr>
          <w:rFonts w:ascii="Arial" w:cs="Arial" w:eastAsia="Arial" w:hAnsi="Arial"/>
          <w:sz w:val="17"/>
          <w:szCs w:val="17"/>
          <w:u w:val="single" w:color="auto"/>
          <w:color w:val="auto"/>
        </w:rPr>
        <w:t>Section 2.16(a)(ii)</w:t>
      </w:r>
      <w:r>
        <w:rPr>
          <w:rFonts w:ascii="Arial" w:cs="Arial" w:eastAsia="Arial" w:hAnsi="Arial"/>
          <w:sz w:val="17"/>
          <w:szCs w:val="17"/>
          <w:color w:val="auto"/>
        </w:rPr>
        <w:t xml:space="preserve"> shall be deemed paid to and redirected by that Defaulting Lender, and each Lender irrevocably consents hereto.</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jc w:val="both"/>
        <w:ind w:left="880" w:firstLine="598"/>
        <w:spacing w:after="0" w:line="261" w:lineRule="auto"/>
        <w:tabs>
          <w:tab w:leader="none" w:pos="2223" w:val="left"/>
        </w:tabs>
        <w:numPr>
          <w:ilvl w:val="1"/>
          <w:numId w:val="32"/>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 xml:space="preserve">. That Defaulting Lender shall be entitled to receive any fees payable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2.09(b)</w:t>
      </w:r>
      <w:r>
        <w:rPr>
          <w:rFonts w:ascii="Arial" w:cs="Arial" w:eastAsia="Arial" w:hAnsi="Arial"/>
          <w:sz w:val="19"/>
          <w:szCs w:val="19"/>
          <w:color w:val="auto"/>
        </w:rPr>
        <w:t xml:space="preserve"> for any period during which that Lender is a Defaulting Lender only to extent allocable to the Outstanding Amount of the Committed Loans funded by it (and the Borrower shall not be required to pay the remaining amount of such fee that otherwise would have been required to have been paid to that Defaulting Lender).</w:t>
      </w:r>
    </w:p>
    <w:p>
      <w:pPr>
        <w:spacing w:after="0" w:line="174" w:lineRule="exact"/>
        <w:rPr>
          <w:rFonts w:ascii="Arial" w:cs="Arial" w:eastAsia="Arial" w:hAnsi="Arial"/>
          <w:sz w:val="19"/>
          <w:szCs w:val="19"/>
          <w:color w:val="auto"/>
        </w:rPr>
      </w:pPr>
    </w:p>
    <w:p>
      <w:pPr>
        <w:jc w:val="both"/>
        <w:ind w:firstLine="875"/>
        <w:spacing w:after="0" w:line="290" w:lineRule="auto"/>
        <w:tabs>
          <w:tab w:leader="none" w:pos="157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and the Administrative Agent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that Lender will, to the extent applicable, purchase that portion of outstanding Loans of the other Lenders or take such other actions as the Administrative Agent may determine to be necessary to cause the Committed Loans to be held on a pro rata basis by the Lenders in accordance with their Applicable Percentages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whereupon that Lender will cease to be a Defaulting Lender; provided that no adjustments will be made retroactively with respect to fees accrued or payments made by or on behalf 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0920"/>
          </w:cols>
          <w:pgMar w:left="480" w:top="270" w:right="499" w:bottom="1440" w:gutter="0" w:footer="0" w:header="0"/>
        </w:sectPr>
      </w:pPr>
    </w:p>
    <w:bookmarkStart w:id="41" w:name="page42"/>
    <w:bookmarkEnd w:id="41"/>
    <w:p>
      <w:pPr>
        <w:jc w:val="both"/>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Borrower while that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190"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218" w:lineRule="exact"/>
        <w:rPr>
          <w:sz w:val="20"/>
          <w:szCs w:val="20"/>
          <w:color w:val="auto"/>
        </w:rPr>
      </w:pPr>
    </w:p>
    <w:p>
      <w:pPr>
        <w:jc w:val="both"/>
        <w:ind w:left="880" w:firstLine="699"/>
        <w:spacing w:after="0" w:line="292" w:lineRule="auto"/>
        <w:tabs>
          <w:tab w:leader="none" w:pos="2383"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Payments Free of Taxes; Obligation to Withhold; Payments on Account of Taxes</w:t>
      </w:r>
      <w:r>
        <w:rPr>
          <w:rFonts w:ascii="Arial" w:cs="Arial" w:eastAsia="Arial" w:hAnsi="Arial"/>
          <w:sz w:val="17"/>
          <w:szCs w:val="17"/>
          <w:color w:val="auto"/>
        </w:rPr>
        <w:t xml:space="preserve">. Any and all payments by or on account of any obligation of the Borrower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the Borrower, then the Administrative Agent or the Borrower shall be entitled to make such deduction or withholding, upon the basis of the information and documentation to be delivered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w:t>
      </w:r>
    </w:p>
    <w:p>
      <w:pPr>
        <w:spacing w:after="0" w:line="153" w:lineRule="exact"/>
        <w:rPr>
          <w:rFonts w:ascii="Arial" w:cs="Arial" w:eastAsia="Arial" w:hAnsi="Arial"/>
          <w:sz w:val="17"/>
          <w:szCs w:val="17"/>
          <w:color w:val="auto"/>
        </w:rPr>
      </w:pPr>
    </w:p>
    <w:p>
      <w:pPr>
        <w:jc w:val="both"/>
        <w:ind w:left="880" w:firstLine="799"/>
        <w:spacing w:after="0" w:line="283" w:lineRule="auto"/>
        <w:tabs>
          <w:tab w:leader="none" w:pos="2363" w:val="left"/>
        </w:tabs>
        <w:numPr>
          <w:ilvl w:val="2"/>
          <w:numId w:val="33"/>
        </w:numPr>
        <w:rPr>
          <w:rFonts w:ascii="Arial" w:cs="Arial" w:eastAsia="Arial" w:hAnsi="Arial"/>
          <w:sz w:val="17"/>
          <w:szCs w:val="17"/>
          <w:color w:val="auto"/>
        </w:rPr>
      </w:pPr>
      <w:r>
        <w:rPr>
          <w:rFonts w:ascii="Arial" w:cs="Arial" w:eastAsia="Arial" w:hAnsi="Arial"/>
          <w:sz w:val="17"/>
          <w:szCs w:val="17"/>
          <w:color w:val="auto"/>
        </w:rPr>
        <w:t xml:space="preserve">If the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Administrative Agent shall timely pay the full amount withheld or deducted to the relevant Governmental Authority in accordance with the Code, and</w:t>
      </w:r>
    </w:p>
    <w:p>
      <w:pPr>
        <w:spacing w:after="0" w:line="1" w:lineRule="exact"/>
        <w:rPr>
          <w:rFonts w:ascii="Arial" w:cs="Arial" w:eastAsia="Arial" w:hAnsi="Arial"/>
          <w:sz w:val="17"/>
          <w:szCs w:val="17"/>
          <w:color w:val="auto"/>
        </w:rPr>
      </w:pPr>
    </w:p>
    <w:p>
      <w:pPr>
        <w:jc w:val="both"/>
        <w:ind w:left="880" w:hanging="5"/>
        <w:spacing w:after="0" w:line="294" w:lineRule="auto"/>
        <w:tabs>
          <w:tab w:leader="none" w:pos="1196"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50" w:lineRule="exact"/>
        <w:rPr>
          <w:rFonts w:ascii="Arial" w:cs="Arial" w:eastAsia="Arial" w:hAnsi="Arial"/>
          <w:sz w:val="17"/>
          <w:szCs w:val="17"/>
          <w:color w:val="auto"/>
        </w:rPr>
      </w:pPr>
    </w:p>
    <w:p>
      <w:pPr>
        <w:jc w:val="both"/>
        <w:ind w:left="880" w:firstLine="799"/>
        <w:spacing w:after="0" w:line="287" w:lineRule="auto"/>
        <w:tabs>
          <w:tab w:leader="none" w:pos="2379" w:val="left"/>
        </w:tabs>
        <w:numPr>
          <w:ilvl w:val="2"/>
          <w:numId w:val="34"/>
        </w:numPr>
        <w:rPr>
          <w:rFonts w:ascii="Arial" w:cs="Arial" w:eastAsia="Arial" w:hAnsi="Arial"/>
          <w:sz w:val="17"/>
          <w:szCs w:val="17"/>
          <w:color w:val="auto"/>
        </w:rPr>
      </w:pPr>
      <w:r>
        <w:rPr>
          <w:rFonts w:ascii="Arial" w:cs="Arial" w:eastAsia="Arial" w:hAnsi="Arial"/>
          <w:sz w:val="17"/>
          <w:szCs w:val="17"/>
          <w:color w:val="auto"/>
        </w:rPr>
        <w:t xml:space="preserve">If the Borrower or the Administrative Agent shall be required by any applicable Laws other than the Code to withhold or deduct any Taxes from any payment, then (A) the Borrower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Borrower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Borrower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59" w:lineRule="exact"/>
        <w:rPr>
          <w:sz w:val="20"/>
          <w:szCs w:val="20"/>
          <w:color w:val="auto"/>
        </w:rPr>
      </w:pPr>
    </w:p>
    <w:p>
      <w:pPr>
        <w:jc w:val="both"/>
        <w:ind w:firstLine="875"/>
        <w:spacing w:after="0" w:line="247" w:lineRule="auto"/>
        <w:tabs>
          <w:tab w:leader="none" w:pos="1549"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 the Borrower shall timely pay to the relevant Governmental Authority in accordance with applicable Law, or at the option of the Administrative Agent timely reimburse it for the payment of, any Other Taxes.</w:t>
      </w:r>
    </w:p>
    <w:p>
      <w:pPr>
        <w:spacing w:after="0" w:line="187" w:lineRule="exact"/>
        <w:rPr>
          <w:rFonts w:ascii="Arial" w:cs="Arial" w:eastAsia="Arial" w:hAnsi="Arial"/>
          <w:sz w:val="20"/>
          <w:szCs w:val="20"/>
          <w:color w:val="auto"/>
        </w:rPr>
      </w:pPr>
    </w:p>
    <w:p>
      <w:pPr>
        <w:ind w:left="1480" w:hanging="605"/>
        <w:spacing w:after="0"/>
        <w:tabs>
          <w:tab w:leader="none" w:pos="148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0920"/>
          </w:cols>
          <w:pgMar w:left="480" w:top="270" w:right="499" w:bottom="1440" w:gutter="0" w:footer="0" w:header="0"/>
        </w:sectPr>
      </w:pPr>
    </w:p>
    <w:bookmarkStart w:id="42" w:name="page43"/>
    <w:bookmarkEnd w:id="42"/>
    <w:p>
      <w:pPr>
        <w:jc w:val="both"/>
        <w:ind w:left="880" w:firstLine="799"/>
        <w:spacing w:after="0" w:line="286" w:lineRule="auto"/>
        <w:tabs>
          <w:tab w:leader="none" w:pos="2347" w:val="left"/>
        </w:tabs>
        <w:numPr>
          <w:ilvl w:val="2"/>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The Borrower shall, and does hereby, indemnify the Administrative Agent, and shall make payment in respect thereof within 30 days after demand therefor, for any amount which a Lender for any reason fails to pay indefeasibly to the Administrative Agent as required pursuant to </w:t>
      </w:r>
      <w:r>
        <w:rPr>
          <w:rFonts w:ascii="Arial" w:cs="Arial" w:eastAsia="Arial" w:hAnsi="Arial"/>
          <w:sz w:val="17"/>
          <w:szCs w:val="17"/>
          <w:u w:val="single" w:color="auto"/>
          <w:color w:val="auto"/>
        </w:rPr>
        <w:t>Section 3.01(c)(ii)</w:t>
      </w:r>
      <w:r>
        <w:rPr>
          <w:rFonts w:ascii="Arial" w:cs="Arial" w:eastAsia="Arial" w:hAnsi="Arial"/>
          <w:sz w:val="17"/>
          <w:szCs w:val="17"/>
          <w:color w:val="auto"/>
        </w:rPr>
        <w:t xml:space="preserve"> below.</w:t>
      </w:r>
    </w:p>
    <w:p>
      <w:pPr>
        <w:spacing w:after="0" w:line="161" w:lineRule="exact"/>
        <w:rPr>
          <w:rFonts w:ascii="Arial" w:cs="Arial" w:eastAsia="Arial" w:hAnsi="Arial"/>
          <w:sz w:val="17"/>
          <w:szCs w:val="17"/>
          <w:color w:val="auto"/>
        </w:rPr>
      </w:pPr>
    </w:p>
    <w:p>
      <w:pPr>
        <w:jc w:val="both"/>
        <w:ind w:left="880" w:firstLine="799"/>
        <w:spacing w:after="0" w:line="285" w:lineRule="auto"/>
        <w:tabs>
          <w:tab w:leader="none" w:pos="2395" w:val="left"/>
        </w:tabs>
        <w:numPr>
          <w:ilvl w:val="2"/>
          <w:numId w:val="36"/>
        </w:numPr>
        <w:rPr>
          <w:rFonts w:ascii="Arial" w:cs="Arial" w:eastAsia="Arial" w:hAnsi="Arial"/>
          <w:sz w:val="17"/>
          <w:szCs w:val="17"/>
          <w:color w:val="auto"/>
        </w:rPr>
      </w:pPr>
      <w:r>
        <w:rPr>
          <w:rFonts w:ascii="Arial" w:cs="Arial" w:eastAsia="Arial" w:hAnsi="Arial"/>
          <w:sz w:val="17"/>
          <w:szCs w:val="17"/>
          <w:color w:val="auto"/>
        </w:rPr>
        <w:t>Each Lender shall, and does hereby, severally indemnify, and shall make payment in respect thereof within 30 days after demand therefor, (</w:t>
      </w:r>
      <w:r>
        <w:rPr>
          <w:rFonts w:ascii="Arial" w:cs="Arial" w:eastAsia="Arial" w:hAnsi="Arial"/>
          <w:sz w:val="17"/>
          <w:szCs w:val="17"/>
          <w:i w:val="1"/>
          <w:iCs w:val="1"/>
          <w:color w:val="auto"/>
        </w:rPr>
        <w:t>x</w:t>
      </w:r>
      <w:r>
        <w:rPr>
          <w:rFonts w:ascii="Arial" w:cs="Arial" w:eastAsia="Arial" w:hAnsi="Arial"/>
          <w:sz w:val="17"/>
          <w:szCs w:val="17"/>
          <w:color w:val="auto"/>
        </w:rPr>
        <w:t xml:space="preserve">) the Administrative Agent against any Indemnified Taxes attributable to such Lender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relating to the maintenance of a Participant Register and (</w:t>
      </w:r>
      <w:r>
        <w:rPr>
          <w:rFonts w:ascii="Arial" w:cs="Arial" w:eastAsia="Arial" w:hAnsi="Arial"/>
          <w:sz w:val="17"/>
          <w:szCs w:val="17"/>
          <w:i w:val="1"/>
          <w:iCs w:val="1"/>
          <w:color w:val="auto"/>
        </w:rPr>
        <w:t>z</w:t>
      </w:r>
      <w:r>
        <w:rPr>
          <w:rFonts w:ascii="Arial" w:cs="Arial" w:eastAsia="Arial" w:hAnsi="Arial"/>
          <w:sz w:val="17"/>
          <w:szCs w:val="17"/>
          <w:color w:val="auto"/>
        </w:rPr>
        <w:t xml:space="preserve">) the Administrative Agent and the Borrower, as applicable, against any Excluded Taxes attributable to such Lender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the Borrower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160" w:lineRule="exact"/>
        <w:rPr>
          <w:rFonts w:ascii="Arial" w:cs="Arial" w:eastAsia="Arial" w:hAnsi="Arial"/>
          <w:sz w:val="17"/>
          <w:szCs w:val="17"/>
          <w:color w:val="auto"/>
        </w:rPr>
      </w:pPr>
    </w:p>
    <w:p>
      <w:pPr>
        <w:jc w:val="both"/>
        <w:ind w:firstLine="875"/>
        <w:spacing w:after="0" w:line="261" w:lineRule="auto"/>
        <w:tabs>
          <w:tab w:leader="none" w:pos="173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Taxes by the Borrower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74" w:lineRule="exact"/>
        <w:rPr>
          <w:rFonts w:ascii="Arial" w:cs="Arial" w:eastAsia="Arial" w:hAnsi="Arial"/>
          <w:sz w:val="19"/>
          <w:szCs w:val="19"/>
          <w:color w:val="auto"/>
        </w:rPr>
      </w:pPr>
    </w:p>
    <w:p>
      <w:pPr>
        <w:ind w:left="1480" w:hanging="605"/>
        <w:spacing w:after="0"/>
        <w:tabs>
          <w:tab w:leader="none" w:pos="148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jc w:val="both"/>
        <w:ind w:left="880" w:firstLine="598"/>
        <w:spacing w:after="0" w:line="253" w:lineRule="auto"/>
        <w:tabs>
          <w:tab w:leader="none" w:pos="2050"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0920"/>
          </w:cols>
          <w:pgMar w:left="480" w:top="270" w:right="499" w:bottom="1440" w:gutter="0" w:footer="0" w:header="0"/>
        </w:sectPr>
      </w:pPr>
    </w:p>
    <w:bookmarkStart w:id="43" w:name="page44"/>
    <w:bookmarkEnd w:id="43"/>
    <w:p>
      <w:pPr>
        <w:jc w:val="both"/>
        <w:spacing w:after="0" w:line="247" w:lineRule="auto"/>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3.01(e)(ii)(A)</w:t>
      </w:r>
      <w:r>
        <w:rPr>
          <w:rFonts w:ascii="Arial" w:cs="Arial" w:eastAsia="Arial" w:hAnsi="Arial"/>
          <w:sz w:val="20"/>
          <w:szCs w:val="20"/>
          <w:color w:val="auto"/>
        </w:rPr>
        <w:t xml:space="preserve">, </w:t>
      </w:r>
      <w:r>
        <w:rPr>
          <w:rFonts w:ascii="Arial" w:cs="Arial" w:eastAsia="Arial" w:hAnsi="Arial"/>
          <w:sz w:val="20"/>
          <w:szCs w:val="20"/>
          <w:u w:val="single" w:color="auto"/>
          <w:color w:val="auto"/>
        </w:rPr>
        <w:t>(ii)(B)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(ii)(D)</w:t>
      </w:r>
      <w:r>
        <w:rPr>
          <w:rFonts w:ascii="Arial" w:cs="Arial" w:eastAsia="Arial" w:hAnsi="Arial"/>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47" w:lineRule="exact"/>
        <w:rPr>
          <w:sz w:val="20"/>
          <w:szCs w:val="20"/>
          <w:color w:val="auto"/>
        </w:rPr>
      </w:pPr>
    </w:p>
    <w:p>
      <w:pPr>
        <w:ind w:left="1420" w:hanging="621"/>
        <w:spacing w:after="0"/>
        <w:tabs>
          <w:tab w:leader="none" w:pos="14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185" w:lineRule="exact"/>
        <w:rPr>
          <w:rFonts w:ascii="Arial" w:cs="Arial" w:eastAsia="Arial" w:hAnsi="Arial"/>
          <w:sz w:val="20"/>
          <w:szCs w:val="20"/>
          <w:color w:val="auto"/>
        </w:rPr>
      </w:pPr>
    </w:p>
    <w:p>
      <w:pPr>
        <w:jc w:val="both"/>
        <w:ind w:left="860" w:firstLine="743"/>
        <w:spacing w:after="0" w:line="261" w:lineRule="auto"/>
        <w:tabs>
          <w:tab w:leader="none" w:pos="2293" w:val="left"/>
        </w:tabs>
        <w:numPr>
          <w:ilvl w:val="1"/>
          <w:numId w:val="38"/>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34" w:lineRule="exact"/>
        <w:rPr>
          <w:rFonts w:ascii="Arial" w:cs="Arial" w:eastAsia="Arial" w:hAnsi="Arial"/>
          <w:sz w:val="19"/>
          <w:szCs w:val="19"/>
          <w:color w:val="auto"/>
        </w:rPr>
      </w:pPr>
    </w:p>
    <w:p>
      <w:pPr>
        <w:jc w:val="both"/>
        <w:ind w:left="860" w:firstLine="743"/>
        <w:spacing w:after="0" w:line="301" w:lineRule="auto"/>
        <w:tabs>
          <w:tab w:leader="none" w:pos="20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03" w:lineRule="exact"/>
        <w:rPr>
          <w:rFonts w:ascii="Arial" w:cs="Arial" w:eastAsia="Arial" w:hAnsi="Arial"/>
          <w:sz w:val="17"/>
          <w:szCs w:val="17"/>
          <w:color w:val="auto"/>
        </w:rPr>
      </w:pPr>
    </w:p>
    <w:p>
      <w:pPr>
        <w:jc w:val="both"/>
        <w:ind w:left="1740" w:firstLine="667"/>
        <w:spacing w:after="0" w:line="290" w:lineRule="auto"/>
        <w:tabs>
          <w:tab w:leader="none" w:pos="3001" w:val="left"/>
        </w:tabs>
        <w:numPr>
          <w:ilvl w:val="2"/>
          <w:numId w:val="38"/>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27" w:lineRule="exact"/>
        <w:rPr>
          <w:sz w:val="20"/>
          <w:szCs w:val="20"/>
          <w:color w:val="auto"/>
        </w:rPr>
      </w:pPr>
    </w:p>
    <w:p>
      <w:pPr>
        <w:ind w:left="3060" w:hanging="653"/>
        <w:spacing w:after="0"/>
        <w:tabs>
          <w:tab w:leader="none" w:pos="30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172" w:lineRule="exact"/>
        <w:rPr>
          <w:sz w:val="20"/>
          <w:szCs w:val="20"/>
          <w:color w:val="auto"/>
        </w:rPr>
      </w:pPr>
    </w:p>
    <w:p>
      <w:pPr>
        <w:jc w:val="both"/>
        <w:ind w:left="1740" w:firstLine="667"/>
        <w:spacing w:after="0" w:line="292" w:lineRule="auto"/>
        <w:tabs>
          <w:tab w:leader="none" w:pos="3265"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7"/>
          <w:szCs w:val="17"/>
          <w:u w:val="single" w:color="auto"/>
          <w:color w:val="auto"/>
        </w:rPr>
        <w:t>Exhibit E-1</w:t>
      </w:r>
      <w:r>
        <w:rPr>
          <w:rFonts w:ascii="Arial" w:cs="Arial" w:eastAsia="Arial" w:hAnsi="Arial"/>
          <w:sz w:val="17"/>
          <w:szCs w:val="17"/>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7"/>
          <w:szCs w:val="17"/>
          <w:u w:val="single" w:color="auto"/>
          <w:color w:val="auto"/>
        </w:rPr>
        <w:t>U.S. Tax 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and (y) executed copies of IRS Form W-8BENE (or W-8BEN, as applicable); or</w:t>
      </w:r>
    </w:p>
    <w:p>
      <w:pPr>
        <w:spacing w:after="0" w:line="113" w:lineRule="exact"/>
        <w:rPr>
          <w:sz w:val="20"/>
          <w:szCs w:val="20"/>
          <w:color w:val="auto"/>
        </w:rPr>
      </w:pPr>
    </w:p>
    <w:p>
      <w:pPr>
        <w:jc w:val="both"/>
        <w:ind w:left="1740" w:firstLine="664"/>
        <w:spacing w:after="0"/>
        <w:rPr>
          <w:sz w:val="20"/>
          <w:szCs w:val="20"/>
          <w:color w:val="auto"/>
        </w:rPr>
      </w:pPr>
      <w:r>
        <w:rPr>
          <w:rFonts w:ascii="Arial" w:cs="Arial" w:eastAsia="Arial" w:hAnsi="Arial"/>
          <w:sz w:val="20"/>
          <w:szCs w:val="20"/>
          <w:color w:val="auto"/>
        </w:rPr>
        <w:t xml:space="preserve">(IV) 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20"/>
          <w:szCs w:val="20"/>
          <w:u w:val="single" w:color="auto"/>
          <w:color w:val="auto"/>
        </w:rPr>
        <w:t>Exhibit E-2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Exhibit E-3</w:t>
      </w:r>
      <w:r>
        <w:rPr>
          <w:rFonts w:ascii="Arial" w:cs="Arial" w:eastAsia="Arial" w:hAnsi="Arial"/>
          <w:sz w:val="20"/>
          <w:szCs w:val="20"/>
          <w:color w:val="auto"/>
        </w:rPr>
        <w:t xml:space="preserve">, IRS Form W-9, and/or other certification documents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w:t>
      </w:r>
    </w:p>
    <w:p>
      <w:pPr>
        <w:spacing w:after="0" w:line="131"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0040"/>
          </w:cols>
          <w:pgMar w:left="1360" w:top="270" w:right="499" w:bottom="1440" w:gutter="0" w:footer="0" w:header="0"/>
        </w:sectPr>
      </w:pPr>
    </w:p>
    <w:bookmarkStart w:id="44" w:name="page45"/>
    <w:bookmarkEnd w:id="44"/>
    <w:p>
      <w:pPr>
        <w:ind w:left="26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substantially in the form of </w:t>
      </w:r>
      <w:r>
        <w:rPr>
          <w:rFonts w:ascii="Arial" w:cs="Arial" w:eastAsia="Arial" w:hAnsi="Arial"/>
          <w:sz w:val="20"/>
          <w:szCs w:val="20"/>
          <w:u w:val="single" w:color="auto"/>
          <w:color w:val="auto"/>
        </w:rPr>
        <w:t>Exhibit E-4</w:t>
      </w:r>
      <w:r>
        <w:rPr>
          <w:rFonts w:ascii="Arial" w:cs="Arial" w:eastAsia="Arial" w:hAnsi="Arial"/>
          <w:sz w:val="20"/>
          <w:szCs w:val="20"/>
          <w:color w:val="auto"/>
        </w:rPr>
        <w:t xml:space="preserve"> on behalf of each such direct and indirect partner;</w:t>
      </w:r>
    </w:p>
    <w:p>
      <w:pPr>
        <w:spacing w:after="0" w:line="212" w:lineRule="exact"/>
        <w:rPr>
          <w:sz w:val="20"/>
          <w:szCs w:val="20"/>
          <w:color w:val="auto"/>
        </w:rPr>
      </w:pPr>
    </w:p>
    <w:p>
      <w:pPr>
        <w:jc w:val="both"/>
        <w:ind w:left="1740" w:firstLine="743"/>
        <w:spacing w:after="0" w:line="290" w:lineRule="auto"/>
        <w:tabs>
          <w:tab w:leader="none" w:pos="3207" w:val="left"/>
        </w:tabs>
        <w:numPr>
          <w:ilvl w:val="2"/>
          <w:numId w:val="41"/>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4" w:lineRule="exact"/>
        <w:rPr>
          <w:rFonts w:ascii="Arial" w:cs="Arial" w:eastAsia="Arial" w:hAnsi="Arial"/>
          <w:sz w:val="17"/>
          <w:szCs w:val="17"/>
          <w:color w:val="auto"/>
        </w:rPr>
      </w:pPr>
    </w:p>
    <w:p>
      <w:pPr>
        <w:jc w:val="both"/>
        <w:ind w:left="1740" w:firstLine="743"/>
        <w:spacing w:after="0" w:line="253" w:lineRule="auto"/>
        <w:tabs>
          <w:tab w:leader="none" w:pos="3358" w:val="left"/>
        </w:tabs>
        <w:numPr>
          <w:ilvl w:val="2"/>
          <w:numId w:val="41"/>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4" w:lineRule="exact"/>
        <w:rPr>
          <w:rFonts w:ascii="Arial" w:cs="Arial" w:eastAsia="Arial" w:hAnsi="Arial"/>
          <w:sz w:val="19"/>
          <w:szCs w:val="19"/>
          <w:color w:val="auto"/>
        </w:rPr>
      </w:pPr>
    </w:p>
    <w:p>
      <w:pPr>
        <w:jc w:val="both"/>
        <w:ind w:left="880" w:firstLine="799"/>
        <w:spacing w:after="0" w:line="247" w:lineRule="auto"/>
        <w:tabs>
          <w:tab w:leader="none" w:pos="2510" w:val="left"/>
        </w:tabs>
        <w:numPr>
          <w:ilvl w:val="1"/>
          <w:numId w:val="42"/>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7" w:lineRule="exact"/>
        <w:rPr>
          <w:rFonts w:ascii="Arial" w:cs="Arial" w:eastAsia="Arial" w:hAnsi="Arial"/>
          <w:sz w:val="20"/>
          <w:szCs w:val="20"/>
          <w:color w:val="auto"/>
        </w:rPr>
      </w:pPr>
    </w:p>
    <w:p>
      <w:pPr>
        <w:jc w:val="both"/>
        <w:ind w:firstLine="875"/>
        <w:spacing w:after="0" w:line="284" w:lineRule="auto"/>
        <w:tabs>
          <w:tab w:leader="none" w:pos="1489"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that it has received a refund of any Taxes as to which it has been indemnified by the Borrower or with respect to which the Borrower has paid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reasonable out-of-pocket expenses (including Taxes) incurred by such Recipient,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Recipient, agrees to repay the amount paid over to the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0920"/>
          </w:cols>
          <w:pgMar w:left="480" w:top="270" w:right="499" w:bottom="1440" w:gutter="0" w:footer="0" w:header="0"/>
        </w:sectPr>
      </w:pPr>
    </w:p>
    <w:bookmarkStart w:id="45" w:name="page46"/>
    <w:bookmarkEnd w:id="45"/>
    <w:p>
      <w:pPr>
        <w:jc w:val="both"/>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187" w:lineRule="exact"/>
        <w:rPr>
          <w:sz w:val="20"/>
          <w:szCs w:val="20"/>
          <w:color w:val="auto"/>
        </w:rPr>
      </w:pPr>
    </w:p>
    <w:p>
      <w:pPr>
        <w:jc w:val="both"/>
        <w:ind w:firstLine="875"/>
        <w:spacing w:after="0" w:line="247" w:lineRule="auto"/>
        <w:tabs>
          <w:tab w:leader="none" w:pos="1816"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Aggregate Commitments and the repayment, satisfaction or discharge of all other Obligations.</w:t>
      </w:r>
    </w:p>
    <w:p>
      <w:pPr>
        <w:spacing w:after="0" w:line="288" w:lineRule="exact"/>
        <w:rPr>
          <w:sz w:val="20"/>
          <w:szCs w:val="20"/>
          <w:color w:val="auto"/>
        </w:rPr>
      </w:pPr>
    </w:p>
    <w:p>
      <w:pPr>
        <w:jc w:val="both"/>
        <w:ind w:firstLine="874"/>
        <w:spacing w:after="0" w:line="283" w:lineRule="auto"/>
        <w:rPr>
          <w:sz w:val="20"/>
          <w:szCs w:val="20"/>
          <w:color w:val="auto"/>
        </w:rPr>
      </w:pPr>
      <w:r>
        <w:rPr>
          <w:rFonts w:ascii="Arial" w:cs="Arial" w:eastAsia="Arial" w:hAnsi="Arial"/>
          <w:sz w:val="17"/>
          <w:szCs w:val="17"/>
          <w:b w:val="1"/>
          <w:bCs w:val="1"/>
          <w:color w:val="auto"/>
        </w:rPr>
        <w:t>3.02 Illegality</w:t>
      </w:r>
      <w:r>
        <w:rPr>
          <w:rFonts w:ascii="Arial" w:cs="Arial" w:eastAsia="Arial" w:hAnsi="Arial"/>
          <w:sz w:val="17"/>
          <w:szCs w:val="17"/>
          <w:color w:val="auto"/>
        </w:rPr>
        <w:t>. If any Lender reasonably determines that any Law has made it unlawful, or that any Governmental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Committed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at the Borrower’s option, prepay or, if applicable, convert all Eurodollar Rate Loans of such Lender to Base Rate Loans (or, if applicable,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384"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3.03</w:t>
      </w:r>
      <w:r>
        <w:rPr>
          <w:sz w:val="20"/>
          <w:szCs w:val="20"/>
          <w:color w:val="auto"/>
        </w:rPr>
        <w:tab/>
      </w:r>
      <w:r>
        <w:rPr>
          <w:rFonts w:ascii="Arial" w:cs="Arial" w:eastAsia="Arial" w:hAnsi="Arial"/>
          <w:sz w:val="17"/>
          <w:szCs w:val="17"/>
          <w:b w:val="1"/>
          <w:bCs w:val="1"/>
          <w:color w:val="auto"/>
        </w:rPr>
        <w:t>Inability to Determine Rates.</w:t>
      </w:r>
    </w:p>
    <w:p>
      <w:pPr>
        <w:spacing w:after="0" w:line="111" w:lineRule="exact"/>
        <w:rPr>
          <w:sz w:val="20"/>
          <w:szCs w:val="20"/>
          <w:color w:val="auto"/>
        </w:rPr>
      </w:pPr>
    </w:p>
    <w:p>
      <w:pPr>
        <w:jc w:val="both"/>
        <w:ind w:firstLine="875"/>
        <w:spacing w:after="0" w:line="253" w:lineRule="auto"/>
        <w:tabs>
          <w:tab w:leader="none" w:pos="1722"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If in connection with any request for a Eurodollar Rate Loan or a conversion to or continuation thereof, (i) the Administrative Agent determines that (A) Dollar deposits are not being offered to banks in the London interbank Eurodollar market for the applicable amount and Interest Period of such Eurodollar Rate Loan, or (B) (x) adequate and reasonable means do not exist for determining the Eurodollar Rate for any requested Interest Period with respect to a proposed Eurodollar Rate Loan or in connection with an existing or proposed Base Rate Loan and (y) the circumstances described in </w:t>
      </w:r>
      <w:r>
        <w:rPr>
          <w:rFonts w:ascii="Arial" w:cs="Arial" w:eastAsia="Arial" w:hAnsi="Arial"/>
          <w:sz w:val="19"/>
          <w:szCs w:val="19"/>
          <w:u w:val="single" w:color="auto"/>
          <w:color w:val="auto"/>
        </w:rPr>
        <w:t>Section 3.03(c)(i)</w:t>
      </w:r>
      <w:r>
        <w:rPr>
          <w:rFonts w:ascii="Arial" w:cs="Arial" w:eastAsia="Arial" w:hAnsi="Arial"/>
          <w:sz w:val="19"/>
          <w:szCs w:val="19"/>
          <w:color w:val="auto"/>
        </w:rPr>
        <w:t xml:space="preserve"> do not apply (in each case with respect to this </w:t>
      </w:r>
      <w:r>
        <w:rPr>
          <w:rFonts w:ascii="Arial" w:cs="Arial" w:eastAsia="Arial" w:hAnsi="Arial"/>
          <w:sz w:val="19"/>
          <w:szCs w:val="19"/>
          <w:u w:val="single" w:color="auto"/>
          <w:color w:val="auto"/>
        </w:rPr>
        <w:t>clause (i)</w:t>
      </w:r>
      <w:r>
        <w:rPr>
          <w:rFonts w:ascii="Arial" w:cs="Arial" w:eastAsia="Arial" w:hAnsi="Arial"/>
          <w:sz w:val="19"/>
          <w:szCs w:val="19"/>
          <w:color w:val="auto"/>
        </w:rPr>
        <w:t>, “</w:t>
      </w:r>
      <w:r>
        <w:rPr>
          <w:rFonts w:ascii="Arial" w:cs="Arial" w:eastAsia="Arial" w:hAnsi="Arial"/>
          <w:sz w:val="19"/>
          <w:szCs w:val="19"/>
          <w:u w:val="single" w:color="auto"/>
          <w:color w:val="auto"/>
        </w:rPr>
        <w:t>Impacted Loans</w:t>
      </w:r>
      <w:r>
        <w:rPr>
          <w:rFonts w:ascii="Arial" w:cs="Arial" w:eastAsia="Arial" w:hAnsi="Arial"/>
          <w:sz w:val="19"/>
          <w:szCs w:val="19"/>
          <w:color w:val="auto"/>
        </w:rPr>
        <w:t>”), or (ii)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0920"/>
          </w:cols>
          <w:pgMar w:left="480" w:top="270" w:right="499" w:bottom="1440" w:gutter="0" w:footer="0" w:header="0"/>
        </w:sectPr>
      </w:pPr>
    </w:p>
    <w:bookmarkStart w:id="46" w:name="page47"/>
    <w:bookmarkEnd w:id="46"/>
    <w:p>
      <w:pPr>
        <w:jc w:val="both"/>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(or, in the case of a determination by the Required Lenders described in clause (ii) of </w:t>
      </w:r>
      <w:r>
        <w:rPr>
          <w:rFonts w:ascii="Arial" w:cs="Arial" w:eastAsia="Arial" w:hAnsi="Arial"/>
          <w:sz w:val="19"/>
          <w:szCs w:val="19"/>
          <w:u w:val="single" w:color="auto"/>
          <w:color w:val="auto"/>
        </w:rPr>
        <w:t>Section 3.03(a)</w:t>
      </w:r>
      <w:r>
        <w:rPr>
          <w:rFonts w:ascii="Arial" w:cs="Arial" w:eastAsia="Arial" w:hAnsi="Arial"/>
          <w:sz w:val="19"/>
          <w:szCs w:val="19"/>
          <w:color w:val="auto"/>
        </w:rPr>
        <w:t>, until the Administrative Agent upon instruction of the Required Lenders) revokes such notice. Upon receipt of such notice, the Borrower may revoke any pending request for a Committed Borrowing of, conversion to or continuation of Eurodollar Rate Loans (to the extent of the affected Eurodollar Rate Loans or Interest Periods) or, failing that, will be deemed to have converted such request into a request for a Committed Borrowing of Base Rate Loans in the amount specified therein.</w:t>
      </w:r>
    </w:p>
    <w:p>
      <w:pPr>
        <w:spacing w:after="0" w:line="183" w:lineRule="exact"/>
        <w:rPr>
          <w:sz w:val="20"/>
          <w:szCs w:val="20"/>
          <w:color w:val="auto"/>
        </w:rPr>
      </w:pPr>
    </w:p>
    <w:p>
      <w:pPr>
        <w:jc w:val="both"/>
        <w:ind w:firstLine="875"/>
        <w:spacing w:after="0" w:line="286" w:lineRule="auto"/>
        <w:tabs>
          <w:tab w:leader="none" w:pos="1689"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Notwithstanding the foregoing, if the Administrative Agent has made the determination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3.03(a)</w:t>
      </w:r>
      <w:r>
        <w:rPr>
          <w:rFonts w:ascii="Arial" w:cs="Arial" w:eastAsia="Arial" w:hAnsi="Arial"/>
          <w:sz w:val="17"/>
          <w:szCs w:val="17"/>
          <w:color w:val="auto"/>
        </w:rPr>
        <w:t xml:space="preserve">, the Administrative Agent, in consultation with the Borrower and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clause (i) of the first sentence of </w:t>
      </w:r>
      <w:r>
        <w:rPr>
          <w:rFonts w:ascii="Arial" w:cs="Arial" w:eastAsia="Arial" w:hAnsi="Arial"/>
          <w:sz w:val="17"/>
          <w:szCs w:val="17"/>
          <w:u w:val="single" w:color="auto"/>
          <w:color w:val="auto"/>
        </w:rPr>
        <w:t>Section 3.03(a)</w:t>
      </w:r>
      <w:r>
        <w:rPr>
          <w:rFonts w:ascii="Arial" w:cs="Arial" w:eastAsia="Arial" w:hAnsi="Arial"/>
          <w:sz w:val="17"/>
          <w:szCs w:val="17"/>
          <w:color w:val="auto"/>
        </w:rPr>
        <w:t>, (ii) the Administrative Agent or the Required Lenders notify the Administrative Agent and the Borrower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61" w:lineRule="exact"/>
        <w:rPr>
          <w:rFonts w:ascii="Arial" w:cs="Arial" w:eastAsia="Arial" w:hAnsi="Arial"/>
          <w:sz w:val="17"/>
          <w:szCs w:val="17"/>
          <w:color w:val="auto"/>
        </w:rPr>
      </w:pPr>
    </w:p>
    <w:p>
      <w:pPr>
        <w:jc w:val="both"/>
        <w:ind w:firstLine="875"/>
        <w:spacing w:after="0" w:line="244" w:lineRule="auto"/>
        <w:tabs>
          <w:tab w:leader="none" w:pos="1515"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189" w:lineRule="exact"/>
        <w:rPr>
          <w:rFonts w:ascii="Arial" w:cs="Arial" w:eastAsia="Arial" w:hAnsi="Arial"/>
          <w:sz w:val="20"/>
          <w:szCs w:val="20"/>
          <w:color w:val="auto"/>
        </w:rPr>
      </w:pPr>
    </w:p>
    <w:p>
      <w:pPr>
        <w:jc w:val="both"/>
        <w:ind w:left="880" w:firstLine="598"/>
        <w:spacing w:after="0" w:line="247" w:lineRule="auto"/>
        <w:tabs>
          <w:tab w:leader="none" w:pos="207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87" w:lineRule="exact"/>
        <w:rPr>
          <w:rFonts w:ascii="Arial" w:cs="Arial" w:eastAsia="Arial" w:hAnsi="Arial"/>
          <w:sz w:val="20"/>
          <w:szCs w:val="20"/>
          <w:color w:val="auto"/>
        </w:rPr>
      </w:pPr>
    </w:p>
    <w:p>
      <w:pPr>
        <w:jc w:val="both"/>
        <w:ind w:left="880" w:firstLine="598"/>
        <w:spacing w:after="0" w:line="258" w:lineRule="auto"/>
        <w:tabs>
          <w:tab w:leader="none" w:pos="2407"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provided that, at the time of such statement, there is no successor administrator that is satisfactory to the Administrative Agent, that will continue to provide LIBOR after such specific date (such specific date, the “Scheduled Unavailability Date”); or</w:t>
      </w:r>
    </w:p>
    <w:p>
      <w:pPr>
        <w:spacing w:after="0" w:line="177" w:lineRule="exact"/>
        <w:rPr>
          <w:rFonts w:ascii="Arial" w:cs="Arial" w:eastAsia="Arial" w:hAnsi="Arial"/>
          <w:sz w:val="19"/>
          <w:szCs w:val="19"/>
          <w:color w:val="auto"/>
        </w:rPr>
      </w:pPr>
    </w:p>
    <w:p>
      <w:pPr>
        <w:jc w:val="both"/>
        <w:ind w:left="880" w:firstLine="598"/>
        <w:spacing w:after="0" w:line="289" w:lineRule="auto"/>
        <w:tabs>
          <w:tab w:leader="none" w:pos="253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syndicated loans currently being executed, or that include language similar to that contained in this Section 3.03, are being executed or amended (as applicable) to incorporate or adopt a new benchmark interest rate to replace</w:t>
      </w:r>
    </w:p>
    <w:p>
      <w:pPr>
        <w:ind w:left="880"/>
        <w:spacing w:after="0"/>
        <w:rPr>
          <w:rFonts w:ascii="Arial" w:cs="Arial" w:eastAsia="Arial" w:hAnsi="Arial"/>
          <w:sz w:val="17"/>
          <w:szCs w:val="17"/>
          <w:color w:val="auto"/>
        </w:rPr>
      </w:pPr>
      <w:r>
        <w:rPr>
          <w:rFonts w:ascii="Arial" w:cs="Arial" w:eastAsia="Arial" w:hAnsi="Arial"/>
          <w:sz w:val="20"/>
          <w:szCs w:val="20"/>
          <w:color w:val="auto"/>
        </w:rPr>
        <w:t>LIBOR,</w:t>
      </w:r>
    </w:p>
    <w:p>
      <w:pPr>
        <w:spacing w:after="0" w:line="196" w:lineRule="exact"/>
        <w:rPr>
          <w:sz w:val="20"/>
          <w:szCs w:val="20"/>
          <w:color w:val="auto"/>
        </w:rPr>
      </w:pPr>
    </w:p>
    <w:p>
      <w:pPr>
        <w:jc w:val="both"/>
        <w:ind w:firstLine="874"/>
        <w:spacing w:after="0" w:line="301" w:lineRule="auto"/>
        <w:rPr>
          <w:sz w:val="20"/>
          <w:szCs w:val="20"/>
          <w:color w:val="auto"/>
        </w:rPr>
      </w:pPr>
      <w:r>
        <w:rPr>
          <w:rFonts w:ascii="Arial" w:cs="Arial" w:eastAsia="Arial" w:hAnsi="Arial"/>
          <w:sz w:val="17"/>
          <w:szCs w:val="17"/>
          <w:color w:val="auto"/>
        </w:rPr>
        <w:t>then, reasonably promptly after such determination by the Administrative Agent or receipt by the Administrative Agent of such notice, as applicable, the Administrative Agent and the Borrower may amend this Agreement solely for the purpose of replacing LIBOR in accordance with this Section 3.03 with (x) one or more SOFR-Based Rates or (y) another alternate benchmark rate giving due consideration to any evolving or then existing convention for similar U.S. dollar denominated syndicated credit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0920"/>
          </w:cols>
          <w:pgMar w:left="480" w:top="270" w:right="499" w:bottom="1440" w:gutter="0" w:footer="0" w:header="0"/>
        </w:sectPr>
      </w:pPr>
    </w:p>
    <w:bookmarkStart w:id="47" w:name="page48"/>
    <w:bookmarkEnd w:id="47"/>
    <w:p>
      <w:pPr>
        <w:jc w:val="both"/>
        <w:spacing w:after="0" w:line="28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facilities for such alternative benchmarks and, in each case, including any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Administrative Agent from time to time in its reasonable discretion and may be periodically updated (the “</w:t>
      </w:r>
      <w:r>
        <w:rPr>
          <w:rFonts w:ascii="Arial" w:cs="Arial" w:eastAsia="Arial" w:hAnsi="Arial"/>
          <w:sz w:val="17"/>
          <w:szCs w:val="17"/>
          <w:u w:val="single" w:color="auto"/>
          <w:color w:val="auto"/>
        </w:rPr>
        <w:t>Adjustment</w:t>
      </w:r>
      <w:r>
        <w:rPr>
          <w:rFonts w:ascii="Arial" w:cs="Arial" w:eastAsia="Arial" w:hAnsi="Arial"/>
          <w:sz w:val="17"/>
          <w:szCs w:val="17"/>
          <w:color w:val="auto"/>
        </w:rPr>
        <w:t>;” and any such proposed rate, a “</w:t>
      </w:r>
      <w:r>
        <w:rPr>
          <w:rFonts w:ascii="Arial" w:cs="Arial" w:eastAsia="Arial" w:hAnsi="Arial"/>
          <w:sz w:val="17"/>
          <w:szCs w:val="17"/>
          <w:u w:val="single" w:color="auto"/>
          <w:color w:val="auto"/>
        </w:rPr>
        <w:t>LIBOR Successor Rate</w:t>
      </w:r>
      <w:r>
        <w:rPr>
          <w:rFonts w:ascii="Arial" w:cs="Arial" w:eastAsia="Arial" w:hAnsi="Arial"/>
          <w:sz w:val="17"/>
          <w:szCs w:val="17"/>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(A) in the case of an amendment to replace LIBOR with a rate described in clause (x), object to the Adjustment; or (B) in the case of an amendment to replace LIBOR with a rate described in clause (y), object to such amendment; provided that for the avoidance of doubt, in the case of clause (A), the Required Lenders shall not be entitled to object to any SOFR-Based Rate contained in any such amendment. Such LIBOR Successor Rate shall be applied in a manner consistent with market practice; provided that to the extent such market practice is not administratively feasible for the Administrative Agent, such LIBOR Successor Rate shall be applied in a manner as otherwise reasonably determined by the Administrative Agent.</w:t>
      </w:r>
    </w:p>
    <w:p>
      <w:pPr>
        <w:spacing w:after="0" w:line="388" w:lineRule="exact"/>
        <w:rPr>
          <w:sz w:val="20"/>
          <w:szCs w:val="20"/>
          <w:color w:val="auto"/>
        </w:rPr>
      </w:pPr>
    </w:p>
    <w:p>
      <w:pPr>
        <w:jc w:val="both"/>
        <w:ind w:firstLine="874"/>
        <w:spacing w:after="0"/>
        <w:rPr>
          <w:sz w:val="20"/>
          <w:szCs w:val="20"/>
          <w:color w:val="auto"/>
        </w:rPr>
      </w:pPr>
      <w:r>
        <w:rPr>
          <w:rFonts w:ascii="Arial" w:cs="Arial" w:eastAsia="Arial" w:hAnsi="Arial"/>
          <w:sz w:val="20"/>
          <w:szCs w:val="20"/>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 Base Rate. Upon receipt of such notice, the Borrower may revoke any pending request for a Committed Borrowing of, conversion to or continuation of Eurodollar Rate Loans (to the extent of the affected Eurodollar Rate Loans or Interest Periods) or, failing that, will be deemed to have converted such request into a request for a Committed Borrowing of Base Rate Loans (subject to the foregoing clause (y)) in the amount specified therein.</w:t>
      </w:r>
    </w:p>
    <w:p>
      <w:pPr>
        <w:spacing w:after="0" w:line="195"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Notwithstanding anything else herein, any definition of “LIBOR Successor Rate” shall provide that in no event shall such LIBOR Successor Rate be less than zero for purposes of this Agreement.</w:t>
      </w:r>
    </w:p>
    <w:p>
      <w:pPr>
        <w:spacing w:after="0" w:line="177" w:lineRule="exact"/>
        <w:rPr>
          <w:sz w:val="20"/>
          <w:szCs w:val="20"/>
          <w:color w:val="auto"/>
        </w:rPr>
      </w:pPr>
    </w:p>
    <w:p>
      <w:pPr>
        <w:jc w:val="both"/>
        <w:ind w:firstLine="874"/>
        <w:spacing w:after="0" w:line="241" w:lineRule="auto"/>
        <w:rPr>
          <w:sz w:val="20"/>
          <w:szCs w:val="20"/>
          <w:color w:val="auto"/>
        </w:rPr>
      </w:pPr>
      <w:r>
        <w:rPr>
          <w:rFonts w:ascii="Arial" w:cs="Arial" w:eastAsia="Arial" w:hAnsi="Arial"/>
          <w:sz w:val="20"/>
          <w:szCs w:val="20"/>
          <w:color w:val="auto"/>
        </w:rPr>
        <w:t>In connection with the implementation of a LIBOR Successor Rate, the Administrative Agent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 provided that, with respect to any such amendment effected, the Administrative Agent shall post each such amendment implementing such LIBOR Successor Conforming Changes to the Lenders reasonably promptly after such amendment becomes effective.</w:t>
      </w:r>
    </w:p>
    <w:p>
      <w:pPr>
        <w:spacing w:after="0" w:line="188"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3.04</w:t>
      </w:r>
      <w:r>
        <w:rPr>
          <w:sz w:val="20"/>
          <w:szCs w:val="20"/>
          <w:color w:val="auto"/>
        </w:rPr>
        <w:tab/>
      </w:r>
      <w:r>
        <w:rPr>
          <w:rFonts w:ascii="Arial" w:cs="Arial" w:eastAsia="Arial" w:hAnsi="Arial"/>
          <w:sz w:val="16"/>
          <w:szCs w:val="16"/>
          <w:b w:val="1"/>
          <w:bCs w:val="1"/>
          <w:color w:val="auto"/>
        </w:rPr>
        <w:t>Increased Costs</w:t>
      </w:r>
      <w:r>
        <w:rPr>
          <w:rFonts w:ascii="Arial" w:cs="Arial" w:eastAsia="Arial" w:hAnsi="Arial"/>
          <w:sz w:val="16"/>
          <w:szCs w:val="16"/>
          <w:color w:val="auto"/>
        </w:rPr>
        <w:t>.</w:t>
      </w:r>
    </w:p>
    <w:p>
      <w:pPr>
        <w:spacing w:after="0" w:line="218" w:lineRule="exact"/>
        <w:rPr>
          <w:sz w:val="20"/>
          <w:szCs w:val="20"/>
          <w:color w:val="auto"/>
        </w:rPr>
      </w:pPr>
    </w:p>
    <w:p>
      <w:pPr>
        <w:ind w:left="1480" w:hanging="605"/>
        <w:spacing w:after="0"/>
        <w:tabs>
          <w:tab w:leader="none" w:pos="148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1" w:lineRule="exact"/>
        <w:rPr>
          <w:rFonts w:ascii="Arial" w:cs="Arial" w:eastAsia="Arial" w:hAnsi="Arial"/>
          <w:sz w:val="20"/>
          <w:szCs w:val="20"/>
          <w:color w:val="auto"/>
        </w:rPr>
      </w:pPr>
    </w:p>
    <w:p>
      <w:pPr>
        <w:jc w:val="both"/>
        <w:ind w:left="880" w:firstLine="598"/>
        <w:spacing w:after="0" w:line="247" w:lineRule="auto"/>
        <w:tabs>
          <w:tab w:leader="none" w:pos="2148" w:val="left"/>
        </w:tabs>
        <w:numPr>
          <w:ilvl w:val="1"/>
          <w:numId w:val="47"/>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920"/>
          </w:cols>
          <w:pgMar w:left="480" w:top="270" w:right="499" w:bottom="1440" w:gutter="0" w:footer="0" w:header="0"/>
        </w:sectPr>
      </w:pPr>
    </w:p>
    <w:bookmarkStart w:id="48" w:name="page49"/>
    <w:bookmarkEnd w:id="48"/>
    <w:p>
      <w:pPr>
        <w:ind w:left="2420" w:hanging="942"/>
        <w:spacing w:after="0"/>
        <w:tabs>
          <w:tab w:leader="none" w:pos="2420" w:val="left"/>
        </w:tabs>
        <w:numPr>
          <w:ilvl w:val="1"/>
          <w:numId w:val="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subject any Recipient to any Taxes (other than (A) Indemnified Taxes, (B) Taxes described in clauses</w:t>
      </w:r>
    </w:p>
    <w:p>
      <w:pPr>
        <w:spacing w:after="0" w:line="48" w:lineRule="exact"/>
        <w:rPr>
          <w:rFonts w:ascii="Arial" w:cs="Arial" w:eastAsia="Arial" w:hAnsi="Arial"/>
          <w:sz w:val="17"/>
          <w:szCs w:val="17"/>
          <w:color w:val="auto"/>
        </w:rPr>
      </w:pPr>
    </w:p>
    <w:p>
      <w:pPr>
        <w:ind w:left="880" w:hanging="5"/>
        <w:spacing w:after="0" w:line="325" w:lineRule="auto"/>
        <w:tabs>
          <w:tab w:leader="none" w:pos="116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through (d) of the definition of “Excluded Taxes” and (C) Connection Income Taxes) on its loans, loan principal, letters of credit, commitments, or other obligations, or its deposits, reserves, other liabilities or capital attributable thereto; or</w:t>
      </w:r>
    </w:p>
    <w:p>
      <w:pPr>
        <w:spacing w:after="0" w:line="124" w:lineRule="exact"/>
        <w:rPr>
          <w:rFonts w:ascii="Arial" w:cs="Arial" w:eastAsia="Arial" w:hAnsi="Arial"/>
          <w:sz w:val="17"/>
          <w:szCs w:val="17"/>
          <w:color w:val="auto"/>
        </w:rPr>
      </w:pPr>
    </w:p>
    <w:p>
      <w:pPr>
        <w:ind w:left="880" w:firstLine="598"/>
        <w:spacing w:after="0" w:line="257" w:lineRule="auto"/>
        <w:tabs>
          <w:tab w:leader="none" w:pos="2339" w:val="left"/>
        </w:tabs>
        <w:numPr>
          <w:ilvl w:val="1"/>
          <w:numId w:val="49"/>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affecting this Agreement or Eurodollar Rate Loans made by such Lender;</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and the result of any of the foregoing shall be to increase the cost to such Lender of making or maintaining any Loan the interest on which is determined by reference to the Eurodollar Rate (or of maintaining its obligation to make any such Loan), or to reduce the amount of any sum received or receivable by such Lender hereunder (whether of principal, interest or any other amount) then, upon request of such Lender, the Borrower will pay to such Lender such additional amount or amounts as will compensate such Lender for such additional costs incurred or reduction suffered.</w:t>
      </w:r>
    </w:p>
    <w:p>
      <w:pPr>
        <w:spacing w:after="0" w:line="193" w:lineRule="exact"/>
        <w:rPr>
          <w:sz w:val="20"/>
          <w:szCs w:val="20"/>
          <w:color w:val="auto"/>
        </w:rPr>
      </w:pPr>
    </w:p>
    <w:p>
      <w:pPr>
        <w:jc w:val="both"/>
        <w:ind w:firstLine="875"/>
        <w:spacing w:after="0" w:line="254" w:lineRule="auto"/>
        <w:tabs>
          <w:tab w:leader="none" w:pos="1549"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determines that any Change in Law affecting such Lender or any Lending Office of such Lender or such Lender’s holding company, if any, regarding capital or liquidity requirements or liquidity has or would have the effect of reducing the rate of return on such Lender’s capital or on the capital of such Lender’s holding company, if any, as a consequence of this Agreement, the Commitment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w:t>
      </w:r>
    </w:p>
    <w:p>
      <w:pPr>
        <w:spacing w:after="0" w:line="185" w:lineRule="exact"/>
        <w:rPr>
          <w:rFonts w:ascii="Arial" w:cs="Arial" w:eastAsia="Arial" w:hAnsi="Arial"/>
          <w:sz w:val="19"/>
          <w:szCs w:val="19"/>
          <w:color w:val="auto"/>
        </w:rPr>
      </w:pPr>
    </w:p>
    <w:p>
      <w:pPr>
        <w:jc w:val="both"/>
        <w:ind w:firstLine="875"/>
        <w:spacing w:after="0" w:line="301" w:lineRule="auto"/>
        <w:tabs>
          <w:tab w:leader="none" w:pos="1511"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xml:space="preserve">. A certificate of a Lender setting forth the amount or amounts necessary to compensate such Lender its holding company, as the case may be, as specified in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together with a brief explanation for the increased costs and the basis for the calculation thereof, and delivered to the Borrower shall be conclusive absent manifest error. The Borrower shall pay such Lender the amount shown as due on any such certificate within 10 days after receipt thereof.</w:t>
      </w:r>
    </w:p>
    <w:p>
      <w:pPr>
        <w:spacing w:after="0" w:line="144" w:lineRule="exact"/>
        <w:rPr>
          <w:rFonts w:ascii="Arial" w:cs="Arial" w:eastAsia="Arial" w:hAnsi="Arial"/>
          <w:sz w:val="17"/>
          <w:szCs w:val="17"/>
          <w:color w:val="auto"/>
        </w:rPr>
      </w:pPr>
    </w:p>
    <w:p>
      <w:pPr>
        <w:jc w:val="both"/>
        <w:ind w:firstLine="875"/>
        <w:spacing w:after="0"/>
        <w:tabs>
          <w:tab w:leader="none" w:pos="1669"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to demand compensation pursuant to the foregoing provisions of this Section shall not constitute a waiver of such Lender’s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required to compensate a Lender pursuant to the foregoing provisions of this Section for any increased costs incurred or reductions suffered more than 60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60-day period referred to above shall be extended to include the period of retroactive effect thereof).</w:t>
      </w:r>
    </w:p>
    <w:p>
      <w:pPr>
        <w:spacing w:after="0" w:line="192" w:lineRule="exact"/>
        <w:rPr>
          <w:sz w:val="20"/>
          <w:szCs w:val="20"/>
          <w:color w:val="auto"/>
        </w:rPr>
      </w:pPr>
    </w:p>
    <w:p>
      <w:pPr>
        <w:jc w:val="both"/>
        <w:ind w:firstLine="874"/>
        <w:spacing w:after="0" w:line="315" w:lineRule="auto"/>
        <w:rPr>
          <w:sz w:val="20"/>
          <w:szCs w:val="20"/>
          <w:color w:val="auto"/>
        </w:rPr>
      </w:pPr>
      <w:r>
        <w:rPr>
          <w:rFonts w:ascii="Arial" w:cs="Arial" w:eastAsia="Arial" w:hAnsi="Arial"/>
          <w:sz w:val="17"/>
          <w:szCs w:val="17"/>
          <w:b w:val="1"/>
          <w:bCs w:val="1"/>
          <w:color w:val="auto"/>
        </w:rPr>
        <w:t>3.05 Compensation for Losses</w:t>
      </w:r>
      <w:r>
        <w:rPr>
          <w:rFonts w:ascii="Arial" w:cs="Arial" w:eastAsia="Arial" w:hAnsi="Arial"/>
          <w:sz w:val="17"/>
          <w:szCs w:val="17"/>
          <w:color w:val="auto"/>
        </w:rPr>
        <w:t>. Upon demand of any Lender (with a copy to the Administrative Agent)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Borrower shall promptly compensate such Lender (except, in the case of </w:t>
      </w:r>
      <w:r>
        <w:rPr>
          <w:rFonts w:ascii="Arial" w:cs="Arial" w:eastAsia="Arial" w:hAnsi="Arial"/>
          <w:sz w:val="17"/>
          <w:szCs w:val="17"/>
          <w:u w:val="single" w:color="auto"/>
          <w:color w:val="auto"/>
        </w:rPr>
        <w:t>Section 3.05(c)</w:t>
      </w:r>
      <w:r>
        <w:rPr>
          <w:rFonts w:ascii="Arial" w:cs="Arial" w:eastAsia="Arial" w:hAnsi="Arial"/>
          <w:sz w:val="17"/>
          <w:szCs w:val="17"/>
          <w:color w:val="auto"/>
        </w:rPr>
        <w:t xml:space="preserve">, any Defaulting Lender) for and hold such Lender (except, in the case of </w:t>
      </w:r>
      <w:r>
        <w:rPr>
          <w:rFonts w:ascii="Arial" w:cs="Arial" w:eastAsia="Arial" w:hAnsi="Arial"/>
          <w:sz w:val="17"/>
          <w:szCs w:val="17"/>
          <w:u w:val="single" w:color="auto"/>
          <w:color w:val="auto"/>
        </w:rPr>
        <w:t>Section 3.05(c)</w:t>
      </w:r>
      <w:r>
        <w:rPr>
          <w:rFonts w:ascii="Arial" w:cs="Arial" w:eastAsia="Arial" w:hAnsi="Arial"/>
          <w:sz w:val="17"/>
          <w:szCs w:val="17"/>
          <w:color w:val="auto"/>
        </w:rPr>
        <w:t>, any Defaulting Lender) harmless from any loss, cost or expense incurred by it as a result of:</w:t>
      </w:r>
    </w:p>
    <w:p>
      <w:pPr>
        <w:spacing w:after="0" w:line="133" w:lineRule="exact"/>
        <w:rPr>
          <w:sz w:val="20"/>
          <w:szCs w:val="20"/>
          <w:color w:val="auto"/>
        </w:rPr>
      </w:pPr>
    </w:p>
    <w:p>
      <w:pPr>
        <w:ind w:firstLine="875"/>
        <w:spacing w:after="0" w:line="345" w:lineRule="auto"/>
        <w:tabs>
          <w:tab w:leader="none" w:pos="1337"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0920"/>
          </w:cols>
          <w:pgMar w:left="480" w:top="270" w:right="499" w:bottom="1440" w:gutter="0" w:footer="0" w:header="0"/>
        </w:sectPr>
      </w:pPr>
    </w:p>
    <w:bookmarkStart w:id="49" w:name="page50"/>
    <w:bookmarkEnd w:id="49"/>
    <w:p>
      <w:pPr>
        <w:ind w:firstLine="875"/>
        <w:spacing w:after="0" w:line="283" w:lineRule="auto"/>
        <w:tabs>
          <w:tab w:leader="none" w:pos="1499" w:val="left"/>
        </w:tabs>
        <w:numPr>
          <w:ilvl w:val="0"/>
          <w:numId w:val="5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failure by the Borrower (for a reason other than the failure of such Lender to make a Loan) to prepay or borrow any Loan or continue or convert any Eurodollar Rate Loan on the date or in the amount notified by the Borrower; or</w:t>
      </w:r>
    </w:p>
    <w:p>
      <w:pPr>
        <w:spacing w:after="0" w:line="154" w:lineRule="exact"/>
        <w:rPr>
          <w:rFonts w:ascii="Arial" w:cs="Arial" w:eastAsia="Arial" w:hAnsi="Arial"/>
          <w:sz w:val="19"/>
          <w:szCs w:val="19"/>
          <w:color w:val="auto"/>
        </w:rPr>
      </w:pPr>
    </w:p>
    <w:p>
      <w:pPr>
        <w:ind w:firstLine="875"/>
        <w:spacing w:after="0" w:line="257" w:lineRule="auto"/>
        <w:tabs>
          <w:tab w:leader="none" w:pos="1501"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any assignment of a Eurodollar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including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7"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 xml:space="preserve">For purposes of calculating amounts payable by the Borrower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Eurodollar Rate Loan made by it at the Eurodollar Rate used in determining the Eurodollar Rate for such Loan by a matching deposit or other borrowing in the London interbank eurodollar market for a comparable amount and for a comparable period, whether or not such Eurodollar Rate Loan was in fact so funded.</w:t>
      </w:r>
    </w:p>
    <w:p>
      <w:pPr>
        <w:spacing w:after="0" w:line="183"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3.06</w:t>
      </w:r>
      <w:r>
        <w:rPr>
          <w:sz w:val="20"/>
          <w:szCs w:val="20"/>
          <w:color w:val="auto"/>
        </w:rPr>
        <w:tab/>
      </w:r>
      <w:r>
        <w:rPr>
          <w:rFonts w:ascii="Arial" w:cs="Arial" w:eastAsia="Arial" w:hAnsi="Arial"/>
          <w:sz w:val="17"/>
          <w:szCs w:val="17"/>
          <w:b w:val="1"/>
          <w:bCs w:val="1"/>
          <w:color w:val="auto"/>
        </w:rPr>
        <w:t>Mitigation Obligations; Replacement of Lenders</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253" w:lineRule="auto"/>
        <w:tabs>
          <w:tab w:leader="none" w:pos="163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Each Lender may make any Credit Extension to Borrower through any Lending Office, provided that the exercise of this option shall not affect the obligation of Borrower to repay the Credit Extension in accordance with the terms of this Agreement.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the Borrower is required to pay any additional amount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4" w:lineRule="exact"/>
        <w:rPr>
          <w:rFonts w:ascii="Arial" w:cs="Arial" w:eastAsia="Arial" w:hAnsi="Arial"/>
          <w:sz w:val="19"/>
          <w:szCs w:val="19"/>
          <w:color w:val="auto"/>
        </w:rPr>
      </w:pPr>
    </w:p>
    <w:p>
      <w:pPr>
        <w:jc w:val="both"/>
        <w:ind w:firstLine="875"/>
        <w:spacing w:after="0" w:line="244" w:lineRule="auto"/>
        <w:tabs>
          <w:tab w:leader="none" w:pos="1509"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the Borrower is required to pay any additional amount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to the Administrative Agent, any Lender or any Governmental Authority for the account of any Lender, or if the Borrower receives a notice from a Lender pursuant to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the Borrower may replace such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83" w:lineRule="exact"/>
        <w:rPr>
          <w:sz w:val="20"/>
          <w:szCs w:val="20"/>
          <w:color w:val="auto"/>
        </w:rPr>
      </w:pPr>
    </w:p>
    <w:p>
      <w:pPr>
        <w:ind w:firstLine="874"/>
        <w:spacing w:after="0" w:line="263" w:lineRule="auto"/>
        <w:rPr>
          <w:sz w:val="20"/>
          <w:szCs w:val="20"/>
          <w:color w:val="auto"/>
        </w:rPr>
      </w:pPr>
      <w:r>
        <w:rPr>
          <w:rFonts w:ascii="Arial" w:cs="Arial" w:eastAsia="Arial" w:hAnsi="Arial"/>
          <w:sz w:val="20"/>
          <w:szCs w:val="20"/>
          <w:b w:val="1"/>
          <w:bCs w:val="1"/>
          <w:color w:val="auto"/>
        </w:rPr>
        <w:t>3.07 Survival</w:t>
      </w:r>
      <w:r>
        <w:rPr>
          <w:rFonts w:ascii="Arial" w:cs="Arial" w:eastAsia="Arial" w:hAnsi="Arial"/>
          <w:sz w:val="20"/>
          <w:szCs w:val="20"/>
          <w:color w:val="auto"/>
        </w:rPr>
        <w:t>. All obligations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III</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termination of the Aggregate Commitments, repayment of</w:t>
      </w:r>
      <w:r>
        <w:rPr>
          <w:rFonts w:ascii="Arial" w:cs="Arial" w:eastAsia="Arial" w:hAnsi="Arial"/>
          <w:sz w:val="20"/>
          <w:szCs w:val="20"/>
          <w:b w:val="1"/>
          <w:bCs w:val="1"/>
          <w:color w:val="auto"/>
        </w:rPr>
        <w:t xml:space="preserve"> </w:t>
      </w:r>
      <w:r>
        <w:rPr>
          <w:rFonts w:ascii="Arial" w:cs="Arial" w:eastAsia="Arial" w:hAnsi="Arial"/>
          <w:sz w:val="20"/>
          <w:szCs w:val="20"/>
          <w:color w:val="auto"/>
        </w:rPr>
        <w:t>all other Obligations hereunder and resignation of the Administrative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920"/>
          </w:cols>
          <w:pgMar w:left="480" w:top="270" w:right="49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IV.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190" w:lineRule="exact"/>
        <w:rPr>
          <w:sz w:val="20"/>
          <w:szCs w:val="20"/>
          <w:color w:val="auto"/>
        </w:rPr>
      </w:pPr>
    </w:p>
    <w:p>
      <w:pPr>
        <w:ind w:firstLine="874"/>
        <w:spacing w:after="0" w:line="263" w:lineRule="auto"/>
        <w:rPr>
          <w:sz w:val="20"/>
          <w:szCs w:val="20"/>
          <w:color w:val="auto"/>
        </w:rPr>
      </w:pPr>
      <w:r>
        <w:rPr>
          <w:rFonts w:ascii="Arial" w:cs="Arial" w:eastAsia="Arial" w:hAnsi="Arial"/>
          <w:sz w:val="20"/>
          <w:szCs w:val="20"/>
          <w:b w:val="1"/>
          <w:bCs w:val="1"/>
          <w:color w:val="auto"/>
        </w:rPr>
        <w:t>4.01 Conditions of Initial Credit Extension</w:t>
      </w:r>
      <w:r>
        <w:rPr>
          <w:rFonts w:ascii="Arial" w:cs="Arial" w:eastAsia="Arial" w:hAnsi="Arial"/>
          <w:sz w:val="20"/>
          <w:szCs w:val="20"/>
          <w:color w:val="auto"/>
        </w:rPr>
        <w:t>. The obligation of each Lender to make its initial Credit Extension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effectiveness of this Agreement is subject to satisfaction of the following conditions precedent:</w:t>
      </w:r>
    </w:p>
    <w:p>
      <w:pPr>
        <w:spacing w:after="0" w:line="171" w:lineRule="exact"/>
        <w:rPr>
          <w:sz w:val="20"/>
          <w:szCs w:val="20"/>
          <w:color w:val="auto"/>
        </w:rPr>
      </w:pPr>
    </w:p>
    <w:p>
      <w:pPr>
        <w:jc w:val="both"/>
        <w:ind w:firstLine="875"/>
        <w:spacing w:after="0" w:line="244" w:lineRule="auto"/>
        <w:tabs>
          <w:tab w:leader="none" w:pos="1525"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Administrative Agent’s receipt of the following, each of which shall be originals or telecopies (followed promptly by originals) unless otherwise specified, each properly executed by a Responsible Officer of the Borrower, each dated the Effective Date (or, in the case of certificates of governmental officials, a recent date before the Effective Date) and each in form and substance satisfactory to the Administrative Agent and each of the Lenders:</w:t>
      </w:r>
    </w:p>
    <w:p>
      <w:pPr>
        <w:spacing w:after="0" w:line="189" w:lineRule="exact"/>
        <w:rPr>
          <w:rFonts w:ascii="Arial" w:cs="Arial" w:eastAsia="Arial" w:hAnsi="Arial"/>
          <w:sz w:val="20"/>
          <w:szCs w:val="20"/>
          <w:color w:val="auto"/>
        </w:rPr>
      </w:pPr>
    </w:p>
    <w:p>
      <w:pPr>
        <w:ind w:left="880" w:firstLine="598"/>
        <w:spacing w:after="0" w:line="257" w:lineRule="auto"/>
        <w:tabs>
          <w:tab w:leader="none" w:pos="2085" w:val="left"/>
        </w:tabs>
        <w:numPr>
          <w:ilvl w:val="1"/>
          <w:numId w:val="54"/>
        </w:numPr>
        <w:rPr>
          <w:rFonts w:ascii="Arial" w:cs="Arial" w:eastAsia="Arial" w:hAnsi="Arial"/>
          <w:sz w:val="20"/>
          <w:szCs w:val="20"/>
          <w:color w:val="auto"/>
        </w:rPr>
      </w:pPr>
      <w:r>
        <w:rPr>
          <w:rFonts w:ascii="Arial" w:cs="Arial" w:eastAsia="Arial" w:hAnsi="Arial"/>
          <w:sz w:val="20"/>
          <w:szCs w:val="20"/>
          <w:color w:val="auto"/>
        </w:rPr>
        <w:t>executed counterparts of this Agreement, sufficient in number for distribution to the Administrative Agent, each Lender and the Borrower;</w:t>
      </w:r>
    </w:p>
    <w:p>
      <w:pPr>
        <w:spacing w:after="0" w:line="176" w:lineRule="exact"/>
        <w:rPr>
          <w:rFonts w:ascii="Arial" w:cs="Arial" w:eastAsia="Arial" w:hAnsi="Arial"/>
          <w:sz w:val="20"/>
          <w:szCs w:val="20"/>
          <w:color w:val="auto"/>
        </w:rPr>
      </w:pPr>
    </w:p>
    <w:p>
      <w:pPr>
        <w:ind w:left="2120" w:hanging="642"/>
        <w:spacing w:after="0"/>
        <w:tabs>
          <w:tab w:leader="none" w:pos="212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 Note executed by the Borrower in favor of each Lender requesting a Note;</w:t>
      </w:r>
    </w:p>
    <w:p>
      <w:pPr>
        <w:spacing w:after="0" w:line="211" w:lineRule="exact"/>
        <w:rPr>
          <w:rFonts w:ascii="Arial" w:cs="Arial" w:eastAsia="Arial" w:hAnsi="Arial"/>
          <w:sz w:val="20"/>
          <w:szCs w:val="20"/>
          <w:color w:val="auto"/>
        </w:rPr>
      </w:pPr>
    </w:p>
    <w:p>
      <w:pPr>
        <w:jc w:val="both"/>
        <w:ind w:left="880" w:firstLine="598"/>
        <w:spacing w:after="0" w:line="244" w:lineRule="auto"/>
        <w:tabs>
          <w:tab w:leader="none" w:pos="2195" w:val="left"/>
        </w:tabs>
        <w:numPr>
          <w:ilvl w:val="1"/>
          <w:numId w:val="54"/>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the Borrower as the Administrative Agent may require evidencing the identity, authority and capacity of each Responsible Officer thereof authorized to act as a Responsible Officer in connection with this Agreement and the other Loan Documents to which the Borrower is a party;</w:t>
      </w:r>
    </w:p>
    <w:p>
      <w:pPr>
        <w:spacing w:after="0" w:line="189" w:lineRule="exact"/>
        <w:rPr>
          <w:rFonts w:ascii="Arial" w:cs="Arial" w:eastAsia="Arial" w:hAnsi="Arial"/>
          <w:sz w:val="20"/>
          <w:szCs w:val="20"/>
          <w:color w:val="auto"/>
        </w:rPr>
      </w:pPr>
    </w:p>
    <w:p>
      <w:pPr>
        <w:jc w:val="both"/>
        <w:ind w:left="880" w:firstLine="598"/>
        <w:spacing w:after="0" w:line="301" w:lineRule="auto"/>
        <w:tabs>
          <w:tab w:leader="none" w:pos="23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such documents and certifications as the Administrative Agent may reasonably require to evidence that the Borrower is duly organized or formed, and that the Borrower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44" w:lineRule="exact"/>
        <w:rPr>
          <w:rFonts w:ascii="Arial" w:cs="Arial" w:eastAsia="Arial" w:hAnsi="Arial"/>
          <w:sz w:val="17"/>
          <w:szCs w:val="17"/>
          <w:color w:val="auto"/>
        </w:rPr>
      </w:pPr>
    </w:p>
    <w:p>
      <w:pPr>
        <w:jc w:val="both"/>
        <w:ind w:left="880" w:firstLine="598"/>
        <w:spacing w:after="0" w:line="288" w:lineRule="auto"/>
        <w:tabs>
          <w:tab w:leader="none" w:pos="2337"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a certificate of a Responsible Officer of the Borrower (A) stating that the representations and warranties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are true and correct on and as of such date, as though made on and as of such date; (B) stating there is no action, suit, investigation or proceeding pending or threatened in writing in any court or before any arbitrator or Governmental Authority that purports (i) to materially and adversely affect the Borrower or its Subsidiaries, or (ii) to affect any transaction contemplated hereby or the ability of the Borrower to perform its obligations under this Agreement; and (C) either (i) attaching copies of all consents, licenses and approvals required in connection with the execution, delivery and performance by the Borrower and the validity against the Borrower of the Loan Documents to which it is a party, and such consents, licenses and approvals shall be in full force and effect, or (ii) stating that no such consents, licenses or approvals are so required;</w:t>
      </w:r>
    </w:p>
    <w:p>
      <w:pPr>
        <w:spacing w:after="0" w:line="158" w:lineRule="exact"/>
        <w:rPr>
          <w:rFonts w:ascii="Arial" w:cs="Arial" w:eastAsia="Arial" w:hAnsi="Arial"/>
          <w:sz w:val="17"/>
          <w:szCs w:val="17"/>
          <w:color w:val="auto"/>
        </w:rPr>
      </w:pPr>
    </w:p>
    <w:p>
      <w:pPr>
        <w:jc w:val="both"/>
        <w:ind w:left="880" w:firstLine="598"/>
        <w:spacing w:after="0" w:line="266" w:lineRule="auto"/>
        <w:tabs>
          <w:tab w:leader="none" w:pos="2282" w:val="left"/>
        </w:tabs>
        <w:numPr>
          <w:ilvl w:val="1"/>
          <w:numId w:val="54"/>
        </w:numPr>
        <w:rPr>
          <w:rFonts w:ascii="Arial" w:cs="Arial" w:eastAsia="Arial" w:hAnsi="Arial"/>
          <w:sz w:val="19"/>
          <w:szCs w:val="19"/>
          <w:color w:val="auto"/>
        </w:rPr>
      </w:pPr>
      <w:r>
        <w:rPr>
          <w:rFonts w:ascii="Arial" w:cs="Arial" w:eastAsia="Arial" w:hAnsi="Arial"/>
          <w:sz w:val="19"/>
          <w:szCs w:val="19"/>
          <w:color w:val="auto"/>
        </w:rPr>
        <w:t>a certificate signed by a Responsible Officer of the Borrower certifying (A) that there has been no event or circumstance since the date of the Audited Financial Statements that has had or could be reasonably expected to have, either individually or in the aggregate, a Material Adverse Effect; and (B) the current Debt Ratings;</w:t>
      </w:r>
    </w:p>
    <w:p>
      <w:pPr>
        <w:spacing w:after="0" w:line="170" w:lineRule="exact"/>
        <w:rPr>
          <w:rFonts w:ascii="Arial" w:cs="Arial" w:eastAsia="Arial" w:hAnsi="Arial"/>
          <w:sz w:val="19"/>
          <w:szCs w:val="19"/>
          <w:color w:val="auto"/>
        </w:rPr>
      </w:pPr>
    </w:p>
    <w:p>
      <w:pPr>
        <w:ind w:left="880" w:firstLine="598"/>
        <w:spacing w:after="0" w:line="257" w:lineRule="auto"/>
        <w:tabs>
          <w:tab w:leader="none" w:pos="2453" w:val="left"/>
        </w:tabs>
        <w:numPr>
          <w:ilvl w:val="1"/>
          <w:numId w:val="54"/>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or the Required Lenders reasonably may require;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0920"/>
          </w:cols>
          <w:pgMar w:left="480" w:top="264" w:right="499" w:bottom="1440" w:gutter="0" w:footer="0" w:header="0"/>
        </w:sectPr>
      </w:pPr>
    </w:p>
    <w:bookmarkStart w:id="51" w:name="page52"/>
    <w:bookmarkEnd w:id="51"/>
    <w:p>
      <w:pPr>
        <w:ind w:left="880" w:firstLine="799"/>
        <w:spacing w:after="0" w:line="257" w:lineRule="auto"/>
        <w:tabs>
          <w:tab w:leader="none" w:pos="2730" w:val="left"/>
        </w:tabs>
        <w:numPr>
          <w:ilvl w:val="1"/>
          <w:numId w:val="55"/>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 executed copy of the amendment to the Existing 2018 Credit Agreement in form and substance reasonably satisfactory to the Administrative Agent; and</w:t>
      </w:r>
    </w:p>
    <w:p>
      <w:pPr>
        <w:spacing w:after="0" w:line="176" w:lineRule="exact"/>
        <w:rPr>
          <w:rFonts w:ascii="Arial" w:cs="Arial" w:eastAsia="Arial" w:hAnsi="Arial"/>
          <w:sz w:val="20"/>
          <w:szCs w:val="20"/>
          <w:color w:val="auto"/>
        </w:rPr>
      </w:pPr>
    </w:p>
    <w:p>
      <w:pPr>
        <w:ind w:left="880" w:firstLine="799"/>
        <w:spacing w:after="0" w:line="257" w:lineRule="auto"/>
        <w:tabs>
          <w:tab w:leader="none" w:pos="2532" w:val="left"/>
        </w:tabs>
        <w:numPr>
          <w:ilvl w:val="1"/>
          <w:numId w:val="55"/>
        </w:numPr>
        <w:rPr>
          <w:rFonts w:ascii="Arial" w:cs="Arial" w:eastAsia="Arial" w:hAnsi="Arial"/>
          <w:sz w:val="20"/>
          <w:szCs w:val="20"/>
          <w:color w:val="auto"/>
        </w:rPr>
      </w:pPr>
      <w:r>
        <w:rPr>
          <w:rFonts w:ascii="Arial" w:cs="Arial" w:eastAsia="Arial" w:hAnsi="Arial"/>
          <w:sz w:val="20"/>
          <w:szCs w:val="20"/>
          <w:color w:val="auto"/>
        </w:rPr>
        <w:t>a favorable opinion of Quarles &amp; Brady LLP, counsel to the Borrower, addressed to the Administrative Agent and each Lender in form and substance reasonably satisfactory to the Administrative Agent.</w:t>
      </w:r>
    </w:p>
    <w:p>
      <w:pPr>
        <w:spacing w:after="0" w:line="176" w:lineRule="exact"/>
        <w:rPr>
          <w:rFonts w:ascii="Arial" w:cs="Arial" w:eastAsia="Arial" w:hAnsi="Arial"/>
          <w:sz w:val="20"/>
          <w:szCs w:val="20"/>
          <w:color w:val="auto"/>
        </w:rPr>
      </w:pPr>
    </w:p>
    <w:p>
      <w:pPr>
        <w:ind w:left="1480" w:hanging="605"/>
        <w:spacing w:after="0"/>
        <w:tabs>
          <w:tab w:leader="none" w:pos="14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fees required to be paid on or before the Effective Date shall have been paid.</w:t>
      </w:r>
    </w:p>
    <w:p>
      <w:pPr>
        <w:spacing w:after="0" w:line="211" w:lineRule="exact"/>
        <w:rPr>
          <w:rFonts w:ascii="Arial" w:cs="Arial" w:eastAsia="Arial" w:hAnsi="Arial"/>
          <w:sz w:val="20"/>
          <w:szCs w:val="20"/>
          <w:color w:val="auto"/>
        </w:rPr>
      </w:pPr>
    </w:p>
    <w:p>
      <w:pPr>
        <w:jc w:val="both"/>
        <w:ind w:firstLine="875"/>
        <w:spacing w:after="0" w:line="242" w:lineRule="auto"/>
        <w:tabs>
          <w:tab w:leader="none" w:pos="1871" w:val="left"/>
        </w:tabs>
        <w:numPr>
          <w:ilvl w:val="0"/>
          <w:numId w:val="56"/>
        </w:numPr>
        <w:rPr>
          <w:rFonts w:ascii="Arial" w:cs="Arial" w:eastAsia="Arial" w:hAnsi="Arial"/>
          <w:sz w:val="20"/>
          <w:szCs w:val="20"/>
          <w:color w:val="auto"/>
        </w:rPr>
      </w:pPr>
      <w:r>
        <w:rPr>
          <w:rFonts w:ascii="Arial" w:cs="Arial" w:eastAsia="Arial" w:hAnsi="Arial"/>
          <w:sz w:val="20"/>
          <w:szCs w:val="20"/>
          <w:color w:val="auto"/>
        </w:rPr>
        <w:t>Unless waived by the Administrative Agent, the Borrower shall have paid all reasonable fees, charges and disbursements of counsel to the Administrative Agent to the extent invoiced prior to or on the Effective Date,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estimate shall not thereafter preclude a final settling of accounts between the Borrower and the Administrative Agent).</w:t>
      </w:r>
    </w:p>
    <w:p>
      <w:pPr>
        <w:spacing w:after="0" w:line="192" w:lineRule="exact"/>
        <w:rPr>
          <w:rFonts w:ascii="Arial" w:cs="Arial" w:eastAsia="Arial" w:hAnsi="Arial"/>
          <w:sz w:val="20"/>
          <w:szCs w:val="20"/>
          <w:color w:val="auto"/>
        </w:rPr>
      </w:pPr>
    </w:p>
    <w:p>
      <w:pPr>
        <w:jc w:val="both"/>
        <w:ind w:firstLine="875"/>
        <w:spacing w:after="0" w:line="312" w:lineRule="auto"/>
        <w:tabs>
          <w:tab w:leader="none" w:pos="1549" w:val="left"/>
        </w:tabs>
        <w:numPr>
          <w:ilvl w:val="0"/>
          <w:numId w:val="56"/>
        </w:numPr>
        <w:rPr>
          <w:rFonts w:ascii="Arial" w:cs="Arial" w:eastAsia="Arial" w:hAnsi="Arial"/>
          <w:sz w:val="17"/>
          <w:szCs w:val="17"/>
          <w:color w:val="auto"/>
        </w:rPr>
      </w:pPr>
      <w:r>
        <w:rPr>
          <w:rFonts w:ascii="Arial" w:cs="Arial" w:eastAsia="Arial" w:hAnsi="Arial"/>
          <w:sz w:val="17"/>
          <w:szCs w:val="17"/>
          <w:color w:val="auto"/>
        </w:rPr>
        <w:t>Upon the reasonable request of any Lender made at least ten days prior to the Effective Date, the Borrower shall have provided to such Lender the documentation and other information so requested in connection with applicable “know your customer” and anti-money-laundering rules and regulations, including the PATRIOT Act, in each case at least five days prior to the Effective Date.</w:t>
      </w:r>
    </w:p>
    <w:p>
      <w:pPr>
        <w:spacing w:after="0" w:line="134" w:lineRule="exact"/>
        <w:rPr>
          <w:rFonts w:ascii="Arial" w:cs="Arial" w:eastAsia="Arial" w:hAnsi="Arial"/>
          <w:sz w:val="17"/>
          <w:szCs w:val="17"/>
          <w:color w:val="auto"/>
        </w:rPr>
      </w:pPr>
    </w:p>
    <w:p>
      <w:pPr>
        <w:ind w:firstLine="875"/>
        <w:spacing w:after="0" w:line="257" w:lineRule="auto"/>
        <w:tabs>
          <w:tab w:leader="none" w:pos="1496" w:val="left"/>
        </w:tabs>
        <w:numPr>
          <w:ilvl w:val="0"/>
          <w:numId w:val="56"/>
        </w:numPr>
        <w:rPr>
          <w:rFonts w:ascii="Arial" w:cs="Arial" w:eastAsia="Arial" w:hAnsi="Arial"/>
          <w:sz w:val="20"/>
          <w:szCs w:val="20"/>
          <w:color w:val="auto"/>
        </w:rPr>
      </w:pPr>
      <w:r>
        <w:rPr>
          <w:rFonts w:ascii="Arial" w:cs="Arial" w:eastAsia="Arial" w:hAnsi="Arial"/>
          <w:sz w:val="20"/>
          <w:szCs w:val="20"/>
          <w:color w:val="auto"/>
        </w:rPr>
        <w:t>At least five days prior to the Effective Date, if the Borrower qualifies as a “legal entity customer” under the Beneficial Ownership Regulation, the Borrower shall deliver a Beneficial Ownership Certification in relation to the Borrower.</w:t>
      </w:r>
    </w:p>
    <w:p>
      <w:pPr>
        <w:spacing w:after="0" w:line="177"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proposed Effective Date specifying its objection thereto.</w:t>
      </w:r>
    </w:p>
    <w:p>
      <w:pPr>
        <w:spacing w:after="0" w:line="187" w:lineRule="exact"/>
        <w:rPr>
          <w:sz w:val="20"/>
          <w:szCs w:val="20"/>
          <w:color w:val="auto"/>
        </w:rPr>
      </w:pPr>
    </w:p>
    <w:p>
      <w:pPr>
        <w:jc w:val="both"/>
        <w:ind w:firstLine="874"/>
        <w:spacing w:after="0" w:line="250" w:lineRule="auto"/>
        <w:rPr>
          <w:sz w:val="20"/>
          <w:szCs w:val="20"/>
          <w:color w:val="auto"/>
        </w:rPr>
      </w:pPr>
      <w:r>
        <w:rPr>
          <w:rFonts w:ascii="Arial" w:cs="Arial" w:eastAsia="Arial" w:hAnsi="Arial"/>
          <w:sz w:val="20"/>
          <w:szCs w:val="20"/>
          <w:b w:val="1"/>
          <w:bCs w:val="1"/>
          <w:color w:val="auto"/>
        </w:rPr>
        <w:t>4.02 Conditions to all Credit Extensions</w:t>
      </w:r>
      <w:r>
        <w:rPr>
          <w:rFonts w:ascii="Arial" w:cs="Arial" w:eastAsia="Arial" w:hAnsi="Arial"/>
          <w:sz w:val="20"/>
          <w:szCs w:val="20"/>
          <w:color w:val="auto"/>
        </w:rPr>
        <w:t>. The obligation of each Lender to honor any Request for Credit Extension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than a Committed Loan Notice requesting only a conversion of Committed Loans to the other Type, or a continuation of Eurodollar Rate Loans) is subject to the following conditions precedent:</w:t>
      </w:r>
    </w:p>
    <w:p>
      <w:pPr>
        <w:spacing w:after="0" w:line="184" w:lineRule="exact"/>
        <w:rPr>
          <w:sz w:val="20"/>
          <w:szCs w:val="20"/>
          <w:color w:val="auto"/>
        </w:rPr>
      </w:pPr>
    </w:p>
    <w:p>
      <w:pPr>
        <w:jc w:val="both"/>
        <w:ind w:firstLine="875"/>
        <w:spacing w:after="0" w:line="290" w:lineRule="auto"/>
        <w:tabs>
          <w:tab w:leader="none" w:pos="1512"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in each other Loan Document, or which are contained in any document furnished by the Borrower at any time under or in connection herewith or therewith, shall be true and correct in all material respects (except, if a qualifier relating to materiality, Material Adverse Effect or a similar concept applies, such representation or warranty shall be required to be true and correct in all respects)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54" w:lineRule="exact"/>
        <w:rPr>
          <w:rFonts w:ascii="Arial" w:cs="Arial" w:eastAsia="Arial" w:hAnsi="Arial"/>
          <w:sz w:val="17"/>
          <w:szCs w:val="17"/>
          <w:color w:val="auto"/>
        </w:rPr>
      </w:pPr>
    </w:p>
    <w:p>
      <w:pPr>
        <w:ind w:left="1620" w:hanging="745"/>
        <w:spacing w:after="0"/>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 Default shall exist or would result from such proposed Credit Extension or from the application of the proceeds</w:t>
      </w:r>
    </w:p>
    <w:p>
      <w:pPr>
        <w:spacing w:after="0" w:line="4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thereof.</w:t>
      </w:r>
    </w:p>
    <w:p>
      <w:pPr>
        <w:spacing w:after="0" w:line="195" w:lineRule="exact"/>
        <w:rPr>
          <w:rFonts w:ascii="Arial" w:cs="Arial" w:eastAsia="Arial" w:hAnsi="Arial"/>
          <w:sz w:val="17"/>
          <w:szCs w:val="17"/>
          <w:color w:val="auto"/>
        </w:rPr>
      </w:pPr>
    </w:p>
    <w:p>
      <w:pPr>
        <w:ind w:left="1640" w:hanging="765"/>
        <w:spacing w:after="0"/>
        <w:tabs>
          <w:tab w:leader="none" w:pos="1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Administrative Agent shall have received a Request for Credit Extension in accordance with the requirements</w:t>
      </w:r>
    </w:p>
    <w:p>
      <w:pPr>
        <w:spacing w:after="0" w:line="4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hereof.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920"/>
          </w:cols>
          <w:pgMar w:left="480" w:top="270" w:right="499" w:bottom="1440" w:gutter="0" w:footer="0" w:header="0"/>
        </w:sectPr>
      </w:pPr>
    </w:p>
    <w:bookmarkStart w:id="52" w:name="page53"/>
    <w:bookmarkEnd w:id="52"/>
    <w:p>
      <w:pPr>
        <w:jc w:val="both"/>
        <w:ind w:firstLine="874"/>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Each Request for Credit Extension (other than a Committed Loan Notice requesting only a conversion of Committed Loans to the other Type or a continuation of Eurodollar Rate Loans) submitted by the Borrower shall be deemed to be a representation and warranty that the conditions specified in </w:t>
      </w:r>
      <w:r>
        <w:rPr>
          <w:rFonts w:ascii="Arial" w:cs="Arial" w:eastAsia="Arial" w:hAnsi="Arial"/>
          <w:sz w:val="17"/>
          <w:szCs w:val="17"/>
          <w:u w:val="single" w:color="auto"/>
          <w:color w:val="auto"/>
        </w:rPr>
        <w:t>Sections 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have been satisfied on and as of the date of the applicable Credit Extension.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Borrower represents and warrants to the Administrative Agent and the Lenders that:</w:t>
      </w:r>
    </w:p>
    <w:p>
      <w:pPr>
        <w:spacing w:after="0" w:line="99"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5.01</w:t>
      </w:r>
      <w:r>
        <w:rPr>
          <w:sz w:val="20"/>
          <w:szCs w:val="20"/>
          <w:color w:val="auto"/>
        </w:rPr>
        <w:tab/>
      </w:r>
      <w:r>
        <w:rPr>
          <w:rFonts w:ascii="Arial" w:cs="Arial" w:eastAsia="Arial" w:hAnsi="Arial"/>
          <w:sz w:val="17"/>
          <w:szCs w:val="17"/>
          <w:b w:val="1"/>
          <w:bCs w:val="1"/>
          <w:color w:val="auto"/>
        </w:rPr>
        <w:t>Corporate Existence and Power</w:t>
      </w:r>
      <w:r>
        <w:rPr>
          <w:rFonts w:ascii="Arial" w:cs="Arial" w:eastAsia="Arial" w:hAnsi="Arial"/>
          <w:sz w:val="17"/>
          <w:szCs w:val="17"/>
          <w:color w:val="auto"/>
        </w:rPr>
        <w:t>. The Borrower and each of its Material Subsidiaries:</w:t>
      </w:r>
    </w:p>
    <w:p>
      <w:pPr>
        <w:spacing w:after="0" w:line="111" w:lineRule="exact"/>
        <w:rPr>
          <w:sz w:val="20"/>
          <w:szCs w:val="20"/>
          <w:color w:val="auto"/>
        </w:rPr>
      </w:pPr>
    </w:p>
    <w:p>
      <w:pPr>
        <w:ind w:left="1480" w:hanging="605"/>
        <w:spacing w:after="0"/>
        <w:tabs>
          <w:tab w:leader="none" w:pos="14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is duly organized, validly existing and in good standing under the laws of the jurisdiction of its organization;</w:t>
      </w:r>
    </w:p>
    <w:p>
      <w:pPr>
        <w:spacing w:after="0" w:line="211" w:lineRule="exact"/>
        <w:rPr>
          <w:rFonts w:ascii="Arial" w:cs="Arial" w:eastAsia="Arial" w:hAnsi="Arial"/>
          <w:sz w:val="20"/>
          <w:szCs w:val="20"/>
          <w:color w:val="auto"/>
        </w:rPr>
      </w:pPr>
    </w:p>
    <w:p>
      <w:pPr>
        <w:ind w:firstLine="875"/>
        <w:spacing w:after="0" w:line="345" w:lineRule="auto"/>
        <w:tabs>
          <w:tab w:leader="none" w:pos="1306" w:val="left"/>
        </w:tabs>
        <w:numPr>
          <w:ilvl w:val="0"/>
          <w:numId w:val="58"/>
        </w:numPr>
        <w:rPr>
          <w:rFonts w:ascii="Arial" w:cs="Arial" w:eastAsia="Arial" w:hAnsi="Arial"/>
          <w:sz w:val="17"/>
          <w:szCs w:val="17"/>
          <w:color w:val="auto"/>
        </w:rPr>
      </w:pPr>
      <w:r>
        <w:rPr>
          <w:rFonts w:ascii="Arial" w:cs="Arial" w:eastAsia="Arial" w:hAnsi="Arial"/>
          <w:sz w:val="17"/>
          <w:szCs w:val="17"/>
          <w:color w:val="auto"/>
        </w:rPr>
        <w:t>has the power and authority and all governmental licenses, authorizations, consents and approvals (i) to own its assets and to carry on its business and (ii) to execute, deliver and perform its obligations under the Loan Documents to which it is a party;</w:t>
      </w:r>
    </w:p>
    <w:p>
      <w:pPr>
        <w:spacing w:after="0" w:line="107" w:lineRule="exact"/>
        <w:rPr>
          <w:rFonts w:ascii="Arial" w:cs="Arial" w:eastAsia="Arial" w:hAnsi="Arial"/>
          <w:sz w:val="17"/>
          <w:szCs w:val="17"/>
          <w:color w:val="auto"/>
        </w:rPr>
      </w:pPr>
    </w:p>
    <w:p>
      <w:pPr>
        <w:ind w:firstLine="875"/>
        <w:spacing w:after="0" w:line="257" w:lineRule="auto"/>
        <w:tabs>
          <w:tab w:leader="none" w:pos="1488" w:val="left"/>
        </w:tabs>
        <w:numPr>
          <w:ilvl w:val="0"/>
          <w:numId w:val="58"/>
        </w:numPr>
        <w:rPr>
          <w:rFonts w:ascii="Arial" w:cs="Arial" w:eastAsia="Arial" w:hAnsi="Arial"/>
          <w:sz w:val="20"/>
          <w:szCs w:val="20"/>
          <w:color w:val="auto"/>
        </w:rPr>
      </w:pPr>
      <w:r>
        <w:rPr>
          <w:rFonts w:ascii="Arial" w:cs="Arial" w:eastAsia="Arial" w:hAnsi="Arial"/>
          <w:sz w:val="20"/>
          <w:szCs w:val="20"/>
          <w:color w:val="auto"/>
        </w:rPr>
        <w:t>is duly qualified to do business in each jurisdiction where its ownership, lease or operation of property or the conduct of its business requires such qualification; and</w:t>
      </w:r>
    </w:p>
    <w:p>
      <w:pPr>
        <w:spacing w:after="0" w:line="176" w:lineRule="exact"/>
        <w:rPr>
          <w:rFonts w:ascii="Arial" w:cs="Arial" w:eastAsia="Arial" w:hAnsi="Arial"/>
          <w:sz w:val="20"/>
          <w:szCs w:val="20"/>
          <w:color w:val="auto"/>
        </w:rPr>
      </w:pPr>
    </w:p>
    <w:p>
      <w:pPr>
        <w:ind w:left="1500" w:hanging="625"/>
        <w:spacing w:after="0"/>
        <w:tabs>
          <w:tab w:leader="none" w:pos="15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is in compliance with all Requirements of Law;</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except, in each case referred to in </w:t>
      </w:r>
      <w:r>
        <w:rPr>
          <w:rFonts w:ascii="Arial" w:cs="Arial" w:eastAsia="Arial" w:hAnsi="Arial"/>
          <w:sz w:val="20"/>
          <w:szCs w:val="20"/>
          <w:u w:val="single" w:color="auto"/>
          <w:color w:val="auto"/>
        </w:rPr>
        <w:t>subclause (b)(i)</w:t>
      </w:r>
      <w:r>
        <w:rPr>
          <w:rFonts w:ascii="Arial" w:cs="Arial" w:eastAsia="Arial" w:hAnsi="Arial"/>
          <w:sz w:val="20"/>
          <w:szCs w:val="20"/>
          <w:color w:val="auto"/>
        </w:rPr>
        <w:t xml:space="preserve">,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clause (d)</w:t>
      </w:r>
      <w:r>
        <w:rPr>
          <w:rFonts w:ascii="Arial" w:cs="Arial" w:eastAsia="Arial" w:hAnsi="Arial"/>
          <w:sz w:val="20"/>
          <w:szCs w:val="20"/>
          <w:color w:val="auto"/>
        </w:rPr>
        <w:t>, to the extent that the failure to do so could not reasonably be expected to have a Material Adverse Effect.</w:t>
      </w:r>
    </w:p>
    <w:p>
      <w:pPr>
        <w:spacing w:after="0" w:line="171" w:lineRule="exact"/>
        <w:rPr>
          <w:sz w:val="20"/>
          <w:szCs w:val="20"/>
          <w:color w:val="auto"/>
        </w:rPr>
      </w:pPr>
    </w:p>
    <w:p>
      <w:pPr>
        <w:jc w:val="both"/>
        <w:ind w:firstLine="874"/>
        <w:spacing w:after="0" w:line="250" w:lineRule="auto"/>
        <w:rPr>
          <w:sz w:val="20"/>
          <w:szCs w:val="20"/>
          <w:color w:val="auto"/>
        </w:rPr>
      </w:pPr>
      <w:r>
        <w:rPr>
          <w:rFonts w:ascii="Arial" w:cs="Arial" w:eastAsia="Arial" w:hAnsi="Arial"/>
          <w:sz w:val="20"/>
          <w:szCs w:val="20"/>
          <w:b w:val="1"/>
          <w:bCs w:val="1"/>
          <w:color w:val="auto"/>
        </w:rPr>
        <w:t>5.02 Corporate Authorization; No Contravention</w:t>
      </w:r>
      <w:r>
        <w:rPr>
          <w:rFonts w:ascii="Arial" w:cs="Arial" w:eastAsia="Arial" w:hAnsi="Arial"/>
          <w:sz w:val="20"/>
          <w:szCs w:val="20"/>
          <w:color w:val="auto"/>
        </w:rPr>
        <w:t>. The execution, delivery and performance by the Borrower of each Loan</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 to which it is a party have been duly authorized by all necessary corporate, company, partnership or other similar organizational action (as the case may be), and do not and will not:</w:t>
      </w:r>
    </w:p>
    <w:p>
      <w:pPr>
        <w:spacing w:after="0" w:line="184" w:lineRule="exact"/>
        <w:rPr>
          <w:sz w:val="20"/>
          <w:szCs w:val="20"/>
          <w:color w:val="auto"/>
        </w:rPr>
      </w:pPr>
    </w:p>
    <w:p>
      <w:pPr>
        <w:ind w:left="1480" w:hanging="605"/>
        <w:spacing w:after="0"/>
        <w:tabs>
          <w:tab w:leader="none" w:pos="14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contravene the terms of any of the Borrower’s Organization Documents;</w:t>
      </w:r>
    </w:p>
    <w:p>
      <w:pPr>
        <w:spacing w:after="0" w:line="211" w:lineRule="exact"/>
        <w:rPr>
          <w:rFonts w:ascii="Arial" w:cs="Arial" w:eastAsia="Arial" w:hAnsi="Arial"/>
          <w:sz w:val="20"/>
          <w:szCs w:val="20"/>
          <w:color w:val="auto"/>
        </w:rPr>
      </w:pPr>
    </w:p>
    <w:p>
      <w:pPr>
        <w:jc w:val="both"/>
        <w:ind w:firstLine="875"/>
        <w:spacing w:after="0" w:line="312" w:lineRule="auto"/>
        <w:tabs>
          <w:tab w:leader="none" w:pos="1324"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conflict with or result in any breach or contravention of, or the creation of any Lien under, any document evidencing any material Contractual Obligation to which the Borrower or any of its Subsidiaries is a party, or any order, injunction, writ or decree of any Governmental Authority to which the Borrower or any of its Subsidiaries or any of its or their property is subject; or</w:t>
      </w:r>
    </w:p>
    <w:p>
      <w:pPr>
        <w:spacing w:after="0" w:line="134" w:lineRule="exact"/>
        <w:rPr>
          <w:rFonts w:ascii="Arial" w:cs="Arial" w:eastAsia="Arial" w:hAnsi="Arial"/>
          <w:sz w:val="17"/>
          <w:szCs w:val="17"/>
          <w:color w:val="auto"/>
        </w:rPr>
      </w:pPr>
    </w:p>
    <w:p>
      <w:pPr>
        <w:ind w:left="1480" w:hanging="605"/>
        <w:spacing w:after="0"/>
        <w:tabs>
          <w:tab w:leader="none" w:pos="14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violate any Requirement of Law.</w:t>
      </w:r>
    </w:p>
    <w:p>
      <w:pPr>
        <w:spacing w:after="0" w:line="206" w:lineRule="exact"/>
        <w:rPr>
          <w:sz w:val="20"/>
          <w:szCs w:val="20"/>
          <w:color w:val="auto"/>
        </w:rPr>
      </w:pPr>
    </w:p>
    <w:p>
      <w:pPr>
        <w:jc w:val="both"/>
        <w:ind w:firstLine="874"/>
        <w:spacing w:after="0" w:line="246" w:lineRule="auto"/>
        <w:rPr>
          <w:sz w:val="20"/>
          <w:szCs w:val="20"/>
          <w:color w:val="auto"/>
        </w:rPr>
      </w:pPr>
      <w:r>
        <w:rPr>
          <w:rFonts w:ascii="Arial" w:cs="Arial" w:eastAsia="Arial" w:hAnsi="Arial"/>
          <w:sz w:val="20"/>
          <w:szCs w:val="20"/>
          <w:b w:val="1"/>
          <w:bCs w:val="1"/>
          <w:color w:val="auto"/>
        </w:rPr>
        <w:t>5.03 Governmental Authorization</w:t>
      </w:r>
      <w:r>
        <w:rPr>
          <w:rFonts w:ascii="Arial" w:cs="Arial" w:eastAsia="Arial" w:hAnsi="Arial"/>
          <w:sz w:val="20"/>
          <w:szCs w:val="20"/>
          <w:color w:val="auto"/>
        </w:rPr>
        <w:t>. No approval, consent, exemption, authorization or other action by, or notice to, or filing</w:t>
      </w:r>
      <w:r>
        <w:rPr>
          <w:rFonts w:ascii="Arial" w:cs="Arial" w:eastAsia="Arial" w:hAnsi="Arial"/>
          <w:sz w:val="20"/>
          <w:szCs w:val="20"/>
          <w:b w:val="1"/>
          <w:bCs w:val="1"/>
          <w:color w:val="auto"/>
        </w:rPr>
        <w:t xml:space="preserve"> </w:t>
      </w:r>
      <w:r>
        <w:rPr>
          <w:rFonts w:ascii="Arial" w:cs="Arial" w:eastAsia="Arial" w:hAnsi="Arial"/>
          <w:sz w:val="20"/>
          <w:szCs w:val="20"/>
          <w:color w:val="auto"/>
        </w:rPr>
        <w:t>with, any Governmental Authority (other than any of the foregoing which has been obtained or made and is in full force and effect) is necessary or required in connection with the execution, delivery or performance by, or enforcement against, the Borrower of this Agreement or any other Loan Document.</w:t>
      </w:r>
    </w:p>
    <w:p>
      <w:pPr>
        <w:spacing w:after="0" w:line="182" w:lineRule="exact"/>
        <w:rPr>
          <w:sz w:val="20"/>
          <w:szCs w:val="20"/>
          <w:color w:val="auto"/>
        </w:rPr>
      </w:pPr>
    </w:p>
    <w:p>
      <w:pPr>
        <w:jc w:val="both"/>
        <w:ind w:firstLine="874"/>
        <w:spacing w:after="0" w:line="250" w:lineRule="auto"/>
        <w:rPr>
          <w:sz w:val="20"/>
          <w:szCs w:val="20"/>
          <w:color w:val="auto"/>
        </w:rPr>
      </w:pPr>
      <w:r>
        <w:rPr>
          <w:rFonts w:ascii="Arial" w:cs="Arial" w:eastAsia="Arial" w:hAnsi="Arial"/>
          <w:sz w:val="20"/>
          <w:szCs w:val="20"/>
          <w:b w:val="1"/>
          <w:bCs w:val="1"/>
          <w:color w:val="auto"/>
        </w:rPr>
        <w:t>5.04 Binding Effect</w:t>
      </w:r>
      <w:r>
        <w:rPr>
          <w:rFonts w:ascii="Arial" w:cs="Arial" w:eastAsia="Arial" w:hAnsi="Arial"/>
          <w:sz w:val="20"/>
          <w:szCs w:val="20"/>
          <w:color w:val="auto"/>
        </w:rPr>
        <w:t>. This Agreement and each other Loan Document constitute the legal, valid and binding obligations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Borrower, enforceable against the Borrower in accordance with their respective terms, except as enforceability may be limited by applicable bankruptcy, insolvency or similar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920"/>
          </w:cols>
          <w:pgMar w:left="480" w:top="270" w:right="499" w:bottom="144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laws affecting the enforcement of creditors’ rights generally or by equitable principles relating to enforceability.</w:t>
      </w:r>
    </w:p>
    <w:p>
      <w:pPr>
        <w:spacing w:after="0" w:line="206" w:lineRule="exact"/>
        <w:rPr>
          <w:sz w:val="20"/>
          <w:szCs w:val="20"/>
          <w:color w:val="auto"/>
        </w:rPr>
      </w:pPr>
    </w:p>
    <w:p>
      <w:pPr>
        <w:jc w:val="both"/>
        <w:ind w:firstLine="874"/>
        <w:spacing w:after="0" w:line="255" w:lineRule="auto"/>
        <w:rPr>
          <w:sz w:val="20"/>
          <w:szCs w:val="20"/>
          <w:color w:val="auto"/>
        </w:rPr>
      </w:pPr>
      <w:r>
        <w:rPr>
          <w:rFonts w:ascii="Arial" w:cs="Arial" w:eastAsia="Arial" w:hAnsi="Arial"/>
          <w:sz w:val="19"/>
          <w:szCs w:val="19"/>
          <w:b w:val="1"/>
          <w:bCs w:val="1"/>
          <w:color w:val="auto"/>
        </w:rPr>
        <w:t>5.05 Litigation</w:t>
      </w:r>
      <w:r>
        <w:rPr>
          <w:rFonts w:ascii="Arial" w:cs="Arial" w:eastAsia="Arial" w:hAnsi="Arial"/>
          <w:sz w:val="19"/>
          <w:szCs w:val="19"/>
          <w:color w:val="auto"/>
        </w:rPr>
        <w:t>. There are no actions, suits, proceedings, claims or disputes pending or, to the best knowledge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threatened, at law, in equity, in arbitration or before any Governmental Authority, against the Borrower or any Subsidiary or any of their respective properties (a) which purport to affect or pertain to this Agreement or any other Loan Document or (b) as to which there exists a reasonable likelihood of an adverse determination, which determination would reasonably be expected to have a material adverse effect on the ability of the Borrower to pay and perform the Obligations. No injunction, writ, temporary restraining order or other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78" w:lineRule="exact"/>
        <w:rPr>
          <w:sz w:val="20"/>
          <w:szCs w:val="20"/>
          <w:color w:val="auto"/>
        </w:rPr>
      </w:pPr>
    </w:p>
    <w:p>
      <w:pPr>
        <w:jc w:val="both"/>
        <w:ind w:firstLine="874"/>
        <w:spacing w:after="0" w:line="270" w:lineRule="auto"/>
        <w:rPr>
          <w:sz w:val="20"/>
          <w:szCs w:val="20"/>
          <w:color w:val="auto"/>
        </w:rPr>
      </w:pPr>
      <w:r>
        <w:rPr>
          <w:rFonts w:ascii="Arial" w:cs="Arial" w:eastAsia="Arial" w:hAnsi="Arial"/>
          <w:sz w:val="19"/>
          <w:szCs w:val="19"/>
          <w:b w:val="1"/>
          <w:bCs w:val="1"/>
          <w:color w:val="auto"/>
        </w:rPr>
        <w:t>5.06 No Default</w:t>
      </w:r>
      <w:r>
        <w:rPr>
          <w:rFonts w:ascii="Arial" w:cs="Arial" w:eastAsia="Arial" w:hAnsi="Arial"/>
          <w:sz w:val="19"/>
          <w:szCs w:val="19"/>
          <w:color w:val="auto"/>
        </w:rPr>
        <w:t>. No Default exists or would result from the incurring of any Obligations by the Borrower.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neither the Borrower nor any Subsidiary is in default under or with respect to any Contractual Obligation in any respect which, individually or together with all such defaults, could reasonably be expected to have a Material Adverse Effect.</w:t>
      </w:r>
    </w:p>
    <w:p>
      <w:pPr>
        <w:spacing w:after="0" w:line="160"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5.07</w:t>
      </w:r>
      <w:r>
        <w:rPr>
          <w:sz w:val="20"/>
          <w:szCs w:val="20"/>
          <w:color w:val="auto"/>
        </w:rPr>
        <w:tab/>
      </w:r>
      <w:r>
        <w:rPr>
          <w:rFonts w:ascii="Arial" w:cs="Arial" w:eastAsia="Arial" w:hAnsi="Arial"/>
          <w:sz w:val="17"/>
          <w:szCs w:val="17"/>
          <w:b w:val="1"/>
          <w:bCs w:val="1"/>
          <w:color w:val="auto"/>
        </w:rPr>
        <w:t>ERISA Compliance</w:t>
      </w:r>
      <w:r>
        <w:rPr>
          <w:rFonts w:ascii="Arial" w:cs="Arial" w:eastAsia="Arial" w:hAnsi="Arial"/>
          <w:sz w:val="17"/>
          <w:szCs w:val="17"/>
          <w:color w:val="auto"/>
        </w:rPr>
        <w:t>. Except as specifically disclosed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5.07</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286" w:lineRule="auto"/>
        <w:tabs>
          <w:tab w:leader="none" w:pos="1297"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Code and other federal or state law (or, in the case of an Acquired Plan, can be brought into such compliance without any material fine, penalty or other liability). Except for Acquired Plans with respect to which the failure to have received a qualification letter would not result in any material fine, penalty or other liability, each Plan which is intended to qualify under Section 401(a) of the Code has received a favorable determination letter from the IRS (or will be submitted for a determination letter within the applicable remedial amendment period), and to the best knowledge of the Borrower, nothing has occurred which would cause the loss of such qualification. Except as could not reasonably be expected to result in liability to the Borrower or any ERISA Affiliate in excess of $20,000,000, the Borrower and each ERISA Affiliate has made all required contributions to any Plan or Multiemployer Plan subject to Section 412 of the Code (except for contributions to Acquired Plans not made prior to the respective Plan Acquisition Dates and which do not in the aggregate exceed $1,000,000 for any Acquired Plan) and have not submitted any application for a funding waiver or an extension of any amortization period pursuant to Section 412 of the Code has been made with respect to any Plan or Multiemployer Plan.</w:t>
      </w:r>
    </w:p>
    <w:p>
      <w:pPr>
        <w:spacing w:after="0" w:line="155" w:lineRule="exact"/>
        <w:rPr>
          <w:rFonts w:ascii="Arial" w:cs="Arial" w:eastAsia="Arial" w:hAnsi="Arial"/>
          <w:sz w:val="17"/>
          <w:szCs w:val="17"/>
          <w:color w:val="auto"/>
        </w:rPr>
      </w:pPr>
    </w:p>
    <w:p>
      <w:pPr>
        <w:jc w:val="both"/>
        <w:ind w:firstLine="875"/>
        <w:spacing w:after="0" w:line="244" w:lineRule="auto"/>
        <w:tabs>
          <w:tab w:leader="none" w:pos="1587"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There are no pending or, to the best knowledge of Borrower, threatened claims, actions or lawsuits, or action by any Governmental Authority, with respect to any Plan which has resulted or could reasonably be expected to result in a Material Adverse Effect. There has been no prohibited transaction or violation of the fiduciary responsibility rules with respect to any Plan which has resulted or could reasonably be expected to result in a Material Adverse Effect.</w:t>
      </w:r>
    </w:p>
    <w:p>
      <w:pPr>
        <w:spacing w:after="0" w:line="189" w:lineRule="exact"/>
        <w:rPr>
          <w:rFonts w:ascii="Arial" w:cs="Arial" w:eastAsia="Arial" w:hAnsi="Arial"/>
          <w:sz w:val="20"/>
          <w:szCs w:val="20"/>
          <w:color w:val="auto"/>
        </w:rPr>
      </w:pPr>
    </w:p>
    <w:p>
      <w:pPr>
        <w:jc w:val="both"/>
        <w:ind w:firstLine="875"/>
        <w:spacing w:after="0"/>
        <w:tabs>
          <w:tab w:leader="none" w:pos="1707" w:val="left"/>
        </w:tabs>
        <w:numPr>
          <w:ilvl w:val="0"/>
          <w:numId w:val="60"/>
        </w:numPr>
        <w:rPr>
          <w:rFonts w:ascii="Arial" w:cs="Arial" w:eastAsia="Arial" w:hAnsi="Arial"/>
          <w:sz w:val="20"/>
          <w:szCs w:val="20"/>
          <w:color w:val="auto"/>
        </w:rPr>
      </w:pPr>
      <w:r>
        <w:rPr>
          <w:rFonts w:ascii="Arial" w:cs="Arial" w:eastAsia="Arial" w:hAnsi="Arial"/>
          <w:sz w:val="20"/>
          <w:szCs w:val="20"/>
          <w:color w:val="auto"/>
        </w:rPr>
        <w:t>(i) No ERISA Event has occurred or is reasonably expected to occur which has resulted or could reasonably be expected to result in liability under Title IV of ERISA to the Borrower or any ERISA Affiliate in an aggregate amount in excess of $50,000,000; (ii) no contribution failure has occurred with respect to a Pension Plan sufficient to give rise to a Lien under Section 303(k) of ERISA securing liability in excess of $20,000,000; (iii) no Pension Plan has any Unfunded Pension Liability, which has resulted or could reasonably be expected to result in a Material Adverse Effect; (iv) neither the Borrower nor any ERISA Affiliate has incurred, or reasonably expects to incur, any liability under Title IV of ERISA with respect to any Pension Plan, which has resulted or could reasonably be expected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0920"/>
          </w:cols>
          <w:pgMar w:left="480" w:top="270" w:right="499" w:bottom="1440" w:gutter="0" w:footer="0" w:header="0"/>
        </w:sectPr>
      </w:pPr>
    </w:p>
    <w:bookmarkStart w:id="54" w:name="page55"/>
    <w:bookmarkEnd w:id="54"/>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result in a Material Adverse Effect; (v) to the best knowledge of the Borrower, neither the Borrower nor any ERISA Affiliate has incurred, or reasonably expects to incur, any liability (and no event has occurred which, with the giving of notice under Section 4219 of ERISA, would result in such liability) under Section 4201 or 4243 of ERISA with respect to a Multiemployer Plan in an aggregate amount in excess of $50,000,000; and (vi) neither the Borrower nor any ERISA Affiliate has engaged in a transaction, which could reasonably be expect to result in liability to the Borrower or such ERISA Affiliate in excess of $50,000,000 pursuant to Section 4069 or 4212(c) of ERISA.</w:t>
      </w:r>
    </w:p>
    <w:p>
      <w:pPr>
        <w:spacing w:after="0" w:line="194" w:lineRule="exact"/>
        <w:rPr>
          <w:sz w:val="20"/>
          <w:szCs w:val="20"/>
          <w:color w:val="auto"/>
        </w:rPr>
      </w:pPr>
    </w:p>
    <w:p>
      <w:pPr>
        <w:ind w:firstLine="875"/>
        <w:spacing w:after="0" w:line="345" w:lineRule="auto"/>
        <w:tabs>
          <w:tab w:leader="none" w:pos="1617" w:val="left"/>
        </w:tabs>
        <w:numPr>
          <w:ilvl w:val="0"/>
          <w:numId w:val="61"/>
        </w:numPr>
        <w:rPr>
          <w:rFonts w:ascii="Arial" w:cs="Arial" w:eastAsia="Arial" w:hAnsi="Arial"/>
          <w:sz w:val="17"/>
          <w:szCs w:val="17"/>
          <w:color w:val="auto"/>
        </w:rPr>
      </w:pPr>
      <w:r>
        <w:rPr>
          <w:rFonts w:ascii="Arial" w:cs="Arial" w:eastAsia="Arial" w:hAnsi="Arial"/>
          <w:sz w:val="17"/>
          <w:szCs w:val="17"/>
          <w:color w:val="auto"/>
        </w:rPr>
        <w:t>As of the Effective Date, the Borrower is not and will not be using “plan assets” (within the meaning of 29 CFR § 2510.3-101, as modified by Section 3(42) of ERISA) of one or more Benefit Plans in connection with the Loans or the Commitments.</w:t>
      </w:r>
    </w:p>
    <w:p>
      <w:pPr>
        <w:spacing w:after="0" w:line="101" w:lineRule="exact"/>
        <w:rPr>
          <w:sz w:val="20"/>
          <w:szCs w:val="20"/>
          <w:color w:val="auto"/>
        </w:rPr>
      </w:pPr>
    </w:p>
    <w:p>
      <w:pPr>
        <w:jc w:val="both"/>
        <w:ind w:firstLine="874"/>
        <w:spacing w:after="0" w:line="270" w:lineRule="auto"/>
        <w:rPr>
          <w:sz w:val="20"/>
          <w:szCs w:val="20"/>
          <w:color w:val="auto"/>
        </w:rPr>
      </w:pPr>
      <w:r>
        <w:rPr>
          <w:rFonts w:ascii="Arial" w:cs="Arial" w:eastAsia="Arial" w:hAnsi="Arial"/>
          <w:sz w:val="19"/>
          <w:szCs w:val="19"/>
          <w:b w:val="1"/>
          <w:bCs w:val="1"/>
          <w:color w:val="auto"/>
        </w:rPr>
        <w:t>5.08 Use of Proceeds; Margin Regulations</w:t>
      </w:r>
      <w:r>
        <w:rPr>
          <w:rFonts w:ascii="Arial" w:cs="Arial" w:eastAsia="Arial" w:hAnsi="Arial"/>
          <w:sz w:val="19"/>
          <w:szCs w:val="19"/>
          <w:color w:val="auto"/>
        </w:rPr>
        <w:t>. The proceeds of the Loans will be used solely for the purposes set forth in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permitted by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7.08</w:t>
      </w:r>
      <w:r>
        <w:rPr>
          <w:rFonts w:ascii="Arial" w:cs="Arial" w:eastAsia="Arial" w:hAnsi="Arial"/>
          <w:sz w:val="19"/>
          <w:szCs w:val="19"/>
          <w:color w:val="auto"/>
        </w:rPr>
        <w:t>. Neither the Borrower nor any Subsidiary is generally engaged in the business of purchasing or selling Margin Stock or extending credit for the purpose of purchasing or carrying Margin Stock.</w:t>
      </w:r>
    </w:p>
    <w:p>
      <w:pPr>
        <w:spacing w:after="0" w:line="160" w:lineRule="exact"/>
        <w:rPr>
          <w:sz w:val="20"/>
          <w:szCs w:val="20"/>
          <w:color w:val="auto"/>
        </w:rPr>
      </w:pPr>
    </w:p>
    <w:p>
      <w:pPr>
        <w:jc w:val="both"/>
        <w:ind w:firstLine="874"/>
        <w:spacing w:after="0" w:line="260" w:lineRule="auto"/>
        <w:rPr>
          <w:sz w:val="20"/>
          <w:szCs w:val="20"/>
          <w:color w:val="auto"/>
        </w:rPr>
      </w:pPr>
      <w:r>
        <w:rPr>
          <w:rFonts w:ascii="Arial" w:cs="Arial" w:eastAsia="Arial" w:hAnsi="Arial"/>
          <w:sz w:val="19"/>
          <w:szCs w:val="19"/>
          <w:b w:val="1"/>
          <w:bCs w:val="1"/>
          <w:color w:val="auto"/>
        </w:rPr>
        <w:t>5.09 Title to Properties</w:t>
      </w:r>
      <w:r>
        <w:rPr>
          <w:rFonts w:ascii="Arial" w:cs="Arial" w:eastAsia="Arial" w:hAnsi="Arial"/>
          <w:sz w:val="19"/>
          <w:szCs w:val="19"/>
          <w:color w:val="auto"/>
        </w:rPr>
        <w:t>. The Borrower and each Subsidiary have good record and marketable title in fee simple to, or valid</w:t>
      </w:r>
      <w:r>
        <w:rPr>
          <w:rFonts w:ascii="Arial" w:cs="Arial" w:eastAsia="Arial" w:hAnsi="Arial"/>
          <w:sz w:val="19"/>
          <w:szCs w:val="19"/>
          <w:b w:val="1"/>
          <w:bCs w:val="1"/>
          <w:color w:val="auto"/>
        </w:rPr>
        <w:t xml:space="preserve"> </w:t>
      </w:r>
      <w:r>
        <w:rPr>
          <w:rFonts w:ascii="Arial" w:cs="Arial" w:eastAsia="Arial" w:hAnsi="Arial"/>
          <w:sz w:val="19"/>
          <w:szCs w:val="19"/>
          <w:color w:val="auto"/>
        </w:rPr>
        <w:t>leasehold interests in or rights to operate, all real property necessary or used in the ordinary conduct of their respective businesses, except for such defects in title as could not, individually or in the aggregate, have a Material Adverse Effect. As of the Effective Date, the property of the Borrower and its Subsidiaries (other than any Allied Unrestricted Subsidiary, Securitization Subsidiary or any Republic Insurance Entity) is subject to no Liens, other than Permitted Liens.</w:t>
      </w:r>
    </w:p>
    <w:p>
      <w:pPr>
        <w:spacing w:after="0" w:line="169" w:lineRule="exact"/>
        <w:rPr>
          <w:sz w:val="20"/>
          <w:szCs w:val="20"/>
          <w:color w:val="auto"/>
        </w:rPr>
      </w:pPr>
    </w:p>
    <w:p>
      <w:pPr>
        <w:jc w:val="both"/>
        <w:ind w:firstLine="874"/>
        <w:spacing w:after="0" w:line="260" w:lineRule="auto"/>
        <w:rPr>
          <w:sz w:val="20"/>
          <w:szCs w:val="20"/>
          <w:color w:val="auto"/>
        </w:rPr>
      </w:pPr>
      <w:r>
        <w:rPr>
          <w:rFonts w:ascii="Arial" w:cs="Arial" w:eastAsia="Arial" w:hAnsi="Arial"/>
          <w:sz w:val="19"/>
          <w:szCs w:val="19"/>
          <w:b w:val="1"/>
          <w:bCs w:val="1"/>
          <w:color w:val="auto"/>
        </w:rPr>
        <w:t>5.10 Taxes</w:t>
      </w:r>
      <w:r>
        <w:rPr>
          <w:rFonts w:ascii="Arial" w:cs="Arial" w:eastAsia="Arial" w:hAnsi="Arial"/>
          <w:sz w:val="19"/>
          <w:szCs w:val="19"/>
          <w:color w:val="auto"/>
        </w:rPr>
        <w:t>. The Borrower and its Material Subsidiaries have filed all Federal and other material tax returns and reports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be filed, and have paid all Federal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There is no proposed tax assessment against the Borrower or any Subsidiary that would, if made, have a Material Adverse Effect.</w:t>
      </w:r>
    </w:p>
    <w:p>
      <w:pPr>
        <w:spacing w:after="0" w:line="169" w:lineRule="exact"/>
        <w:rPr>
          <w:sz w:val="20"/>
          <w:szCs w:val="20"/>
          <w:color w:val="auto"/>
        </w:rPr>
      </w:pPr>
    </w:p>
    <w:p>
      <w:pPr>
        <w:ind w:left="880"/>
        <w:spacing w:after="0"/>
        <w:tabs>
          <w:tab w:leader="none" w:pos="138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17"/>
          <w:szCs w:val="17"/>
          <w:b w:val="1"/>
          <w:bCs w:val="1"/>
          <w:color w:val="auto"/>
        </w:rPr>
        <w:t>Financial Condition</w:t>
      </w:r>
      <w:r>
        <w:rPr>
          <w:rFonts w:ascii="Arial" w:cs="Arial" w:eastAsia="Arial" w:hAnsi="Arial"/>
          <w:sz w:val="17"/>
          <w:szCs w:val="17"/>
          <w:color w:val="auto"/>
        </w:rPr>
        <w:t>.</w:t>
      </w:r>
    </w:p>
    <w:p>
      <w:pPr>
        <w:spacing w:after="0" w:line="218" w:lineRule="exact"/>
        <w:rPr>
          <w:sz w:val="20"/>
          <w:szCs w:val="20"/>
          <w:color w:val="auto"/>
        </w:rPr>
      </w:pPr>
    </w:p>
    <w:p>
      <w:pPr>
        <w:ind w:left="1480" w:hanging="605"/>
        <w:spacing w:after="0"/>
        <w:tabs>
          <w:tab w:leader="none" w:pos="14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Audited Financial Statements:</w:t>
      </w:r>
    </w:p>
    <w:p>
      <w:pPr>
        <w:spacing w:after="0" w:line="211" w:lineRule="exact"/>
        <w:rPr>
          <w:rFonts w:ascii="Arial" w:cs="Arial" w:eastAsia="Arial" w:hAnsi="Arial"/>
          <w:sz w:val="20"/>
          <w:szCs w:val="20"/>
          <w:color w:val="auto"/>
        </w:rPr>
      </w:pPr>
    </w:p>
    <w:p>
      <w:pPr>
        <w:ind w:left="880" w:firstLine="799"/>
        <w:spacing w:after="0" w:line="257" w:lineRule="auto"/>
        <w:tabs>
          <w:tab w:leader="none" w:pos="2297" w:val="left"/>
        </w:tabs>
        <w:numPr>
          <w:ilvl w:val="1"/>
          <w:numId w:val="62"/>
        </w:numPr>
        <w:rPr>
          <w:rFonts w:ascii="Arial" w:cs="Arial" w:eastAsia="Arial" w:hAnsi="Arial"/>
          <w:sz w:val="20"/>
          <w:szCs w:val="20"/>
          <w:color w:val="auto"/>
        </w:rPr>
      </w:pPr>
      <w:r>
        <w:rPr>
          <w:rFonts w:ascii="Arial" w:cs="Arial" w:eastAsia="Arial" w:hAnsi="Arial"/>
          <w:sz w:val="20"/>
          <w:szCs w:val="20"/>
          <w:color w:val="auto"/>
        </w:rPr>
        <w:t>were prepared in accordance with GAAP consistently applied throughout the periods covered thereby, except as otherwise expressly noted therein;</w:t>
      </w:r>
    </w:p>
    <w:p>
      <w:pPr>
        <w:spacing w:after="0" w:line="176" w:lineRule="exact"/>
        <w:rPr>
          <w:rFonts w:ascii="Arial" w:cs="Arial" w:eastAsia="Arial" w:hAnsi="Arial"/>
          <w:sz w:val="20"/>
          <w:szCs w:val="20"/>
          <w:color w:val="auto"/>
        </w:rPr>
      </w:pPr>
    </w:p>
    <w:p>
      <w:pPr>
        <w:ind w:left="880" w:firstLine="799"/>
        <w:spacing w:after="0" w:line="257" w:lineRule="auto"/>
        <w:tabs>
          <w:tab w:leader="none" w:pos="2338" w:val="left"/>
        </w:tabs>
        <w:numPr>
          <w:ilvl w:val="1"/>
          <w:numId w:val="62"/>
        </w:numPr>
        <w:rPr>
          <w:rFonts w:ascii="Arial" w:cs="Arial" w:eastAsia="Arial" w:hAnsi="Arial"/>
          <w:sz w:val="20"/>
          <w:szCs w:val="20"/>
          <w:color w:val="auto"/>
        </w:rPr>
      </w:pPr>
      <w:r>
        <w:rPr>
          <w:rFonts w:ascii="Arial" w:cs="Arial" w:eastAsia="Arial" w:hAnsi="Arial"/>
          <w:sz w:val="20"/>
          <w:szCs w:val="20"/>
          <w:color w:val="auto"/>
        </w:rPr>
        <w:t>fairly present the financial condition of the Borrower and its consolidated Subsidiaries as of the dates thereof and the results of operations for the periods covered thereby; and</w:t>
      </w:r>
    </w:p>
    <w:p>
      <w:pPr>
        <w:spacing w:after="0" w:line="176" w:lineRule="exact"/>
        <w:rPr>
          <w:rFonts w:ascii="Arial" w:cs="Arial" w:eastAsia="Arial" w:hAnsi="Arial"/>
          <w:sz w:val="20"/>
          <w:szCs w:val="20"/>
          <w:color w:val="auto"/>
        </w:rPr>
      </w:pPr>
    </w:p>
    <w:p>
      <w:pPr>
        <w:ind w:left="880" w:firstLine="799"/>
        <w:spacing w:after="0" w:line="283" w:lineRule="auto"/>
        <w:tabs>
          <w:tab w:leader="none" w:pos="2668" w:val="left"/>
        </w:tabs>
        <w:numPr>
          <w:ilvl w:val="1"/>
          <w:numId w:val="62"/>
        </w:numPr>
        <w:rPr>
          <w:rFonts w:ascii="Arial" w:cs="Arial" w:eastAsia="Arial" w:hAnsi="Arial"/>
          <w:sz w:val="19"/>
          <w:szCs w:val="19"/>
          <w:color w:val="auto"/>
        </w:rPr>
      </w:pPr>
      <w:r>
        <w:rPr>
          <w:rFonts w:ascii="Arial" w:cs="Arial" w:eastAsia="Arial" w:hAnsi="Arial"/>
          <w:sz w:val="19"/>
          <w:szCs w:val="19"/>
          <w:color w:val="auto"/>
        </w:rPr>
        <w:t>show all material indebtedness and other liabilities, absolute or contingent, of the Borrower and its consolidated Subsidiaries as of the dates thereof, including liabilities for taxes and material Contingent Obligations.</w:t>
      </w:r>
    </w:p>
    <w:p>
      <w:pPr>
        <w:spacing w:after="0" w:line="154" w:lineRule="exact"/>
        <w:rPr>
          <w:rFonts w:ascii="Arial" w:cs="Arial" w:eastAsia="Arial" w:hAnsi="Arial"/>
          <w:sz w:val="19"/>
          <w:szCs w:val="19"/>
          <w:color w:val="auto"/>
        </w:rPr>
      </w:pPr>
    </w:p>
    <w:p>
      <w:pPr>
        <w:ind w:firstLine="875"/>
        <w:spacing w:after="0" w:line="257" w:lineRule="auto"/>
        <w:tabs>
          <w:tab w:leader="none" w:pos="1574" w:val="left"/>
        </w:tabs>
        <w:numPr>
          <w:ilvl w:val="0"/>
          <w:numId w:val="62"/>
        </w:numPr>
        <w:rPr>
          <w:rFonts w:ascii="Arial" w:cs="Arial" w:eastAsia="Arial" w:hAnsi="Arial"/>
          <w:sz w:val="20"/>
          <w:szCs w:val="20"/>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0920"/>
          </w:cols>
          <w:pgMar w:left="480" w:top="270" w:right="499" w:bottom="1440" w:gutter="0" w:footer="0" w:header="0"/>
        </w:sectPr>
      </w:pPr>
    </w:p>
    <w:bookmarkStart w:id="55" w:name="page56"/>
    <w:bookmarkEnd w:id="55"/>
    <w:p>
      <w:pPr>
        <w:jc w:val="both"/>
        <w:ind w:firstLine="874"/>
        <w:spacing w:after="0" w:line="26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5.12 Environmental Matters</w:t>
      </w:r>
      <w:r>
        <w:rPr>
          <w:rFonts w:ascii="Arial" w:cs="Arial" w:eastAsia="Arial" w:hAnsi="Arial"/>
          <w:sz w:val="19"/>
          <w:szCs w:val="19"/>
          <w:color w:val="auto"/>
        </w:rPr>
        <w:t>. The Borrower conducts in the ordinary course of business a review of the effect of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Environmental Laws and existing Environmental Claims on its business, operations and properties, and as a result thereof the Borrower has reasonably concluded that, except as specifically disclosed in </w:t>
      </w:r>
      <w:r>
        <w:rPr>
          <w:rFonts w:ascii="Arial" w:cs="Arial" w:eastAsia="Arial" w:hAnsi="Arial"/>
          <w:sz w:val="19"/>
          <w:szCs w:val="19"/>
          <w:u w:val="single" w:color="auto"/>
          <w:color w:val="auto"/>
        </w:rPr>
        <w:t>Schedule 5.12</w:t>
      </w:r>
      <w:r>
        <w:rPr>
          <w:rFonts w:ascii="Arial" w:cs="Arial" w:eastAsia="Arial" w:hAnsi="Arial"/>
          <w:sz w:val="19"/>
          <w:szCs w:val="19"/>
          <w:color w:val="auto"/>
        </w:rPr>
        <w:t>, such Environmental Laws and Environmental Claims could not, individually or in the aggregate, reasonably be expected to have a Material Adverse Effect.</w:t>
      </w:r>
    </w:p>
    <w:p>
      <w:pPr>
        <w:spacing w:after="0" w:line="167" w:lineRule="exact"/>
        <w:rPr>
          <w:sz w:val="20"/>
          <w:szCs w:val="20"/>
          <w:color w:val="auto"/>
        </w:rPr>
      </w:pPr>
    </w:p>
    <w:p>
      <w:pPr>
        <w:jc w:val="both"/>
        <w:ind w:firstLine="874"/>
        <w:spacing w:after="0" w:line="250" w:lineRule="auto"/>
        <w:rPr>
          <w:sz w:val="20"/>
          <w:szCs w:val="20"/>
          <w:color w:val="auto"/>
        </w:rPr>
      </w:pPr>
      <w:r>
        <w:rPr>
          <w:rFonts w:ascii="Arial" w:cs="Arial" w:eastAsia="Arial" w:hAnsi="Arial"/>
          <w:sz w:val="20"/>
          <w:szCs w:val="20"/>
          <w:b w:val="1"/>
          <w:bCs w:val="1"/>
          <w:color w:val="auto"/>
        </w:rPr>
        <w:t>5.13 Regulated Entities</w:t>
      </w:r>
      <w:r>
        <w:rPr>
          <w:rFonts w:ascii="Arial" w:cs="Arial" w:eastAsia="Arial" w:hAnsi="Arial"/>
          <w:sz w:val="20"/>
          <w:szCs w:val="20"/>
          <w:color w:val="auto"/>
        </w:rPr>
        <w:t>. None of the Borrower, any Person controlling the Borrower, or any Subsidiary is an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within the meaning of the Investment Company Act of 1940. The Borrower is not subject to any Federal or state statute or regulation limiting its ability to incur Indebtedness.</w:t>
      </w:r>
    </w:p>
    <w:p>
      <w:pPr>
        <w:spacing w:after="0" w:line="178" w:lineRule="exact"/>
        <w:rPr>
          <w:sz w:val="20"/>
          <w:szCs w:val="20"/>
          <w:color w:val="auto"/>
        </w:rPr>
      </w:pPr>
    </w:p>
    <w:p>
      <w:pPr>
        <w:jc w:val="both"/>
        <w:ind w:firstLine="874"/>
        <w:spacing w:after="0" w:line="250" w:lineRule="auto"/>
        <w:rPr>
          <w:sz w:val="20"/>
          <w:szCs w:val="20"/>
          <w:color w:val="auto"/>
        </w:rPr>
      </w:pPr>
      <w:r>
        <w:rPr>
          <w:rFonts w:ascii="Arial" w:cs="Arial" w:eastAsia="Arial" w:hAnsi="Arial"/>
          <w:sz w:val="20"/>
          <w:szCs w:val="20"/>
          <w:b w:val="1"/>
          <w:bCs w:val="1"/>
          <w:color w:val="auto"/>
        </w:rPr>
        <w:t>5.14 No Burdensome Restrictions</w:t>
      </w:r>
      <w:r>
        <w:rPr>
          <w:rFonts w:ascii="Arial" w:cs="Arial" w:eastAsia="Arial" w:hAnsi="Arial"/>
          <w:sz w:val="20"/>
          <w:szCs w:val="20"/>
          <w:color w:val="auto"/>
        </w:rPr>
        <w:t>. Neither the Borrower nor any Subsidiary is a party to or bound by any Contractual</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or subject to any restriction in any Organization Document or any Requirement of Law, which could reasonably be expected to have a Material Adverse Effect.</w:t>
      </w:r>
    </w:p>
    <w:p>
      <w:pPr>
        <w:spacing w:after="0" w:line="178" w:lineRule="exact"/>
        <w:rPr>
          <w:sz w:val="20"/>
          <w:szCs w:val="20"/>
          <w:color w:val="auto"/>
        </w:rPr>
      </w:pPr>
    </w:p>
    <w:p>
      <w:pPr>
        <w:jc w:val="both"/>
        <w:ind w:firstLine="874"/>
        <w:spacing w:after="0" w:line="255" w:lineRule="auto"/>
        <w:rPr>
          <w:sz w:val="20"/>
          <w:szCs w:val="20"/>
          <w:color w:val="auto"/>
        </w:rPr>
      </w:pPr>
      <w:r>
        <w:rPr>
          <w:rFonts w:ascii="Arial" w:cs="Arial" w:eastAsia="Arial" w:hAnsi="Arial"/>
          <w:sz w:val="19"/>
          <w:szCs w:val="19"/>
          <w:b w:val="1"/>
          <w:bCs w:val="1"/>
          <w:color w:val="auto"/>
        </w:rPr>
        <w:t>5.15 Copyrights, Patents, Trademarks and Licenses, Etc</w:t>
      </w:r>
      <w:r>
        <w:rPr>
          <w:rFonts w:ascii="Arial" w:cs="Arial" w:eastAsia="Arial" w:hAnsi="Arial"/>
          <w:sz w:val="19"/>
          <w:szCs w:val="19"/>
          <w:color w:val="auto"/>
        </w:rPr>
        <w:t>. The Borrower or its Subsidiaries own or are licensed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have the right to use all of the material patents, trademarks, service marks, trade names, copyrights, contractual franchises, authorizations and other rights that are reasonably necessary for the operation of their respective businesses, without conflict with the rights of any other Person, except to the extent failure to own, license or otherwise have the right to use any such item, or any such conflict, could not reasonably be expected to have a Material Adverse Effect. To the best knowledge of the Borrower, no slogan or other advertising device, product, process, method, substance, part or other material now employed, or now contemplated to be employed, by the Borrower or any Subsidiary, and which is material to the business or operations of the Borrower and its Subsidiaries, infringes upon any rights held by any other Person (excluding infringements which could not, individually or in the aggregate, reasonably be expected to have a Material Adverse Effect).</w:t>
      </w:r>
    </w:p>
    <w:p>
      <w:pPr>
        <w:spacing w:after="0" w:line="174"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5.16</w:t>
      </w:r>
      <w:r>
        <w:rPr>
          <w:sz w:val="20"/>
          <w:szCs w:val="20"/>
          <w:color w:val="auto"/>
        </w:rPr>
        <w:tab/>
      </w:r>
      <w:r>
        <w:rPr>
          <w:rFonts w:ascii="Arial" w:cs="Arial" w:eastAsia="Arial" w:hAnsi="Arial"/>
          <w:sz w:val="17"/>
          <w:szCs w:val="17"/>
          <w:b w:val="1"/>
          <w:bCs w:val="1"/>
          <w:color w:val="auto"/>
        </w:rPr>
        <w:t>Subsidiaries</w:t>
      </w:r>
      <w:r>
        <w:rPr>
          <w:rFonts w:ascii="Arial" w:cs="Arial" w:eastAsia="Arial" w:hAnsi="Arial"/>
          <w:sz w:val="17"/>
          <w:szCs w:val="17"/>
          <w:color w:val="auto"/>
        </w:rPr>
        <w:t>. The Material Subsidiaries as of the Effective Date are identified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5.16</w:t>
      </w:r>
      <w:r>
        <w:rPr>
          <w:rFonts w:ascii="Arial" w:cs="Arial" w:eastAsia="Arial" w:hAnsi="Arial"/>
          <w:sz w:val="17"/>
          <w:szCs w:val="17"/>
          <w:color w:val="auto"/>
        </w:rPr>
        <w:t>.</w:t>
      </w:r>
    </w:p>
    <w:p>
      <w:pPr>
        <w:spacing w:after="0" w:line="212" w:lineRule="exact"/>
        <w:rPr>
          <w:sz w:val="20"/>
          <w:szCs w:val="20"/>
          <w:color w:val="auto"/>
        </w:rPr>
      </w:pPr>
    </w:p>
    <w:p>
      <w:pPr>
        <w:jc w:val="both"/>
        <w:ind w:firstLine="874"/>
        <w:spacing w:after="0" w:line="303" w:lineRule="auto"/>
        <w:rPr>
          <w:sz w:val="20"/>
          <w:szCs w:val="20"/>
          <w:color w:val="auto"/>
        </w:rPr>
      </w:pPr>
      <w:r>
        <w:rPr>
          <w:rFonts w:ascii="Arial" w:cs="Arial" w:eastAsia="Arial" w:hAnsi="Arial"/>
          <w:sz w:val="17"/>
          <w:szCs w:val="17"/>
          <w:b w:val="1"/>
          <w:bCs w:val="1"/>
          <w:color w:val="auto"/>
        </w:rPr>
        <w:t>5.17 Insurance</w:t>
      </w:r>
      <w:r>
        <w:rPr>
          <w:rFonts w:ascii="Arial" w:cs="Arial" w:eastAsia="Arial" w:hAnsi="Arial"/>
          <w:sz w:val="17"/>
          <w:szCs w:val="17"/>
          <w:color w:val="auto"/>
        </w:rPr>
        <w:t>. The properties (except to the extent such property, individually or in the aggregate, is not material to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its Subsidiaries) of the Borrower and its Subsidiaries are insured with financially sound and reputable insurance companies (or are self-insured) in such amounts, with such deductibles and covering such risks as are customarily carried by companies engaged in similar businesses and owning similar properties in localities where the Borrower or such Subsidiary operates.</w:t>
      </w:r>
    </w:p>
    <w:p>
      <w:pPr>
        <w:spacing w:after="0" w:line="138" w:lineRule="exact"/>
        <w:rPr>
          <w:sz w:val="20"/>
          <w:szCs w:val="20"/>
          <w:color w:val="auto"/>
        </w:rPr>
      </w:pPr>
    </w:p>
    <w:p>
      <w:pPr>
        <w:jc w:val="both"/>
        <w:ind w:firstLine="874"/>
        <w:spacing w:after="0" w:line="263" w:lineRule="auto"/>
        <w:rPr>
          <w:sz w:val="20"/>
          <w:szCs w:val="20"/>
          <w:color w:val="auto"/>
        </w:rPr>
      </w:pPr>
      <w:r>
        <w:rPr>
          <w:rFonts w:ascii="Arial" w:cs="Arial" w:eastAsia="Arial" w:hAnsi="Arial"/>
          <w:sz w:val="20"/>
          <w:szCs w:val="20"/>
          <w:b w:val="1"/>
          <w:bCs w:val="1"/>
          <w:color w:val="auto"/>
        </w:rPr>
        <w:t>5.18 Solvency</w:t>
      </w:r>
      <w:r>
        <w:rPr>
          <w:rFonts w:ascii="Arial" w:cs="Arial" w:eastAsia="Arial" w:hAnsi="Arial"/>
          <w:sz w:val="20"/>
          <w:szCs w:val="20"/>
          <w:color w:val="auto"/>
        </w:rPr>
        <w:t>. The Borrower and the Borrower and its Subsidiaries, taken as a whole, are Solvent after giving effect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contemplated by the Loan Documents.</w:t>
      </w:r>
    </w:p>
    <w:p>
      <w:pPr>
        <w:spacing w:after="0" w:line="165"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b w:val="1"/>
          <w:bCs w:val="1"/>
          <w:color w:val="auto"/>
        </w:rPr>
        <w:t>5.19 Full Disclosure</w:t>
      </w:r>
      <w:r>
        <w:rPr>
          <w:rFonts w:ascii="Arial" w:cs="Arial" w:eastAsia="Arial" w:hAnsi="Arial"/>
          <w:sz w:val="20"/>
          <w:szCs w:val="20"/>
          <w:color w:val="auto"/>
        </w:rPr>
        <w:t>. The representations and warranties made by the Borrower and its Subsidiaries in the Loan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date such representations and warranties are made or deemed made, and the written statements contained in any exhibit, report, statement or certificate furnished by or on behalf of the Borrower or any Subsidiary in connection with the Loan Documents, taken as a whole, do not contain any materially untrue statement of a material fact or omit any material fact necessary to make the statements made therein, in light of the circumstances under which they are made, not misleading in any material respect as of the time when made or delivered.</w:t>
      </w:r>
    </w:p>
    <w:p>
      <w:pPr>
        <w:spacing w:after="0" w:line="189" w:lineRule="exact"/>
        <w:rPr>
          <w:sz w:val="20"/>
          <w:szCs w:val="20"/>
          <w:color w:val="auto"/>
        </w:rPr>
      </w:pPr>
    </w:p>
    <w:p>
      <w:pPr>
        <w:jc w:val="both"/>
        <w:ind w:firstLine="874"/>
        <w:spacing w:after="0" w:line="246" w:lineRule="auto"/>
        <w:rPr>
          <w:sz w:val="20"/>
          <w:szCs w:val="20"/>
          <w:color w:val="auto"/>
        </w:rPr>
      </w:pPr>
      <w:r>
        <w:rPr>
          <w:rFonts w:ascii="Arial" w:cs="Arial" w:eastAsia="Arial" w:hAnsi="Arial"/>
          <w:sz w:val="20"/>
          <w:szCs w:val="20"/>
          <w:b w:val="1"/>
          <w:bCs w:val="1"/>
          <w:color w:val="auto"/>
        </w:rPr>
        <w:t>5.20 OFAC</w:t>
      </w:r>
      <w:r>
        <w:rPr>
          <w:rFonts w:ascii="Arial" w:cs="Arial" w:eastAsia="Arial" w:hAnsi="Arial"/>
          <w:sz w:val="20"/>
          <w:szCs w:val="20"/>
          <w:color w:val="auto"/>
        </w:rPr>
        <w:t>. Neither the Borrower, nor any of its Subsidiaries, nor, to the knowledge of the Borrower and its Subsidiaries,</w:t>
      </w:r>
      <w:r>
        <w:rPr>
          <w:rFonts w:ascii="Arial" w:cs="Arial" w:eastAsia="Arial" w:hAnsi="Arial"/>
          <w:sz w:val="20"/>
          <w:szCs w:val="20"/>
          <w:b w:val="1"/>
          <w:bCs w:val="1"/>
          <w:color w:val="auto"/>
        </w:rPr>
        <w:t xml:space="preserve"> </w:t>
      </w:r>
      <w:r>
        <w:rPr>
          <w:rFonts w:ascii="Arial" w:cs="Arial" w:eastAsia="Arial" w:hAnsi="Arial"/>
          <w:sz w:val="20"/>
          <w:szCs w:val="20"/>
          <w:color w:val="auto"/>
        </w:rPr>
        <w:t>any director, officer, employee, agent, affiliate or representative thereof, is an individual or entity that is, or is owned or controlled by any individual or entity that is (i) currently the subject or target of any Sanctions, (ii) included on OFAC’s List of Specially Designated Nationals,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0920"/>
          </w:cols>
          <w:pgMar w:left="480" w:top="264" w:right="49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HMT’s Consolidated List of Financial Sanctions Targets and the Investment Ban List, or any similar list enforced by any other relevant sanctions authority or (iii) located, organized or resident in a Designated Jurisdiction.</w:t>
      </w:r>
    </w:p>
    <w:p>
      <w:pPr>
        <w:spacing w:after="0" w:line="171" w:lineRule="exact"/>
        <w:rPr>
          <w:sz w:val="20"/>
          <w:szCs w:val="20"/>
          <w:color w:val="auto"/>
        </w:rPr>
      </w:pPr>
    </w:p>
    <w:p>
      <w:pPr>
        <w:jc w:val="both"/>
        <w:ind w:firstLine="874"/>
        <w:spacing w:after="0" w:line="250" w:lineRule="auto"/>
        <w:rPr>
          <w:sz w:val="20"/>
          <w:szCs w:val="20"/>
          <w:color w:val="auto"/>
        </w:rPr>
      </w:pPr>
      <w:r>
        <w:rPr>
          <w:rFonts w:ascii="Arial" w:cs="Arial" w:eastAsia="Arial" w:hAnsi="Arial"/>
          <w:sz w:val="20"/>
          <w:szCs w:val="20"/>
          <w:b w:val="1"/>
          <w:bCs w:val="1"/>
          <w:color w:val="auto"/>
        </w:rPr>
        <w:t>5.21 Anti-Corruption Laws</w:t>
      </w:r>
      <w:r>
        <w:rPr>
          <w:rFonts w:ascii="Arial" w:cs="Arial" w:eastAsia="Arial" w:hAnsi="Arial"/>
          <w:sz w:val="20"/>
          <w:szCs w:val="20"/>
          <w:color w:val="auto"/>
        </w:rPr>
        <w:t>. The Borrower and its Subsidiaries have conducted their businesses in material compliance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Anti-Corruption Laws, and have instituted and maintained policies and procedures designed to promote and achieve compliance with such laws.</w:t>
      </w:r>
    </w:p>
    <w:p>
      <w:pPr>
        <w:spacing w:after="0" w:line="178" w:lineRule="exact"/>
        <w:rPr>
          <w:sz w:val="20"/>
          <w:szCs w:val="20"/>
          <w:color w:val="auto"/>
        </w:rPr>
      </w:pPr>
    </w:p>
    <w:p>
      <w:pPr>
        <w:jc w:val="both"/>
        <w:ind w:firstLine="874"/>
        <w:spacing w:after="0" w:line="250" w:lineRule="auto"/>
        <w:rPr>
          <w:sz w:val="20"/>
          <w:szCs w:val="20"/>
          <w:color w:val="auto"/>
        </w:rPr>
      </w:pPr>
      <w:r>
        <w:rPr>
          <w:rFonts w:ascii="Arial" w:cs="Arial" w:eastAsia="Arial" w:hAnsi="Arial"/>
          <w:sz w:val="20"/>
          <w:szCs w:val="20"/>
          <w:b w:val="1"/>
          <w:bCs w:val="1"/>
          <w:color w:val="auto"/>
        </w:rPr>
        <w:t>5.22 EEA Financial Institutions; Beneficial Ownership Certification; Covered Entity</w:t>
      </w:r>
      <w:r>
        <w:rPr>
          <w:rFonts w:ascii="Arial" w:cs="Arial" w:eastAsia="Arial" w:hAnsi="Arial"/>
          <w:sz w:val="20"/>
          <w:szCs w:val="20"/>
          <w:color w:val="auto"/>
        </w:rPr>
        <w:t>. The Borrower is not an Affected</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Institution. As of the Effective Date, the information included in the Beneficial Ownership Certificate is true and correct in all respects. The Borrower is not a Covered Entity.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196"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So long as any Lender shall have any Commitment hereunder, or any Loan or other Obligation shall remain unpaid or unsatisfied, unless the Required Lenders waive compliance in writing:</w:t>
      </w:r>
    </w:p>
    <w:p>
      <w:pPr>
        <w:spacing w:after="0" w:line="171" w:lineRule="exact"/>
        <w:rPr>
          <w:sz w:val="20"/>
          <w:szCs w:val="20"/>
          <w:color w:val="auto"/>
        </w:rPr>
      </w:pPr>
    </w:p>
    <w:p>
      <w:pPr>
        <w:ind w:left="880"/>
        <w:spacing w:after="0"/>
        <w:tabs>
          <w:tab w:leader="none" w:pos="146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7"/>
          <w:szCs w:val="17"/>
          <w:b w:val="1"/>
          <w:bCs w:val="1"/>
          <w:color w:val="auto"/>
        </w:rPr>
        <w:t>Financial Statements</w:t>
      </w:r>
      <w:r>
        <w:rPr>
          <w:rFonts w:ascii="Arial" w:cs="Arial" w:eastAsia="Arial" w:hAnsi="Arial"/>
          <w:sz w:val="17"/>
          <w:szCs w:val="17"/>
          <w:color w:val="auto"/>
        </w:rPr>
        <w:t>. The Borrower shall deliver to the Administrative Agent, in form and detail satisfactory to the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and the Required Lenders, with sufficient copies for each Lender:</w:t>
      </w:r>
    </w:p>
    <w:p>
      <w:pPr>
        <w:spacing w:after="0" w:line="196" w:lineRule="exact"/>
        <w:rPr>
          <w:sz w:val="20"/>
          <w:szCs w:val="20"/>
          <w:color w:val="auto"/>
        </w:rPr>
      </w:pPr>
    </w:p>
    <w:p>
      <w:pPr>
        <w:jc w:val="both"/>
        <w:ind w:firstLine="875"/>
        <w:spacing w:after="0" w:line="286" w:lineRule="auto"/>
        <w:tabs>
          <w:tab w:leader="none" w:pos="15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as soon as available, but not later than 120 days after the end of each fiscal year, a copy of the audited consolidated balance sheet of the Borrower and its Subsidiaries as at the end of such year and the related consolidated statements of income or operations, shareholders’ equity and cash flows for such year (together with consolidating notes with respect to the Excluded Subsidiaries and other applicable consolidating information), setting forth in each case in comparative form the figures for the previous fiscal year, all in reasonable detail and prepared in accordance with GAAP, such consolidated financial statements to be accompanied by a report of Ernst &amp; Young LLP or another nationally recognized Registered Public Accounting Firm (the “</w:t>
      </w:r>
      <w:r>
        <w:rPr>
          <w:rFonts w:ascii="Arial" w:cs="Arial" w:eastAsia="Arial" w:hAnsi="Arial"/>
          <w:sz w:val="17"/>
          <w:szCs w:val="17"/>
          <w:u w:val="single" w:color="auto"/>
          <w:color w:val="auto"/>
        </w:rPr>
        <w:t>Independent Auditor</w:t>
      </w:r>
      <w:r>
        <w:rPr>
          <w:rFonts w:ascii="Arial" w:cs="Arial" w:eastAsia="Arial" w:hAnsi="Arial"/>
          <w:sz w:val="17"/>
          <w:szCs w:val="17"/>
          <w:color w:val="auto"/>
        </w:rPr>
        <w:t xml:space="preserve">”), which report shall be prepared in accordance with standards of the Public Company Accounting Oversight Board and shall not be subject to any “going concern” or like qualification or exception or any qualification or exception as to the scope of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reports delivered pursuant to this Section shall not be qualified or limited because of a restricted or limited examination by the Independent Auditor of any material portion of the Borrower’s or any Subsidiary’s records; and</w:t>
      </w:r>
    </w:p>
    <w:p>
      <w:pPr>
        <w:spacing w:after="0" w:line="161" w:lineRule="exact"/>
        <w:rPr>
          <w:rFonts w:ascii="Arial" w:cs="Arial" w:eastAsia="Arial" w:hAnsi="Arial"/>
          <w:sz w:val="17"/>
          <w:szCs w:val="17"/>
          <w:color w:val="auto"/>
        </w:rPr>
      </w:pPr>
    </w:p>
    <w:p>
      <w:pPr>
        <w:jc w:val="both"/>
        <w:ind w:firstLine="875"/>
        <w:spacing w:after="0" w:line="290" w:lineRule="auto"/>
        <w:tabs>
          <w:tab w:leader="none" w:pos="1542" w:val="left"/>
        </w:tabs>
        <w:numPr>
          <w:ilvl w:val="0"/>
          <w:numId w:val="63"/>
        </w:numPr>
        <w:rPr>
          <w:rFonts w:ascii="Arial" w:cs="Arial" w:eastAsia="Arial" w:hAnsi="Arial"/>
          <w:sz w:val="17"/>
          <w:szCs w:val="17"/>
          <w:color w:val="auto"/>
        </w:rPr>
      </w:pPr>
      <w:r>
        <w:rPr>
          <w:rFonts w:ascii="Arial" w:cs="Arial" w:eastAsia="Arial" w:hAnsi="Arial"/>
          <w:sz w:val="17"/>
          <w:szCs w:val="17"/>
          <w:color w:val="auto"/>
        </w:rPr>
        <w:t>as soon as available, but not later than 60 days after the end of each of the first three fiscal quarters of each fiscal year (commencing with the fiscal quarter ending June 30, 2020), a copy of the unaudited consolidated balance sheet of the Borrower and its Subsidiaries as of the end of such quarter and the related consolidated statements of income, shareholders’ equity and cash flows for the period commencing on the first day and ending on the last day of such quarter (together with consolidating notes with respect to the Excluded Subsidiaries and other applicable consolidating information), and certified by a Responsible Officer of the Borrower as fairly presenting, in accordance with GAAP (subject to the absence of footnotes and to ordinary, good faith year-end audit adjustments), the financial position and the results of operations of the Borrower and its Subsidiaries as of such date and for such period.</w:t>
      </w:r>
    </w:p>
    <w:p>
      <w:pPr>
        <w:spacing w:after="0" w:line="148" w:lineRule="exact"/>
        <w:rPr>
          <w:sz w:val="20"/>
          <w:szCs w:val="20"/>
          <w:color w:val="auto"/>
        </w:rPr>
      </w:pPr>
    </w:p>
    <w:p>
      <w:pPr>
        <w:ind w:firstLine="874"/>
        <w:spacing w:after="0" w:line="263" w:lineRule="auto"/>
        <w:rPr>
          <w:sz w:val="20"/>
          <w:szCs w:val="20"/>
          <w:color w:val="auto"/>
        </w:rPr>
      </w:pPr>
      <w:r>
        <w:rPr>
          <w:rFonts w:ascii="Arial" w:cs="Arial" w:eastAsia="Arial" w:hAnsi="Arial"/>
          <w:sz w:val="20"/>
          <w:szCs w:val="20"/>
          <w:b w:val="1"/>
          <w:bCs w:val="1"/>
          <w:color w:val="auto"/>
        </w:rPr>
        <w:t>6.02 Certificates; Other Information</w:t>
      </w:r>
      <w:r>
        <w:rPr>
          <w:rFonts w:ascii="Arial" w:cs="Arial" w:eastAsia="Arial" w:hAnsi="Arial"/>
          <w:sz w:val="20"/>
          <w:szCs w:val="20"/>
          <w:color w:val="auto"/>
        </w:rPr>
        <w:t>. The Borrower shall furnish to the Administrative Agent, with sufficient copies for</w:t>
      </w:r>
      <w:r>
        <w:rPr>
          <w:rFonts w:ascii="Arial" w:cs="Arial" w:eastAsia="Arial" w:hAnsi="Arial"/>
          <w:sz w:val="20"/>
          <w:szCs w:val="20"/>
          <w:b w:val="1"/>
          <w:bCs w:val="1"/>
          <w:color w:val="auto"/>
        </w:rPr>
        <w:t xml:space="preserve"> </w:t>
      </w:r>
      <w:r>
        <w:rPr>
          <w:rFonts w:ascii="Arial" w:cs="Arial" w:eastAsia="Arial" w:hAnsi="Arial"/>
          <w:sz w:val="20"/>
          <w:szCs w:val="20"/>
          <w:color w:val="auto"/>
        </w:rPr>
        <w:t>each Lender: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0920"/>
          </w:cols>
          <w:pgMar w:left="480" w:top="270" w:right="499" w:bottom="1440" w:gutter="0" w:footer="0" w:header="0"/>
        </w:sectPr>
      </w:pPr>
    </w:p>
    <w:bookmarkStart w:id="57" w:name="page58"/>
    <w:bookmarkEnd w:id="57"/>
    <w:p>
      <w:pPr>
        <w:ind w:firstLine="875"/>
        <w:spacing w:after="0" w:line="257" w:lineRule="auto"/>
        <w:tabs>
          <w:tab w:leader="none" w:pos="1659" w:val="left"/>
        </w:tabs>
        <w:numPr>
          <w:ilvl w:val="0"/>
          <w:numId w:val="64"/>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concurrently with the delivery of the financial statements referred to in </w:t>
      </w:r>
      <w:r>
        <w:rPr>
          <w:rFonts w:ascii="Arial" w:cs="Arial" w:eastAsia="Arial" w:hAnsi="Arial"/>
          <w:sz w:val="20"/>
          <w:szCs w:val="20"/>
          <w:u w:val="single" w:color="auto"/>
          <w:color w:val="auto"/>
        </w:rPr>
        <w:t>subsections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a Compliance Certificate executed by a Responsible Officer of the Borrower;</w:t>
      </w:r>
    </w:p>
    <w:p>
      <w:pPr>
        <w:spacing w:after="0" w:line="176" w:lineRule="exact"/>
        <w:rPr>
          <w:rFonts w:ascii="Arial" w:cs="Arial" w:eastAsia="Arial" w:hAnsi="Arial"/>
          <w:sz w:val="20"/>
          <w:szCs w:val="20"/>
          <w:color w:val="auto"/>
        </w:rPr>
      </w:pPr>
    </w:p>
    <w:p>
      <w:pPr>
        <w:jc w:val="both"/>
        <w:ind w:firstLine="875"/>
        <w:spacing w:after="0" w:line="247" w:lineRule="auto"/>
        <w:tabs>
          <w:tab w:leader="none" w:pos="1611" w:val="left"/>
        </w:tabs>
        <w:numPr>
          <w:ilvl w:val="0"/>
          <w:numId w:val="64"/>
        </w:numPr>
        <w:rPr>
          <w:rFonts w:ascii="Arial" w:cs="Arial" w:eastAsia="Arial" w:hAnsi="Arial"/>
          <w:sz w:val="20"/>
          <w:szCs w:val="20"/>
          <w:color w:val="auto"/>
        </w:rPr>
      </w:pPr>
      <w:r>
        <w:rPr>
          <w:rFonts w:ascii="Arial" w:cs="Arial" w:eastAsia="Arial" w:hAnsi="Arial"/>
          <w:sz w:val="20"/>
          <w:szCs w:val="20"/>
          <w:color w:val="auto"/>
        </w:rPr>
        <w:t>promptly after their becoming available, copies of all financial statements and reports that the Borrower sends to its shareholders, and copies of all financial statements and regular, periodic or special reports (including Forms 10K, 10Q and 8K) that the Borrower or any Subsidiary makes to, or files with, the SEC;</w:t>
      </w:r>
    </w:p>
    <w:p>
      <w:pPr>
        <w:spacing w:after="0" w:line="187" w:lineRule="exact"/>
        <w:rPr>
          <w:rFonts w:ascii="Arial" w:cs="Arial" w:eastAsia="Arial" w:hAnsi="Arial"/>
          <w:sz w:val="20"/>
          <w:szCs w:val="20"/>
          <w:color w:val="auto"/>
        </w:rPr>
      </w:pPr>
    </w:p>
    <w:p>
      <w:pPr>
        <w:ind w:firstLine="875"/>
        <w:spacing w:after="0" w:line="283" w:lineRule="auto"/>
        <w:tabs>
          <w:tab w:leader="none" w:pos="1652" w:val="left"/>
        </w:tabs>
        <w:numPr>
          <w:ilvl w:val="0"/>
          <w:numId w:val="64"/>
        </w:numPr>
        <w:rPr>
          <w:rFonts w:ascii="Arial" w:cs="Arial" w:eastAsia="Arial" w:hAnsi="Arial"/>
          <w:sz w:val="19"/>
          <w:szCs w:val="19"/>
          <w:color w:val="auto"/>
        </w:rPr>
      </w:pPr>
      <w:r>
        <w:rPr>
          <w:rFonts w:ascii="Arial" w:cs="Arial" w:eastAsia="Arial" w:hAnsi="Arial"/>
          <w:sz w:val="19"/>
          <w:szCs w:val="19"/>
          <w:color w:val="auto"/>
        </w:rPr>
        <w:t>promptly, such additional information regarding the business, financial or corporate affairs of the Borrower or any Subsidiary as the Administrative Agent, at the request of any Lender, may from time to time reasonably request; and</w:t>
      </w:r>
    </w:p>
    <w:p>
      <w:pPr>
        <w:spacing w:after="0" w:line="154" w:lineRule="exact"/>
        <w:rPr>
          <w:rFonts w:ascii="Arial" w:cs="Arial" w:eastAsia="Arial" w:hAnsi="Arial"/>
          <w:sz w:val="19"/>
          <w:szCs w:val="19"/>
          <w:color w:val="auto"/>
        </w:rPr>
      </w:pPr>
    </w:p>
    <w:p>
      <w:pPr>
        <w:jc w:val="both"/>
        <w:ind w:firstLine="875"/>
        <w:spacing w:after="0" w:line="247" w:lineRule="auto"/>
        <w:tabs>
          <w:tab w:leader="none" w:pos="1597" w:val="left"/>
        </w:tabs>
        <w:numPr>
          <w:ilvl w:val="0"/>
          <w:numId w:val="64"/>
        </w:numPr>
        <w:rPr>
          <w:rFonts w:ascii="Arial" w:cs="Arial" w:eastAsia="Arial" w:hAnsi="Arial"/>
          <w:sz w:val="20"/>
          <w:szCs w:val="20"/>
          <w:color w:val="auto"/>
        </w:rPr>
      </w:pPr>
      <w:r>
        <w:rPr>
          <w:rFonts w:ascii="Arial" w:cs="Arial" w:eastAsia="Arial" w:hAnsi="Arial"/>
          <w:sz w:val="20"/>
          <w:szCs w:val="20"/>
          <w:color w:val="auto"/>
        </w:rPr>
        <w:t>promptly following any request therefor, information and documentation reasonably requested by the Administrative Agent or any Lender for purposes of compliance with applicable “know your customer” requirements under the PATRIOT Act, the Beneficial Ownership Regulation or other applicable anti-money laundering laws.</w:t>
      </w:r>
    </w:p>
    <w:p>
      <w:pPr>
        <w:spacing w:after="0" w:line="187" w:lineRule="exact"/>
        <w:rPr>
          <w:sz w:val="20"/>
          <w:szCs w:val="20"/>
          <w:color w:val="auto"/>
        </w:rPr>
      </w:pPr>
    </w:p>
    <w:p>
      <w:pPr>
        <w:jc w:val="both"/>
        <w:ind w:firstLine="874"/>
        <w:spacing w:after="0" w:line="284"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6.02(b)</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earlier of (i) the date on which the Borrower posts such documents, or provides a link thereto on the Borrower’s website on the Internet at the website address listed on </w:t>
      </w:r>
      <w:r>
        <w:rPr>
          <w:rFonts w:ascii="Arial" w:cs="Arial" w:eastAsia="Arial" w:hAnsi="Arial"/>
          <w:sz w:val="17"/>
          <w:szCs w:val="17"/>
          <w:u w:val="single" w:color="auto"/>
          <w:color w:val="auto"/>
        </w:rPr>
        <w:t>Schedule 10.02</w:t>
      </w:r>
      <w:r>
        <w:rPr>
          <w:rFonts w:ascii="Arial" w:cs="Arial" w:eastAsia="Arial" w:hAnsi="Arial"/>
          <w:sz w:val="17"/>
          <w:szCs w:val="17"/>
          <w:color w:val="auto"/>
        </w:rPr>
        <w:t xml:space="preserve">; and (ii) the date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paper copies of such documents to the Administrative Agent or any Lender that requests the Borrower to deliver such paper copies until a written request to cease delivering paper copies is given by the Administrative Agent or such Lender and (ii) the Borrower shall notify (which may be by facsimile or electronic mail) the Administrative Agent and each Lender of the posting of any such documents and provide to the Administrative Agent by electronic mail electronic versions (</w:t>
      </w:r>
      <w:r>
        <w:rPr>
          <w:rFonts w:ascii="Arial" w:cs="Arial" w:eastAsia="Arial" w:hAnsi="Arial"/>
          <w:sz w:val="17"/>
          <w:szCs w:val="17"/>
          <w:i w:val="1"/>
          <w:iCs w:val="1"/>
          <w:color w:val="auto"/>
        </w:rPr>
        <w:t>i.e.</w:t>
      </w:r>
      <w:r>
        <w:rPr>
          <w:rFonts w:ascii="Arial" w:cs="Arial" w:eastAsia="Arial" w:hAnsi="Arial"/>
          <w:sz w:val="17"/>
          <w:szCs w:val="17"/>
          <w:color w:val="auto"/>
        </w:rPr>
        <w:t>, soft copies) of such documents</w:t>
      </w:r>
      <w:r>
        <w:rPr>
          <w:rFonts w:ascii="Arial" w:cs="Arial" w:eastAsia="Arial" w:hAnsi="Arial"/>
          <w:sz w:val="17"/>
          <w:szCs w:val="17"/>
          <w:b w:val="1"/>
          <w:bCs w:val="1"/>
          <w:color w:val="auto"/>
        </w:rPr>
        <w:t>.</w:t>
      </w:r>
      <w:r>
        <w:rPr>
          <w:rFonts w:ascii="Arial" w:cs="Arial" w:eastAsia="Arial" w:hAnsi="Arial"/>
          <w:sz w:val="17"/>
          <w:szCs w:val="17"/>
          <w:color w:val="auto"/>
        </w:rPr>
        <w:t xml:space="preserve"> Except for such Compliance Certificates, 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w:t>
      </w:r>
    </w:p>
    <w:p>
      <w:pPr>
        <w:spacing w:after="0" w:line="166" w:lineRule="exact"/>
        <w:rPr>
          <w:sz w:val="20"/>
          <w:szCs w:val="20"/>
          <w:color w:val="auto"/>
        </w:rPr>
      </w:pPr>
    </w:p>
    <w:p>
      <w:pPr>
        <w:jc w:val="both"/>
        <w:ind w:firstLine="874"/>
        <w:spacing w:after="0" w:line="252" w:lineRule="auto"/>
        <w:rPr>
          <w:sz w:val="20"/>
          <w:szCs w:val="20"/>
          <w:color w:val="auto"/>
        </w:rPr>
      </w:pPr>
      <w:r>
        <w:rPr>
          <w:rFonts w:ascii="Arial" w:cs="Arial" w:eastAsia="Arial" w:hAnsi="Arial"/>
          <w:sz w:val="19"/>
          <w:szCs w:val="19"/>
          <w:color w:val="auto"/>
        </w:rPr>
        <w:t>The Borrower hereby acknowledges that (a) the Administrative Agent and/or the Arrangers will make available to the Lenders materials and/or information provided by or on behalf of the Borrower hereunder (collectively, “</w:t>
      </w:r>
      <w:r>
        <w:rPr>
          <w:rFonts w:ascii="Arial" w:cs="Arial" w:eastAsia="Arial" w:hAnsi="Arial"/>
          <w:sz w:val="19"/>
          <w:szCs w:val="19"/>
          <w:u w:val="single" w:color="auto"/>
          <w:color w:val="auto"/>
        </w:rPr>
        <w:t>Borrower Materials</w:t>
      </w:r>
      <w:r>
        <w:rPr>
          <w:rFonts w:ascii="Arial" w:cs="Arial" w:eastAsia="Arial" w:hAnsi="Arial"/>
          <w:sz w:val="19"/>
          <w:szCs w:val="19"/>
          <w:color w:val="auto"/>
        </w:rPr>
        <w:t>”) by posting the Borrower Materials on IntraLinks, Syndtrak, ClearPar or another similar electronic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and (b) certain of the Lenders (each, a “</w:t>
      </w:r>
      <w:r>
        <w:rPr>
          <w:rFonts w:ascii="Arial" w:cs="Arial" w:eastAsia="Arial" w:hAnsi="Arial"/>
          <w:sz w:val="19"/>
          <w:szCs w:val="19"/>
          <w:u w:val="single" w:color="auto"/>
          <w:color w:val="auto"/>
        </w:rPr>
        <w:t>Public Lender</w:t>
      </w:r>
      <w:r>
        <w:rPr>
          <w:rFonts w:ascii="Arial" w:cs="Arial" w:eastAsia="Arial" w:hAnsi="Arial"/>
          <w:sz w:val="19"/>
          <w:szCs w:val="19"/>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Arrangers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w:t>
      </w:r>
      <w:r>
        <w:rPr>
          <w:rFonts w:ascii="Arial" w:cs="Arial" w:eastAsia="Arial" w:hAnsi="Arial"/>
          <w:sz w:val="19"/>
          <w:szCs w:val="19"/>
          <w:u w:val="single" w:color="auto"/>
          <w:color w:val="auto"/>
        </w:rPr>
        <w:t>Section 10.07)</w:t>
      </w:r>
      <w:r>
        <w:rPr>
          <w:rFonts w:ascii="Arial" w:cs="Arial" w:eastAsia="Arial" w:hAnsi="Arial"/>
          <w:sz w:val="19"/>
          <w:szCs w:val="19"/>
          <w:color w:val="auto"/>
        </w:rPr>
        <w:t>; (y) all Borrower Materials marked “PUBLIC” are permitted to be made available through a portion of the Platform designated “Public Side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0920"/>
          </w:cols>
          <w:pgMar w:left="480" w:top="270" w:right="499" w:bottom="1440" w:gutter="0" w:footer="0" w:header="0"/>
        </w:sectPr>
      </w:pPr>
    </w:p>
    <w:bookmarkStart w:id="58" w:name="page59"/>
    <w:bookmarkEnd w:id="58"/>
    <w:p>
      <w:pPr>
        <w:jc w:val="both"/>
        <w:spacing w:after="0" w:line="26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Information”; and (z)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65"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7"/>
          <w:szCs w:val="17"/>
          <w:b w:val="1"/>
          <w:bCs w:val="1"/>
          <w:color w:val="auto"/>
        </w:rPr>
        <w:t>Notices</w:t>
      </w:r>
      <w:r>
        <w:rPr>
          <w:rFonts w:ascii="Arial" w:cs="Arial" w:eastAsia="Arial" w:hAnsi="Arial"/>
          <w:sz w:val="17"/>
          <w:szCs w:val="17"/>
          <w:color w:val="auto"/>
        </w:rPr>
        <w:t>. The Borrower shall promptly notify the Administrative Agent and each Lender:</w:t>
      </w:r>
    </w:p>
    <w:p>
      <w:pPr>
        <w:spacing w:after="0" w:line="218" w:lineRule="exact"/>
        <w:rPr>
          <w:sz w:val="20"/>
          <w:szCs w:val="20"/>
          <w:color w:val="auto"/>
        </w:rPr>
      </w:pPr>
    </w:p>
    <w:p>
      <w:pPr>
        <w:ind w:left="1480" w:hanging="605"/>
        <w:spacing w:after="0"/>
        <w:tabs>
          <w:tab w:leader="none" w:pos="14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of the occurrence of any Default known to the Borrower;</w:t>
      </w:r>
    </w:p>
    <w:p>
      <w:pPr>
        <w:spacing w:after="0" w:line="211" w:lineRule="exact"/>
        <w:rPr>
          <w:rFonts w:ascii="Arial" w:cs="Arial" w:eastAsia="Arial" w:hAnsi="Arial"/>
          <w:sz w:val="20"/>
          <w:szCs w:val="20"/>
          <w:color w:val="auto"/>
        </w:rPr>
      </w:pPr>
    </w:p>
    <w:p>
      <w:pPr>
        <w:ind w:firstLine="875"/>
        <w:spacing w:after="0" w:line="257" w:lineRule="auto"/>
        <w:tabs>
          <w:tab w:leader="none" w:pos="1527" w:val="left"/>
        </w:tabs>
        <w:numPr>
          <w:ilvl w:val="0"/>
          <w:numId w:val="65"/>
        </w:numPr>
        <w:rPr>
          <w:rFonts w:ascii="Arial" w:cs="Arial" w:eastAsia="Arial" w:hAnsi="Arial"/>
          <w:sz w:val="20"/>
          <w:szCs w:val="20"/>
          <w:color w:val="auto"/>
        </w:rPr>
      </w:pPr>
      <w:r>
        <w:rPr>
          <w:rFonts w:ascii="Arial" w:cs="Arial" w:eastAsia="Arial" w:hAnsi="Arial"/>
          <w:sz w:val="20"/>
          <w:szCs w:val="20"/>
          <w:color w:val="auto"/>
        </w:rPr>
        <w:t>of any matter that has resulted or is reasonably expected to result in a Material Adverse Effect, including the following to the extent such matter has resulted or is reasonably expected to result in a Material Adverse Effect:</w:t>
      </w:r>
    </w:p>
    <w:p>
      <w:pPr>
        <w:spacing w:after="0" w:line="176" w:lineRule="exact"/>
        <w:rPr>
          <w:rFonts w:ascii="Arial" w:cs="Arial" w:eastAsia="Arial" w:hAnsi="Arial"/>
          <w:sz w:val="20"/>
          <w:szCs w:val="20"/>
          <w:color w:val="auto"/>
        </w:rPr>
      </w:pPr>
    </w:p>
    <w:p>
      <w:pPr>
        <w:ind w:left="2520" w:hanging="841"/>
        <w:spacing w:after="0"/>
        <w:tabs>
          <w:tab w:leader="none" w:pos="2520" w:val="left"/>
        </w:tabs>
        <w:numPr>
          <w:ilvl w:val="1"/>
          <w:numId w:val="65"/>
        </w:numPr>
        <w:rPr>
          <w:rFonts w:ascii="Arial" w:cs="Arial" w:eastAsia="Arial" w:hAnsi="Arial"/>
          <w:sz w:val="19"/>
          <w:szCs w:val="19"/>
          <w:color w:val="auto"/>
        </w:rPr>
      </w:pPr>
      <w:r>
        <w:rPr>
          <w:rFonts w:ascii="Arial" w:cs="Arial" w:eastAsia="Arial" w:hAnsi="Arial"/>
          <w:sz w:val="19"/>
          <w:szCs w:val="19"/>
          <w:color w:val="auto"/>
        </w:rPr>
        <w:t>breach or non-performance of, or any default under, a Contractual Obligation of the Borrower or any</w:t>
      </w:r>
    </w:p>
    <w:p>
      <w:pPr>
        <w:spacing w:after="0" w:line="25"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0"/>
          <w:szCs w:val="20"/>
          <w:color w:val="auto"/>
        </w:rPr>
        <w:t>Subsidiary;</w:t>
      </w:r>
    </w:p>
    <w:p>
      <w:pPr>
        <w:spacing w:after="0" w:line="195" w:lineRule="exact"/>
        <w:rPr>
          <w:rFonts w:ascii="Arial" w:cs="Arial" w:eastAsia="Arial" w:hAnsi="Arial"/>
          <w:sz w:val="19"/>
          <w:szCs w:val="19"/>
          <w:color w:val="auto"/>
        </w:rPr>
      </w:pPr>
    </w:p>
    <w:p>
      <w:pPr>
        <w:ind w:left="880" w:firstLine="799"/>
        <w:spacing w:after="0" w:line="257" w:lineRule="auto"/>
        <w:tabs>
          <w:tab w:leader="none" w:pos="2367"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any dispute, litigation, investigation, proceeding or suspension between the Borrower or any Subsidiary and any Governmental Authority; or</w:t>
      </w:r>
    </w:p>
    <w:p>
      <w:pPr>
        <w:spacing w:after="0" w:line="176" w:lineRule="exact"/>
        <w:rPr>
          <w:rFonts w:ascii="Arial" w:cs="Arial" w:eastAsia="Arial" w:hAnsi="Arial"/>
          <w:sz w:val="20"/>
          <w:szCs w:val="20"/>
          <w:color w:val="auto"/>
        </w:rPr>
      </w:pPr>
    </w:p>
    <w:p>
      <w:pPr>
        <w:ind w:left="880" w:firstLine="799"/>
        <w:spacing w:after="0" w:line="257" w:lineRule="auto"/>
        <w:tabs>
          <w:tab w:leader="none" w:pos="2429"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commencement of, or any material development in, any litigation or proceeding affecting the Borrower or any Subsidiary, including pursuant to any applicable Environmental Laws;</w:t>
      </w:r>
    </w:p>
    <w:p>
      <w:pPr>
        <w:spacing w:after="0" w:line="176" w:lineRule="exact"/>
        <w:rPr>
          <w:rFonts w:ascii="Arial" w:cs="Arial" w:eastAsia="Arial" w:hAnsi="Arial"/>
          <w:sz w:val="20"/>
          <w:szCs w:val="20"/>
          <w:color w:val="auto"/>
        </w:rPr>
      </w:pPr>
    </w:p>
    <w:p>
      <w:pPr>
        <w:jc w:val="both"/>
        <w:ind w:firstLine="875"/>
        <w:spacing w:after="0" w:line="244" w:lineRule="auto"/>
        <w:tabs>
          <w:tab w:leader="none" w:pos="1639" w:val="left"/>
        </w:tabs>
        <w:numPr>
          <w:ilvl w:val="0"/>
          <w:numId w:val="65"/>
        </w:numPr>
        <w:rPr>
          <w:rFonts w:ascii="Arial" w:cs="Arial" w:eastAsia="Arial" w:hAnsi="Arial"/>
          <w:sz w:val="20"/>
          <w:szCs w:val="20"/>
          <w:color w:val="auto"/>
        </w:rPr>
      </w:pPr>
      <w:r>
        <w:rPr>
          <w:rFonts w:ascii="Arial" w:cs="Arial" w:eastAsia="Arial" w:hAnsi="Arial"/>
          <w:sz w:val="20"/>
          <w:szCs w:val="20"/>
          <w:color w:val="auto"/>
        </w:rPr>
        <w:t>of the occurrence of any of the following events known to the Borrower which affect the Borrower or any ERISA Affiliate, and deliver to the Administrative Agent and each Lender a copy of any notice with respect to such event that is filed with a Governmental Authority and any notice delivered by a Governmental Authority to the Borrower or any ERISA Affiliate with respect to such event:</w:t>
      </w:r>
    </w:p>
    <w:p>
      <w:pPr>
        <w:spacing w:after="0" w:line="189" w:lineRule="exact"/>
        <w:rPr>
          <w:rFonts w:ascii="Arial" w:cs="Arial" w:eastAsia="Arial" w:hAnsi="Arial"/>
          <w:sz w:val="20"/>
          <w:szCs w:val="20"/>
          <w:color w:val="auto"/>
        </w:rPr>
      </w:pPr>
    </w:p>
    <w:p>
      <w:pPr>
        <w:ind w:left="2260" w:hanging="581"/>
        <w:spacing w:after="0"/>
        <w:tabs>
          <w:tab w:leader="none" w:pos="22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an ERISA Event;</w:t>
      </w:r>
    </w:p>
    <w:p>
      <w:pPr>
        <w:spacing w:after="0" w:line="211" w:lineRule="exact"/>
        <w:rPr>
          <w:rFonts w:ascii="Arial" w:cs="Arial" w:eastAsia="Arial" w:hAnsi="Arial"/>
          <w:sz w:val="20"/>
          <w:szCs w:val="20"/>
          <w:color w:val="auto"/>
        </w:rPr>
      </w:pPr>
    </w:p>
    <w:p>
      <w:pPr>
        <w:ind w:left="2360" w:hanging="681"/>
        <w:spacing w:after="0"/>
        <w:tabs>
          <w:tab w:leader="none" w:pos="236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 contribution failure with respect to a Pension Plan sufficient to give rise to a Lien under Section 303(k) of</w:t>
      </w:r>
    </w:p>
    <w:p>
      <w:pPr>
        <w:spacing w:after="0" w:line="48"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20"/>
          <w:szCs w:val="20"/>
          <w:color w:val="auto"/>
        </w:rPr>
        <w:t>ERISA;</w:t>
      </w:r>
    </w:p>
    <w:p>
      <w:pPr>
        <w:spacing w:after="0" w:line="195" w:lineRule="exact"/>
        <w:rPr>
          <w:rFonts w:ascii="Arial" w:cs="Arial" w:eastAsia="Arial" w:hAnsi="Arial"/>
          <w:sz w:val="17"/>
          <w:szCs w:val="17"/>
          <w:color w:val="auto"/>
        </w:rPr>
      </w:pPr>
    </w:p>
    <w:p>
      <w:pPr>
        <w:ind w:left="2360" w:hanging="681"/>
        <w:spacing w:after="0"/>
        <w:tabs>
          <w:tab w:leader="none" w:pos="2360" w:val="left"/>
        </w:tabs>
        <w:numPr>
          <w:ilvl w:val="1"/>
          <w:numId w:val="65"/>
        </w:numPr>
        <w:rPr>
          <w:rFonts w:ascii="Arial" w:cs="Arial" w:eastAsia="Arial" w:hAnsi="Arial"/>
          <w:sz w:val="20"/>
          <w:szCs w:val="20"/>
          <w:color w:val="auto"/>
        </w:rPr>
      </w:pPr>
      <w:r>
        <w:rPr>
          <w:rFonts w:ascii="Arial" w:cs="Arial" w:eastAsia="Arial" w:hAnsi="Arial"/>
          <w:sz w:val="20"/>
          <w:szCs w:val="20"/>
          <w:color w:val="auto"/>
        </w:rPr>
        <w:t>a material increase in the Unfunded Pension Liability of any Pension Plan;</w:t>
      </w:r>
    </w:p>
    <w:p>
      <w:pPr>
        <w:spacing w:after="0" w:line="211" w:lineRule="exact"/>
        <w:rPr>
          <w:rFonts w:ascii="Arial" w:cs="Arial" w:eastAsia="Arial" w:hAnsi="Arial"/>
          <w:sz w:val="20"/>
          <w:szCs w:val="20"/>
          <w:color w:val="auto"/>
        </w:rPr>
      </w:pPr>
    </w:p>
    <w:p>
      <w:pPr>
        <w:ind w:left="880" w:firstLine="799"/>
        <w:spacing w:after="0" w:line="257" w:lineRule="auto"/>
        <w:tabs>
          <w:tab w:leader="none" w:pos="2431"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adoption of, or the commencement of contributions to, any Pension Plan or Multiemployer Plan by the Borrower or any ERISA Affiliate; or</w:t>
      </w:r>
    </w:p>
    <w:p>
      <w:pPr>
        <w:spacing w:after="0" w:line="176" w:lineRule="exact"/>
        <w:rPr>
          <w:rFonts w:ascii="Arial" w:cs="Arial" w:eastAsia="Arial" w:hAnsi="Arial"/>
          <w:sz w:val="20"/>
          <w:szCs w:val="20"/>
          <w:color w:val="auto"/>
        </w:rPr>
      </w:pPr>
    </w:p>
    <w:p>
      <w:pPr>
        <w:ind w:left="880" w:firstLine="799"/>
        <w:spacing w:after="0" w:line="257" w:lineRule="auto"/>
        <w:tabs>
          <w:tab w:leader="none" w:pos="2528"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adoption of any amendment to a Pension Plan if such amendment results in a material increase in contributions or an Unfunded Pension Liability;</w:t>
      </w:r>
    </w:p>
    <w:p>
      <w:pPr>
        <w:spacing w:after="0" w:line="176" w:lineRule="exact"/>
        <w:rPr>
          <w:rFonts w:ascii="Arial" w:cs="Arial" w:eastAsia="Arial" w:hAnsi="Arial"/>
          <w:sz w:val="20"/>
          <w:szCs w:val="20"/>
          <w:color w:val="auto"/>
        </w:rPr>
      </w:pPr>
    </w:p>
    <w:p>
      <w:pPr>
        <w:ind w:firstLine="875"/>
        <w:spacing w:after="0" w:line="257" w:lineRule="auto"/>
        <w:tabs>
          <w:tab w:leader="none" w:pos="1532" w:val="left"/>
        </w:tabs>
        <w:numPr>
          <w:ilvl w:val="0"/>
          <w:numId w:val="65"/>
        </w:numPr>
        <w:rPr>
          <w:rFonts w:ascii="Arial" w:cs="Arial" w:eastAsia="Arial" w:hAnsi="Arial"/>
          <w:sz w:val="20"/>
          <w:szCs w:val="20"/>
          <w:color w:val="auto"/>
        </w:rPr>
      </w:pPr>
      <w:r>
        <w:rPr>
          <w:rFonts w:ascii="Arial" w:cs="Arial" w:eastAsia="Arial" w:hAnsi="Arial"/>
          <w:sz w:val="20"/>
          <w:szCs w:val="20"/>
          <w:color w:val="auto"/>
        </w:rPr>
        <w:t>of any change in the information in a Beneficial Ownership Certification, if previously provided, that would result in a change to the list of beneficial owners identified in parts (c) or (d) of such certification; and</w:t>
      </w:r>
    </w:p>
    <w:p>
      <w:pPr>
        <w:spacing w:after="0" w:line="176" w:lineRule="exact"/>
        <w:rPr>
          <w:rFonts w:ascii="Arial" w:cs="Arial" w:eastAsia="Arial" w:hAnsi="Arial"/>
          <w:sz w:val="20"/>
          <w:szCs w:val="20"/>
          <w:color w:val="auto"/>
        </w:rPr>
      </w:pPr>
    </w:p>
    <w:p>
      <w:pPr>
        <w:ind w:firstLine="875"/>
        <w:spacing w:after="0" w:line="257" w:lineRule="auto"/>
        <w:tabs>
          <w:tab w:leader="none" w:pos="1293" w:val="left"/>
        </w:tabs>
        <w:numPr>
          <w:ilvl w:val="0"/>
          <w:numId w:val="65"/>
        </w:numPr>
        <w:rPr>
          <w:rFonts w:ascii="Arial" w:cs="Arial" w:eastAsia="Arial" w:hAnsi="Arial"/>
          <w:sz w:val="20"/>
          <w:szCs w:val="20"/>
          <w:color w:val="auto"/>
        </w:rPr>
      </w:pPr>
      <w:r>
        <w:rPr>
          <w:rFonts w:ascii="Arial" w:cs="Arial" w:eastAsia="Arial" w:hAnsi="Arial"/>
          <w:sz w:val="20"/>
          <w:szCs w:val="20"/>
          <w:color w:val="auto"/>
        </w:rPr>
        <w:t>of any material change that has occurred in the accounting policies or financial reporting practices by the Borrower and its consolidated Subsidiaries.</w:t>
      </w:r>
    </w:p>
    <w:p>
      <w:pPr>
        <w:spacing w:after="0" w:line="177"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color w:val="auto"/>
        </w:rPr>
        <w:t>In addition, the Borrower shall, promptly upon the issuance thereof, notify the Administrative Agent of any announcement by Moody’s or S&amp;P (i) of any change in any Debt Rating or (ii) that any Debt Rating will be put on a “negative outlook” or “negative credit watch.”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0920"/>
          </w:cols>
          <w:pgMar w:left="480" w:top="270" w:right="499" w:bottom="1440" w:gutter="0" w:footer="0" w:header="0"/>
        </w:sectPr>
      </w:pPr>
    </w:p>
    <w:bookmarkStart w:id="59" w:name="page60"/>
    <w:bookmarkEnd w:id="59"/>
    <w:p>
      <w:pPr>
        <w:jc w:val="both"/>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Each notice under this Section shall be accompanied by a written statement by a Responsible Officer of the Borrower setting forth details of the occurrence referred to therein, and stating what action the Borrower or any affected Subsidiary proposes to take with respect thereto. Each notice under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shall describe with particularity any and all clauses or provisions of this Agreement or any other Loan Document that have been breached.</w:t>
      </w:r>
    </w:p>
    <w:p>
      <w:pPr>
        <w:spacing w:after="0" w:line="183" w:lineRule="exact"/>
        <w:rPr>
          <w:sz w:val="20"/>
          <w:szCs w:val="20"/>
          <w:color w:val="auto"/>
        </w:rPr>
      </w:pPr>
    </w:p>
    <w:p>
      <w:pPr>
        <w:jc w:val="both"/>
        <w:ind w:firstLine="874"/>
        <w:spacing w:after="0" w:line="246" w:lineRule="auto"/>
        <w:rPr>
          <w:sz w:val="20"/>
          <w:szCs w:val="20"/>
          <w:color w:val="auto"/>
        </w:rPr>
      </w:pPr>
      <w:r>
        <w:rPr>
          <w:rFonts w:ascii="Arial" w:cs="Arial" w:eastAsia="Arial" w:hAnsi="Arial"/>
          <w:sz w:val="20"/>
          <w:szCs w:val="20"/>
          <w:b w:val="1"/>
          <w:bCs w:val="1"/>
          <w:color w:val="auto"/>
        </w:rPr>
        <w:t>6.04 Preservation of Corporate Existence, Etc</w:t>
      </w:r>
      <w:r>
        <w:rPr>
          <w:rFonts w:ascii="Arial" w:cs="Arial" w:eastAsia="Arial" w:hAnsi="Arial"/>
          <w:sz w:val="20"/>
          <w:szCs w:val="20"/>
          <w:color w:val="auto"/>
        </w:rPr>
        <w:t>. The Borrower shall, and shall cause each Material Subsidiary (other than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any Allied Unrestricted Subsidiary, any Securitization Subsidiary or any Republic Insurance Entity) to (provided that nothing in this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shall prevent the voluntary liquidation, dissolution or winding up, not under any bankruptcy or insolvency law, of any Subsidiary so long as no Event of Default exists and no Default will result therefrom):</w:t>
      </w:r>
    </w:p>
    <w:p>
      <w:pPr>
        <w:spacing w:after="0" w:line="188" w:lineRule="exact"/>
        <w:rPr>
          <w:sz w:val="20"/>
          <w:szCs w:val="20"/>
          <w:color w:val="auto"/>
        </w:rPr>
      </w:pPr>
    </w:p>
    <w:p>
      <w:pPr>
        <w:ind w:firstLine="875"/>
        <w:spacing w:after="0" w:line="257" w:lineRule="auto"/>
        <w:tabs>
          <w:tab w:leader="none" w:pos="1663"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preserve and maintain in full force and effect its existence and good standing under the laws of its jurisdiction of organization (except in connection with transactions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875"/>
        <w:spacing w:after="0" w:line="247" w:lineRule="auto"/>
        <w:tabs>
          <w:tab w:leader="none" w:pos="1579"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preserve and maintain in full force and effect all governmental rights, privileges, qualifications, permits, licenses and franchises necessary or desirable in the normal conduct of its business (except in connection with transactions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and sales of assets permitted by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87" w:lineRule="exact"/>
        <w:rPr>
          <w:rFonts w:ascii="Arial" w:cs="Arial" w:eastAsia="Arial" w:hAnsi="Arial"/>
          <w:sz w:val="20"/>
          <w:szCs w:val="20"/>
          <w:color w:val="auto"/>
        </w:rPr>
      </w:pPr>
    </w:p>
    <w:p>
      <w:pPr>
        <w:ind w:firstLine="875"/>
        <w:spacing w:after="0" w:line="257" w:lineRule="auto"/>
        <w:tabs>
          <w:tab w:leader="none" w:pos="1527"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use reasonable efforts, in the ordinary course of business, to preserve its business organization and goodwill (except in connection with transactions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left="1500" w:hanging="625"/>
        <w:spacing w:after="0"/>
        <w:tabs>
          <w:tab w:leader="none" w:pos="15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preserve or renew all of its registered patents, trademarks, trade names and service marks;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except, in the case of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above, to the extent the failure to do so could not reasonably be expected to have a Material Adverse Effect.</w:t>
      </w:r>
    </w:p>
    <w:p>
      <w:pPr>
        <w:spacing w:after="0" w:line="171" w:lineRule="exact"/>
        <w:rPr>
          <w:sz w:val="20"/>
          <w:szCs w:val="20"/>
          <w:color w:val="auto"/>
        </w:rPr>
      </w:pPr>
    </w:p>
    <w:p>
      <w:pPr>
        <w:jc w:val="both"/>
        <w:ind w:firstLine="874"/>
        <w:spacing w:after="0" w:line="246" w:lineRule="auto"/>
        <w:rPr>
          <w:sz w:val="20"/>
          <w:szCs w:val="20"/>
          <w:color w:val="auto"/>
        </w:rPr>
      </w:pPr>
      <w:r>
        <w:rPr>
          <w:rFonts w:ascii="Arial" w:cs="Arial" w:eastAsia="Arial" w:hAnsi="Arial"/>
          <w:sz w:val="20"/>
          <w:szCs w:val="20"/>
          <w:b w:val="1"/>
          <w:bCs w:val="1"/>
          <w:color w:val="auto"/>
        </w:rPr>
        <w:t>6.05 Maintenance of Property</w:t>
      </w:r>
      <w:r>
        <w:rPr>
          <w:rFonts w:ascii="Arial" w:cs="Arial" w:eastAsia="Arial" w:hAnsi="Arial"/>
          <w:sz w:val="20"/>
          <w:szCs w:val="20"/>
          <w:color w:val="auto"/>
        </w:rPr>
        <w:t>. The Borrower shall, and shall cause each Subsidiary (other than any Allied Unrestricted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any Securitization Subsidiary or any Republic Insurance Entity) to, maintain and preserve all its property which is used or useful in its business in good working order and condition, ordinary wear and tear excepted, except to the extent that failure to do so would not reasonably be expected to have a Material Adverse Effect.</w:t>
      </w:r>
    </w:p>
    <w:p>
      <w:pPr>
        <w:spacing w:after="0" w:line="182" w:lineRule="exact"/>
        <w:rPr>
          <w:sz w:val="20"/>
          <w:szCs w:val="20"/>
          <w:color w:val="auto"/>
        </w:rPr>
      </w:pPr>
    </w:p>
    <w:p>
      <w:pPr>
        <w:jc w:val="both"/>
        <w:ind w:firstLine="874"/>
        <w:spacing w:after="0" w:line="260" w:lineRule="auto"/>
        <w:rPr>
          <w:sz w:val="20"/>
          <w:szCs w:val="20"/>
          <w:color w:val="auto"/>
        </w:rPr>
      </w:pPr>
      <w:r>
        <w:rPr>
          <w:rFonts w:ascii="Arial" w:cs="Arial" w:eastAsia="Arial" w:hAnsi="Arial"/>
          <w:sz w:val="19"/>
          <w:szCs w:val="19"/>
          <w:b w:val="1"/>
          <w:bCs w:val="1"/>
          <w:color w:val="auto"/>
        </w:rPr>
        <w:t>6.06 Insurance</w:t>
      </w:r>
      <w:r>
        <w:rPr>
          <w:rFonts w:ascii="Arial" w:cs="Arial" w:eastAsia="Arial" w:hAnsi="Arial"/>
          <w:sz w:val="19"/>
          <w:szCs w:val="19"/>
          <w:color w:val="auto"/>
        </w:rPr>
        <w:t>. The Borrower shall, and shall cause each Subsidiary (other than any Allied Unrestricted Subsidiary, any</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Securitization Subsidiary or any Republic Insurance Entity) to, maintain, with financially sound and reputable independent insurers (or pursuant to a self-insurance program),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69"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b w:val="1"/>
          <w:bCs w:val="1"/>
          <w:color w:val="auto"/>
        </w:rPr>
        <w:t>6.07 Tax Obligations</w:t>
      </w:r>
      <w:r>
        <w:rPr>
          <w:rFonts w:ascii="Arial" w:cs="Arial" w:eastAsia="Arial" w:hAnsi="Arial"/>
          <w:sz w:val="20"/>
          <w:szCs w:val="20"/>
          <w:color w:val="auto"/>
        </w:rPr>
        <w:t>. The Borrower shall, and shall cause each Subsidiary (other than any Allied Unrestricted Subsidiary,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any Securitization Subsidiary or any Republic Insurance Entity) to, pay and discharge, as the same shall become due and payable all material tax liabilities, assessments and governmental charges or levies upon it or its properties or assets </w:t>
      </w:r>
      <w:r>
        <w:rPr>
          <w:rFonts w:ascii="Arial" w:cs="Arial" w:eastAsia="Arial" w:hAnsi="Arial"/>
          <w:sz w:val="20"/>
          <w:szCs w:val="20"/>
          <w:u w:val="single" w:color="auto"/>
          <w:color w:val="auto"/>
        </w:rPr>
        <w:t>unless</w:t>
      </w:r>
      <w:r>
        <w:rPr>
          <w:rFonts w:ascii="Arial" w:cs="Arial" w:eastAsia="Arial" w:hAnsi="Arial"/>
          <w:sz w:val="20"/>
          <w:szCs w:val="20"/>
          <w:color w:val="auto"/>
        </w:rPr>
        <w:t xml:space="preserve"> the same are being contested in good faith by appropriate proceedings and adequate reserves in accordance with GAAP are being maintained by the Borrower or such Subsidiary.</w:t>
      </w:r>
    </w:p>
    <w:p>
      <w:pPr>
        <w:spacing w:after="0" w:line="183" w:lineRule="exact"/>
        <w:rPr>
          <w:sz w:val="20"/>
          <w:szCs w:val="20"/>
          <w:color w:val="auto"/>
        </w:rPr>
      </w:pPr>
    </w:p>
    <w:p>
      <w:pPr>
        <w:jc w:val="both"/>
        <w:ind w:firstLine="874"/>
        <w:spacing w:after="0" w:line="315" w:lineRule="auto"/>
        <w:rPr>
          <w:sz w:val="20"/>
          <w:szCs w:val="20"/>
          <w:color w:val="auto"/>
        </w:rPr>
      </w:pPr>
      <w:r>
        <w:rPr>
          <w:rFonts w:ascii="Arial" w:cs="Arial" w:eastAsia="Arial" w:hAnsi="Arial"/>
          <w:sz w:val="17"/>
          <w:szCs w:val="17"/>
          <w:b w:val="1"/>
          <w:bCs w:val="1"/>
          <w:color w:val="auto"/>
        </w:rPr>
        <w:t>6.08 Compliance with Laws; Contractual Obligations</w:t>
      </w:r>
      <w:r>
        <w:rPr>
          <w:rFonts w:ascii="Arial" w:cs="Arial" w:eastAsia="Arial" w:hAnsi="Arial"/>
          <w:sz w:val="17"/>
          <w:szCs w:val="17"/>
          <w:color w:val="auto"/>
        </w:rPr>
        <w:t>. The Borrower shall, and shall cause each Subsidiary (other than any</w:t>
      </w:r>
      <w:r>
        <w:rPr>
          <w:rFonts w:ascii="Arial" w:cs="Arial" w:eastAsia="Arial" w:hAnsi="Arial"/>
          <w:sz w:val="17"/>
          <w:szCs w:val="17"/>
          <w:b w:val="1"/>
          <w:bCs w:val="1"/>
          <w:color w:val="auto"/>
        </w:rPr>
        <w:t xml:space="preserve"> </w:t>
      </w:r>
      <w:r>
        <w:rPr>
          <w:rFonts w:ascii="Arial" w:cs="Arial" w:eastAsia="Arial" w:hAnsi="Arial"/>
          <w:sz w:val="17"/>
          <w:szCs w:val="17"/>
          <w:color w:val="auto"/>
        </w:rPr>
        <w:t>Allied Unrestricted Subsidiary, any Securitization Subsidiary or any Republic Insurance Entity) to, comply with (i) any Requirements of Law of any Governmental Authority having jurisdiction over it or its business (including the Federal Fair Labor Standards Act) and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0920"/>
          </w:cols>
          <w:pgMar w:left="480" w:top="270" w:right="499" w:bottom="1440" w:gutter="0" w:footer="0" w:header="0"/>
        </w:sectPr>
      </w:pPr>
    </w:p>
    <w:bookmarkStart w:id="60" w:name="page61"/>
    <w:bookmarkEnd w:id="60"/>
    <w:p>
      <w:pPr>
        <w:ind w:firstLine="1"/>
        <w:spacing w:after="0" w:line="257" w:lineRule="auto"/>
        <w:tabs>
          <w:tab w:leader="none" w:pos="300" w:val="left"/>
        </w:tabs>
        <w:numPr>
          <w:ilvl w:val="0"/>
          <w:numId w:val="67"/>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Contractual Obligation (other than any Contractual Obligation pertaining to Indebtedness) to which it is bound, in both cases the non-compliance with which could reasonably be expected to have a Material Adverse Effect.</w:t>
      </w:r>
    </w:p>
    <w:p>
      <w:pPr>
        <w:spacing w:after="0" w:line="171" w:lineRule="exact"/>
        <w:rPr>
          <w:sz w:val="20"/>
          <w:szCs w:val="20"/>
          <w:color w:val="auto"/>
        </w:rPr>
      </w:pPr>
    </w:p>
    <w:p>
      <w:pPr>
        <w:jc w:val="both"/>
        <w:ind w:firstLine="874"/>
        <w:spacing w:after="0" w:line="241" w:lineRule="auto"/>
        <w:rPr>
          <w:sz w:val="20"/>
          <w:szCs w:val="20"/>
          <w:color w:val="auto"/>
        </w:rPr>
      </w:pPr>
      <w:r>
        <w:rPr>
          <w:rFonts w:ascii="Arial" w:cs="Arial" w:eastAsia="Arial" w:hAnsi="Arial"/>
          <w:sz w:val="20"/>
          <w:szCs w:val="20"/>
          <w:b w:val="1"/>
          <w:bCs w:val="1"/>
          <w:color w:val="auto"/>
        </w:rPr>
        <w:t>6.09 Compliance with ERISA</w:t>
      </w:r>
      <w:r>
        <w:rPr>
          <w:rFonts w:ascii="Arial" w:cs="Arial" w:eastAsia="Arial" w:hAnsi="Arial"/>
          <w:sz w:val="20"/>
          <w:szCs w:val="20"/>
          <w:color w:val="auto"/>
        </w:rPr>
        <w:t>. The Borrower shall, and shall cause each of its ERISA Affiliates to: (a) maintain each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compliance in all material respects with the applicable provisions of ERISA, the Code and other federal or state law; (b) cause each Plan which is qualified under Section 401(a) of the Code to maintain such qualification; and (c) make all required contributions to any Plan subject to Section 412 of the Code so as to avoid any Lien under Section 303(k) of ERISA or other liability to the Borrower or any ERISA Affiliate in excess of $20,000,000, it being understood that any non-compliance with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with respect to an Acquired Plan existing on the Plan Acquisition Date for such Acquired Plan shall not constitute a violation of this </w:t>
      </w:r>
      <w:r>
        <w:rPr>
          <w:rFonts w:ascii="Arial" w:cs="Arial" w:eastAsia="Arial" w:hAnsi="Arial"/>
          <w:sz w:val="20"/>
          <w:szCs w:val="20"/>
          <w:u w:val="single" w:color="auto"/>
          <w:color w:val="auto"/>
        </w:rPr>
        <w:t>Section 6.09</w:t>
      </w:r>
      <w:r>
        <w:rPr>
          <w:rFonts w:ascii="Arial" w:cs="Arial" w:eastAsia="Arial" w:hAnsi="Arial"/>
          <w:sz w:val="20"/>
          <w:szCs w:val="20"/>
          <w:color w:val="auto"/>
        </w:rPr>
        <w:t xml:space="preserve"> so long as (i) the Borrower is diligently proceeding to remedy such non-compliance and (ii) such non-compliance will not result in any material fine, penalty or other liability.</w:t>
      </w:r>
    </w:p>
    <w:p>
      <w:pPr>
        <w:spacing w:after="0" w:line="188" w:lineRule="exact"/>
        <w:rPr>
          <w:sz w:val="20"/>
          <w:szCs w:val="20"/>
          <w:color w:val="auto"/>
        </w:rPr>
      </w:pPr>
    </w:p>
    <w:p>
      <w:pPr>
        <w:jc w:val="both"/>
        <w:ind w:firstLine="874"/>
        <w:spacing w:after="0" w:line="286" w:lineRule="auto"/>
        <w:rPr>
          <w:sz w:val="20"/>
          <w:szCs w:val="20"/>
          <w:color w:val="auto"/>
        </w:rPr>
      </w:pPr>
      <w:r>
        <w:rPr>
          <w:rFonts w:ascii="Arial" w:cs="Arial" w:eastAsia="Arial" w:hAnsi="Arial"/>
          <w:sz w:val="17"/>
          <w:szCs w:val="17"/>
          <w:b w:val="1"/>
          <w:bCs w:val="1"/>
          <w:color w:val="auto"/>
        </w:rPr>
        <w:t>6.10 Inspection of Property and Books and Records</w:t>
      </w:r>
      <w:r>
        <w:rPr>
          <w:rFonts w:ascii="Arial" w:cs="Arial" w:eastAsia="Arial" w:hAnsi="Arial"/>
          <w:sz w:val="17"/>
          <w:szCs w:val="17"/>
          <w:color w:val="auto"/>
        </w:rPr>
        <w:t>. The Borrower shall, and shall cause each Subsidiary (other than any</w:t>
      </w:r>
      <w:r>
        <w:rPr>
          <w:rFonts w:ascii="Arial" w:cs="Arial" w:eastAsia="Arial" w:hAnsi="Arial"/>
          <w:sz w:val="17"/>
          <w:szCs w:val="17"/>
          <w:b w:val="1"/>
          <w:bCs w:val="1"/>
          <w:color w:val="auto"/>
        </w:rPr>
        <w:t xml:space="preserve"> </w:t>
      </w:r>
      <w:r>
        <w:rPr>
          <w:rFonts w:ascii="Arial" w:cs="Arial" w:eastAsia="Arial" w:hAnsi="Arial"/>
          <w:sz w:val="17"/>
          <w:szCs w:val="17"/>
          <w:color w:val="auto"/>
        </w:rPr>
        <w:t>Allied Unrestricted Subsidiary, any Securitization Subsidiary or any Republic Insurance Entity) to, maintain proper books of record and account, in which full, true and correct entries (sufficient to permit the preparation of consolidated financial statements in conformity with GAAP) shall be made of all financial transactions and matters involving the assets and business of the Borrower and such Subsidiary. The Borrower shall permit, and shall cause each Subsidiary (other than any Allied Unrestricted Subsidiary, any Securitization Subsidiary or any Republic Insurance Entity) to permit, the Administrative Agent, any Lender or their respective representatives (in each case at such Person’s own expense unless an Event of Default exists), upon reasonable notice at any reasonable time during normal business hours and from time to time at the request of the Administrative Agent or the relevant Lender, to visit and inspect the properties of the Borrower or any Subsidiary (and, if (i) any Default exists and has been continuing for 15 days or (ii) any Event of Default exists, to make copies or abstracts of their respective corporate, financial and operating records), and to examine the properties and books and records of the Borrower and its Subsidiaries and to discuss the affairs, finances and accounts of the Borrower or any Subsidiary with the appropriate officers, employees or authorized agents of the Borrower or such Subsidiary.</w:t>
      </w:r>
    </w:p>
    <w:p>
      <w:pPr>
        <w:spacing w:after="0" w:line="150" w:lineRule="exact"/>
        <w:rPr>
          <w:sz w:val="20"/>
          <w:szCs w:val="20"/>
          <w:color w:val="auto"/>
        </w:rPr>
      </w:pPr>
    </w:p>
    <w:p>
      <w:pPr>
        <w:jc w:val="both"/>
        <w:ind w:firstLine="874"/>
        <w:spacing w:after="0" w:line="256" w:lineRule="auto"/>
        <w:rPr>
          <w:sz w:val="20"/>
          <w:szCs w:val="20"/>
          <w:color w:val="auto"/>
        </w:rPr>
      </w:pPr>
      <w:r>
        <w:rPr>
          <w:rFonts w:ascii="Arial" w:cs="Arial" w:eastAsia="Arial" w:hAnsi="Arial"/>
          <w:sz w:val="19"/>
          <w:szCs w:val="19"/>
          <w:b w:val="1"/>
          <w:bCs w:val="1"/>
          <w:color w:val="auto"/>
        </w:rPr>
        <w:t>6.11 Environmental Laws</w:t>
      </w:r>
      <w:r>
        <w:rPr>
          <w:rFonts w:ascii="Arial" w:cs="Arial" w:eastAsia="Arial" w:hAnsi="Arial"/>
          <w:sz w:val="19"/>
          <w:szCs w:val="19"/>
          <w:color w:val="auto"/>
        </w:rPr>
        <w:t>. The Borrower shall, and shall cause each Subsidiary (other than any Allied Unrestricted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any Securitization Subsidiary or any Republic Insurance Entity) to, conduct its operations and keep and maintain its property in material compliance with all material Environmental Laws. Without limiting the foregoing, the Borrower shall, and shall cause each Subsidiary (other than any Allied Unrestricted Subsidiary, any Securitization Subsidiary or any Republic Insurance Entity) to, (i) maintain all material operating permits required by applicable law for all landfills now owned or hereafter acquired; and (ii) dispose of hazardous waste only at licensed disposal facilities operating, to the best of the Borrower’s or the applicable Subsidiary’s knowledge after reasonable inquiry, in material compliance with all material Environmental Laws.</w:t>
      </w:r>
    </w:p>
    <w:p>
      <w:pPr>
        <w:spacing w:after="0" w:line="176"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b w:val="1"/>
          <w:bCs w:val="1"/>
          <w:color w:val="auto"/>
        </w:rPr>
        <w:t>6.12 Use of Proceeds</w:t>
      </w:r>
      <w:r>
        <w:rPr>
          <w:rFonts w:ascii="Arial" w:cs="Arial" w:eastAsia="Arial" w:hAnsi="Arial"/>
          <w:sz w:val="20"/>
          <w:szCs w:val="20"/>
          <w:color w:val="auto"/>
        </w:rPr>
        <w:t>. The Borrower shall use the proceeds of the Loans for working capital, capital expenditures,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acquisitions and other general corporate purposes not in contravention of any Requirement of Law or of any Loan Document (which includes, without limitation, the purchase by the Borrower or a Subsidiary of any tax-exempt bonds issued for the benefit of the Borrower or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use the proceeds of any Loan to acquire any Person if the board of directors of the Person to be acquired has not approved such Acquisition.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0920"/>
          </w:cols>
          <w:pgMar w:left="480" w:top="270" w:right="499" w:bottom="1440" w:gutter="0" w:footer="0" w:header="0"/>
        </w:sectPr>
      </w:pPr>
    </w:p>
    <w:bookmarkStart w:id="61" w:name="page62"/>
    <w:bookmarkEnd w:id="61"/>
    <w:p>
      <w:pPr>
        <w:jc w:val="both"/>
        <w:ind w:firstLine="874"/>
        <w:spacing w:after="0" w:line="35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6.13 Anti-Corruption Laws</w:t>
      </w:r>
      <w:r>
        <w:rPr>
          <w:rFonts w:ascii="Arial" w:cs="Arial" w:eastAsia="Arial" w:hAnsi="Arial"/>
          <w:sz w:val="17"/>
          <w:szCs w:val="17"/>
          <w:color w:val="auto"/>
        </w:rPr>
        <w:t>. The Borrower shall conduct its businesses in compliance with Anti-Corruption Laws, and</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policies and procedures designed to promote and achieve compliance with Anti-Corruption Laws and applicable Sanctions.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196"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So long as any Lender shall have any Commitment hereunder, or any Loan or other Obligation shall remain unpaid or unsatisfied, unless the Required Lenders waive compliance in writing:</w:t>
      </w:r>
    </w:p>
    <w:p>
      <w:pPr>
        <w:spacing w:after="0" w:line="171" w:lineRule="exact"/>
        <w:rPr>
          <w:sz w:val="20"/>
          <w:szCs w:val="20"/>
          <w:color w:val="auto"/>
        </w:rPr>
      </w:pPr>
    </w:p>
    <w:p>
      <w:pPr>
        <w:jc w:val="both"/>
        <w:ind w:firstLine="874"/>
        <w:spacing w:after="0" w:line="287" w:lineRule="auto"/>
        <w:rPr>
          <w:sz w:val="20"/>
          <w:szCs w:val="20"/>
          <w:color w:val="auto"/>
        </w:rPr>
      </w:pPr>
      <w:r>
        <w:rPr>
          <w:rFonts w:ascii="Arial" w:cs="Arial" w:eastAsia="Arial" w:hAnsi="Arial"/>
          <w:sz w:val="17"/>
          <w:szCs w:val="17"/>
          <w:b w:val="1"/>
          <w:bCs w:val="1"/>
          <w:color w:val="auto"/>
        </w:rPr>
        <w:t>7.01 Financial Condition Covenant - Total Debt to EBITDA Ratio</w:t>
      </w:r>
      <w:r>
        <w:rPr>
          <w:rFonts w:ascii="Arial" w:cs="Arial" w:eastAsia="Arial" w:hAnsi="Arial"/>
          <w:sz w:val="17"/>
          <w:szCs w:val="17"/>
          <w:color w:val="auto"/>
        </w:rPr>
        <w:t>. The Borrower shall not permit the Total Debt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EBITDA Ratio as of the last day of any fiscal quarter to be greater than 3.75 to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one or more Acquisitions permitted hereunder involving aggregate consideration in excess of $200,000,000 occur during a fiscal quarter, the Borrower shall have the right to elect to increase the maximum permitted Total Debt to EBITDA Ratio required to be maintained by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to 4.25 to 1.00 during the fiscal quarter in which such permitted Acquisition or permitted Acquisitions, as the case may be, is consummated (the “</w:t>
      </w:r>
      <w:r>
        <w:rPr>
          <w:rFonts w:ascii="Arial" w:cs="Arial" w:eastAsia="Arial" w:hAnsi="Arial"/>
          <w:sz w:val="17"/>
          <w:szCs w:val="17"/>
          <w:u w:val="single" w:color="auto"/>
          <w:color w:val="auto"/>
        </w:rPr>
        <w:t>Trigger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Quarter</w:t>
      </w:r>
      <w:r>
        <w:rPr>
          <w:rFonts w:ascii="Arial" w:cs="Arial" w:eastAsia="Arial" w:hAnsi="Arial"/>
          <w:sz w:val="17"/>
          <w:szCs w:val="17"/>
          <w:color w:val="auto"/>
        </w:rPr>
        <w:t>”) and each of the following three fiscal quarters following the Trigger Quarter (such period, the “</w:t>
      </w:r>
      <w:r>
        <w:rPr>
          <w:rFonts w:ascii="Arial" w:cs="Arial" w:eastAsia="Arial" w:hAnsi="Arial"/>
          <w:sz w:val="17"/>
          <w:szCs w:val="17"/>
          <w:u w:val="single" w:color="auto"/>
          <w:color w:val="auto"/>
        </w:rPr>
        <w:t>Elevated Ratio Period</w:t>
      </w:r>
      <w:r>
        <w:rPr>
          <w:rFonts w:ascii="Arial" w:cs="Arial" w:eastAsia="Arial" w:hAnsi="Arial"/>
          <w:sz w:val="17"/>
          <w:szCs w:val="17"/>
          <w:color w:val="auto"/>
        </w:rPr>
        <w:t xml:space="preserve">”) so long as there is at least one fiscal quarter end after the end of each Elevated Ratio Period at which the Total Debt to EBITDA Ratio is less than or equal to 3.75 to 1.00. Such election shall be made by the delivery of a written notice by the Borrower to the Administrative Agent making reference to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and notifying the Administrative Agent of the Borrower’s exercise of this right on or prior to the date of the actual or required delivery of a Compliance Certificate for the Trigger Quarter.</w:t>
      </w:r>
    </w:p>
    <w:p>
      <w:pPr>
        <w:spacing w:after="0" w:line="153" w:lineRule="exact"/>
        <w:rPr>
          <w:sz w:val="20"/>
          <w:szCs w:val="20"/>
          <w:color w:val="auto"/>
        </w:rPr>
      </w:pPr>
    </w:p>
    <w:p>
      <w:pPr>
        <w:jc w:val="both"/>
        <w:ind w:firstLine="874"/>
        <w:spacing w:after="0" w:line="246" w:lineRule="auto"/>
        <w:rPr>
          <w:sz w:val="20"/>
          <w:szCs w:val="20"/>
          <w:color w:val="auto"/>
        </w:rPr>
      </w:pPr>
      <w:r>
        <w:rPr>
          <w:rFonts w:ascii="Arial" w:cs="Arial" w:eastAsia="Arial" w:hAnsi="Arial"/>
          <w:sz w:val="20"/>
          <w:szCs w:val="20"/>
          <w:b w:val="1"/>
          <w:bCs w:val="1"/>
          <w:color w:val="auto"/>
        </w:rPr>
        <w:t>7.02 Limitation on Liens</w:t>
      </w:r>
      <w:r>
        <w:rPr>
          <w:rFonts w:ascii="Arial" w:cs="Arial" w:eastAsia="Arial" w:hAnsi="Arial"/>
          <w:sz w:val="20"/>
          <w:szCs w:val="20"/>
          <w:color w:val="auto"/>
        </w:rPr>
        <w:t>. The Borrower shall not, and shall not suffer or permit any Subsidiary (other than any Allied</w:t>
      </w:r>
      <w:r>
        <w:rPr>
          <w:rFonts w:ascii="Arial" w:cs="Arial" w:eastAsia="Arial" w:hAnsi="Arial"/>
          <w:sz w:val="20"/>
          <w:szCs w:val="20"/>
          <w:b w:val="1"/>
          <w:bCs w:val="1"/>
          <w:color w:val="auto"/>
        </w:rPr>
        <w:t xml:space="preserve"> </w:t>
      </w:r>
      <w:r>
        <w:rPr>
          <w:rFonts w:ascii="Arial" w:cs="Arial" w:eastAsia="Arial" w:hAnsi="Arial"/>
          <w:sz w:val="20"/>
          <w:szCs w:val="20"/>
          <w:color w:val="auto"/>
        </w:rPr>
        <w:t>Unrestricted Subsidiary, any Securitization Subsidiary or any Republic Insurance Entity) to, directly or indirectly, make, create, incur, assume or suffer to exist any Lien upon or with respect to any part of its property, whether now owned or hereafter acquired, other than the following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88" w:lineRule="exact"/>
        <w:rPr>
          <w:sz w:val="20"/>
          <w:szCs w:val="20"/>
          <w:color w:val="auto"/>
        </w:rPr>
      </w:pPr>
    </w:p>
    <w:p>
      <w:pPr>
        <w:jc w:val="both"/>
        <w:ind w:firstLine="875"/>
        <w:spacing w:after="0" w:line="258" w:lineRule="auto"/>
        <w:tabs>
          <w:tab w:leader="none" w:pos="1624"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any Lien set forth in </w:t>
      </w:r>
      <w:r>
        <w:rPr>
          <w:rFonts w:ascii="Arial" w:cs="Arial" w:eastAsia="Arial" w:hAnsi="Arial"/>
          <w:sz w:val="19"/>
          <w:szCs w:val="19"/>
          <w:u w:val="single" w:color="auto"/>
          <w:color w:val="auto"/>
        </w:rPr>
        <w:t>Schedule 7.02</w:t>
      </w:r>
      <w:r>
        <w:rPr>
          <w:rFonts w:ascii="Arial" w:cs="Arial" w:eastAsia="Arial" w:hAnsi="Arial"/>
          <w:sz w:val="19"/>
          <w:szCs w:val="19"/>
          <w:color w:val="auto"/>
        </w:rPr>
        <w:t>, and any extension, renewal or replacement of any such Lien so long as (i) the aggregate principal amount of obligations secured by any renewal, extension or replacement Lien permitted by this clause (a) does not exceed the aggregate outstanding principal amount of the obligations secured by the Lien being replaced at the time of such renewal, extension or replacement (plus transaction costs, including premiums and fees, related thereto), and (ii) each replacement Lien is limited to substantially the same property that secured the Lien so replaced;</w:t>
      </w:r>
    </w:p>
    <w:p>
      <w:pPr>
        <w:spacing w:after="0" w:line="177" w:lineRule="exact"/>
        <w:rPr>
          <w:rFonts w:ascii="Arial" w:cs="Arial" w:eastAsia="Arial" w:hAnsi="Arial"/>
          <w:sz w:val="19"/>
          <w:szCs w:val="19"/>
          <w:color w:val="auto"/>
        </w:rPr>
      </w:pPr>
    </w:p>
    <w:p>
      <w:pPr>
        <w:jc w:val="both"/>
        <w:ind w:firstLine="875"/>
        <w:spacing w:after="0" w:line="247" w:lineRule="auto"/>
        <w:tabs>
          <w:tab w:leader="none" w:pos="1503" w:val="left"/>
        </w:tabs>
        <w:numPr>
          <w:ilvl w:val="0"/>
          <w:numId w:val="68"/>
        </w:numPr>
        <w:rPr>
          <w:rFonts w:ascii="Arial" w:cs="Arial" w:eastAsia="Arial" w:hAnsi="Arial"/>
          <w:sz w:val="20"/>
          <w:szCs w:val="20"/>
          <w:color w:val="auto"/>
        </w:rPr>
      </w:pPr>
      <w:r>
        <w:rPr>
          <w:rFonts w:ascii="Arial" w:cs="Arial" w:eastAsia="Arial" w:hAnsi="Arial"/>
          <w:sz w:val="20"/>
          <w:szCs w:val="20"/>
          <w:color w:val="auto"/>
        </w:rPr>
        <w:t>Liens imposed by law for taxes, assessments or charges of any Governmental Authority for claims not yet due or which are being contested in good faith by appropriate proceedings diligently pursued and with respect to which adequate reserves or other appropriate provisions are being maintained in accordance with GAAP;</w:t>
      </w:r>
    </w:p>
    <w:p>
      <w:pPr>
        <w:spacing w:after="0" w:line="187" w:lineRule="exact"/>
        <w:rPr>
          <w:rFonts w:ascii="Arial" w:cs="Arial" w:eastAsia="Arial" w:hAnsi="Arial"/>
          <w:sz w:val="20"/>
          <w:szCs w:val="20"/>
          <w:color w:val="auto"/>
        </w:rPr>
      </w:pPr>
    </w:p>
    <w:p>
      <w:pPr>
        <w:jc w:val="both"/>
        <w:ind w:firstLine="875"/>
        <w:spacing w:after="0" w:line="244" w:lineRule="auto"/>
        <w:tabs>
          <w:tab w:leader="none" w:pos="1517" w:val="left"/>
        </w:tabs>
        <w:numPr>
          <w:ilvl w:val="0"/>
          <w:numId w:val="68"/>
        </w:numPr>
        <w:rPr>
          <w:rFonts w:ascii="Arial" w:cs="Arial" w:eastAsia="Arial" w:hAnsi="Arial"/>
          <w:sz w:val="20"/>
          <w:szCs w:val="20"/>
          <w:color w:val="auto"/>
        </w:rPr>
      </w:pPr>
      <w:r>
        <w:rPr>
          <w:rFonts w:ascii="Arial" w:cs="Arial" w:eastAsia="Arial" w:hAnsi="Arial"/>
          <w:sz w:val="20"/>
          <w:szCs w:val="20"/>
          <w:color w:val="auto"/>
        </w:rPr>
        <w:t>statutory Liens of landlords and Liens of carriers, warehousemen, mechanics, materialmen and other Liens imposed by law or created in the ordinary course of business and in existence less than 120 days from the date of creation thereof for amounts not yet due or which are being contested in good faith by appropriate proceedings and with respect to which adequate reserves or other appropriate provisions are being maintained in accordance with GAAP;</w:t>
      </w:r>
    </w:p>
    <w:p>
      <w:pPr>
        <w:spacing w:after="0" w:line="189" w:lineRule="exact"/>
        <w:rPr>
          <w:rFonts w:ascii="Arial" w:cs="Arial" w:eastAsia="Arial" w:hAnsi="Arial"/>
          <w:sz w:val="20"/>
          <w:szCs w:val="20"/>
          <w:color w:val="auto"/>
        </w:rPr>
      </w:pPr>
    </w:p>
    <w:p>
      <w:pPr>
        <w:ind w:firstLine="875"/>
        <w:spacing w:after="0" w:line="283" w:lineRule="auto"/>
        <w:tabs>
          <w:tab w:leader="none" w:pos="1623" w:val="left"/>
        </w:tabs>
        <w:numPr>
          <w:ilvl w:val="0"/>
          <w:numId w:val="68"/>
        </w:numPr>
        <w:rPr>
          <w:rFonts w:ascii="Arial" w:cs="Arial" w:eastAsia="Arial" w:hAnsi="Arial"/>
          <w:sz w:val="19"/>
          <w:szCs w:val="19"/>
          <w:color w:val="auto"/>
        </w:rPr>
      </w:pPr>
      <w:r>
        <w:rPr>
          <w:rFonts w:ascii="Arial" w:cs="Arial" w:eastAsia="Arial" w:hAnsi="Arial"/>
          <w:sz w:val="19"/>
          <w:szCs w:val="19"/>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0920"/>
          </w:cols>
          <w:pgMar w:left="480" w:top="264" w:right="499" w:bottom="1440" w:gutter="0" w:footer="0" w:header="0"/>
        </w:sectPr>
      </w:pPr>
    </w:p>
    <w:bookmarkStart w:id="62" w:name="page63"/>
    <w:bookmarkEnd w:id="62"/>
    <w:p>
      <w:pPr>
        <w:jc w:val="both"/>
        <w:ind w:firstLine="875"/>
        <w:spacing w:after="0" w:line="301" w:lineRule="auto"/>
        <w:tabs>
          <w:tab w:leader="none" w:pos="1617"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Liens on the property of the Borrower or any Subsidiary securing (i) the non-delinquent performance of bids, trade contracts (other than for borrowed money), leases and statutory obligations, (ii) surety bonds (excluding appeal bonds and other bonds posted in connection with court proceedings or judgments) and (iii) other non-delinquent obligations of a like nature in each case incurred in the ordinary course of business, provided all such Liens in the aggregate would not (even if enforced) cause a Material Adverse Effect;</w:t>
      </w:r>
    </w:p>
    <w:p>
      <w:pPr>
        <w:spacing w:after="0" w:line="144" w:lineRule="exact"/>
        <w:rPr>
          <w:rFonts w:ascii="Arial" w:cs="Arial" w:eastAsia="Arial" w:hAnsi="Arial"/>
          <w:sz w:val="17"/>
          <w:szCs w:val="17"/>
          <w:color w:val="auto"/>
        </w:rPr>
      </w:pPr>
    </w:p>
    <w:p>
      <w:pPr>
        <w:jc w:val="both"/>
        <w:ind w:firstLine="875"/>
        <w:spacing w:after="0" w:line="244" w:lineRule="auto"/>
        <w:tabs>
          <w:tab w:leader="none" w:pos="1485" w:val="left"/>
        </w:tabs>
        <w:numPr>
          <w:ilvl w:val="0"/>
          <w:numId w:val="69"/>
        </w:numPr>
        <w:rPr>
          <w:rFonts w:ascii="Arial" w:cs="Arial" w:eastAsia="Arial" w:hAnsi="Arial"/>
          <w:sz w:val="20"/>
          <w:szCs w:val="20"/>
          <w:color w:val="auto"/>
        </w:rPr>
      </w:pPr>
      <w:r>
        <w:rPr>
          <w:rFonts w:ascii="Arial" w:cs="Arial" w:eastAsia="Arial" w:hAnsi="Arial"/>
          <w:sz w:val="20"/>
          <w:szCs w:val="20"/>
          <w:color w:val="auto"/>
        </w:rPr>
        <w:t>Liens consisting of judgment or judicial attachment liens and liens securing contingent obligations on appeal bonds and other bonds posted in connection with court proceedings or judgments, provided that (i) in the case of judgment and judicial attachment liens, the enforcement of such Liens is effectively stayed and (ii) all such Liens in the aggregate at any time outstanding for the Borrower and its Subsidiaries do not exceed $100,000,000;</w:t>
      </w:r>
    </w:p>
    <w:p>
      <w:pPr>
        <w:spacing w:after="0" w:line="189" w:lineRule="exact"/>
        <w:rPr>
          <w:rFonts w:ascii="Arial" w:cs="Arial" w:eastAsia="Arial" w:hAnsi="Arial"/>
          <w:sz w:val="20"/>
          <w:szCs w:val="20"/>
          <w:color w:val="auto"/>
        </w:rPr>
      </w:pPr>
    </w:p>
    <w:p>
      <w:pPr>
        <w:jc w:val="both"/>
        <w:ind w:firstLine="875"/>
        <w:spacing w:after="0" w:line="247" w:lineRule="auto"/>
        <w:tabs>
          <w:tab w:leader="none" w:pos="1698"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incurred in the ordinary course of business which, individually or in the aggregate, do not materially detract from the value of the property subject thereto or materially interfere with the ordinary conduct of the businesses of the Borrower and its Subsidiaries;</w:t>
      </w:r>
    </w:p>
    <w:p>
      <w:pPr>
        <w:spacing w:after="0" w:line="187" w:lineRule="exact"/>
        <w:rPr>
          <w:rFonts w:ascii="Arial" w:cs="Arial" w:eastAsia="Arial" w:hAnsi="Arial"/>
          <w:sz w:val="20"/>
          <w:szCs w:val="20"/>
          <w:color w:val="auto"/>
        </w:rPr>
      </w:pPr>
    </w:p>
    <w:p>
      <w:pPr>
        <w:jc w:val="both"/>
        <w:ind w:firstLine="875"/>
        <w:spacing w:after="0" w:line="242" w:lineRule="auto"/>
        <w:tabs>
          <w:tab w:leader="none" w:pos="1574"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deposit account is not a dedicated cash collateral account and is not subject to restrictions against access by the Borrower in excess of those set forth by regulations promulgated by the FRB, and (ii) such deposit account is not intended by the Borrower or any Subsidiary to provide collateral to the depository institution;</w:t>
      </w:r>
    </w:p>
    <w:p>
      <w:pPr>
        <w:spacing w:after="0" w:line="192" w:lineRule="exact"/>
        <w:rPr>
          <w:rFonts w:ascii="Arial" w:cs="Arial" w:eastAsia="Arial" w:hAnsi="Arial"/>
          <w:sz w:val="20"/>
          <w:szCs w:val="20"/>
          <w:color w:val="auto"/>
        </w:rPr>
      </w:pPr>
    </w:p>
    <w:p>
      <w:pPr>
        <w:ind w:firstLine="875"/>
        <w:spacing w:after="0" w:line="257" w:lineRule="auto"/>
        <w:tabs>
          <w:tab w:leader="none" w:pos="1547" w:val="left"/>
        </w:tabs>
        <w:numPr>
          <w:ilvl w:val="0"/>
          <w:numId w:val="69"/>
        </w:numPr>
        <w:rPr>
          <w:rFonts w:ascii="Arial" w:cs="Arial" w:eastAsia="Arial" w:hAnsi="Arial"/>
          <w:sz w:val="20"/>
          <w:szCs w:val="20"/>
          <w:color w:val="auto"/>
        </w:rPr>
      </w:pPr>
      <w:r>
        <w:rPr>
          <w:rFonts w:ascii="Arial" w:cs="Arial" w:eastAsia="Arial" w:hAnsi="Arial"/>
          <w:sz w:val="20"/>
          <w:szCs w:val="20"/>
          <w:color w:val="auto"/>
        </w:rPr>
        <w:t>Liens on the rights of the Borrower or any Subsidiary in bonds issued in connection with revenue bond financings in favor of any issuer of a letter of credit used to provide security for the payment of such bonds; and</w:t>
      </w:r>
    </w:p>
    <w:p>
      <w:pPr>
        <w:spacing w:after="0" w:line="176" w:lineRule="exact"/>
        <w:rPr>
          <w:rFonts w:ascii="Arial" w:cs="Arial" w:eastAsia="Arial" w:hAnsi="Arial"/>
          <w:sz w:val="20"/>
          <w:szCs w:val="20"/>
          <w:color w:val="auto"/>
        </w:rPr>
      </w:pPr>
    </w:p>
    <w:p>
      <w:pPr>
        <w:ind w:firstLine="875"/>
        <w:spacing w:after="0" w:line="345" w:lineRule="auto"/>
        <w:tabs>
          <w:tab w:leader="none" w:pos="1559"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other Liens, in addition to those permitted by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w:t>
      </w:r>
      <w:r>
        <w:rPr>
          <w:rFonts w:ascii="Arial" w:cs="Arial" w:eastAsia="Arial" w:hAnsi="Arial"/>
          <w:sz w:val="17"/>
          <w:szCs w:val="17"/>
          <w:color w:val="auto"/>
        </w:rPr>
        <w:t>, securing Indebtedness and other obligations, so long as the aggregate outstanding amount of Priority Indebtedness at any time does not exceed 15% of Consolidated Tangible Assets.</w:t>
      </w:r>
    </w:p>
    <w:p>
      <w:pPr>
        <w:spacing w:after="0" w:line="101" w:lineRule="exact"/>
        <w:rPr>
          <w:sz w:val="20"/>
          <w:szCs w:val="20"/>
          <w:color w:val="auto"/>
        </w:rPr>
      </w:pPr>
    </w:p>
    <w:p>
      <w:pPr>
        <w:jc w:val="both"/>
        <w:ind w:firstLine="874"/>
        <w:spacing w:after="0" w:line="303" w:lineRule="auto"/>
        <w:rPr>
          <w:sz w:val="20"/>
          <w:szCs w:val="20"/>
          <w:color w:val="auto"/>
        </w:rPr>
      </w:pPr>
      <w:r>
        <w:rPr>
          <w:rFonts w:ascii="Arial" w:cs="Arial" w:eastAsia="Arial" w:hAnsi="Arial"/>
          <w:sz w:val="17"/>
          <w:szCs w:val="17"/>
          <w:b w:val="1"/>
          <w:bCs w:val="1"/>
          <w:color w:val="auto"/>
        </w:rPr>
        <w:t>7.03 Disposition of Assets</w:t>
      </w:r>
      <w:r>
        <w:rPr>
          <w:rFonts w:ascii="Arial" w:cs="Arial" w:eastAsia="Arial" w:hAnsi="Arial"/>
          <w:sz w:val="17"/>
          <w:szCs w:val="17"/>
          <w:color w:val="auto"/>
        </w:rPr>
        <w:t>. The Borrower shall not, and shall not permit any Subsidiary (other than any Allied Unrestricted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Securitization Subsidiary or any Republic Insurance Entity) to, directly or indirectly, sell, assign, lease, convey, transfer or otherwise dispose of (whether in one or a series of transactions) any property (including accounts and notes receivable, with or without recourse) or enter into any agreement to do any of the foregoing (including any sale-leaseback), except:</w:t>
      </w:r>
    </w:p>
    <w:p>
      <w:pPr>
        <w:spacing w:after="0" w:line="144" w:lineRule="exact"/>
        <w:rPr>
          <w:sz w:val="20"/>
          <w:szCs w:val="20"/>
          <w:color w:val="auto"/>
        </w:rPr>
      </w:pPr>
    </w:p>
    <w:p>
      <w:pPr>
        <w:ind w:left="1480" w:hanging="605"/>
        <w:spacing w:after="0"/>
        <w:tabs>
          <w:tab w:leader="none" w:pos="14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dispositions of inventory, or used, worn-out or surplus equipment, all in the ordinary course of business;</w:t>
      </w:r>
    </w:p>
    <w:p>
      <w:pPr>
        <w:spacing w:after="0" w:line="211" w:lineRule="exact"/>
        <w:rPr>
          <w:rFonts w:ascii="Arial" w:cs="Arial" w:eastAsia="Arial" w:hAnsi="Arial"/>
          <w:sz w:val="20"/>
          <w:szCs w:val="20"/>
          <w:color w:val="auto"/>
        </w:rPr>
      </w:pPr>
    </w:p>
    <w:p>
      <w:pPr>
        <w:jc w:val="both"/>
        <w:ind w:firstLine="875"/>
        <w:spacing w:after="0" w:line="261" w:lineRule="auto"/>
        <w:tabs>
          <w:tab w:leader="none" w:pos="1512"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sale, assignment or other transfer of accounts receivable, lease receivables or other rights to payment or any interest in the foregoing pursuant to any Securitization Transaction, together in each case with any collections or proceeds thereof, any collection or deposit accounts related thereto, and any collateral, guaranties or property or claims in favor of the Borrower or such Subsidiary supporting, securing or otherwise relating to such receivables or other rights to payment;</w:t>
      </w:r>
    </w:p>
    <w:p>
      <w:pPr>
        <w:spacing w:after="0" w:line="174" w:lineRule="exact"/>
        <w:rPr>
          <w:rFonts w:ascii="Arial" w:cs="Arial" w:eastAsia="Arial" w:hAnsi="Arial"/>
          <w:sz w:val="19"/>
          <w:szCs w:val="19"/>
          <w:color w:val="auto"/>
        </w:rPr>
      </w:pPr>
    </w:p>
    <w:p>
      <w:pPr>
        <w:jc w:val="both"/>
        <w:ind w:firstLine="875"/>
        <w:spacing w:after="0" w:line="247" w:lineRule="auto"/>
        <w:tabs>
          <w:tab w:leader="none" w:pos="1645"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dispositions of property by any Subsidiary to the Borrower or to a Wholly-Owned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transferor of such property is not an Excluded Subsidiary, the transferee must either be the Borrower or a Subsidiary that is not an Excluded Subsidiary;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0920"/>
          </w:cols>
          <w:pgMar w:left="480" w:top="270" w:right="499" w:bottom="1440" w:gutter="0" w:footer="0" w:header="0"/>
        </w:sectPr>
      </w:pPr>
    </w:p>
    <w:bookmarkStart w:id="63" w:name="page64"/>
    <w:bookmarkEnd w:id="63"/>
    <w:p>
      <w:pPr>
        <w:jc w:val="both"/>
        <w:ind w:firstLine="875"/>
        <w:spacing w:after="0" w:line="244" w:lineRule="auto"/>
        <w:tabs>
          <w:tab w:leader="none" w:pos="1539" w:val="left"/>
        </w:tabs>
        <w:numPr>
          <w:ilvl w:val="0"/>
          <w:numId w:val="7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other dispositions which are made for fair market value;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at the time of any such disposition, no Event of Default shall exist or shall result from such disposition and (ii) the aggregate value of all assets so disposed of by the Borrower and its Subsidiaries in any one-year period (calculated as of the date of any such disposition) shall not exceed 20% of Consolidated Tangible Assets as of the last day of the most recently ended fiscal quarter.</w:t>
      </w:r>
    </w:p>
    <w:p>
      <w:pPr>
        <w:spacing w:after="0" w:line="183" w:lineRule="exact"/>
        <w:rPr>
          <w:sz w:val="20"/>
          <w:szCs w:val="20"/>
          <w:color w:val="auto"/>
        </w:rPr>
      </w:pPr>
    </w:p>
    <w:p>
      <w:pPr>
        <w:jc w:val="both"/>
        <w:ind w:firstLine="874"/>
        <w:spacing w:after="0" w:line="303" w:lineRule="auto"/>
        <w:rPr>
          <w:sz w:val="20"/>
          <w:szCs w:val="20"/>
          <w:color w:val="auto"/>
        </w:rPr>
      </w:pPr>
      <w:r>
        <w:rPr>
          <w:rFonts w:ascii="Arial" w:cs="Arial" w:eastAsia="Arial" w:hAnsi="Arial"/>
          <w:sz w:val="17"/>
          <w:szCs w:val="17"/>
          <w:b w:val="1"/>
          <w:bCs w:val="1"/>
          <w:color w:val="auto"/>
        </w:rPr>
        <w:t>7.04 Consolidations and Mergers</w:t>
      </w:r>
      <w:r>
        <w:rPr>
          <w:rFonts w:ascii="Arial" w:cs="Arial" w:eastAsia="Arial" w:hAnsi="Arial"/>
          <w:sz w:val="17"/>
          <w:szCs w:val="17"/>
          <w:color w:val="auto"/>
        </w:rPr>
        <w:t>. The Borrower shall not, and shall not permit any Subsidiary (other than any Allied</w:t>
      </w:r>
      <w:r>
        <w:rPr>
          <w:rFonts w:ascii="Arial" w:cs="Arial" w:eastAsia="Arial" w:hAnsi="Arial"/>
          <w:sz w:val="17"/>
          <w:szCs w:val="17"/>
          <w:b w:val="1"/>
          <w:bCs w:val="1"/>
          <w:color w:val="auto"/>
        </w:rPr>
        <w:t xml:space="preserve"> </w:t>
      </w:r>
      <w:r>
        <w:rPr>
          <w:rFonts w:ascii="Arial" w:cs="Arial" w:eastAsia="Arial" w:hAnsi="Arial"/>
          <w:sz w:val="17"/>
          <w:szCs w:val="17"/>
          <w:color w:val="auto"/>
        </w:rPr>
        <w:t>Unrestricted Subsidiary, any Securitization Subsidiary or any Republic Insurance Entity) to, merge, consolidate with, or convey, transfer, lease or otherwise dispose of (whether in one transaction or in a series of transactions) all or substantially all of its assets (whether now owned or hereafter acquired) to or in favor of any other Person (including, in each case, pursuant to a Division), except:</w:t>
      </w:r>
    </w:p>
    <w:p>
      <w:pPr>
        <w:spacing w:after="0" w:line="144" w:lineRule="exact"/>
        <w:rPr>
          <w:sz w:val="20"/>
          <w:szCs w:val="20"/>
          <w:color w:val="auto"/>
        </w:rPr>
      </w:pPr>
    </w:p>
    <w:p>
      <w:pPr>
        <w:jc w:val="both"/>
        <w:ind w:firstLine="875"/>
        <w:spacing w:after="0" w:line="286" w:lineRule="auto"/>
        <w:tabs>
          <w:tab w:leader="none" w:pos="1518"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any Subsidiary may merge with the Borrower or with any one or more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transaction shall be between the Borrower and a Subsidiary, the Borrower shall be the continuing or surviving Person, (ii) if any transaction shall be between a Subsidiary and a Wholly-Owned Subsidiary, a Wholly-Owned Subsidiary shall be the continuing or surviving Person; and</w:t>
      </w:r>
    </w:p>
    <w:p>
      <w:pPr>
        <w:ind w:firstLine="1"/>
        <w:spacing w:after="0"/>
        <w:tabs>
          <w:tab w:leader="none" w:pos="356" w:val="left"/>
        </w:tabs>
        <w:numPr>
          <w:ilvl w:val="0"/>
          <w:numId w:val="73"/>
        </w:numPr>
        <w:rPr>
          <w:rFonts w:ascii="Arial" w:cs="Arial" w:eastAsia="Arial" w:hAnsi="Arial"/>
          <w:sz w:val="20"/>
          <w:szCs w:val="20"/>
          <w:color w:val="auto"/>
        </w:rPr>
      </w:pPr>
      <w:r>
        <w:rPr>
          <w:rFonts w:ascii="Arial" w:cs="Arial" w:eastAsia="Arial" w:hAnsi="Arial"/>
          <w:sz w:val="20"/>
          <w:szCs w:val="20"/>
          <w:color w:val="auto"/>
        </w:rPr>
        <w:t>if any transaction shall be between an Excluded Subsidiary and a Subsidiary that is not an Excluded Subsidiary, a Subsidiary that is not an Excluded Subsidiary shall be the continuing or surviving Person;</w:t>
      </w:r>
    </w:p>
    <w:p>
      <w:pPr>
        <w:spacing w:after="0" w:line="193" w:lineRule="exact"/>
        <w:rPr>
          <w:rFonts w:ascii="Arial" w:cs="Arial" w:eastAsia="Arial" w:hAnsi="Arial"/>
          <w:sz w:val="20"/>
          <w:szCs w:val="20"/>
          <w:color w:val="auto"/>
        </w:rPr>
      </w:pPr>
    </w:p>
    <w:p>
      <w:pPr>
        <w:jc w:val="both"/>
        <w:ind w:firstLine="875"/>
        <w:spacing w:after="0" w:line="261" w:lineRule="auto"/>
        <w:tabs>
          <w:tab w:leader="none" w:pos="1677" w:val="left"/>
        </w:tabs>
        <w:numPr>
          <w:ilvl w:val="1"/>
          <w:numId w:val="73"/>
        </w:numPr>
        <w:rPr>
          <w:rFonts w:ascii="Arial" w:cs="Arial" w:eastAsia="Arial" w:hAnsi="Arial"/>
          <w:sz w:val="19"/>
          <w:szCs w:val="19"/>
          <w:color w:val="auto"/>
        </w:rPr>
      </w:pPr>
      <w:r>
        <w:rPr>
          <w:rFonts w:ascii="Arial" w:cs="Arial" w:eastAsia="Arial" w:hAnsi="Arial"/>
          <w:sz w:val="19"/>
          <w:szCs w:val="19"/>
          <w:color w:val="auto"/>
        </w:rPr>
        <w:t>any Subsidiary (other than an Excluded Subsidiary) may sell or transfer all or substantially all of its assets (upon voluntary liquidation or otherwise) to the Borrower or a Wholly-Owned Subsidiary, and any Excluded Subsidiary may transfer all or substantially all of its assets to the Borrower or a Subsidiary that is not an Excluded Subsidiary for nominal consideration or as a result of the voluntary dissolution or liquidation of such Excluded Subsidiary; and</w:t>
      </w:r>
    </w:p>
    <w:p>
      <w:pPr>
        <w:spacing w:after="0" w:line="174" w:lineRule="exact"/>
        <w:rPr>
          <w:rFonts w:ascii="Arial" w:cs="Arial" w:eastAsia="Arial" w:hAnsi="Arial"/>
          <w:sz w:val="19"/>
          <w:szCs w:val="19"/>
          <w:color w:val="auto"/>
        </w:rPr>
      </w:pPr>
    </w:p>
    <w:p>
      <w:pPr>
        <w:ind w:firstLine="875"/>
        <w:spacing w:after="0" w:line="257" w:lineRule="auto"/>
        <w:tabs>
          <w:tab w:leader="none" w:pos="1565" w:val="left"/>
        </w:tabs>
        <w:numPr>
          <w:ilvl w:val="1"/>
          <w:numId w:val="73"/>
        </w:numPr>
        <w:rPr>
          <w:rFonts w:ascii="Arial" w:cs="Arial" w:eastAsia="Arial" w:hAnsi="Arial"/>
          <w:sz w:val="20"/>
          <w:szCs w:val="20"/>
          <w:color w:val="auto"/>
        </w:rPr>
      </w:pPr>
      <w:r>
        <w:rPr>
          <w:rFonts w:ascii="Arial" w:cs="Arial" w:eastAsia="Arial" w:hAnsi="Arial"/>
          <w:sz w:val="20"/>
          <w:szCs w:val="20"/>
          <w:color w:val="auto"/>
        </w:rPr>
        <w:t xml:space="preserve">any merger, consolidation or disposition in connection with a transaction permitted by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or an Acquisition permitted by </w:t>
      </w:r>
      <w:r>
        <w:rPr>
          <w:rFonts w:ascii="Arial" w:cs="Arial" w:eastAsia="Arial" w:hAnsi="Arial"/>
          <w:sz w:val="20"/>
          <w:szCs w:val="20"/>
          <w:u w:val="single" w:color="auto"/>
          <w:color w:val="auto"/>
        </w:rPr>
        <w:t>Section 7.05</w:t>
      </w:r>
      <w:r>
        <w:rPr>
          <w:rFonts w:ascii="Arial" w:cs="Arial" w:eastAsia="Arial" w:hAnsi="Arial"/>
          <w:sz w:val="20"/>
          <w:szCs w:val="20"/>
          <w:color w:val="auto"/>
        </w:rPr>
        <w:t>.</w:t>
      </w:r>
    </w:p>
    <w:p>
      <w:pPr>
        <w:spacing w:after="0" w:line="171" w:lineRule="exact"/>
        <w:rPr>
          <w:sz w:val="20"/>
          <w:szCs w:val="20"/>
          <w:color w:val="auto"/>
        </w:rPr>
      </w:pPr>
    </w:p>
    <w:p>
      <w:pPr>
        <w:jc w:val="both"/>
        <w:ind w:firstLine="874"/>
        <w:spacing w:after="0" w:line="258" w:lineRule="auto"/>
        <w:rPr>
          <w:sz w:val="20"/>
          <w:szCs w:val="20"/>
          <w:color w:val="auto"/>
        </w:rPr>
      </w:pPr>
      <w:r>
        <w:rPr>
          <w:rFonts w:ascii="Arial" w:cs="Arial" w:eastAsia="Arial" w:hAnsi="Arial"/>
          <w:sz w:val="19"/>
          <w:szCs w:val="19"/>
          <w:b w:val="1"/>
          <w:bCs w:val="1"/>
          <w:color w:val="auto"/>
        </w:rPr>
        <w:t>7.05 Loans and Investments</w:t>
      </w:r>
      <w:r>
        <w:rPr>
          <w:rFonts w:ascii="Arial" w:cs="Arial" w:eastAsia="Arial" w:hAnsi="Arial"/>
          <w:sz w:val="19"/>
          <w:szCs w:val="19"/>
          <w:color w:val="auto"/>
        </w:rPr>
        <w:t>. (a) The Borrower shall not, and shall not permit any Subsidiary (other than any Allied</w:t>
      </w:r>
      <w:r>
        <w:rPr>
          <w:rFonts w:ascii="Arial" w:cs="Arial" w:eastAsia="Arial" w:hAnsi="Arial"/>
          <w:sz w:val="19"/>
          <w:szCs w:val="19"/>
          <w:b w:val="1"/>
          <w:bCs w:val="1"/>
          <w:color w:val="auto"/>
        </w:rPr>
        <w:t xml:space="preserve"> </w:t>
      </w:r>
      <w:r>
        <w:rPr>
          <w:rFonts w:ascii="Arial" w:cs="Arial" w:eastAsia="Arial" w:hAnsi="Arial"/>
          <w:sz w:val="19"/>
          <w:szCs w:val="19"/>
          <w:color w:val="auto"/>
        </w:rPr>
        <w:t>Unrestricted Subsidiary, any Securitization Subsidiary or any Republic Insurance Entity) to, purchase or acquire any capital stock, Equity Interest or obligations or other securities of, or any interest in, any Person, or make any Acquisition, or make any advance, loan, extension of credit or capital contribution to or any other investment in any Person (including any Affiliate of the Borrower) (any of the foregoing an “</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unless (x) such loan, advance, investment, acquisition or other purchase does not cause the Borrower to violate the financial covenant contained in </w:t>
      </w:r>
      <w:r>
        <w:rPr>
          <w:rFonts w:ascii="Arial" w:cs="Arial" w:eastAsia="Arial" w:hAnsi="Arial"/>
          <w:sz w:val="19"/>
          <w:szCs w:val="19"/>
          <w:u w:val="single" w:color="auto"/>
          <w:color w:val="auto"/>
        </w:rPr>
        <w:t>Section 7.01</w:t>
      </w:r>
      <w:r>
        <w:rPr>
          <w:rFonts w:ascii="Arial" w:cs="Arial" w:eastAsia="Arial" w:hAnsi="Arial"/>
          <w:sz w:val="19"/>
          <w:szCs w:val="19"/>
          <w:color w:val="auto"/>
        </w:rPr>
        <w:t>, and (y) no Default exists or would result therefrom.</w:t>
      </w:r>
    </w:p>
    <w:p>
      <w:pPr>
        <w:spacing w:after="0" w:line="177" w:lineRule="exact"/>
        <w:rPr>
          <w:sz w:val="20"/>
          <w:szCs w:val="20"/>
          <w:color w:val="auto"/>
        </w:rPr>
      </w:pPr>
    </w:p>
    <w:p>
      <w:pPr>
        <w:jc w:val="both"/>
        <w:ind w:firstLine="875"/>
        <w:spacing w:after="0" w:line="283" w:lineRule="auto"/>
        <w:tabs>
          <w:tab w:leader="none" w:pos="16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Borrower shall not, and shall not permit any Subsidiary (other than any Allied Unrestricted Subsidiary, any Securitization Subsidiary or any Republic Insurance Entity) to make any Investment in any Allied Unrestricted Subsidiary, any Securitization Subsidiary or any Republic Insurance Entity unless (i) such loan, advance, investment, acquisition or other purchase does not cause the Borrower to violate the financial covenant contained in </w:t>
      </w:r>
      <w:r>
        <w:rPr>
          <w:rFonts w:ascii="Arial" w:cs="Arial" w:eastAsia="Arial" w:hAnsi="Arial"/>
          <w:sz w:val="17"/>
          <w:szCs w:val="17"/>
          <w:u w:val="single" w:color="auto"/>
          <w:color w:val="auto"/>
        </w:rPr>
        <w:t>Section 7.01</w:t>
      </w:r>
      <w:r>
        <w:rPr>
          <w:rFonts w:ascii="Arial" w:cs="Arial" w:eastAsia="Arial" w:hAnsi="Arial"/>
          <w:sz w:val="17"/>
          <w:szCs w:val="17"/>
          <w:color w:val="auto"/>
        </w:rPr>
        <w:t>, (ii) no Default exists or would result therefrom, and (iii) after giving effect thereto, the aggregate amount of all outstanding Investments pursuant to this clause</w:t>
      </w:r>
    </w:p>
    <w:p>
      <w:pPr>
        <w:spacing w:after="0" w:line="1" w:lineRule="exact"/>
        <w:rPr>
          <w:rFonts w:ascii="Arial" w:cs="Arial" w:eastAsia="Arial" w:hAnsi="Arial"/>
          <w:sz w:val="17"/>
          <w:szCs w:val="17"/>
          <w:color w:val="auto"/>
        </w:rPr>
      </w:pPr>
    </w:p>
    <w:p>
      <w:pPr>
        <w:jc w:val="both"/>
        <w:ind w:firstLine="1"/>
        <w:spacing w:after="0" w:line="290" w:lineRule="auto"/>
        <w:tabs>
          <w:tab w:leader="none" w:pos="281" w:val="left"/>
        </w:tabs>
        <w:numPr>
          <w:ilvl w:val="0"/>
          <w:numId w:val="75"/>
        </w:numPr>
        <w:rPr>
          <w:rFonts w:ascii="Arial" w:cs="Arial" w:eastAsia="Arial" w:hAnsi="Arial"/>
          <w:sz w:val="17"/>
          <w:szCs w:val="17"/>
          <w:color w:val="auto"/>
        </w:rPr>
      </w:pPr>
      <w:r>
        <w:rPr>
          <w:rFonts w:ascii="Arial" w:cs="Arial" w:eastAsia="Arial" w:hAnsi="Arial"/>
          <w:sz w:val="17"/>
          <w:szCs w:val="17"/>
          <w:color w:val="auto"/>
        </w:rPr>
        <w:t>does not exceed 15% of Consolidated Tangible Assets. In determining the amount of any Investment outstanding at any particular time for the purpose of this Agreement: (i) the amount of any Investment represented by a Guaranty Obligation shall be taken at not less than the principal amount of the obligations guaranteed and still outstanding; (ii) there shall be included as an Investment all interest accrued with respect to Indebtedness constituting an Investment unless and until such interest is paid; (iii) there shall be deducted in respect of each Investment any amount received as a return of capital with respect to such Investment (but only by partial or full</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0920"/>
          </w:cols>
          <w:pgMar w:left="480" w:top="270" w:right="499" w:bottom="1440" w:gutter="0" w:footer="0" w:header="0"/>
        </w:sectPr>
      </w:pPr>
    </w:p>
    <w:bookmarkStart w:id="64" w:name="page65"/>
    <w:bookmarkEnd w:id="64"/>
    <w:p>
      <w:pPr>
        <w:jc w:val="both"/>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repurchase, redemption, retirement, repayment, liquidating dividend or liquidating distribution); (iv) there shall not be deducted in respect of any Investment any amounts received as earnings on such Investment, whether as dividends, interest or otherwise, except that accrued interest included as provided in the foregoing clause (ii) may be deducted when paid; and (v) any decrease in the value thereof shall not be deducted therefrom.</w:t>
      </w:r>
    </w:p>
    <w:p>
      <w:pPr>
        <w:spacing w:after="0" w:line="183" w:lineRule="exact"/>
        <w:rPr>
          <w:sz w:val="20"/>
          <w:szCs w:val="20"/>
          <w:color w:val="auto"/>
        </w:rPr>
      </w:pPr>
    </w:p>
    <w:p>
      <w:pPr>
        <w:jc w:val="both"/>
        <w:ind w:firstLine="874"/>
        <w:spacing w:after="0" w:line="263" w:lineRule="auto"/>
        <w:rPr>
          <w:sz w:val="20"/>
          <w:szCs w:val="20"/>
          <w:color w:val="auto"/>
        </w:rPr>
      </w:pPr>
      <w:r>
        <w:rPr>
          <w:rFonts w:ascii="Arial" w:cs="Arial" w:eastAsia="Arial" w:hAnsi="Arial"/>
          <w:sz w:val="20"/>
          <w:szCs w:val="20"/>
          <w:b w:val="1"/>
          <w:bCs w:val="1"/>
          <w:color w:val="auto"/>
        </w:rPr>
        <w:t>7.06 Limitation on Subsidiary Indebtedness</w:t>
      </w:r>
      <w:r>
        <w:rPr>
          <w:rFonts w:ascii="Arial" w:cs="Arial" w:eastAsia="Arial" w:hAnsi="Arial"/>
          <w:sz w:val="20"/>
          <w:szCs w:val="20"/>
          <w:color w:val="auto"/>
        </w:rPr>
        <w:t>. The Borrower shall not permit any Subsidiary to create, incur, assume or</w:t>
      </w:r>
      <w:r>
        <w:rPr>
          <w:rFonts w:ascii="Arial" w:cs="Arial" w:eastAsia="Arial" w:hAnsi="Arial"/>
          <w:sz w:val="20"/>
          <w:szCs w:val="20"/>
          <w:b w:val="1"/>
          <w:bCs w:val="1"/>
          <w:color w:val="auto"/>
        </w:rPr>
        <w:t xml:space="preserve"> </w:t>
      </w:r>
      <w:r>
        <w:rPr>
          <w:rFonts w:ascii="Arial" w:cs="Arial" w:eastAsia="Arial" w:hAnsi="Arial"/>
          <w:sz w:val="20"/>
          <w:szCs w:val="20"/>
          <w:color w:val="auto"/>
        </w:rPr>
        <w:t>suffer to exist any Indebtedness other than the following:</w:t>
      </w:r>
    </w:p>
    <w:p>
      <w:pPr>
        <w:spacing w:after="0" w:line="171" w:lineRule="exact"/>
        <w:rPr>
          <w:sz w:val="20"/>
          <w:szCs w:val="20"/>
          <w:color w:val="auto"/>
        </w:rPr>
      </w:pPr>
    </w:p>
    <w:p>
      <w:pPr>
        <w:jc w:val="both"/>
        <w:ind w:firstLine="875"/>
        <w:spacing w:after="0" w:line="289" w:lineRule="auto"/>
        <w:tabs>
          <w:tab w:leader="none" w:pos="1620"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Indebtedness of the Borrower’s Subsidiaries listed on </w:t>
      </w:r>
      <w:r>
        <w:rPr>
          <w:rFonts w:ascii="Arial" w:cs="Arial" w:eastAsia="Arial" w:hAnsi="Arial"/>
          <w:sz w:val="17"/>
          <w:szCs w:val="17"/>
          <w:u w:val="single" w:color="auto"/>
          <w:color w:val="auto"/>
        </w:rPr>
        <w:t>Schedule 7.06</w:t>
      </w:r>
      <w:r>
        <w:rPr>
          <w:rFonts w:ascii="Arial" w:cs="Arial" w:eastAsia="Arial" w:hAnsi="Arial"/>
          <w:sz w:val="17"/>
          <w:szCs w:val="17"/>
          <w:color w:val="auto"/>
        </w:rPr>
        <w:t xml:space="preserve">, any extension, renewal or refinancing of such Indebtedness and any additional bonds issued and Capital Leases entered into from time to time after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jc w:val="both"/>
        <w:ind w:firstLine="1"/>
        <w:spacing w:after="0" w:line="279" w:lineRule="auto"/>
        <w:tabs>
          <w:tab w:leader="none" w:pos="245"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such Indebtedness is an extension, renewal or refinancing of existing Indebtedness, the terms and conditions of any such extension, renewals or refinancings shall not increase the relative priority of such Indebtedness over the priority of the original Indebtedness, and</w:t>
      </w:r>
    </w:p>
    <w:p>
      <w:pPr>
        <w:jc w:val="both"/>
        <w:ind w:firstLine="1"/>
        <w:spacing w:after="0" w:line="239" w:lineRule="auto"/>
        <w:tabs>
          <w:tab w:leader="none" w:pos="304"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in no event shall the aggregate outstanding principal amount of Indebtedness permitted by this </w:t>
      </w:r>
      <w:r>
        <w:rPr>
          <w:rFonts w:ascii="Arial" w:cs="Arial" w:eastAsia="Arial" w:hAnsi="Arial"/>
          <w:sz w:val="20"/>
          <w:szCs w:val="20"/>
          <w:u w:val="single" w:color="auto"/>
          <w:color w:val="auto"/>
        </w:rPr>
        <w:t>Section 7.06(a)</w:t>
      </w:r>
      <w:r>
        <w:rPr>
          <w:rFonts w:ascii="Arial" w:cs="Arial" w:eastAsia="Arial" w:hAnsi="Arial"/>
          <w:sz w:val="20"/>
          <w:szCs w:val="20"/>
          <w:color w:val="auto"/>
        </w:rPr>
        <w:t xml:space="preserve"> exceed the aggregate principal amount of the Indebtedness listed on </w:t>
      </w:r>
      <w:r>
        <w:rPr>
          <w:rFonts w:ascii="Arial" w:cs="Arial" w:eastAsia="Arial" w:hAnsi="Arial"/>
          <w:sz w:val="20"/>
          <w:szCs w:val="20"/>
          <w:u w:val="single" w:color="auto"/>
          <w:color w:val="auto"/>
        </w:rPr>
        <w:t>Schedule 7.06</w:t>
      </w:r>
      <w:r>
        <w:rPr>
          <w:rFonts w:ascii="Arial" w:cs="Arial" w:eastAsia="Arial" w:hAnsi="Arial"/>
          <w:sz w:val="20"/>
          <w:szCs w:val="20"/>
          <w:color w:val="auto"/>
        </w:rPr>
        <w:t xml:space="preserve"> that is outstanding on the Effective Date (plus transaction costs, including premiums and fees, related thereto);</w:t>
      </w:r>
    </w:p>
    <w:p>
      <w:pPr>
        <w:spacing w:after="0" w:line="194" w:lineRule="exact"/>
        <w:rPr>
          <w:rFonts w:ascii="Arial" w:cs="Arial" w:eastAsia="Arial" w:hAnsi="Arial"/>
          <w:sz w:val="20"/>
          <w:szCs w:val="20"/>
          <w:color w:val="auto"/>
        </w:rPr>
      </w:pPr>
    </w:p>
    <w:p>
      <w:pPr>
        <w:jc w:val="both"/>
        <w:ind w:firstLine="875"/>
        <w:spacing w:after="0" w:line="247" w:lineRule="auto"/>
        <w:tabs>
          <w:tab w:leader="none" w:pos="1547"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Indebtedness of (i) any Subsidiary (other than an Excluded Subsidiary) to the Borrower or any other Subsidiary (other than any Excluded Subsidiary), (ii) of any Excluded Subsidiary to any other Excluded Subsidiary, and (iii) to the extent permitted pursuant to </w:t>
      </w:r>
      <w:r>
        <w:rPr>
          <w:rFonts w:ascii="Arial" w:cs="Arial" w:eastAsia="Arial" w:hAnsi="Arial"/>
          <w:sz w:val="20"/>
          <w:szCs w:val="20"/>
          <w:u w:val="single" w:color="auto"/>
          <w:color w:val="auto"/>
        </w:rPr>
        <w:t>Section 7.05(b)</w:t>
      </w:r>
      <w:r>
        <w:rPr>
          <w:rFonts w:ascii="Arial" w:cs="Arial" w:eastAsia="Arial" w:hAnsi="Arial"/>
          <w:sz w:val="20"/>
          <w:szCs w:val="20"/>
          <w:color w:val="auto"/>
        </w:rPr>
        <w:t>, of any Excluded Subsidiary to the Borrower or any other Subsidiary;</w:t>
      </w:r>
    </w:p>
    <w:p>
      <w:pPr>
        <w:spacing w:after="0" w:line="187" w:lineRule="exact"/>
        <w:rPr>
          <w:rFonts w:ascii="Arial" w:cs="Arial" w:eastAsia="Arial" w:hAnsi="Arial"/>
          <w:sz w:val="20"/>
          <w:szCs w:val="20"/>
          <w:color w:val="auto"/>
        </w:rPr>
      </w:pPr>
    </w:p>
    <w:p>
      <w:pPr>
        <w:ind w:firstLine="875"/>
        <w:spacing w:after="0" w:line="345" w:lineRule="auto"/>
        <w:tabs>
          <w:tab w:leader="none" w:pos="1671" w:val="left"/>
        </w:tabs>
        <w:numPr>
          <w:ilvl w:val="1"/>
          <w:numId w:val="77"/>
        </w:numPr>
        <w:rPr>
          <w:rFonts w:ascii="Arial" w:cs="Arial" w:eastAsia="Arial" w:hAnsi="Arial"/>
          <w:sz w:val="17"/>
          <w:szCs w:val="17"/>
          <w:color w:val="auto"/>
        </w:rPr>
      </w:pPr>
      <w:r>
        <w:rPr>
          <w:rFonts w:ascii="Arial" w:cs="Arial" w:eastAsia="Arial" w:hAnsi="Arial"/>
          <w:sz w:val="17"/>
          <w:szCs w:val="17"/>
          <w:color w:val="auto"/>
        </w:rPr>
        <w:t>in the case of any Allied Unrestricted Subsidiary, any Securitization Subsidiary or any Republic Insurance Entity, unsecured Indebtedness and Indebtedness secured directly or indirectly by the assets of such Person or its Subsidiaries; and</w:t>
      </w:r>
    </w:p>
    <w:p>
      <w:pPr>
        <w:spacing w:after="0" w:line="107" w:lineRule="exact"/>
        <w:rPr>
          <w:rFonts w:ascii="Arial" w:cs="Arial" w:eastAsia="Arial" w:hAnsi="Arial"/>
          <w:sz w:val="17"/>
          <w:szCs w:val="17"/>
          <w:color w:val="auto"/>
        </w:rPr>
      </w:pPr>
    </w:p>
    <w:p>
      <w:pPr>
        <w:ind w:firstLine="875"/>
        <w:spacing w:after="0" w:line="257" w:lineRule="auto"/>
        <w:tabs>
          <w:tab w:leader="none" w:pos="1505" w:val="left"/>
        </w:tabs>
        <w:numPr>
          <w:ilvl w:val="1"/>
          <w:numId w:val="77"/>
        </w:numPr>
        <w:rPr>
          <w:rFonts w:ascii="Arial" w:cs="Arial" w:eastAsia="Arial" w:hAnsi="Arial"/>
          <w:sz w:val="20"/>
          <w:szCs w:val="20"/>
          <w:color w:val="auto"/>
        </w:rPr>
      </w:pPr>
      <w:r>
        <w:rPr>
          <w:rFonts w:ascii="Arial" w:cs="Arial" w:eastAsia="Arial" w:hAnsi="Arial"/>
          <w:sz w:val="20"/>
          <w:szCs w:val="20"/>
          <w:color w:val="auto"/>
        </w:rPr>
        <w:t>other Indebtedness of the Borrower’s Subsidiaries so long as the aggregate outstanding amount of Priority Indebtedness at any time does not exceed 15% of Consolidated Tangible Assets.</w:t>
      </w:r>
    </w:p>
    <w:p>
      <w:pPr>
        <w:spacing w:after="0" w:line="171" w:lineRule="exact"/>
        <w:rPr>
          <w:sz w:val="20"/>
          <w:szCs w:val="20"/>
          <w:color w:val="auto"/>
        </w:rPr>
      </w:pPr>
    </w:p>
    <w:p>
      <w:pPr>
        <w:jc w:val="both"/>
        <w:ind w:firstLine="874"/>
        <w:spacing w:after="0" w:line="303" w:lineRule="auto"/>
        <w:rPr>
          <w:sz w:val="20"/>
          <w:szCs w:val="20"/>
          <w:color w:val="auto"/>
        </w:rPr>
      </w:pPr>
      <w:r>
        <w:rPr>
          <w:rFonts w:ascii="Arial" w:cs="Arial" w:eastAsia="Arial" w:hAnsi="Arial"/>
          <w:sz w:val="17"/>
          <w:szCs w:val="17"/>
          <w:b w:val="1"/>
          <w:bCs w:val="1"/>
          <w:color w:val="auto"/>
        </w:rPr>
        <w:t>7.07 Transactions with Affiliates</w:t>
      </w:r>
      <w:r>
        <w:rPr>
          <w:rFonts w:ascii="Arial" w:cs="Arial" w:eastAsia="Arial" w:hAnsi="Arial"/>
          <w:sz w:val="17"/>
          <w:szCs w:val="17"/>
          <w:color w:val="auto"/>
        </w:rPr>
        <w:t>. The Borrower shall not, and shall not permit any Subsidiary (other than any Allied</w:t>
      </w:r>
      <w:r>
        <w:rPr>
          <w:rFonts w:ascii="Arial" w:cs="Arial" w:eastAsia="Arial" w:hAnsi="Arial"/>
          <w:sz w:val="17"/>
          <w:szCs w:val="17"/>
          <w:b w:val="1"/>
          <w:bCs w:val="1"/>
          <w:color w:val="auto"/>
        </w:rPr>
        <w:t xml:space="preserve"> </w:t>
      </w:r>
      <w:r>
        <w:rPr>
          <w:rFonts w:ascii="Arial" w:cs="Arial" w:eastAsia="Arial" w:hAnsi="Arial"/>
          <w:sz w:val="17"/>
          <w:szCs w:val="17"/>
          <w:color w:val="auto"/>
        </w:rPr>
        <w:t>Unrestricted Subsidiary, any Securitization Subsidiary or any Republic Insurance Entity) to, enter into any transaction with any Affiliate of the Borrower (other than another Subsidiary), except upon fair and reasonable terms no less favorable to the Borrower or such Subsidiary than would obtain in a comparable arm’s-length transaction with a Person not an Affiliate of the Borrower or such Subsidiary.</w:t>
      </w:r>
    </w:p>
    <w:p>
      <w:pPr>
        <w:spacing w:after="0" w:line="138"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b w:val="1"/>
          <w:bCs w:val="1"/>
          <w:color w:val="auto"/>
        </w:rPr>
        <w:t>7.08 Use of Proceeds</w:t>
      </w:r>
      <w:r>
        <w:rPr>
          <w:rFonts w:ascii="Arial" w:cs="Arial" w:eastAsia="Arial" w:hAnsi="Arial"/>
          <w:sz w:val="20"/>
          <w:szCs w:val="20"/>
          <w:color w:val="auto"/>
        </w:rPr>
        <w:t>. The Borrower shall not, and shall not permit any Subsidiary to, use any portion of any Credit</w:t>
      </w:r>
      <w:r>
        <w:rPr>
          <w:rFonts w:ascii="Arial" w:cs="Arial" w:eastAsia="Arial" w:hAnsi="Arial"/>
          <w:sz w:val="20"/>
          <w:szCs w:val="20"/>
          <w:b w:val="1"/>
          <w:bCs w:val="1"/>
          <w:color w:val="auto"/>
        </w:rPr>
        <w:t xml:space="preserve"> </w:t>
      </w:r>
      <w:r>
        <w:rPr>
          <w:rFonts w:ascii="Arial" w:cs="Arial" w:eastAsia="Arial" w:hAnsi="Arial"/>
          <w:sz w:val="20"/>
          <w:szCs w:val="20"/>
          <w:color w:val="auto"/>
        </w:rPr>
        <w:t>Extension, directly or indirectly, (i) to purchase or carry Margin Stock, (ii) to repay or otherwise refinance indebtedness of the Borrower or others incurred to purchase or carry Margin Stock, (iii) to extend credit for the purpose of purchasing or carrying any Margin Stock, (iv) in furtherance of an offer, payment, promise to pay, or authorization of the payment or giving of money, or anything else of value, to any Person in violation of any Anti-Corruption Laws, or (v) in any manner that would result in the violation of any Sanctions applicable to any party hereto.</w:t>
      </w:r>
    </w:p>
    <w:p>
      <w:pPr>
        <w:spacing w:after="0" w:line="189" w:lineRule="exact"/>
        <w:rPr>
          <w:sz w:val="20"/>
          <w:szCs w:val="20"/>
          <w:color w:val="auto"/>
        </w:rPr>
      </w:pPr>
    </w:p>
    <w:p>
      <w:pPr>
        <w:jc w:val="both"/>
        <w:ind w:firstLine="874"/>
        <w:spacing w:after="0" w:line="352" w:lineRule="auto"/>
        <w:rPr>
          <w:sz w:val="20"/>
          <w:szCs w:val="20"/>
          <w:color w:val="auto"/>
        </w:rPr>
      </w:pPr>
      <w:r>
        <w:rPr>
          <w:rFonts w:ascii="Arial" w:cs="Arial" w:eastAsia="Arial" w:hAnsi="Arial"/>
          <w:sz w:val="17"/>
          <w:szCs w:val="17"/>
          <w:b w:val="1"/>
          <w:bCs w:val="1"/>
          <w:color w:val="auto"/>
        </w:rPr>
        <w:t>7.09 Restricted Payments</w:t>
      </w:r>
      <w:r>
        <w:rPr>
          <w:rFonts w:ascii="Arial" w:cs="Arial" w:eastAsia="Arial" w:hAnsi="Arial"/>
          <w:sz w:val="17"/>
          <w:szCs w:val="17"/>
          <w:color w:val="auto"/>
        </w:rPr>
        <w:t>. The Borrower shall not, and shall not permit any Subsidiary (other than any Allied Unrestricted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any Securitization Subsidiary or any Republic Insurance Entity), to make any Restricted Payment except that:</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0920"/>
          </w:cols>
          <w:pgMar w:left="480" w:top="270" w:right="499" w:bottom="1440" w:gutter="0" w:footer="0" w:header="0"/>
        </w:sectPr>
      </w:pPr>
    </w:p>
    <w:bookmarkStart w:id="65" w:name="page66"/>
    <w:bookmarkEnd w:id="65"/>
    <w:p>
      <w:pPr>
        <w:jc w:val="both"/>
        <w:ind w:firstLine="875"/>
        <w:spacing w:after="0" w:line="247" w:lineRule="auto"/>
        <w:tabs>
          <w:tab w:leader="none" w:pos="1554" w:val="left"/>
        </w:tabs>
        <w:numPr>
          <w:ilvl w:val="0"/>
          <w:numId w:val="7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each Subsidiary may make Restricted Payments to the Borrower and any other Person that owns an Equity Interest in such Subsidiary, ratably according to their respective holdings of the type of Equity Interest in respect of which such Restricted Payment is being made;</w:t>
      </w:r>
    </w:p>
    <w:p>
      <w:pPr>
        <w:spacing w:after="0" w:line="187" w:lineRule="exact"/>
        <w:rPr>
          <w:rFonts w:ascii="Arial" w:cs="Arial" w:eastAsia="Arial" w:hAnsi="Arial"/>
          <w:sz w:val="20"/>
          <w:szCs w:val="20"/>
          <w:color w:val="auto"/>
        </w:rPr>
      </w:pPr>
    </w:p>
    <w:p>
      <w:pPr>
        <w:ind w:firstLine="875"/>
        <w:spacing w:after="0" w:line="257" w:lineRule="auto"/>
        <w:tabs>
          <w:tab w:leader="none" w:pos="1508"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Borrower and each Subsidiary may declare and make dividend payments or other distributions payable solely in the common stock or other common Equity Interests of such Person;</w:t>
      </w:r>
    </w:p>
    <w:p>
      <w:pPr>
        <w:spacing w:after="0" w:line="176" w:lineRule="exact"/>
        <w:rPr>
          <w:rFonts w:ascii="Arial" w:cs="Arial" w:eastAsia="Arial" w:hAnsi="Arial"/>
          <w:sz w:val="20"/>
          <w:szCs w:val="20"/>
          <w:color w:val="auto"/>
        </w:rPr>
      </w:pPr>
    </w:p>
    <w:p>
      <w:pPr>
        <w:ind w:firstLine="875"/>
        <w:spacing w:after="0" w:line="345" w:lineRule="auto"/>
        <w:tabs>
          <w:tab w:leader="none" w:pos="1608"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Borrower and each Subsidiary may purchase, redeem or otherwise acquire Equity Interests issued by it with the proceeds received from the substantially concurrent issue of new shares of its common stock or other common Equity Interests; and</w:t>
      </w:r>
    </w:p>
    <w:p>
      <w:pPr>
        <w:spacing w:after="0" w:line="107" w:lineRule="exact"/>
        <w:rPr>
          <w:rFonts w:ascii="Arial" w:cs="Arial" w:eastAsia="Arial" w:hAnsi="Arial"/>
          <w:sz w:val="17"/>
          <w:szCs w:val="17"/>
          <w:color w:val="auto"/>
        </w:rPr>
      </w:pPr>
    </w:p>
    <w:p>
      <w:pPr>
        <w:ind w:firstLine="875"/>
        <w:spacing w:after="0" w:line="283" w:lineRule="auto"/>
        <w:tabs>
          <w:tab w:leader="none" w:pos="1644"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the Borrower may make any other Restricted Payment so long as (i) such Restricted Payment would not cause the Borrower to violate the financial covenant contained in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(ii) no other Default would result therefrom.</w:t>
      </w:r>
    </w:p>
    <w:p>
      <w:pPr>
        <w:spacing w:after="0" w:line="148"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b w:val="1"/>
          <w:bCs w:val="1"/>
          <w:color w:val="auto"/>
        </w:rPr>
        <w:t>7.10 ERISA</w:t>
      </w:r>
      <w:r>
        <w:rPr>
          <w:rFonts w:ascii="Arial" w:cs="Arial" w:eastAsia="Arial" w:hAnsi="Arial"/>
          <w:sz w:val="20"/>
          <w:szCs w:val="20"/>
          <w:color w:val="auto"/>
        </w:rPr>
        <w:t>. The Borrower shall not, and shall not permit any of its ERISA Affiliates to: (a) engage in a prohibited</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or violation of the fiduciary responsibility rules with respect to any Plan which has resulted or could reasonably be expected to result in liability of the Borrower in an aggregate amount in excess of $50,000,000; or (b) engage in a transaction which could reasonably be expected to result in liability to the Borrower or any ERISA Affiliate in excess of $50,000,000 pursuant to Section 4069 or 4212(c) of ERISA.</w:t>
      </w:r>
    </w:p>
    <w:p>
      <w:pPr>
        <w:spacing w:after="0" w:line="183" w:lineRule="exact"/>
        <w:rPr>
          <w:sz w:val="20"/>
          <w:szCs w:val="20"/>
          <w:color w:val="auto"/>
        </w:rPr>
      </w:pPr>
    </w:p>
    <w:p>
      <w:pPr>
        <w:jc w:val="both"/>
        <w:ind w:firstLine="874"/>
        <w:spacing w:after="0" w:line="291" w:lineRule="auto"/>
        <w:rPr>
          <w:sz w:val="20"/>
          <w:szCs w:val="20"/>
          <w:color w:val="auto"/>
        </w:rPr>
      </w:pPr>
      <w:r>
        <w:rPr>
          <w:rFonts w:ascii="Arial" w:cs="Arial" w:eastAsia="Arial" w:hAnsi="Arial"/>
          <w:sz w:val="17"/>
          <w:szCs w:val="17"/>
          <w:b w:val="1"/>
          <w:bCs w:val="1"/>
          <w:color w:val="auto"/>
        </w:rPr>
        <w:t>7.11 Change in Business</w:t>
      </w:r>
      <w:r>
        <w:rPr>
          <w:rFonts w:ascii="Arial" w:cs="Arial" w:eastAsia="Arial" w:hAnsi="Arial"/>
          <w:sz w:val="17"/>
          <w:szCs w:val="17"/>
          <w:color w:val="auto"/>
        </w:rPr>
        <w:t>. The Borrower shall not, and shall not permit any Subsidiary to, engage in any material line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business other than those lines of business carried on by the Borrower and its Subsidiaries on the Effective Date and lines of business complementary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no event will the Borrower permit a material portion of the business of the Borrower and its Subsidiaries, taken as a whole, to involve or relate to hazardous waste, (ii) in no event will the Borrower direct any Securitization Subsidiary to engage in any business other than Securitization Transactions permitted hereunder, and (iii) in no event will the Borrower direct any Excluded Subsidiary to engage in any business other than the business carried on by such Subsidiary on the later of the Effective Date and the date that such Subsidiary is approved by the Administrative Agent as an Excluded Subsidiary.</w:t>
      </w:r>
    </w:p>
    <w:p>
      <w:pPr>
        <w:spacing w:after="0" w:line="148" w:lineRule="exact"/>
        <w:rPr>
          <w:sz w:val="20"/>
          <w:szCs w:val="20"/>
          <w:color w:val="auto"/>
        </w:rPr>
      </w:pPr>
    </w:p>
    <w:p>
      <w:pPr>
        <w:jc w:val="both"/>
        <w:ind w:firstLine="874"/>
        <w:spacing w:after="0" w:line="292" w:lineRule="auto"/>
        <w:rPr>
          <w:sz w:val="20"/>
          <w:szCs w:val="20"/>
          <w:color w:val="auto"/>
        </w:rPr>
      </w:pPr>
      <w:r>
        <w:rPr>
          <w:rFonts w:ascii="Arial" w:cs="Arial" w:eastAsia="Arial" w:hAnsi="Arial"/>
          <w:sz w:val="17"/>
          <w:szCs w:val="17"/>
          <w:b w:val="1"/>
          <w:bCs w:val="1"/>
          <w:color w:val="auto"/>
        </w:rPr>
        <w:t>7.12 Burdensome Agreements</w:t>
      </w:r>
      <w:r>
        <w:rPr>
          <w:rFonts w:ascii="Arial" w:cs="Arial" w:eastAsia="Arial" w:hAnsi="Arial"/>
          <w:sz w:val="17"/>
          <w:szCs w:val="17"/>
          <w:color w:val="auto"/>
        </w:rPr>
        <w:t>. The Borrower shall not, and shall not permit any Subsidiary (other than any Excluded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to, enter into any Contractual Obligation (other than this Agreement and any other Loan Document) that (a) limits the ability</w:t>
      </w:r>
    </w:p>
    <w:p>
      <w:pPr>
        <w:spacing w:after="0" w:line="2" w:lineRule="exact"/>
        <w:rPr>
          <w:sz w:val="20"/>
          <w:szCs w:val="20"/>
          <w:color w:val="auto"/>
        </w:rPr>
      </w:pPr>
    </w:p>
    <w:p>
      <w:pPr>
        <w:jc w:val="both"/>
        <w:ind w:firstLine="1"/>
        <w:spacing w:after="0" w:line="279" w:lineRule="auto"/>
        <w:tabs>
          <w:tab w:leader="none" w:pos="234" w:val="left"/>
        </w:tabs>
        <w:numPr>
          <w:ilvl w:val="0"/>
          <w:numId w:val="79"/>
        </w:numPr>
        <w:rPr>
          <w:rFonts w:ascii="Arial" w:cs="Arial" w:eastAsia="Arial" w:hAnsi="Arial"/>
          <w:sz w:val="17"/>
          <w:szCs w:val="17"/>
          <w:color w:val="auto"/>
        </w:rPr>
      </w:pPr>
      <w:r>
        <w:rPr>
          <w:rFonts w:ascii="Arial" w:cs="Arial" w:eastAsia="Arial" w:hAnsi="Arial"/>
          <w:sz w:val="17"/>
          <w:szCs w:val="17"/>
          <w:color w:val="auto"/>
        </w:rPr>
        <w:t>of any Subsidiary (other than an Excluded Subsidiary) to make Restricted Payments to the Borrower or to otherwise transfer property to the Borrower, (ii) of any Subsidiary (other than an Excluded Subsidiary) to guarantee the Indebtedness of the Borrower or (iii) of the Borrower or any Subsidiary (other than an Excluded Subsidiary) to create, incur, assume or suffer to exist Liens on property of such Person; or (b) requires the grant of a Lien to secure an obligation of such Person upon a Lien being granted to secure another obligation of such Person; except, in each case, (1) as required under applicable Requirements of Law, (2) as required under the Loan Documents,</w:t>
      </w:r>
    </w:p>
    <w:p>
      <w:pPr>
        <w:spacing w:after="0" w:line="1" w:lineRule="exact"/>
        <w:rPr>
          <w:rFonts w:ascii="Arial" w:cs="Arial" w:eastAsia="Arial" w:hAnsi="Arial"/>
          <w:sz w:val="17"/>
          <w:szCs w:val="17"/>
          <w:color w:val="auto"/>
        </w:rPr>
      </w:pPr>
    </w:p>
    <w:p>
      <w:pPr>
        <w:jc w:val="both"/>
        <w:spacing w:after="0" w:line="238" w:lineRule="auto"/>
        <w:rPr>
          <w:rFonts w:ascii="Arial" w:cs="Arial" w:eastAsia="Arial" w:hAnsi="Arial"/>
          <w:sz w:val="17"/>
          <w:szCs w:val="17"/>
          <w:color w:val="auto"/>
        </w:rPr>
      </w:pPr>
      <w:r>
        <w:rPr>
          <w:rFonts w:ascii="Arial" w:cs="Arial" w:eastAsia="Arial" w:hAnsi="Arial"/>
          <w:sz w:val="20"/>
          <w:szCs w:val="20"/>
          <w:color w:val="auto"/>
        </w:rPr>
        <w:t xml:space="preserve">(3) for Permitted Liens, (4) for restrictions in any other agreement governing other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Indebtedness of the Borrower permitted hereunder (including any Senior Note Indenture and the Existing 2018 Credit Agreement) that is substantively similar to, or less restrictive than, the Senior Note Indentures or the Existing 2018 Credit Agreement that are in effect on the Effective Date, (5) for prohibitions on assignment or transfer contained in leases and (6) as set forth in </w:t>
      </w:r>
      <w:r>
        <w:rPr>
          <w:rFonts w:ascii="Arial" w:cs="Arial" w:eastAsia="Arial" w:hAnsi="Arial"/>
          <w:sz w:val="20"/>
          <w:szCs w:val="20"/>
          <w:u w:val="single" w:color="auto"/>
          <w:color w:val="auto"/>
        </w:rPr>
        <w:t>Schedule 7.12</w:t>
      </w:r>
      <w:r>
        <w:rPr>
          <w:rFonts w:ascii="Arial" w:cs="Arial" w:eastAsia="Arial" w:hAnsi="Arial"/>
          <w:sz w:val="20"/>
          <w:szCs w:val="20"/>
          <w:color w:val="auto"/>
        </w:rPr>
        <w:t>.</w:t>
      </w:r>
    </w:p>
    <w:p>
      <w:pPr>
        <w:spacing w:after="0" w:line="190" w:lineRule="exact"/>
        <w:rPr>
          <w:sz w:val="20"/>
          <w:szCs w:val="20"/>
          <w:color w:val="auto"/>
        </w:rPr>
      </w:pPr>
    </w:p>
    <w:p>
      <w:pPr>
        <w:jc w:val="both"/>
        <w:ind w:firstLine="874"/>
        <w:spacing w:after="0" w:line="246" w:lineRule="auto"/>
        <w:rPr>
          <w:sz w:val="20"/>
          <w:szCs w:val="20"/>
          <w:color w:val="auto"/>
        </w:rPr>
      </w:pPr>
      <w:r>
        <w:rPr>
          <w:rFonts w:ascii="Arial" w:cs="Arial" w:eastAsia="Arial" w:hAnsi="Arial"/>
          <w:sz w:val="20"/>
          <w:szCs w:val="20"/>
          <w:b w:val="1"/>
          <w:bCs w:val="1"/>
          <w:color w:val="auto"/>
        </w:rPr>
        <w:t>7.13 Sanctions</w:t>
      </w:r>
      <w:r>
        <w:rPr>
          <w:rFonts w:ascii="Arial" w:cs="Arial" w:eastAsia="Arial" w:hAnsi="Arial"/>
          <w:sz w:val="20"/>
          <w:szCs w:val="20"/>
          <w:color w:val="auto"/>
        </w:rPr>
        <w:t>. The Borrower shall not, and shall not permit any Subsidiary to, directly or indirectly, use the proceeds of any</w:t>
      </w:r>
      <w:r>
        <w:rPr>
          <w:rFonts w:ascii="Arial" w:cs="Arial" w:eastAsia="Arial" w:hAnsi="Arial"/>
          <w:sz w:val="20"/>
          <w:szCs w:val="20"/>
          <w:b w:val="1"/>
          <w:bCs w:val="1"/>
          <w:color w:val="auto"/>
        </w:rPr>
        <w:t xml:space="preserve"> </w:t>
      </w:r>
      <w:r>
        <w:rPr>
          <w:rFonts w:ascii="Arial" w:cs="Arial" w:eastAsia="Arial" w:hAnsi="Arial"/>
          <w:sz w:val="20"/>
          <w:szCs w:val="20"/>
          <w:color w:val="auto"/>
        </w:rPr>
        <w:t>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0920"/>
          </w:cols>
          <w:pgMar w:left="480" w:top="270" w:right="499" w:bottom="1440" w:gutter="0" w:footer="0" w:header="0"/>
        </w:sectPr>
      </w:pPr>
    </w:p>
    <w:bookmarkStart w:id="66" w:name="page67"/>
    <w:bookmarkEnd w:id="66"/>
    <w:p>
      <w:pPr>
        <w:jc w:val="both"/>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is the subject of Sanctions, or in any other manner that will result in a violation by any individual or entity (including any individual or entity participating in the transaction, whether as Lender, Arranger, Administrative Agent, or otherwise) of Sanctions or any applicable anti-money laundering and counter-terrorism financing provisions of the Bank Secrecy Act or any regulations issued pursuant to it.</w:t>
      </w:r>
    </w:p>
    <w:p>
      <w:pPr>
        <w:spacing w:after="0" w:line="129" w:lineRule="exact"/>
        <w:rPr>
          <w:sz w:val="20"/>
          <w:szCs w:val="20"/>
          <w:color w:val="auto"/>
        </w:rPr>
      </w:pPr>
    </w:p>
    <w:p>
      <w:pPr>
        <w:jc w:val="both"/>
        <w:ind w:firstLine="874"/>
        <w:spacing w:after="0" w:line="263" w:lineRule="auto"/>
        <w:rPr>
          <w:sz w:val="20"/>
          <w:szCs w:val="20"/>
          <w:color w:val="auto"/>
        </w:rPr>
      </w:pPr>
      <w:r>
        <w:rPr>
          <w:rFonts w:ascii="Arial" w:cs="Arial" w:eastAsia="Arial" w:hAnsi="Arial"/>
          <w:sz w:val="20"/>
          <w:szCs w:val="20"/>
          <w:b w:val="1"/>
          <w:bCs w:val="1"/>
          <w:color w:val="auto"/>
        </w:rPr>
        <w:t>7.14 Anti-Corruption Laws</w:t>
      </w:r>
      <w:r>
        <w:rPr>
          <w:rFonts w:ascii="Arial" w:cs="Arial" w:eastAsia="Arial" w:hAnsi="Arial"/>
          <w:sz w:val="20"/>
          <w:szCs w:val="20"/>
          <w:color w:val="auto"/>
        </w:rPr>
        <w:t>. The Borrower shall not, and shall not permit any Subsidiary to, directly or indirectly use the</w:t>
      </w:r>
      <w:r>
        <w:rPr>
          <w:rFonts w:ascii="Arial" w:cs="Arial" w:eastAsia="Arial" w:hAnsi="Arial"/>
          <w:sz w:val="20"/>
          <w:szCs w:val="20"/>
          <w:b w:val="1"/>
          <w:bCs w:val="1"/>
          <w:color w:val="auto"/>
        </w:rPr>
        <w:t xml:space="preserve"> </w:t>
      </w:r>
      <w:r>
        <w:rPr>
          <w:rFonts w:ascii="Arial" w:cs="Arial" w:eastAsia="Arial" w:hAnsi="Arial"/>
          <w:sz w:val="20"/>
          <w:szCs w:val="20"/>
          <w:color w:val="auto"/>
        </w:rPr>
        <w:t>proceeds of any Credit Extension for any purpose which would breach any Anti-Corruption Laws.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 AND REMEDIES</w:t>
      </w:r>
    </w:p>
    <w:p>
      <w:pPr>
        <w:spacing w:after="0" w:line="190"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7"/>
          <w:szCs w:val="17"/>
          <w:b w:val="1"/>
          <w:bCs w:val="1"/>
          <w:color w:val="auto"/>
        </w:rPr>
        <w:t>Event of Default</w:t>
      </w:r>
      <w:r>
        <w:rPr>
          <w:rFonts w:ascii="Arial" w:cs="Arial" w:eastAsia="Arial" w:hAnsi="Arial"/>
          <w:sz w:val="17"/>
          <w:szCs w:val="17"/>
          <w:color w:val="auto"/>
        </w:rPr>
        <w:t>. Any of the following shall constitute an “Event of Default”:</w:t>
      </w:r>
    </w:p>
    <w:p>
      <w:pPr>
        <w:spacing w:after="0" w:line="218" w:lineRule="exact"/>
        <w:rPr>
          <w:sz w:val="20"/>
          <w:szCs w:val="20"/>
          <w:color w:val="auto"/>
        </w:rPr>
      </w:pPr>
    </w:p>
    <w:p>
      <w:pPr>
        <w:jc w:val="both"/>
        <w:ind w:firstLine="875"/>
        <w:spacing w:after="0" w:line="247" w:lineRule="auto"/>
        <w:tabs>
          <w:tab w:leader="none" w:pos="1591"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 fails to pay (i) when and as required to be paid herein, any amount of principal of any Loan, or (ii) within five days after the same becomes due, any interest, fee or any other amount payable hereunder or under any other Loan Document.</w:t>
      </w:r>
    </w:p>
    <w:p>
      <w:pPr>
        <w:spacing w:after="0" w:line="187" w:lineRule="exact"/>
        <w:rPr>
          <w:rFonts w:ascii="Arial" w:cs="Arial" w:eastAsia="Arial" w:hAnsi="Arial"/>
          <w:sz w:val="20"/>
          <w:szCs w:val="20"/>
          <w:color w:val="auto"/>
        </w:rPr>
      </w:pPr>
    </w:p>
    <w:p>
      <w:pPr>
        <w:jc w:val="both"/>
        <w:ind w:firstLine="875"/>
        <w:spacing w:after="0" w:line="244" w:lineRule="auto"/>
        <w:tabs>
          <w:tab w:leader="none" w:pos="1535"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Representation or Warranty</w:t>
      </w:r>
      <w:r>
        <w:rPr>
          <w:rFonts w:ascii="Arial" w:cs="Arial" w:eastAsia="Arial" w:hAnsi="Arial"/>
          <w:sz w:val="20"/>
          <w:szCs w:val="20"/>
          <w:color w:val="auto"/>
        </w:rPr>
        <w:t>. Any representation or warranty by the Borrower or any Subsidiary made or deemed made herein or in any other Loan Document, or which is contained in any certificate, document or financial or other statement by the Borrower, any Subsidiary or any Responsible Officer furnished at any time under this Agreement or under any other Loan Document, is incorrect in any material respect on or as of the date made or deemed made.</w:t>
      </w:r>
    </w:p>
    <w:p>
      <w:pPr>
        <w:spacing w:after="0" w:line="189" w:lineRule="exact"/>
        <w:rPr>
          <w:rFonts w:ascii="Arial" w:cs="Arial" w:eastAsia="Arial" w:hAnsi="Arial"/>
          <w:sz w:val="20"/>
          <w:szCs w:val="20"/>
          <w:color w:val="auto"/>
        </w:rPr>
      </w:pPr>
    </w:p>
    <w:p>
      <w:pPr>
        <w:ind w:firstLine="875"/>
        <w:spacing w:after="0" w:line="257" w:lineRule="auto"/>
        <w:tabs>
          <w:tab w:leader="none" w:pos="1658"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Specific Defaults</w:t>
      </w:r>
      <w:r>
        <w:rPr>
          <w:rFonts w:ascii="Arial" w:cs="Arial" w:eastAsia="Arial" w:hAnsi="Arial"/>
          <w:sz w:val="20"/>
          <w:szCs w:val="20"/>
          <w:color w:val="auto"/>
        </w:rPr>
        <w:t xml:space="preserve">. The Borrower fails to perform or observe any term, covenant or agreement contained in any of </w:t>
      </w:r>
      <w:r>
        <w:rPr>
          <w:rFonts w:ascii="Arial" w:cs="Arial" w:eastAsia="Arial" w:hAnsi="Arial"/>
          <w:sz w:val="20"/>
          <w:szCs w:val="20"/>
          <w:u w:val="single" w:color="auto"/>
          <w:color w:val="auto"/>
        </w:rPr>
        <w:t>Sections 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6.04(a)</w:t>
      </w:r>
      <w:r>
        <w:rPr>
          <w:rFonts w:ascii="Arial" w:cs="Arial" w:eastAsia="Arial" w:hAnsi="Arial"/>
          <w:sz w:val="20"/>
          <w:szCs w:val="20"/>
          <w:color w:val="auto"/>
        </w:rPr>
        <w:t xml:space="preserve">, </w:t>
      </w:r>
      <w:r>
        <w:rPr>
          <w:rFonts w:ascii="Arial" w:cs="Arial" w:eastAsia="Arial" w:hAnsi="Arial"/>
          <w:sz w:val="20"/>
          <w:szCs w:val="20"/>
          <w:u w:val="single" w:color="auto"/>
          <w:color w:val="auto"/>
        </w:rPr>
        <w:t>6.13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875"/>
        <w:spacing w:after="0" w:line="247" w:lineRule="auto"/>
        <w:tabs>
          <w:tab w:leader="none" w:pos="1575"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The Borrower fails to perform or observe any other term or covenant contained in this Agreement or any other Loan Document, and such failure shall continue unremedied for a period of 30 days after the date upon which written notice thereof is given to the Borrower by the Administrative Agent or any Lender.</w:t>
      </w:r>
    </w:p>
    <w:p>
      <w:pPr>
        <w:spacing w:after="0" w:line="187" w:lineRule="exact"/>
        <w:rPr>
          <w:rFonts w:ascii="Arial" w:cs="Arial" w:eastAsia="Arial" w:hAnsi="Arial"/>
          <w:sz w:val="20"/>
          <w:szCs w:val="20"/>
          <w:color w:val="auto"/>
        </w:rPr>
      </w:pPr>
    </w:p>
    <w:p>
      <w:pPr>
        <w:jc w:val="both"/>
        <w:ind w:firstLine="875"/>
        <w:spacing w:after="0" w:line="287" w:lineRule="auto"/>
        <w:tabs>
          <w:tab w:leader="none" w:pos="1591"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Cross-Default</w:t>
      </w:r>
      <w:r>
        <w:rPr>
          <w:rFonts w:ascii="Arial" w:cs="Arial" w:eastAsia="Arial" w:hAnsi="Arial"/>
          <w:sz w:val="17"/>
          <w:szCs w:val="17"/>
          <w:color w:val="auto"/>
        </w:rPr>
        <w:t>. (i) The Borrower or any Subsidiary (A) fails to make any payment of Material Financial Obligations when due (whether by scheduled maturity, required prepayment, acceleration, demand, or otherwise, but after giving effect to any applicable grace or cure period); or (B) fails to perform or observe any other condition or covenant, or any other event shall occur or condition shall exist, under one or more agreements or instruments relating to Material Financial Obligations, if the effect of such failure, event or condition (after giving effect to any applicable grace or cure period) is to cause (or require), or to permit the holder or holders of such Material Financial Obligations or the beneficiary or beneficiaries of such Material Financial Obligations (or a trustee or agent on behalf of such holder or holders or beneficiary or beneficiaries) to cause (or require), such Material Financial Obligations to become due and payable in an amount greater than or equal to $100,000,000 in any single instance (or to be purchased, repurchased or cash collateralized in an amount greater than or equal to $100,000,000 in any single instance) prior to the stated maturity thereof.</w:t>
      </w:r>
    </w:p>
    <w:p>
      <w:pPr>
        <w:spacing w:after="0" w:line="159" w:lineRule="exact"/>
        <w:rPr>
          <w:rFonts w:ascii="Arial" w:cs="Arial" w:eastAsia="Arial" w:hAnsi="Arial"/>
          <w:sz w:val="17"/>
          <w:szCs w:val="17"/>
          <w:color w:val="auto"/>
        </w:rPr>
      </w:pPr>
    </w:p>
    <w:p>
      <w:pPr>
        <w:jc w:val="both"/>
        <w:ind w:firstLine="875"/>
        <w:spacing w:after="0" w:line="301" w:lineRule="auto"/>
        <w:tabs>
          <w:tab w:leader="none" w:pos="1462"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Insolvency, Voluntary Proceedings</w:t>
      </w:r>
      <w:r>
        <w:rPr>
          <w:rFonts w:ascii="Arial" w:cs="Arial" w:eastAsia="Arial" w:hAnsi="Arial"/>
          <w:sz w:val="17"/>
          <w:szCs w:val="17"/>
          <w:color w:val="auto"/>
        </w:rPr>
        <w:t xml:space="preserve">. The Borrower or any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0920"/>
          </w:cols>
          <w:pgMar w:left="480" w:top="270" w:right="499" w:bottom="1440" w:gutter="0" w:footer="0" w:header="0"/>
        </w:sectPr>
      </w:pPr>
    </w:p>
    <w:bookmarkStart w:id="67" w:name="page68"/>
    <w:bookmarkEnd w:id="67"/>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shall not apply to the voluntary liquidation, dissolution or winding up of a Subsidiary permitted by </w:t>
      </w:r>
      <w:r>
        <w:rPr>
          <w:rFonts w:ascii="Arial" w:cs="Arial" w:eastAsia="Arial" w:hAnsi="Arial"/>
          <w:sz w:val="20"/>
          <w:szCs w:val="20"/>
          <w:u w:val="single" w:color="auto"/>
          <w:color w:val="auto"/>
        </w:rPr>
        <w:t>Section 6.04</w:t>
      </w:r>
      <w:r>
        <w:rPr>
          <w:rFonts w:ascii="Arial" w:cs="Arial" w:eastAsia="Arial" w:hAnsi="Arial"/>
          <w:sz w:val="20"/>
          <w:szCs w:val="20"/>
          <w:color w:val="auto"/>
        </w:rPr>
        <w:t>.</w:t>
      </w:r>
    </w:p>
    <w:p>
      <w:pPr>
        <w:spacing w:after="0" w:line="212" w:lineRule="exact"/>
        <w:rPr>
          <w:sz w:val="20"/>
          <w:szCs w:val="20"/>
          <w:color w:val="auto"/>
        </w:rPr>
      </w:pPr>
    </w:p>
    <w:p>
      <w:pPr>
        <w:jc w:val="both"/>
        <w:ind w:firstLine="875"/>
        <w:spacing w:after="0" w:line="284" w:lineRule="auto"/>
        <w:tabs>
          <w:tab w:leader="none" w:pos="1495"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Involuntary Proceedings</w:t>
      </w:r>
      <w:r>
        <w:rPr>
          <w:rFonts w:ascii="Arial" w:cs="Arial" w:eastAsia="Arial" w:hAnsi="Arial"/>
          <w:sz w:val="17"/>
          <w:szCs w:val="17"/>
          <w:color w:val="auto"/>
        </w:rPr>
        <w:t>. (i) Any involuntary Insolvency Proceeding is commenced or filed against the Borrower or any Subsidiary, or any writ, judgment, warrant of attachment, execution or similar process is issued or levied against a substantial part of the Borrower’s or any Subsidiary’s properties, and such proceeding or petition shall not be dismissed, or such writ, judgment, warrant of attachment, execution or similar process shall not be released, vacated or fully bonded, within 60 days after commencement, filing or levy;</w:t>
      </w:r>
    </w:p>
    <w:p>
      <w:pPr>
        <w:spacing w:after="0" w:line="1" w:lineRule="exact"/>
        <w:rPr>
          <w:rFonts w:ascii="Arial" w:cs="Arial" w:eastAsia="Arial" w:hAnsi="Arial"/>
          <w:sz w:val="17"/>
          <w:szCs w:val="17"/>
          <w:color w:val="auto"/>
        </w:rPr>
      </w:pPr>
    </w:p>
    <w:p>
      <w:pPr>
        <w:jc w:val="both"/>
        <w:ind w:firstLine="1"/>
        <w:spacing w:after="0" w:line="279" w:lineRule="auto"/>
        <w:tabs>
          <w:tab w:leader="none" w:pos="30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Borrower or any Subsidiary admits the material allegations of a petition against it in any Insolvency Proceeding, or an order for relief (or similar order under non-U.S. law) is ordered in any Insolvency Proceeding with respect to the Borrower or such Subsidiary; or</w:t>
      </w:r>
    </w:p>
    <w:p>
      <w:pPr>
        <w:ind w:firstLine="1"/>
        <w:spacing w:after="0" w:line="265" w:lineRule="auto"/>
        <w:tabs>
          <w:tab w:leader="none" w:pos="355"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Borrower or any Subsidiary acquiesces in the appointment of a receiver, trustee, custodian, conservator, liquidator, mortgagee in possession (or agent therefor), or other similar Person for itself or a substantial portion of its property or business.</w:t>
      </w:r>
    </w:p>
    <w:p>
      <w:pPr>
        <w:spacing w:after="0" w:line="170" w:lineRule="exact"/>
        <w:rPr>
          <w:rFonts w:ascii="Arial" w:cs="Arial" w:eastAsia="Arial" w:hAnsi="Arial"/>
          <w:sz w:val="19"/>
          <w:szCs w:val="19"/>
          <w:color w:val="auto"/>
        </w:rPr>
      </w:pPr>
    </w:p>
    <w:p>
      <w:pPr>
        <w:jc w:val="both"/>
        <w:ind w:firstLine="875"/>
        <w:spacing w:after="0" w:line="287" w:lineRule="auto"/>
        <w:tabs>
          <w:tab w:leader="none" w:pos="1683"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xml:space="preserve">. (i) Except as disclosed on </w:t>
      </w:r>
      <w:r>
        <w:rPr>
          <w:rFonts w:ascii="Arial" w:cs="Arial" w:eastAsia="Arial" w:hAnsi="Arial"/>
          <w:sz w:val="17"/>
          <w:szCs w:val="17"/>
          <w:u w:val="single" w:color="auto"/>
          <w:color w:val="auto"/>
        </w:rPr>
        <w:t>Schedule 5.07</w:t>
      </w:r>
      <w:r>
        <w:rPr>
          <w:rFonts w:ascii="Arial" w:cs="Arial" w:eastAsia="Arial" w:hAnsi="Arial"/>
          <w:sz w:val="17"/>
          <w:szCs w:val="17"/>
          <w:color w:val="auto"/>
        </w:rPr>
        <w:t>, an ERISA Event shall occur with respect to a Pension Plan or Multiemployer Plan which has resulted or could reasonably be expected to result in liability of the Borrower under Title IV of ERISA to the Pension Plan, Multiemployer Plan or the PBGC in an aggregate amount in excess of $50,000,000; (ii) a contribution failure shall occur with respect to a Pension Plan sufficient to give rise to a Lien under Section 303(k) of ERISA securing obligations in excess of $20,000,000; or (iii) the Borrower or any ERISA Affiliate shall fail to pay when due, after the expiration of any applicable grace period (or any period during which (x) the Borrower is permitted to contest its obligation to make such payment without incurring any liability (other than interest) or penalty and (y) the Borrower is contesting such obligation in good faith and by appropriate proceedings), any installment payment with respect to its withdrawal liability under Section 4201 of ERISA or any contribution obligation under Section 4243 of ERISA, in each case under a Multiemployer Plan in an aggregate amount in excess of $50,000,000.</w:t>
      </w:r>
    </w:p>
    <w:p>
      <w:pPr>
        <w:spacing w:after="0" w:line="159" w:lineRule="exact"/>
        <w:rPr>
          <w:rFonts w:ascii="Arial" w:cs="Arial" w:eastAsia="Arial" w:hAnsi="Arial"/>
          <w:sz w:val="17"/>
          <w:szCs w:val="17"/>
          <w:color w:val="auto"/>
        </w:rPr>
      </w:pPr>
    </w:p>
    <w:p>
      <w:pPr>
        <w:jc w:val="both"/>
        <w:ind w:firstLine="875"/>
        <w:spacing w:after="0" w:line="301" w:lineRule="auto"/>
        <w:tabs>
          <w:tab w:leader="none" w:pos="1465"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One or more non-interlocutory judgments, non-interlocutory orders, decrees or arbitration awards is entered against the Borrower or any Subsidiary involving in the aggregate a liability (to the extent not covered by insurance as to which the insurer does not dispute coverage) as to any single or related series of transactions, incidents or conditions of $100,000,000 or more, and the same shall remain unvacated and unstayed pending appeal for a period of 25 days after the entry thereof.</w:t>
      </w:r>
    </w:p>
    <w:p>
      <w:pPr>
        <w:spacing w:after="0" w:line="144" w:lineRule="exact"/>
        <w:rPr>
          <w:rFonts w:ascii="Arial" w:cs="Arial" w:eastAsia="Arial" w:hAnsi="Arial"/>
          <w:sz w:val="17"/>
          <w:szCs w:val="17"/>
          <w:color w:val="auto"/>
        </w:rPr>
      </w:pPr>
    </w:p>
    <w:p>
      <w:pPr>
        <w:ind w:left="1460" w:hanging="585"/>
        <w:spacing w:after="0"/>
        <w:tabs>
          <w:tab w:leader="none" w:pos="1460"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w:t>
      </w:r>
    </w:p>
    <w:p>
      <w:pPr>
        <w:spacing w:after="0" w:line="211" w:lineRule="exact"/>
        <w:rPr>
          <w:rFonts w:ascii="Arial" w:cs="Arial" w:eastAsia="Arial" w:hAnsi="Arial"/>
          <w:sz w:val="20"/>
          <w:szCs w:val="20"/>
          <w:color w:val="auto"/>
        </w:rPr>
      </w:pPr>
    </w:p>
    <w:p>
      <w:pPr>
        <w:jc w:val="both"/>
        <w:ind w:firstLine="875"/>
        <w:spacing w:after="0" w:line="242" w:lineRule="auto"/>
        <w:tabs>
          <w:tab w:leader="none" w:pos="1602"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Invalidity of Loan Documents</w:t>
      </w:r>
      <w:r>
        <w:rPr>
          <w:rFonts w:ascii="Arial" w:cs="Arial" w:eastAsia="Arial" w:hAnsi="Arial"/>
          <w:sz w:val="20"/>
          <w:szCs w:val="20"/>
          <w:color w:val="auto"/>
        </w:rPr>
        <w:t>. Any Loan Document, at any time after its execution and delivery and for any reason other than as expressly permitted hereunder or satisfaction in full of all the Obligations, ceases to be in full force and effect; or the Borrower or any of its Subsidiaries contests in any manner the validity or enforceability of any Loan Document; or the Borrower or any of its Subsidiaries denies that it has any or further liability or obligation under any Loan Document, or purports to revoke, terminate or rescind any Loan Document.</w:t>
      </w:r>
    </w:p>
    <w:p>
      <w:pPr>
        <w:spacing w:after="0" w:line="187" w:lineRule="exact"/>
        <w:rPr>
          <w:sz w:val="20"/>
          <w:szCs w:val="20"/>
          <w:color w:val="auto"/>
        </w:rPr>
      </w:pPr>
    </w:p>
    <w:p>
      <w:pPr>
        <w:ind w:firstLine="874"/>
        <w:spacing w:after="0" w:line="263" w:lineRule="auto"/>
        <w:rPr>
          <w:sz w:val="20"/>
          <w:szCs w:val="20"/>
          <w:color w:val="auto"/>
        </w:rPr>
      </w:pPr>
      <w:r>
        <w:rPr>
          <w:rFonts w:ascii="Arial" w:cs="Arial" w:eastAsia="Arial" w:hAnsi="Arial"/>
          <w:sz w:val="20"/>
          <w:szCs w:val="20"/>
          <w:b w:val="1"/>
          <w:bCs w:val="1"/>
          <w:color w:val="auto"/>
        </w:rPr>
        <w:t>8.02 Remedies</w:t>
      </w:r>
      <w:r>
        <w:rPr>
          <w:rFonts w:ascii="Arial" w:cs="Arial" w:eastAsia="Arial" w:hAnsi="Arial"/>
          <w:sz w:val="20"/>
          <w:szCs w:val="20"/>
          <w:color w:val="auto"/>
        </w:rPr>
        <w:t>. If any Event of Default occurs, the Administrative Agent shall, at the request of, or may, with the consent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Required Lenders:</w:t>
      </w:r>
    </w:p>
    <w:p>
      <w:pPr>
        <w:spacing w:after="0" w:line="171" w:lineRule="exact"/>
        <w:rPr>
          <w:sz w:val="20"/>
          <w:szCs w:val="20"/>
          <w:color w:val="auto"/>
        </w:rPr>
      </w:pPr>
    </w:p>
    <w:p>
      <w:pPr>
        <w:ind w:firstLine="875"/>
        <w:spacing w:after="0" w:line="257" w:lineRule="auto"/>
        <w:tabs>
          <w:tab w:leader="none" w:pos="1520" w:val="left"/>
        </w:tabs>
        <w:numPr>
          <w:ilvl w:val="0"/>
          <w:numId w:val="83"/>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to be terminated, whereupon such commitments and obligation shall be terminated;</w:t>
      </w:r>
    </w:p>
    <w:p>
      <w:pPr>
        <w:spacing w:after="0" w:line="176" w:lineRule="exact"/>
        <w:rPr>
          <w:rFonts w:ascii="Arial" w:cs="Arial" w:eastAsia="Arial" w:hAnsi="Arial"/>
          <w:sz w:val="20"/>
          <w:szCs w:val="20"/>
          <w:color w:val="auto"/>
        </w:rPr>
      </w:pPr>
    </w:p>
    <w:p>
      <w:pPr>
        <w:ind w:firstLine="875"/>
        <w:spacing w:after="0" w:line="257" w:lineRule="auto"/>
        <w:tabs>
          <w:tab w:leader="none" w:pos="1637" w:val="left"/>
        </w:tabs>
        <w:numPr>
          <w:ilvl w:val="0"/>
          <w:numId w:val="83"/>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0920"/>
          </w:cols>
          <w:pgMar w:left="480" w:top="270" w:right="499" w:bottom="1440" w:gutter="0" w:footer="0" w:header="0"/>
        </w:sectPr>
      </w:pPr>
    </w:p>
    <w:bookmarkStart w:id="68" w:name="page69"/>
    <w:bookmarkEnd w:id="68"/>
    <w:p>
      <w:pPr>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be immediately due and payable, without presentment, demand, protest or other notice of any kind, all of which are hereby expressly waived by the Borrower; and</w:t>
      </w:r>
    </w:p>
    <w:p>
      <w:pPr>
        <w:spacing w:after="0" w:line="177" w:lineRule="exact"/>
        <w:rPr>
          <w:sz w:val="20"/>
          <w:szCs w:val="20"/>
          <w:color w:val="auto"/>
        </w:rPr>
      </w:pPr>
    </w:p>
    <w:p>
      <w:pPr>
        <w:ind w:firstLine="875"/>
        <w:spacing w:after="0" w:line="257" w:lineRule="auto"/>
        <w:tabs>
          <w:tab w:leader="none" w:pos="1503" w:val="left"/>
        </w:tabs>
        <w:numPr>
          <w:ilvl w:val="0"/>
          <w:numId w:val="84"/>
        </w:numPr>
        <w:rPr>
          <w:rFonts w:ascii="Arial" w:cs="Arial" w:eastAsia="Arial" w:hAnsi="Arial"/>
          <w:sz w:val="20"/>
          <w:szCs w:val="20"/>
          <w:color w:val="auto"/>
        </w:rPr>
      </w:pPr>
      <w:r>
        <w:rPr>
          <w:rFonts w:ascii="Arial" w:cs="Arial" w:eastAsia="Arial" w:hAnsi="Arial"/>
          <w:sz w:val="20"/>
          <w:szCs w:val="20"/>
          <w:color w:val="auto"/>
        </w:rPr>
        <w:t>exercise on behalf of itself and the Lenders all other rights and remedies available to it, and the Lenders under the Loan Documents or applicable law;</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upon the occurrence of any event specified in </w:t>
      </w:r>
      <w:r>
        <w:rPr>
          <w:rFonts w:ascii="Arial" w:cs="Arial" w:eastAsia="Arial" w:hAnsi="Arial"/>
          <w:sz w:val="20"/>
          <w:szCs w:val="20"/>
          <w:u w:val="single" w:color="auto"/>
          <w:color w:val="auto"/>
        </w:rPr>
        <w:t>subsection (f)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8.01</w:t>
      </w:r>
      <w:r>
        <w:rPr>
          <w:rFonts w:ascii="Arial" w:cs="Arial" w:eastAsia="Arial" w:hAnsi="Arial"/>
          <w:sz w:val="20"/>
          <w:szCs w:val="20"/>
          <w:color w:val="auto"/>
        </w:rPr>
        <w:t xml:space="preserve"> (in the case of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subsection (g)</w:t>
      </w:r>
      <w:r>
        <w:rPr>
          <w:rFonts w:ascii="Arial" w:cs="Arial" w:eastAsia="Arial" w:hAnsi="Arial"/>
          <w:sz w:val="20"/>
          <w:szCs w:val="20"/>
          <w:color w:val="auto"/>
        </w:rPr>
        <w:t xml:space="preserve">, upon the expiration of the 60-day period mentioned therein), the obligation of each Lender to make Loans shall automatically terminate and the unpaid principal amount of all outstanding Loans and all interest and other amounts as aforesaid shall automatically become due and payable. The Administrative Agent shall promptly notify the Borrower of any declaration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the preceding sentence, but failure to give any such notice shall not impair any such declaration or result in any liability to the Administrative Agent.</w:t>
      </w:r>
    </w:p>
    <w:p>
      <w:pPr>
        <w:spacing w:after="0" w:line="188" w:lineRule="exact"/>
        <w:rPr>
          <w:sz w:val="20"/>
          <w:szCs w:val="20"/>
          <w:color w:val="auto"/>
        </w:rPr>
      </w:pPr>
    </w:p>
    <w:p>
      <w:pPr>
        <w:jc w:val="both"/>
        <w:ind w:firstLine="874"/>
        <w:spacing w:after="0" w:line="250" w:lineRule="auto"/>
        <w:rPr>
          <w:sz w:val="20"/>
          <w:szCs w:val="20"/>
          <w:color w:val="auto"/>
        </w:rPr>
      </w:pPr>
      <w:r>
        <w:rPr>
          <w:rFonts w:ascii="Arial" w:cs="Arial" w:eastAsia="Arial" w:hAnsi="Arial"/>
          <w:sz w:val="20"/>
          <w:szCs w:val="20"/>
          <w:b w:val="1"/>
          <w:bCs w:val="1"/>
          <w:color w:val="auto"/>
        </w:rPr>
        <w:t>8.03 Rights Not Exclusive</w:t>
      </w:r>
      <w:r>
        <w:rPr>
          <w:rFonts w:ascii="Arial" w:cs="Arial" w:eastAsia="Arial" w:hAnsi="Arial"/>
          <w:sz w:val="20"/>
          <w:szCs w:val="20"/>
          <w:color w:val="auto"/>
        </w:rPr>
        <w:t>. The rights provided for in this Agreement and the other Loan Documents are cumulative and are</w:t>
      </w:r>
      <w:r>
        <w:rPr>
          <w:rFonts w:ascii="Arial" w:cs="Arial" w:eastAsia="Arial" w:hAnsi="Arial"/>
          <w:sz w:val="20"/>
          <w:szCs w:val="20"/>
          <w:b w:val="1"/>
          <w:bCs w:val="1"/>
          <w:color w:val="auto"/>
        </w:rPr>
        <w:t xml:space="preserve"> </w:t>
      </w:r>
      <w:r>
        <w:rPr>
          <w:rFonts w:ascii="Arial" w:cs="Arial" w:eastAsia="Arial" w:hAnsi="Arial"/>
          <w:sz w:val="20"/>
          <w:szCs w:val="20"/>
          <w:color w:val="auto"/>
        </w:rPr>
        <w:t>not exclusive of any other rights, powers, privileges or remedies provided by law or in equity, or under any other instrument, document or agreement now existing or hereafter arising.</w:t>
      </w:r>
    </w:p>
    <w:p>
      <w:pPr>
        <w:spacing w:after="0" w:line="178" w:lineRule="exact"/>
        <w:rPr>
          <w:sz w:val="20"/>
          <w:szCs w:val="20"/>
          <w:color w:val="auto"/>
        </w:rPr>
      </w:pPr>
    </w:p>
    <w:p>
      <w:pPr>
        <w:jc w:val="both"/>
        <w:ind w:firstLine="874"/>
        <w:spacing w:after="0" w:line="270" w:lineRule="auto"/>
        <w:rPr>
          <w:sz w:val="20"/>
          <w:szCs w:val="20"/>
          <w:color w:val="auto"/>
        </w:rPr>
      </w:pPr>
      <w:r>
        <w:rPr>
          <w:rFonts w:ascii="Arial" w:cs="Arial" w:eastAsia="Arial" w:hAnsi="Arial"/>
          <w:sz w:val="19"/>
          <w:szCs w:val="19"/>
          <w:b w:val="1"/>
          <w:bCs w:val="1"/>
          <w:color w:val="auto"/>
        </w:rPr>
        <w:t>8.04 Application of Receipts</w:t>
      </w:r>
      <w:r>
        <w:rPr>
          <w:rFonts w:ascii="Arial" w:cs="Arial" w:eastAsia="Arial" w:hAnsi="Arial"/>
          <w:sz w:val="19"/>
          <w:szCs w:val="19"/>
          <w:color w:val="auto"/>
        </w:rPr>
        <w:t>. After the exercise of remedies provided for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8.02</w:t>
      </w:r>
      <w:r>
        <w:rPr>
          <w:rFonts w:ascii="Arial" w:cs="Arial" w:eastAsia="Arial" w:hAnsi="Arial"/>
          <w:sz w:val="19"/>
          <w:szCs w:val="19"/>
          <w:b w:val="1"/>
          <w:bCs w:val="1"/>
          <w:color w:val="auto"/>
        </w:rPr>
        <w:t xml:space="preserve"> </w:t>
      </w:r>
      <w:r>
        <w:rPr>
          <w:rFonts w:ascii="Arial" w:cs="Arial" w:eastAsia="Arial" w:hAnsi="Arial"/>
          <w:sz w:val="19"/>
          <w:szCs w:val="19"/>
          <w:color w:val="auto"/>
        </w:rPr>
        <w:t>(or after the Loans have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automatically become immediately due and payable as set forth in the proviso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any amounts received on account of the Obligations shall, subject to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be applied by the Administrative Agent in the following order:</w:t>
      </w:r>
    </w:p>
    <w:p>
      <w:pPr>
        <w:spacing w:after="0" w:line="166"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reasonable fees, charges and disbursements of counsel to the Administrative Agent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7" w:lineRule="exact"/>
        <w:rPr>
          <w:sz w:val="20"/>
          <w:szCs w:val="20"/>
          <w:color w:val="auto"/>
        </w:rPr>
      </w:pPr>
    </w:p>
    <w:p>
      <w:pPr>
        <w:jc w:val="both"/>
        <w:ind w:firstLine="874"/>
        <w:spacing w:after="0" w:line="312"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and interest) payable to the Lenders (including reasonable fees, charges and disbursements of counsel to the respective Lenders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35" w:lineRule="exact"/>
        <w:rPr>
          <w:sz w:val="20"/>
          <w:szCs w:val="20"/>
          <w:color w:val="auto"/>
        </w:rPr>
      </w:pPr>
    </w:p>
    <w:p>
      <w:pPr>
        <w:jc w:val="both"/>
        <w:ind w:firstLine="874"/>
        <w:spacing w:after="0" w:line="247"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interest on the Loans and other Obligations arising under the Loan Documents, ratably among the Lenders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8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ratably among the Lenders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 and</w:t>
      </w:r>
    </w:p>
    <w:p>
      <w:pPr>
        <w:spacing w:after="0" w:line="177"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the Borrower or as otherwise required by Law.</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ADMINISTRATIVE AGENT</w:t>
      </w:r>
    </w:p>
    <w:p>
      <w:pPr>
        <w:spacing w:after="0" w:line="190" w:lineRule="exact"/>
        <w:rPr>
          <w:sz w:val="20"/>
          <w:szCs w:val="20"/>
          <w:color w:val="auto"/>
        </w:rPr>
      </w:pPr>
    </w:p>
    <w:p>
      <w:pPr>
        <w:jc w:val="both"/>
        <w:ind w:firstLine="874"/>
        <w:spacing w:after="0" w:line="246" w:lineRule="auto"/>
        <w:rPr>
          <w:sz w:val="20"/>
          <w:szCs w:val="20"/>
          <w:color w:val="auto"/>
        </w:rPr>
      </w:pPr>
      <w:r>
        <w:rPr>
          <w:rFonts w:ascii="Arial" w:cs="Arial" w:eastAsia="Arial" w:hAnsi="Arial"/>
          <w:sz w:val="20"/>
          <w:szCs w:val="20"/>
          <w:b w:val="1"/>
          <w:bCs w:val="1"/>
          <w:color w:val="auto"/>
        </w:rPr>
        <w:t>9.01 Appointment and Authority</w:t>
      </w:r>
      <w:r>
        <w:rPr>
          <w:rFonts w:ascii="Arial" w:cs="Arial" w:eastAsia="Arial" w:hAnsi="Arial"/>
          <w:sz w:val="20"/>
          <w:szCs w:val="20"/>
          <w:color w:val="auto"/>
        </w:rPr>
        <w:t>. Each of the Lenders hereby irrevocably appoints Bank of America to act on its behalf as</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Administrative Agent hereunder and under the other Loan Documents and authorizes the Administrative Agent to take such actions on its behalf and to exercise such powers as are delegated to the Administrative Agent by the terms hereof or thereof, together with such actions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0920"/>
          </w:cols>
          <w:pgMar w:left="480" w:top="270" w:right="499" w:bottom="1440" w:gutter="0" w:footer="0" w:header="0"/>
        </w:sectPr>
      </w:pPr>
    </w:p>
    <w:bookmarkStart w:id="69" w:name="page70"/>
    <w:bookmarkEnd w:id="69"/>
    <w:p>
      <w:pPr>
        <w:jc w:val="both"/>
        <w:spacing w:after="0" w:line="25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powers as are reasonably incidental thereto. The provisions of this Article, except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hereof, are solely for the benefit of the Administrative Agent, the Lenders and the Borrower shall not have rights as a third party beneficiary of any of such provisions, except </w:t>
      </w:r>
      <w:r>
        <w:rPr>
          <w:rFonts w:ascii="Arial" w:cs="Arial" w:eastAsia="Arial" w:hAnsi="Arial"/>
          <w:sz w:val="19"/>
          <w:szCs w:val="19"/>
          <w:u w:val="single" w:color="auto"/>
          <w:color w:val="auto"/>
        </w:rPr>
        <w:t>Section 9.06</w:t>
      </w:r>
      <w:r>
        <w:rPr>
          <w:rFonts w:ascii="Arial" w:cs="Arial" w:eastAsia="Arial" w:hAnsi="Arial"/>
          <w:sz w:val="19"/>
          <w:szCs w:val="19"/>
          <w:color w:val="auto"/>
        </w:rPr>
        <w:t xml:space="preserve"> hereof.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6" w:lineRule="exact"/>
        <w:rPr>
          <w:sz w:val="20"/>
          <w:szCs w:val="20"/>
          <w:color w:val="auto"/>
        </w:rPr>
      </w:pPr>
    </w:p>
    <w:p>
      <w:pPr>
        <w:jc w:val="both"/>
        <w:ind w:firstLine="874"/>
        <w:spacing w:after="0" w:line="256" w:lineRule="auto"/>
        <w:rPr>
          <w:sz w:val="20"/>
          <w:szCs w:val="20"/>
          <w:color w:val="auto"/>
        </w:rPr>
      </w:pPr>
      <w:r>
        <w:rPr>
          <w:rFonts w:ascii="Arial" w:cs="Arial" w:eastAsia="Arial" w:hAnsi="Arial"/>
          <w:sz w:val="19"/>
          <w:szCs w:val="19"/>
          <w:b w:val="1"/>
          <w:bCs w:val="1"/>
          <w:color w:val="auto"/>
        </w:rPr>
        <w:t>9.02 Rights as a Lender</w:t>
      </w:r>
      <w:r>
        <w:rPr>
          <w:rFonts w:ascii="Arial" w:cs="Arial" w:eastAsia="Arial" w:hAnsi="Arial"/>
          <w:sz w:val="19"/>
          <w:szCs w:val="19"/>
          <w:color w:val="auto"/>
        </w:rPr>
        <w:t>. The Person serving as the Administrative Agent hereunder shall have the same rights and powers in</w:t>
      </w:r>
      <w:r>
        <w:rPr>
          <w:rFonts w:ascii="Arial" w:cs="Arial" w:eastAsia="Arial" w:hAnsi="Arial"/>
          <w:sz w:val="19"/>
          <w:szCs w:val="19"/>
          <w:b w:val="1"/>
          <w:bCs w:val="1"/>
          <w:color w:val="auto"/>
        </w:rPr>
        <w:t xml:space="preserve"> </w:t>
      </w:r>
      <w:r>
        <w:rPr>
          <w:rFonts w:ascii="Arial" w:cs="Arial" w:eastAsia="Arial" w:hAnsi="Arial"/>
          <w:sz w:val="19"/>
          <w:szCs w:val="19"/>
          <w:color w:val="auto"/>
        </w:rPr>
        <w:t>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76" w:lineRule="exact"/>
        <w:rPr>
          <w:sz w:val="20"/>
          <w:szCs w:val="20"/>
          <w:color w:val="auto"/>
        </w:rPr>
      </w:pPr>
    </w:p>
    <w:p>
      <w:pPr>
        <w:jc w:val="both"/>
        <w:ind w:firstLine="874"/>
        <w:spacing w:after="0" w:line="250" w:lineRule="auto"/>
        <w:rPr>
          <w:sz w:val="20"/>
          <w:szCs w:val="20"/>
          <w:color w:val="auto"/>
        </w:rPr>
      </w:pPr>
      <w:r>
        <w:rPr>
          <w:rFonts w:ascii="Arial" w:cs="Arial" w:eastAsia="Arial" w:hAnsi="Arial"/>
          <w:sz w:val="20"/>
          <w:szCs w:val="20"/>
          <w:b w:val="1"/>
          <w:bCs w:val="1"/>
          <w:color w:val="auto"/>
        </w:rPr>
        <w:t>9.03 Exculpatory Provisions</w:t>
      </w:r>
      <w:r>
        <w:rPr>
          <w:rFonts w:ascii="Arial" w:cs="Arial" w:eastAsia="Arial" w:hAnsi="Arial"/>
          <w:sz w:val="20"/>
          <w:szCs w:val="20"/>
          <w:color w:val="auto"/>
        </w:rPr>
        <w:t>. The Administrative Agent shall not have any duties or obligations except those expressly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herein and in the other Loan Documents, and its duties hereunder shall be administrative in nature. Without limiting the generality of the foregoing, the Administrative Agent:</w:t>
      </w:r>
    </w:p>
    <w:p>
      <w:pPr>
        <w:spacing w:after="0" w:line="184" w:lineRule="exact"/>
        <w:rPr>
          <w:sz w:val="20"/>
          <w:szCs w:val="20"/>
          <w:color w:val="auto"/>
        </w:rPr>
      </w:pPr>
    </w:p>
    <w:p>
      <w:pPr>
        <w:ind w:left="1680" w:hanging="805"/>
        <w:spacing w:after="0"/>
        <w:tabs>
          <w:tab w:leader="none" w:pos="16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 is</w:t>
      </w:r>
    </w:p>
    <w:p>
      <w:pPr>
        <w:spacing w:after="0" w:line="4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continuing;</w:t>
      </w:r>
    </w:p>
    <w:p>
      <w:pPr>
        <w:spacing w:after="0" w:line="195" w:lineRule="exact"/>
        <w:rPr>
          <w:rFonts w:ascii="Arial" w:cs="Arial" w:eastAsia="Arial" w:hAnsi="Arial"/>
          <w:sz w:val="17"/>
          <w:szCs w:val="17"/>
          <w:color w:val="auto"/>
        </w:rPr>
      </w:pPr>
    </w:p>
    <w:p>
      <w:pPr>
        <w:jc w:val="both"/>
        <w:ind w:firstLine="875"/>
        <w:spacing w:after="0" w:line="290" w:lineRule="auto"/>
        <w:tabs>
          <w:tab w:leader="none" w:pos="1656"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4" w:lineRule="exact"/>
        <w:rPr>
          <w:rFonts w:ascii="Arial" w:cs="Arial" w:eastAsia="Arial" w:hAnsi="Arial"/>
          <w:sz w:val="17"/>
          <w:szCs w:val="17"/>
          <w:color w:val="auto"/>
        </w:rPr>
      </w:pPr>
    </w:p>
    <w:p>
      <w:pPr>
        <w:jc w:val="both"/>
        <w:ind w:firstLine="875"/>
        <w:spacing w:after="0" w:line="247" w:lineRule="auto"/>
        <w:tabs>
          <w:tab w:leader="none" w:pos="1503" w:val="left"/>
        </w:tabs>
        <w:numPr>
          <w:ilvl w:val="0"/>
          <w:numId w:val="85"/>
        </w:numPr>
        <w:rPr>
          <w:rFonts w:ascii="Arial" w:cs="Arial" w:eastAsia="Arial" w:hAnsi="Arial"/>
          <w:sz w:val="20"/>
          <w:szCs w:val="20"/>
          <w:color w:val="auto"/>
        </w:rPr>
      </w:pPr>
      <w:r>
        <w:rPr>
          <w:rFonts w:ascii="Arial" w:cs="Arial" w:eastAsia="Arial" w:hAnsi="Arial"/>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87" w:lineRule="exact"/>
        <w:rPr>
          <w:sz w:val="20"/>
          <w:szCs w:val="20"/>
          <w:color w:val="auto"/>
        </w:rPr>
      </w:pPr>
    </w:p>
    <w:p>
      <w:pPr>
        <w:jc w:val="both"/>
        <w:ind w:firstLine="874"/>
        <w:spacing w:after="0" w:line="256" w:lineRule="auto"/>
        <w:rPr>
          <w:sz w:val="20"/>
          <w:szCs w:val="20"/>
          <w:color w:val="auto"/>
        </w:rPr>
      </w:pPr>
      <w:r>
        <w:rPr>
          <w:rFonts w:ascii="Arial" w:cs="Arial" w:eastAsia="Arial" w:hAnsi="Arial"/>
          <w:sz w:val="19"/>
          <w:szCs w:val="19"/>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10.01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w:t>
      </w:r>
      <w:r>
        <w:rPr>
          <w:rFonts w:ascii="Arial" w:cs="Arial" w:eastAsia="Arial" w:hAnsi="Arial"/>
          <w:sz w:val="19"/>
          <w:szCs w:val="19"/>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or a Lender.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0920"/>
          </w:cols>
          <w:pgMar w:left="480" w:top="270" w:right="499" w:bottom="1440" w:gutter="0" w:footer="0" w:header="0"/>
        </w:sectPr>
      </w:pPr>
    </w:p>
    <w:bookmarkStart w:id="70" w:name="page71"/>
    <w:bookmarkEnd w:id="70"/>
    <w:p>
      <w:pPr>
        <w:jc w:val="both"/>
        <w:ind w:firstLine="874"/>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the Administrative Agent.</w:t>
      </w:r>
    </w:p>
    <w:p>
      <w:pPr>
        <w:spacing w:after="0" w:line="177" w:lineRule="exact"/>
        <w:rPr>
          <w:sz w:val="20"/>
          <w:szCs w:val="20"/>
          <w:color w:val="auto"/>
        </w:rPr>
      </w:pPr>
    </w:p>
    <w:p>
      <w:pPr>
        <w:jc w:val="both"/>
        <w:ind w:firstLine="874"/>
        <w:spacing w:after="0" w:line="287" w:lineRule="auto"/>
        <w:rPr>
          <w:sz w:val="20"/>
          <w:szCs w:val="20"/>
          <w:color w:val="auto"/>
        </w:rPr>
      </w:pPr>
      <w:r>
        <w:rPr>
          <w:rFonts w:ascii="Arial" w:cs="Arial" w:eastAsia="Arial" w:hAnsi="Arial"/>
          <w:sz w:val="17"/>
          <w:szCs w:val="17"/>
          <w:b w:val="1"/>
          <w:bCs w:val="1"/>
          <w:color w:val="auto"/>
        </w:rPr>
        <w:t>9.04 Reliance by Administrative Agent</w:t>
      </w:r>
      <w:r>
        <w:rPr>
          <w:rFonts w:ascii="Arial" w:cs="Arial" w:eastAsia="Arial" w:hAnsi="Arial"/>
          <w:sz w:val="17"/>
          <w:szCs w:val="17"/>
          <w:color w:val="auto"/>
        </w:rPr>
        <w:t>. The Administrative Agent shall be entitled to rely upon, and shall not incur any</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53" w:lineRule="exact"/>
        <w:rPr>
          <w:sz w:val="20"/>
          <w:szCs w:val="20"/>
          <w:color w:val="auto"/>
        </w:rPr>
      </w:pPr>
    </w:p>
    <w:p>
      <w:pPr>
        <w:jc w:val="both"/>
        <w:ind w:firstLine="874"/>
        <w:spacing w:after="0" w:line="258" w:lineRule="auto"/>
        <w:rPr>
          <w:sz w:val="20"/>
          <w:szCs w:val="20"/>
          <w:color w:val="auto"/>
        </w:rPr>
      </w:pPr>
      <w:r>
        <w:rPr>
          <w:rFonts w:ascii="Arial" w:cs="Arial" w:eastAsia="Arial" w:hAnsi="Arial"/>
          <w:sz w:val="19"/>
          <w:szCs w:val="19"/>
          <w:b w:val="1"/>
          <w:bCs w:val="1"/>
          <w:color w:val="auto"/>
        </w:rPr>
        <w:t>9.05 Delegation of Duties</w:t>
      </w:r>
      <w:r>
        <w:rPr>
          <w:rFonts w:ascii="Arial" w:cs="Arial" w:eastAsia="Arial" w:hAnsi="Arial"/>
          <w:sz w:val="19"/>
          <w:szCs w:val="19"/>
          <w:color w:val="auto"/>
        </w:rPr>
        <w:t>. The Administrative Agent may perform any and all of its duties and exercise its rights and powers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7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20"/>
          <w:szCs w:val="20"/>
          <w:b w:val="1"/>
          <w:bCs w:val="1"/>
          <w:color w:val="auto"/>
        </w:rPr>
        <w:t>9.06</w:t>
      </w:r>
      <w:r>
        <w:rPr>
          <w:sz w:val="20"/>
          <w:szCs w:val="20"/>
          <w:color w:val="auto"/>
        </w:rPr>
        <w:tab/>
      </w:r>
      <w:r>
        <w:rPr>
          <w:rFonts w:ascii="Arial" w:cs="Arial" w:eastAsia="Arial" w:hAnsi="Arial"/>
          <w:sz w:val="17"/>
          <w:szCs w:val="17"/>
          <w:b w:val="1"/>
          <w:bCs w:val="1"/>
          <w:color w:val="auto"/>
        </w:rPr>
        <w:t>Resignation of Administrative Agent</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288" w:lineRule="auto"/>
        <w:tabs>
          <w:tab w:leader="none" w:pos="1296"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Administrative Agent may at any time give notice of its resignation to the Lenders and the Borrower. Upon receipt of any such notice of resignation, the Required Lenders shall have the right, in consultation with the Borrower,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“Resignation Effective Date”),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pacing w:after="0" w:line="158" w:lineRule="exact"/>
        <w:rPr>
          <w:rFonts w:ascii="Arial" w:cs="Arial" w:eastAsia="Arial" w:hAnsi="Arial"/>
          <w:sz w:val="17"/>
          <w:szCs w:val="17"/>
          <w:color w:val="auto"/>
        </w:rPr>
      </w:pPr>
    </w:p>
    <w:p>
      <w:pPr>
        <w:jc w:val="both"/>
        <w:ind w:firstLine="875"/>
        <w:spacing w:after="0" w:line="244" w:lineRule="auto"/>
        <w:tabs>
          <w:tab w:leader="none" w:pos="1629" w:val="left"/>
        </w:tabs>
        <w:numPr>
          <w:ilvl w:val="0"/>
          <w:numId w:val="86"/>
        </w:numPr>
        <w:rPr>
          <w:rFonts w:ascii="Arial" w:cs="Arial" w:eastAsia="Arial" w:hAnsi="Arial"/>
          <w:sz w:val="20"/>
          <w:szCs w:val="20"/>
          <w:color w:val="auto"/>
        </w:rPr>
      </w:pPr>
      <w:r>
        <w:rPr>
          <w:rFonts w:ascii="Arial" w:cs="Arial" w:eastAsia="Arial" w:hAnsi="Arial"/>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0920"/>
          </w:cols>
          <w:pgMar w:left="480" w:top="270" w:right="499" w:bottom="1440" w:gutter="0" w:footer="0" w:header="0"/>
        </w:sectPr>
      </w:pPr>
    </w:p>
    <w:bookmarkStart w:id="71" w:name="page72"/>
    <w:bookmarkEnd w:id="71"/>
    <w:p>
      <w:pPr>
        <w:jc w:val="both"/>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by the Required Lenders and shall have accepted such appointment within 30 days (or such earlier day as shall be agreed by the Required Lenders)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187" w:lineRule="exact"/>
        <w:rPr>
          <w:sz w:val="20"/>
          <w:szCs w:val="20"/>
          <w:color w:val="auto"/>
        </w:rPr>
      </w:pPr>
    </w:p>
    <w:p>
      <w:pPr>
        <w:jc w:val="both"/>
        <w:ind w:firstLine="875"/>
        <w:spacing w:after="0" w:line="289" w:lineRule="auto"/>
        <w:tabs>
          <w:tab w:leader="none" w:pos="1682" w:val="left"/>
        </w:tabs>
        <w:numPr>
          <w:ilvl w:val="1"/>
          <w:numId w:val="87"/>
        </w:numPr>
        <w:rPr>
          <w:rFonts w:ascii="Arial" w:cs="Arial" w:eastAsia="Arial" w:hAnsi="Arial"/>
          <w:sz w:val="17"/>
          <w:szCs w:val="17"/>
          <w:color w:val="auto"/>
        </w:rPr>
      </w:pPr>
      <w:r>
        <w:rPr>
          <w:rFonts w:ascii="Arial" w:cs="Arial" w:eastAsia="Arial" w:hAnsi="Arial"/>
          <w:sz w:val="17"/>
          <w:szCs w:val="17"/>
          <w:color w:val="auto"/>
        </w:rPr>
        <w:t>With effect from the Resignation Effective Date or the Removal Effective Date (as applicable) (1) the retiring or removed Administrative Agent shall be discharged from its duties and obligations hereunder and under the other Loan Documents and</w:t>
      </w:r>
    </w:p>
    <w:p>
      <w:pPr>
        <w:jc w:val="both"/>
        <w:ind w:firstLine="1"/>
        <w:spacing w:after="0" w:line="282" w:lineRule="auto"/>
        <w:tabs>
          <w:tab w:leader="none" w:pos="313"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(other than as a Lender) hereunder or under the other Loan Documents, including in respect of any actions taken in connection with transferring the agency to any successor Administrative Agent.</w:t>
      </w:r>
    </w:p>
    <w:p>
      <w:pPr>
        <w:spacing w:after="0" w:line="389" w:lineRule="exact"/>
        <w:rPr>
          <w:sz w:val="20"/>
          <w:szCs w:val="20"/>
          <w:color w:val="auto"/>
        </w:rPr>
      </w:pPr>
    </w:p>
    <w:p>
      <w:pPr>
        <w:jc w:val="both"/>
        <w:ind w:firstLine="874"/>
        <w:spacing w:after="0" w:line="256" w:lineRule="auto"/>
        <w:rPr>
          <w:sz w:val="20"/>
          <w:szCs w:val="20"/>
          <w:color w:val="auto"/>
        </w:rPr>
      </w:pPr>
      <w:r>
        <w:rPr>
          <w:rFonts w:ascii="Arial" w:cs="Arial" w:eastAsia="Arial" w:hAnsi="Arial"/>
          <w:sz w:val="19"/>
          <w:szCs w:val="19"/>
          <w:b w:val="1"/>
          <w:bCs w:val="1"/>
          <w:color w:val="auto"/>
        </w:rPr>
        <w:t>9.07 Non-Reliance on Administrative Agent and Other Lenders</w:t>
      </w:r>
      <w:r>
        <w:rPr>
          <w:rFonts w:ascii="Arial" w:cs="Arial" w:eastAsia="Arial" w:hAnsi="Arial"/>
          <w:sz w:val="19"/>
          <w:szCs w:val="19"/>
          <w:color w:val="auto"/>
        </w:rPr>
        <w:t>. Each Lender acknowledges that it has, independently</w:t>
      </w:r>
      <w:r>
        <w:rPr>
          <w:rFonts w:ascii="Arial" w:cs="Arial" w:eastAsia="Arial" w:hAnsi="Arial"/>
          <w:sz w:val="19"/>
          <w:szCs w:val="19"/>
          <w:b w:val="1"/>
          <w:bCs w:val="1"/>
          <w:color w:val="auto"/>
        </w:rPr>
        <w:t xml:space="preserve"> </w:t>
      </w:r>
      <w:r>
        <w:rPr>
          <w:rFonts w:ascii="Arial" w:cs="Arial" w:eastAsia="Arial" w:hAnsi="Arial"/>
          <w:sz w:val="19"/>
          <w:szCs w:val="19"/>
          <w:color w:val="auto"/>
        </w:rPr>
        <w:t>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6" w:lineRule="exact"/>
        <w:rPr>
          <w:sz w:val="20"/>
          <w:szCs w:val="20"/>
          <w:color w:val="auto"/>
        </w:rPr>
      </w:pPr>
    </w:p>
    <w:p>
      <w:pPr>
        <w:jc w:val="both"/>
        <w:ind w:firstLine="874"/>
        <w:spacing w:after="0" w:line="246" w:lineRule="auto"/>
        <w:rPr>
          <w:sz w:val="20"/>
          <w:szCs w:val="20"/>
          <w:color w:val="auto"/>
        </w:rPr>
      </w:pPr>
      <w:r>
        <w:rPr>
          <w:rFonts w:ascii="Arial" w:cs="Arial" w:eastAsia="Arial" w:hAnsi="Arial"/>
          <w:sz w:val="20"/>
          <w:szCs w:val="20"/>
          <w:b w:val="1"/>
          <w:bCs w:val="1"/>
          <w:color w:val="auto"/>
        </w:rPr>
        <w:t>9.08 No Other Duties, Etc</w:t>
      </w:r>
      <w:r>
        <w:rPr>
          <w:rFonts w:ascii="Arial" w:cs="Arial" w:eastAsia="Arial" w:hAnsi="Arial"/>
          <w:sz w:val="20"/>
          <w:szCs w:val="20"/>
          <w:color w:val="auto"/>
        </w:rPr>
        <w:t>. Anything herein to the contrary notwithstanding, none of the co-syndication agents,</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documentation agents, joint lead arrangers or joint bookrunners listed on the cover page hereof shall have any powers, duties or responsibilities under this Agreement or any of the other Loan Documents, except in its capacity, as applicable, as the Administrative Agent or a Lender hereunder.</w:t>
      </w:r>
    </w:p>
    <w:p>
      <w:pPr>
        <w:spacing w:after="0" w:line="182" w:lineRule="exact"/>
        <w:rPr>
          <w:sz w:val="20"/>
          <w:szCs w:val="20"/>
          <w:color w:val="auto"/>
        </w:rPr>
      </w:pPr>
    </w:p>
    <w:p>
      <w:pPr>
        <w:jc w:val="both"/>
        <w:ind w:firstLine="874"/>
        <w:spacing w:after="0" w:line="303" w:lineRule="auto"/>
        <w:rPr>
          <w:sz w:val="20"/>
          <w:szCs w:val="20"/>
          <w:color w:val="auto"/>
        </w:rPr>
      </w:pPr>
      <w:r>
        <w:rPr>
          <w:rFonts w:ascii="Arial" w:cs="Arial" w:eastAsia="Arial" w:hAnsi="Arial"/>
          <w:sz w:val="17"/>
          <w:szCs w:val="17"/>
          <w:b w:val="1"/>
          <w:bCs w:val="1"/>
          <w:color w:val="auto"/>
        </w:rPr>
        <w:t>9.09 Administrative Agent May File Proofs of Claim</w:t>
      </w:r>
      <w:r>
        <w:rPr>
          <w:rFonts w:ascii="Arial" w:cs="Arial" w:eastAsia="Arial" w:hAnsi="Arial"/>
          <w:sz w:val="17"/>
          <w:szCs w:val="17"/>
          <w:color w:val="auto"/>
        </w:rPr>
        <w:t>. In case of the pendency of any proceeding under any Debtor Relief</w:t>
      </w:r>
      <w:r>
        <w:rPr>
          <w:rFonts w:ascii="Arial" w:cs="Arial" w:eastAsia="Arial" w:hAnsi="Arial"/>
          <w:sz w:val="17"/>
          <w:szCs w:val="17"/>
          <w:b w:val="1"/>
          <w:bCs w:val="1"/>
          <w:color w:val="auto"/>
        </w:rPr>
        <w:t xml:space="preserve"> </w:t>
      </w:r>
      <w:r>
        <w:rPr>
          <w:rFonts w:ascii="Arial" w:cs="Arial" w:eastAsia="Arial" w:hAnsi="Arial"/>
          <w:sz w:val="17"/>
          <w:szCs w:val="17"/>
          <w:color w:val="auto"/>
        </w:rPr>
        <w:t>Law or any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0920"/>
          </w:cols>
          <w:pgMar w:left="480" w:top="270" w:right="499" w:bottom="1440" w:gutter="0" w:footer="0" w:header="0"/>
        </w:sectPr>
      </w:pPr>
    </w:p>
    <w:bookmarkStart w:id="72" w:name="page73"/>
    <w:bookmarkEnd w:id="72"/>
    <w:p>
      <w:pPr>
        <w:jc w:val="both"/>
        <w:ind w:firstLine="875"/>
        <w:spacing w:after="0" w:line="295" w:lineRule="auto"/>
        <w:tabs>
          <w:tab w:leader="none" w:pos="1563"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Arial" w:cs="Arial" w:eastAsia="Arial" w:hAnsi="Arial"/>
          <w:sz w:val="17"/>
          <w:szCs w:val="17"/>
          <w:u w:val="single" w:color="auto"/>
          <w:color w:val="auto"/>
        </w:rPr>
        <w:t>Sections 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allowed in such judicial proceeding; and</w:t>
      </w:r>
    </w:p>
    <w:p>
      <w:pPr>
        <w:spacing w:after="0" w:line="150" w:lineRule="exact"/>
        <w:rPr>
          <w:rFonts w:ascii="Arial" w:cs="Arial" w:eastAsia="Arial" w:hAnsi="Arial"/>
          <w:sz w:val="17"/>
          <w:szCs w:val="17"/>
          <w:color w:val="auto"/>
        </w:rPr>
      </w:pPr>
    </w:p>
    <w:p>
      <w:pPr>
        <w:ind w:left="1640" w:hanging="765"/>
        <w:spacing w:after="0"/>
        <w:tabs>
          <w:tab w:leader="none" w:pos="1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w:t>
      </w:r>
    </w:p>
    <w:p>
      <w:pPr>
        <w:spacing w:after="0" w:line="4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same;</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w:t>
      </w:r>
    </w:p>
    <w:p>
      <w:pPr>
        <w:spacing w:after="0" w:line="193" w:lineRule="exact"/>
        <w:rPr>
          <w:sz w:val="20"/>
          <w:szCs w:val="20"/>
          <w:color w:val="auto"/>
        </w:rPr>
      </w:pPr>
    </w:p>
    <w:p>
      <w:pPr>
        <w:jc w:val="both"/>
        <w:ind w:firstLine="874"/>
        <w:spacing w:after="0" w:line="266"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65"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7"/>
          <w:szCs w:val="17"/>
          <w:b w:val="1"/>
          <w:bCs w:val="1"/>
          <w:color w:val="auto"/>
        </w:rPr>
        <w:t>Certain ERISA Matters</w:t>
      </w:r>
      <w:r>
        <w:rPr>
          <w:rFonts w:ascii="Arial" w:cs="Arial" w:eastAsia="Arial" w:hAnsi="Arial"/>
          <w:sz w:val="17"/>
          <w:szCs w:val="17"/>
          <w:color w:val="auto"/>
        </w:rPr>
        <w:t>.</w:t>
      </w:r>
    </w:p>
    <w:p>
      <w:pPr>
        <w:spacing w:after="0" w:line="218" w:lineRule="exact"/>
        <w:rPr>
          <w:sz w:val="20"/>
          <w:szCs w:val="20"/>
          <w:color w:val="auto"/>
        </w:rPr>
      </w:pPr>
    </w:p>
    <w:p>
      <w:pPr>
        <w:ind w:left="1820" w:hanging="945"/>
        <w:spacing w:after="0"/>
        <w:tabs>
          <w:tab w:leader="none" w:pos="1820" w:val="left"/>
        </w:tabs>
        <w:numPr>
          <w:ilvl w:val="1"/>
          <w:numId w:val="90"/>
        </w:numPr>
        <w:rPr>
          <w:rFonts w:ascii="Arial" w:cs="Arial" w:eastAsia="Arial" w:hAnsi="Arial"/>
          <w:sz w:val="17"/>
          <w:szCs w:val="17"/>
          <w:color w:val="auto"/>
        </w:rPr>
      </w:pPr>
      <w:r>
        <w:rPr>
          <w:rFonts w:ascii="Arial" w:cs="Arial" w:eastAsia="Arial" w:hAnsi="Arial"/>
          <w:sz w:val="17"/>
          <w:szCs w:val="17"/>
          <w:color w:val="auto"/>
        </w:rPr>
        <w:t>Each Lender (x) represents and warrants, as of the date such Person became a Lender party hereto, to, and</w:t>
      </w:r>
    </w:p>
    <w:p>
      <w:pPr>
        <w:spacing w:after="0" w:line="48" w:lineRule="exact"/>
        <w:rPr>
          <w:rFonts w:ascii="Arial" w:cs="Arial" w:eastAsia="Arial" w:hAnsi="Arial"/>
          <w:sz w:val="17"/>
          <w:szCs w:val="17"/>
          <w:color w:val="auto"/>
        </w:rPr>
      </w:pPr>
    </w:p>
    <w:p>
      <w:pPr>
        <w:jc w:val="both"/>
        <w:ind w:firstLine="1"/>
        <w:spacing w:after="0" w:line="239" w:lineRule="auto"/>
        <w:tabs>
          <w:tab w:leader="none" w:pos="282"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that at least one of the following is and will be true:</w:t>
      </w:r>
    </w:p>
    <w:p>
      <w:pPr>
        <w:spacing w:after="0" w:line="194" w:lineRule="exact"/>
        <w:rPr>
          <w:rFonts w:ascii="Arial" w:cs="Arial" w:eastAsia="Arial" w:hAnsi="Arial"/>
          <w:sz w:val="20"/>
          <w:szCs w:val="20"/>
          <w:color w:val="auto"/>
        </w:rPr>
      </w:pPr>
    </w:p>
    <w:p>
      <w:pPr>
        <w:jc w:val="both"/>
        <w:ind w:left="880" w:firstLine="799"/>
        <w:spacing w:after="0" w:line="247" w:lineRule="auto"/>
        <w:tabs>
          <w:tab w:leader="none" w:pos="2278" w:val="left"/>
        </w:tabs>
        <w:numPr>
          <w:ilvl w:val="2"/>
          <w:numId w:val="91"/>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87" w:lineRule="exact"/>
        <w:rPr>
          <w:rFonts w:ascii="Arial" w:cs="Arial" w:eastAsia="Arial" w:hAnsi="Arial"/>
          <w:sz w:val="20"/>
          <w:szCs w:val="20"/>
          <w:color w:val="auto"/>
        </w:rPr>
      </w:pPr>
    </w:p>
    <w:p>
      <w:pPr>
        <w:jc w:val="both"/>
        <w:ind w:left="880" w:firstLine="799"/>
        <w:spacing w:after="0"/>
        <w:tabs>
          <w:tab w:leader="none" w:pos="2398" w:val="left"/>
        </w:tabs>
        <w:numPr>
          <w:ilvl w:val="2"/>
          <w:numId w:val="91"/>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90" w:lineRule="exact"/>
        <w:rPr>
          <w:rFonts w:ascii="Arial" w:cs="Arial" w:eastAsia="Arial" w:hAnsi="Arial"/>
          <w:sz w:val="20"/>
          <w:szCs w:val="20"/>
          <w:color w:val="auto"/>
        </w:rPr>
      </w:pPr>
    </w:p>
    <w:p>
      <w:pPr>
        <w:jc w:val="both"/>
        <w:ind w:left="880" w:firstLine="799"/>
        <w:spacing w:after="0" w:line="301" w:lineRule="auto"/>
        <w:tabs>
          <w:tab w:leader="none" w:pos="2469" w:val="left"/>
        </w:tabs>
        <w:numPr>
          <w:ilvl w:val="2"/>
          <w:numId w:val="91"/>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0920"/>
          </w:cols>
          <w:pgMar w:left="480" w:top="270" w:right="499" w:bottom="1440" w:gutter="0" w:footer="0" w:header="0"/>
        </w:sectPr>
      </w:pPr>
    </w:p>
    <w:bookmarkStart w:id="73" w:name="page74"/>
    <w:bookmarkEnd w:id="73"/>
    <w:p>
      <w:pPr>
        <w:jc w:val="both"/>
        <w:ind w:left="88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35" w:lineRule="exact"/>
        <w:rPr>
          <w:sz w:val="20"/>
          <w:szCs w:val="20"/>
          <w:color w:val="auto"/>
        </w:rPr>
      </w:pPr>
    </w:p>
    <w:p>
      <w:pPr>
        <w:ind w:left="880" w:firstLine="799"/>
        <w:spacing w:after="0" w:line="257" w:lineRule="auto"/>
        <w:tabs>
          <w:tab w:leader="none" w:pos="2457" w:val="left"/>
        </w:tabs>
        <w:numPr>
          <w:ilvl w:val="1"/>
          <w:numId w:val="92"/>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jc w:val="both"/>
        <w:ind w:firstLine="875"/>
        <w:spacing w:after="0" w:line="287" w:lineRule="auto"/>
        <w:tabs>
          <w:tab w:leader="none" w:pos="1299"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that none of the Administrative Agent or any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0"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b w:val="1"/>
          <w:bCs w:val="1"/>
          <w:color w:val="auto"/>
        </w:rPr>
        <w:t>10.01 Amendments, Etc</w:t>
      </w:r>
      <w:r>
        <w:rPr>
          <w:rFonts w:ascii="Arial" w:cs="Arial" w:eastAsia="Arial" w:hAnsi="Arial"/>
          <w:sz w:val="20"/>
          <w:szCs w:val="20"/>
          <w:color w:val="auto"/>
        </w:rPr>
        <w:t>. No amendment or waiver of any provision of this Agreement or any other Loan Document, and no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consent to any departure by the Borrower therefrom, shall be effective unless in writing signed by the Required Lenders (or by the Administrative Agent at the written request of the Required Lenders) and the Borrower,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amendment, waiver or consent shall:</w:t>
      </w:r>
    </w:p>
    <w:p>
      <w:pPr>
        <w:spacing w:after="0" w:line="189" w:lineRule="exact"/>
        <w:rPr>
          <w:sz w:val="20"/>
          <w:szCs w:val="20"/>
          <w:color w:val="auto"/>
        </w:rPr>
      </w:pPr>
    </w:p>
    <w:p>
      <w:pPr>
        <w:ind w:left="1480" w:hanging="605"/>
        <w:spacing w:after="0"/>
        <w:tabs>
          <w:tab w:leader="none" w:pos="14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waive any condition set forth in </w:t>
      </w:r>
      <w:r>
        <w:rPr>
          <w:rFonts w:ascii="Arial" w:cs="Arial" w:eastAsia="Arial" w:hAnsi="Arial"/>
          <w:sz w:val="20"/>
          <w:szCs w:val="20"/>
          <w:u w:val="single" w:color="auto"/>
          <w:color w:val="auto"/>
        </w:rPr>
        <w:t>Section 4.01(a)</w:t>
      </w:r>
      <w:r>
        <w:rPr>
          <w:rFonts w:ascii="Arial" w:cs="Arial" w:eastAsia="Arial" w:hAnsi="Arial"/>
          <w:sz w:val="20"/>
          <w:szCs w:val="20"/>
          <w:color w:val="auto"/>
        </w:rPr>
        <w:t xml:space="preserve"> without the written consent of each Lender;</w:t>
      </w:r>
    </w:p>
    <w:p>
      <w:pPr>
        <w:spacing w:after="0" w:line="211" w:lineRule="exact"/>
        <w:rPr>
          <w:rFonts w:ascii="Arial" w:cs="Arial" w:eastAsia="Arial" w:hAnsi="Arial"/>
          <w:sz w:val="20"/>
          <w:szCs w:val="20"/>
          <w:color w:val="auto"/>
        </w:rPr>
      </w:pPr>
    </w:p>
    <w:p>
      <w:pPr>
        <w:ind w:firstLine="875"/>
        <w:spacing w:after="0" w:line="257" w:lineRule="auto"/>
        <w:tabs>
          <w:tab w:leader="none" w:pos="1546"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extend or increase the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without the written consent of such Lender;</w:t>
      </w:r>
    </w:p>
    <w:p>
      <w:pPr>
        <w:spacing w:after="0" w:line="176" w:lineRule="exact"/>
        <w:rPr>
          <w:rFonts w:ascii="Arial" w:cs="Arial" w:eastAsia="Arial" w:hAnsi="Arial"/>
          <w:sz w:val="20"/>
          <w:szCs w:val="20"/>
          <w:color w:val="auto"/>
        </w:rPr>
      </w:pPr>
    </w:p>
    <w:p>
      <w:pPr>
        <w:jc w:val="both"/>
        <w:ind w:firstLine="875"/>
        <w:spacing w:after="0" w:line="247" w:lineRule="auto"/>
        <w:tabs>
          <w:tab w:leader="none" w:pos="1532" w:val="left"/>
        </w:tabs>
        <w:numPr>
          <w:ilvl w:val="0"/>
          <w:numId w:val="94"/>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of principal, interest, fees or other amounts due to the Lenders (or any of them) hereunder or under any other Loan Document without the written consent of each Lender directly affected thereby;</w:t>
      </w:r>
    </w:p>
    <w:p>
      <w:pPr>
        <w:spacing w:after="0" w:line="187" w:lineRule="exact"/>
        <w:rPr>
          <w:rFonts w:ascii="Arial" w:cs="Arial" w:eastAsia="Arial" w:hAnsi="Arial"/>
          <w:sz w:val="20"/>
          <w:szCs w:val="20"/>
          <w:color w:val="auto"/>
        </w:rPr>
      </w:pPr>
    </w:p>
    <w:p>
      <w:pPr>
        <w:jc w:val="both"/>
        <w:ind w:firstLine="875"/>
        <w:spacing w:after="0" w:line="301" w:lineRule="auto"/>
        <w:tabs>
          <w:tab w:leader="none" w:pos="16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(subject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of the second proviso to this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any fees or other amounts payable hereunder or under any other Loan Document without the written consent of each Lender directly affected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to amend the definition of “Default Rate” or to waive any obligation of the Borrower to pay interest at the Default Rate;</w:t>
      </w:r>
    </w:p>
    <w:p>
      <w:pPr>
        <w:spacing w:after="0" w:line="144" w:lineRule="exact"/>
        <w:rPr>
          <w:rFonts w:ascii="Arial" w:cs="Arial" w:eastAsia="Arial" w:hAnsi="Arial"/>
          <w:sz w:val="17"/>
          <w:szCs w:val="17"/>
          <w:color w:val="auto"/>
        </w:rPr>
      </w:pPr>
    </w:p>
    <w:p>
      <w:pPr>
        <w:jc w:val="both"/>
        <w:ind w:firstLine="875"/>
        <w:spacing w:after="0" w:line="247" w:lineRule="auto"/>
        <w:tabs>
          <w:tab w:leader="none" w:pos="1746" w:val="left"/>
        </w:tabs>
        <w:numPr>
          <w:ilvl w:val="0"/>
          <w:numId w:val="94"/>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8.04</w:t>
      </w:r>
      <w:r>
        <w:rPr>
          <w:rFonts w:ascii="Arial" w:cs="Arial" w:eastAsia="Arial" w:hAnsi="Arial"/>
          <w:sz w:val="20"/>
          <w:szCs w:val="20"/>
          <w:color w:val="auto"/>
        </w:rPr>
        <w:t xml:space="preserve"> in a manner that would alter the pro rata sharing of payments required thereby or change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in a manner that would alter the pro rata treatment of reductions of the Aggregate Commitments, in each case without the written consent of each Lender; or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20"/>
          </w:cols>
          <w:pgMar w:left="480" w:top="270" w:right="499" w:bottom="1440" w:gutter="0" w:footer="0" w:header="0"/>
        </w:sectPr>
      </w:pPr>
    </w:p>
    <w:bookmarkStart w:id="74" w:name="page75"/>
    <w:bookmarkEnd w:id="74"/>
    <w:p>
      <w:pPr>
        <w:jc w:val="both"/>
        <w:ind w:firstLine="875"/>
        <w:spacing w:after="0" w:line="247" w:lineRule="auto"/>
        <w:tabs>
          <w:tab w:leader="none" w:pos="1540" w:val="left"/>
        </w:tabs>
        <w:numPr>
          <w:ilvl w:val="0"/>
          <w:numId w:val="95"/>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 no amendment, waiver or consent shall, unless in writing and signed by the Administrative Agent in addition to the Lenders required above, affect the rights or duties of the Administrative Agent under this Agreement or any other Loan Document; and (ii) any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more adversely than other affected Lenders shall require the consent of such Defaulting Lender. Notwithstanding any provision herein to the contrary, if the Administrative Agent and the Borrower acting together identify any obvious ambiguity, omission, mistake, typographical error or other defect, in each case of a technical or immaterial nature, in any provision of this Agreement or any other Loan Document (including the schedules and exhibits thereto), then the Administrative Agent and the Borrower, acting together, shall be permitted to amend, modify or supplement such provision to cure such obvious ambiguity, omission, mistake, typographical error or other defect, in each case of a technical or immaterial nature, and such amendment shall become effective at 5:00 p.m. on the fifth Business Day after the Administrative Agent shall have posted such proposed amendment to all Lenders unless, prior to such time, Lenders comprising the Required Lenders have delivered to the Administrative Agent written notice that such Required Lenders object to such amendment.</w:t>
      </w:r>
    </w:p>
    <w:p>
      <w:pPr>
        <w:spacing w:after="0" w:line="178"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0"/>
          <w:szCs w:val="20"/>
          <w:b w:val="1"/>
          <w:bCs w:val="1"/>
          <w:color w:val="auto"/>
        </w:rPr>
        <w:t>10.02</w:t>
      </w:r>
      <w:r>
        <w:rPr>
          <w:sz w:val="20"/>
          <w:szCs w:val="20"/>
          <w:color w:val="auto"/>
        </w:rPr>
        <w:tab/>
      </w:r>
      <w:r>
        <w:rPr>
          <w:rFonts w:ascii="Arial" w:cs="Arial" w:eastAsia="Arial" w:hAnsi="Arial"/>
          <w:sz w:val="17"/>
          <w:szCs w:val="17"/>
          <w:b w:val="1"/>
          <w:bCs w:val="1"/>
          <w:color w:val="auto"/>
        </w:rPr>
        <w:t>Notices; Effectiveness; Electronic Communication</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242" w:lineRule="auto"/>
        <w:tabs>
          <w:tab w:leader="none" w:pos="1739"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92" w:lineRule="exact"/>
        <w:rPr>
          <w:rFonts w:ascii="Arial" w:cs="Arial" w:eastAsia="Arial" w:hAnsi="Arial"/>
          <w:sz w:val="20"/>
          <w:szCs w:val="20"/>
          <w:color w:val="auto"/>
        </w:rPr>
      </w:pPr>
    </w:p>
    <w:p>
      <w:pPr>
        <w:ind w:left="880" w:firstLine="799"/>
        <w:spacing w:after="0" w:line="257" w:lineRule="auto"/>
        <w:tabs>
          <w:tab w:leader="none" w:pos="2387" w:val="left"/>
        </w:tabs>
        <w:numPr>
          <w:ilvl w:val="1"/>
          <w:numId w:val="96"/>
        </w:numPr>
        <w:rPr>
          <w:rFonts w:ascii="Arial" w:cs="Arial" w:eastAsia="Arial" w:hAnsi="Arial"/>
          <w:sz w:val="20"/>
          <w:szCs w:val="20"/>
          <w:color w:val="auto"/>
        </w:rPr>
      </w:pPr>
      <w:r>
        <w:rPr>
          <w:rFonts w:ascii="Arial" w:cs="Arial" w:eastAsia="Arial" w:hAnsi="Arial"/>
          <w:sz w:val="20"/>
          <w:szCs w:val="20"/>
          <w:color w:val="auto"/>
        </w:rPr>
        <w:t xml:space="preserve">if to the Borrower, the Administrative Agent, to the address, telecopier number,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880" w:firstLine="799"/>
        <w:spacing w:after="0" w:line="244" w:lineRule="auto"/>
        <w:tabs>
          <w:tab w:leader="none" w:pos="25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89"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Notices sent by hand or overnight courier service, or mailed by certified or registered mail, shall be deemed to have been given when received; notices sent by telecopier shall be deemed to have been given when sent if confirmation of delivery has been received (except that, if not given during normal business hours for the recipient, shall be deemed to have been given at the opening of business on the next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0920"/>
          </w:cols>
          <w:pgMar w:left="480" w:top="270" w:right="499" w:bottom="1440" w:gutter="0" w:footer="0" w:header="0"/>
        </w:sectPr>
      </w:pPr>
    </w:p>
    <w:bookmarkStart w:id="75" w:name="page76"/>
    <w:bookmarkEnd w:id="75"/>
    <w:p>
      <w:pPr>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Business Day for the recipient). Notices delivered through electronic communications to the extent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shall be effective as provided in such </w:t>
      </w:r>
      <w:r>
        <w:rPr>
          <w:rFonts w:ascii="Arial" w:cs="Arial" w:eastAsia="Arial" w:hAnsi="Arial"/>
          <w:sz w:val="20"/>
          <w:szCs w:val="20"/>
          <w:u w:val="single" w:color="auto"/>
          <w:color w:val="auto"/>
        </w:rPr>
        <w:t>subsection (b)</w:t>
      </w:r>
      <w:r>
        <w:rPr>
          <w:rFonts w:ascii="Arial" w:cs="Arial" w:eastAsia="Arial" w:hAnsi="Arial"/>
          <w:sz w:val="20"/>
          <w:szCs w:val="20"/>
          <w:color w:val="auto"/>
        </w:rPr>
        <w:t>.</w:t>
      </w:r>
    </w:p>
    <w:p>
      <w:pPr>
        <w:spacing w:after="0" w:line="177" w:lineRule="exact"/>
        <w:rPr>
          <w:sz w:val="20"/>
          <w:szCs w:val="20"/>
          <w:color w:val="auto"/>
        </w:rPr>
      </w:pPr>
    </w:p>
    <w:p>
      <w:pPr>
        <w:jc w:val="both"/>
        <w:ind w:firstLine="875"/>
        <w:spacing w:after="0"/>
        <w:tabs>
          <w:tab w:leader="none" w:pos="179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apply to notices to any Lender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98" w:lineRule="exact"/>
        <w:rPr>
          <w:sz w:val="20"/>
          <w:szCs w:val="20"/>
          <w:color w:val="auto"/>
        </w:rPr>
      </w:pPr>
    </w:p>
    <w:p>
      <w:pPr>
        <w:jc w:val="both"/>
        <w:ind w:firstLine="874"/>
        <w:spacing w:after="0" w:line="254"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shall be deemed received upon the sender’s receipt of an acknowledgement as provided above,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notification that such notice or communication is available and identifying the website address therefor and such notice shall be deemed received upon the sender’s receipt of an acknowledgement as provided above.</w:t>
      </w:r>
    </w:p>
    <w:p>
      <w:pPr>
        <w:spacing w:after="0" w:line="182" w:lineRule="exact"/>
        <w:rPr>
          <w:sz w:val="20"/>
          <w:szCs w:val="20"/>
          <w:color w:val="auto"/>
        </w:rPr>
      </w:pPr>
    </w:p>
    <w:p>
      <w:pPr>
        <w:ind w:left="1640" w:hanging="765"/>
        <w:spacing w:after="0"/>
        <w:tabs>
          <w:tab w:leader="none" w:pos="164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w:t>
      </w:r>
    </w:p>
    <w:p>
      <w:pPr>
        <w:spacing w:after="0" w:line="25" w:lineRule="exact"/>
        <w:rPr>
          <w:rFonts w:ascii="Arial" w:cs="Arial" w:eastAsia="Arial" w:hAnsi="Arial"/>
          <w:sz w:val="19"/>
          <w:szCs w:val="19"/>
          <w:color w:val="auto"/>
        </w:rPr>
      </w:pPr>
    </w:p>
    <w:p>
      <w:pPr>
        <w:jc w:val="both"/>
        <w:spacing w:after="0" w:line="283" w:lineRule="auto"/>
        <w:rPr>
          <w:rFonts w:ascii="Arial" w:cs="Arial" w:eastAsia="Arial" w:hAnsi="Arial"/>
          <w:sz w:val="19"/>
          <w:szCs w:val="19"/>
          <w:color w:val="auto"/>
        </w:rPr>
      </w:pPr>
      <w:r>
        <w:rPr>
          <w:rFonts w:ascii="Arial" w:cs="Arial" w:eastAsia="Arial" w:hAnsi="Arial"/>
          <w:sz w:val="17"/>
          <w:szCs w:val="17"/>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 any Lender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the Borrower, any Lender or any other Person for indirect, special, incidental, consequential or punitive damages (as opposed to direct or actual damages).</w:t>
      </w:r>
    </w:p>
    <w:p>
      <w:pPr>
        <w:spacing w:after="0" w:line="391" w:lineRule="exact"/>
        <w:rPr>
          <w:rFonts w:ascii="Arial" w:cs="Arial" w:eastAsia="Arial" w:hAnsi="Arial"/>
          <w:sz w:val="19"/>
          <w:szCs w:val="19"/>
          <w:color w:val="auto"/>
        </w:rPr>
      </w:pPr>
    </w:p>
    <w:p>
      <w:pPr>
        <w:jc w:val="both"/>
        <w:ind w:firstLine="875"/>
        <w:spacing w:after="0" w:line="242" w:lineRule="auto"/>
        <w:tabs>
          <w:tab w:leader="none" w:pos="1642"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Change of Address, Etc</w:t>
      </w:r>
      <w:r>
        <w:rPr>
          <w:rFonts w:ascii="Arial" w:cs="Arial" w:eastAsia="Arial" w:hAnsi="Arial"/>
          <w:sz w:val="20"/>
          <w:szCs w:val="20"/>
          <w:color w:val="auto"/>
        </w:rPr>
        <w:t>. Each of the Borrower and the Administrative Agent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0920"/>
          </w:cols>
          <w:pgMar w:left="480" w:top="270" w:right="499" w:bottom="1440" w:gutter="0" w:footer="0" w:header="0"/>
        </w:sectPr>
      </w:pPr>
    </w:p>
    <w:bookmarkStart w:id="76" w:name="page77"/>
    <w:bookmarkEnd w:id="76"/>
    <w:p>
      <w:pPr>
        <w:jc w:val="both"/>
        <w:spacing w:after="0" w:line="29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Affiliates, or the respective securities of any of the foregoing, for purposes of United States Federal or state securities laws.</w:t>
      </w:r>
    </w:p>
    <w:p>
      <w:pPr>
        <w:spacing w:after="0" w:line="154" w:lineRule="exact"/>
        <w:rPr>
          <w:sz w:val="20"/>
          <w:szCs w:val="20"/>
          <w:color w:val="auto"/>
        </w:rPr>
      </w:pPr>
    </w:p>
    <w:p>
      <w:pPr>
        <w:jc w:val="both"/>
        <w:ind w:firstLine="875"/>
        <w:spacing w:after="0" w:line="253" w:lineRule="auto"/>
        <w:tabs>
          <w:tab w:leader="none" w:pos="1511"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Reliance by Administrative Agent and Lenders</w:t>
      </w:r>
      <w:r>
        <w:rPr>
          <w:rFonts w:ascii="Arial" w:cs="Arial" w:eastAsia="Arial" w:hAnsi="Arial"/>
          <w:sz w:val="19"/>
          <w:szCs w:val="19"/>
          <w:color w:val="auto"/>
        </w:rPr>
        <w:t>. The Administrative Agent and the Lenders shall be entitled to rely and act upon any notices (including telephonic Committed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Related Parties of each of them from all losses, costs, expenses and liabilities resulting from the reliance by such Person on each notice purportedly given by or on behalf of the Borrower, except in the case of any of the foregoing persons who are seeking indemnification hereunder, to the extent such reliance resulted from such Person’s gross negligence or willful misconduct as determined by a court of competent jurisdiction by a final and non-appealable judgment. All telephonic notices to and other telephonic communications with the Administrative Agent may be recorded by the Administrative Agent, and each of the parties hereto hereby consents to such recording.</w:t>
      </w:r>
    </w:p>
    <w:p>
      <w:pPr>
        <w:spacing w:after="0" w:line="181" w:lineRule="exact"/>
        <w:rPr>
          <w:sz w:val="20"/>
          <w:szCs w:val="20"/>
          <w:color w:val="auto"/>
        </w:rPr>
      </w:pPr>
    </w:p>
    <w:p>
      <w:pPr>
        <w:jc w:val="both"/>
        <w:ind w:firstLine="874"/>
        <w:spacing w:after="0" w:line="284" w:lineRule="auto"/>
        <w:rPr>
          <w:sz w:val="20"/>
          <w:szCs w:val="20"/>
          <w:color w:val="auto"/>
        </w:rPr>
      </w:pPr>
      <w:r>
        <w:rPr>
          <w:rFonts w:ascii="Arial" w:cs="Arial" w:eastAsia="Arial" w:hAnsi="Arial"/>
          <w:sz w:val="17"/>
          <w:szCs w:val="17"/>
          <w:b w:val="1"/>
          <w:bCs w:val="1"/>
          <w:color w:val="auto"/>
        </w:rPr>
        <w:t>10.03 No Waiver; Cumulative Remedies</w:t>
      </w:r>
      <w:r>
        <w:rPr>
          <w:rFonts w:ascii="Arial" w:cs="Arial" w:eastAsia="Arial" w:hAnsi="Arial"/>
          <w:sz w:val="17"/>
          <w:szCs w:val="17"/>
          <w:color w:val="auto"/>
        </w:rPr>
        <w:t>. No failure by any Lender or the Administrative Agent to exercise, and no delay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(c) any Lender from filing proofs of claim or appearing and filing pleadings on its own behalf during the pendency of a proceeding relative to the Borrower under any Debtor Relief Law; and provided, further,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0920"/>
          </w:cols>
          <w:pgMar w:left="480" w:top="270" w:right="499" w:bottom="1440" w:gutter="0" w:footer="0" w:header="0"/>
        </w:sectPr>
      </w:pPr>
    </w:p>
    <w:bookmarkStart w:id="77" w:name="page78"/>
    <w:bookmarkEnd w:id="77"/>
    <w:p>
      <w:pPr>
        <w:ind w:left="880"/>
        <w:spacing w:after="0"/>
        <w:tabs>
          <w:tab w:leader="none" w:pos="150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10.04</w:t>
      </w:r>
      <w:r>
        <w:rPr>
          <w:sz w:val="20"/>
          <w:szCs w:val="20"/>
          <w:color w:val="auto"/>
        </w:rPr>
        <w:tab/>
      </w:r>
      <w:r>
        <w:rPr>
          <w:rFonts w:ascii="Arial" w:cs="Arial" w:eastAsia="Arial" w:hAnsi="Arial"/>
          <w:sz w:val="17"/>
          <w:szCs w:val="17"/>
          <w:b w:val="1"/>
          <w:bCs w:val="1"/>
          <w:color w:val="auto"/>
        </w:rPr>
        <w:t>Expenses; Indemnity; Damage Waiver</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line="286" w:lineRule="auto"/>
        <w:tabs>
          <w:tab w:leader="none" w:pos="155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reasonable out-of-pocket expenses incurred by the Administrative Agent or any Lender (including the fees, charges and disbursements of any counsel for the Administrative Agent or any Lender, including the reasonable fees and expenses of attorneys who may be employees of the Administrative Agent or any Lender),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such Loans.</w:t>
      </w:r>
    </w:p>
    <w:p>
      <w:pPr>
        <w:spacing w:after="0" w:line="161" w:lineRule="exact"/>
        <w:rPr>
          <w:rFonts w:ascii="Arial" w:cs="Arial" w:eastAsia="Arial" w:hAnsi="Arial"/>
          <w:sz w:val="17"/>
          <w:szCs w:val="17"/>
          <w:color w:val="auto"/>
        </w:rPr>
      </w:pPr>
    </w:p>
    <w:p>
      <w:pPr>
        <w:jc w:val="both"/>
        <w:ind w:firstLine="875"/>
        <w:spacing w:after="0" w:line="282" w:lineRule="auto"/>
        <w:tabs>
          <w:tab w:leader="none" w:pos="1522"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(and any sub-agent thereof)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reasonable fees, charges and disbursements of any counsel for any Indemnitee, including the reasonable fees and expenses of any attorney who may be an employee of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and regardless of whether any Indemnitee is a party thereto, </w:t>
      </w:r>
      <w:r>
        <w:rPr>
          <w:rFonts w:ascii="Arial" w:cs="Arial" w:eastAsia="Arial" w:hAnsi="Arial"/>
          <w:sz w:val="17"/>
          <w:szCs w:val="17"/>
          <w:b w:val="1"/>
          <w:bCs w:val="1"/>
          <w:color w:val="auto"/>
        </w:rPr>
        <w:t>IN ALL CASES, WHETHER OR NOT CAUSED BY OR ARISING, IN WHOLE OR IN PART, OUT OF THE</w:t>
      </w:r>
      <w:r>
        <w:rPr>
          <w:rFonts w:ascii="Arial" w:cs="Arial" w:eastAsia="Arial" w:hAnsi="Arial"/>
          <w:sz w:val="17"/>
          <w:szCs w:val="17"/>
          <w:color w:val="auto"/>
        </w:rPr>
        <w:t xml:space="preserve"> </w:t>
      </w:r>
      <w:r>
        <w:rPr>
          <w:rFonts w:ascii="Arial" w:cs="Arial" w:eastAsia="Arial" w:hAnsi="Arial"/>
          <w:sz w:val="17"/>
          <w:szCs w:val="17"/>
          <w:b w:val="1"/>
          <w:bCs w:val="1"/>
          <w:color w:val="auto"/>
        </w:rPr>
        <w:t>COMPARATIVE, CONTRIBUTORY OR SOLE NEGLIGENCE OF THE INDEMNITEE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such indemnity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 Without limiting the provisions of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10.04(b)</w:t>
      </w:r>
      <w:r>
        <w:rPr>
          <w:rFonts w:ascii="Arial" w:cs="Arial" w:eastAsia="Arial" w:hAnsi="Arial"/>
          <w:sz w:val="17"/>
          <w:szCs w:val="17"/>
          <w:color w:val="auto"/>
        </w:rPr>
        <w:t xml:space="preserve"> shall not apply with respect to Taxes other than any Taxes that are actual losses, claims, or damages arising and resulting from any non-Tax claim.</w:t>
      </w:r>
    </w:p>
    <w:p>
      <w:pPr>
        <w:spacing w:after="0" w:line="398" w:lineRule="exact"/>
        <w:rPr>
          <w:rFonts w:ascii="Arial" w:cs="Arial" w:eastAsia="Arial" w:hAnsi="Arial"/>
          <w:sz w:val="17"/>
          <w:szCs w:val="17"/>
          <w:color w:val="auto"/>
        </w:rPr>
      </w:pPr>
    </w:p>
    <w:p>
      <w:pPr>
        <w:jc w:val="both"/>
        <w:ind w:firstLine="875"/>
        <w:spacing w:after="0" w:line="258" w:lineRule="auto"/>
        <w:tabs>
          <w:tab w:leader="none" w:pos="1685"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Reimbursement by Lenders</w:t>
      </w:r>
      <w:r>
        <w:rPr>
          <w:rFonts w:ascii="Arial" w:cs="Arial" w:eastAsia="Arial" w:hAnsi="Arial"/>
          <w:sz w:val="19"/>
          <w:szCs w:val="19"/>
          <w:color w:val="auto"/>
        </w:rPr>
        <w:t xml:space="preserve">. To the extent that the Borrower for any reason fails to indefeasibly pay any amount required under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to be paid by it to the Administrative Agent (or any sub-agent thereof) or any Related Party of any of the foregoing, each Lender severally agrees to pay to the Administrative Agent (or any such sub-agent) or such Related Party, as the case may be, such Lender’s Applicable Percentage (determined as of the time that the applicable unreimbursed expense or indemnity payment is sought)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0920"/>
          </w:cols>
          <w:pgMar w:left="480" w:top="264" w:right="499" w:bottom="1440" w:gutter="0" w:footer="0" w:header="0"/>
        </w:sectPr>
      </w:pPr>
    </w:p>
    <w:bookmarkStart w:id="78" w:name="page79"/>
    <w:bookmarkEnd w:id="78"/>
    <w:p>
      <w:pPr>
        <w:jc w:val="both"/>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w:t>
      </w:r>
      <w:r>
        <w:rPr>
          <w:rFonts w:ascii="Arial" w:cs="Arial" w:eastAsia="Arial" w:hAnsi="Arial"/>
          <w:sz w:val="20"/>
          <w:szCs w:val="20"/>
          <w:u w:val="single" w:color="auto"/>
          <w:color w:val="auto"/>
        </w:rPr>
        <w:t>subsection (c)</w:t>
      </w:r>
      <w:r>
        <w:rPr>
          <w:rFonts w:ascii="Arial" w:cs="Arial" w:eastAsia="Arial" w:hAnsi="Arial"/>
          <w:sz w:val="20"/>
          <w:szCs w:val="20"/>
          <w:color w:val="auto"/>
        </w:rPr>
        <w:t xml:space="preserve"> are subject to the provisions of </w:t>
      </w:r>
      <w:r>
        <w:rPr>
          <w:rFonts w:ascii="Arial" w:cs="Arial" w:eastAsia="Arial" w:hAnsi="Arial"/>
          <w:sz w:val="20"/>
          <w:szCs w:val="20"/>
          <w:u w:val="single" w:color="auto"/>
          <w:color w:val="auto"/>
        </w:rPr>
        <w:t>Section 2.12(d)</w:t>
      </w:r>
      <w:r>
        <w:rPr>
          <w:rFonts w:ascii="Arial" w:cs="Arial" w:eastAsia="Arial" w:hAnsi="Arial"/>
          <w:sz w:val="20"/>
          <w:szCs w:val="20"/>
          <w:color w:val="auto"/>
        </w:rPr>
        <w:t>.</w:t>
      </w:r>
    </w:p>
    <w:p>
      <w:pPr>
        <w:spacing w:after="0" w:line="189" w:lineRule="exact"/>
        <w:rPr>
          <w:sz w:val="20"/>
          <w:szCs w:val="20"/>
          <w:color w:val="auto"/>
        </w:rPr>
      </w:pPr>
    </w:p>
    <w:p>
      <w:pPr>
        <w:jc w:val="both"/>
        <w:ind w:firstLine="875"/>
        <w:spacing w:after="0" w:line="287" w:lineRule="auto"/>
        <w:tabs>
          <w:tab w:leader="none" w:pos="1509"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59" w:lineRule="exact"/>
        <w:rPr>
          <w:rFonts w:ascii="Arial" w:cs="Arial" w:eastAsia="Arial" w:hAnsi="Arial"/>
          <w:sz w:val="17"/>
          <w:szCs w:val="17"/>
          <w:color w:val="auto"/>
        </w:rPr>
      </w:pPr>
    </w:p>
    <w:p>
      <w:pPr>
        <w:ind w:left="1480" w:hanging="605"/>
        <w:spacing w:after="0"/>
        <w:tabs>
          <w:tab w:leader="none" w:pos="148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 therefor.</w:t>
      </w:r>
    </w:p>
    <w:p>
      <w:pPr>
        <w:spacing w:after="0" w:line="246" w:lineRule="exact"/>
        <w:rPr>
          <w:rFonts w:ascii="Arial" w:cs="Arial" w:eastAsia="Arial" w:hAnsi="Arial"/>
          <w:sz w:val="17"/>
          <w:szCs w:val="17"/>
          <w:color w:val="auto"/>
        </w:rPr>
      </w:pPr>
    </w:p>
    <w:p>
      <w:pPr>
        <w:jc w:val="both"/>
        <w:ind w:firstLine="875"/>
        <w:spacing w:after="0" w:line="247" w:lineRule="auto"/>
        <w:tabs>
          <w:tab w:leader="none" w:pos="1503"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shall survive the resignation of the Administrative Agent, the replacement of any Lender, the termination of the Aggregate Commitments and the repayment, satisfaction or discharge of all the other Obligations.</w:t>
      </w:r>
    </w:p>
    <w:p>
      <w:pPr>
        <w:spacing w:after="0" w:line="181" w:lineRule="exact"/>
        <w:rPr>
          <w:sz w:val="20"/>
          <w:szCs w:val="20"/>
          <w:color w:val="auto"/>
        </w:rPr>
      </w:pPr>
    </w:p>
    <w:p>
      <w:pPr>
        <w:jc w:val="both"/>
        <w:ind w:firstLine="874"/>
        <w:spacing w:after="0" w:line="254" w:lineRule="auto"/>
        <w:rPr>
          <w:sz w:val="20"/>
          <w:szCs w:val="20"/>
          <w:color w:val="auto"/>
        </w:rPr>
      </w:pPr>
      <w:r>
        <w:rPr>
          <w:rFonts w:ascii="Arial" w:cs="Arial" w:eastAsia="Arial" w:hAnsi="Arial"/>
          <w:sz w:val="19"/>
          <w:szCs w:val="19"/>
          <w:b w:val="1"/>
          <w:bCs w:val="1"/>
          <w:color w:val="auto"/>
        </w:rPr>
        <w:t>10.05 Payments Set Aside</w:t>
      </w:r>
      <w:r>
        <w:rPr>
          <w:rFonts w:ascii="Arial" w:cs="Arial" w:eastAsia="Arial" w:hAnsi="Arial"/>
          <w:sz w:val="19"/>
          <w:szCs w:val="19"/>
          <w:color w:val="auto"/>
        </w:rPr>
        <w:t>. To the extent that any payment by or on behalf of the Borrower is made to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under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the preceding sentence shall survive the payment in full of the Obligations and the termination of this Agreement.</w:t>
      </w:r>
    </w:p>
    <w:p>
      <w:pPr>
        <w:spacing w:after="0" w:line="175"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0"/>
          <w:szCs w:val="20"/>
          <w:b w:val="1"/>
          <w:bCs w:val="1"/>
          <w:color w:val="auto"/>
        </w:rPr>
        <w:t>10.06</w:t>
      </w:r>
      <w:r>
        <w:rPr>
          <w:sz w:val="20"/>
          <w:szCs w:val="20"/>
          <w:color w:val="auto"/>
        </w:rPr>
        <w:tab/>
      </w:r>
      <w:r>
        <w:rPr>
          <w:rFonts w:ascii="Arial" w:cs="Arial" w:eastAsia="Arial" w:hAnsi="Arial"/>
          <w:sz w:val="16"/>
          <w:szCs w:val="16"/>
          <w:b w:val="1"/>
          <w:bCs w:val="1"/>
          <w:color w:val="auto"/>
        </w:rPr>
        <w:t>Successors and Assigns</w:t>
      </w:r>
      <w:r>
        <w:rPr>
          <w:rFonts w:ascii="Arial" w:cs="Arial" w:eastAsia="Arial" w:hAnsi="Arial"/>
          <w:sz w:val="16"/>
          <w:szCs w:val="16"/>
          <w:color w:val="auto"/>
        </w:rPr>
        <w:t>.</w:t>
      </w:r>
    </w:p>
    <w:p>
      <w:pPr>
        <w:spacing w:after="0" w:line="218" w:lineRule="exact"/>
        <w:rPr>
          <w:sz w:val="20"/>
          <w:szCs w:val="20"/>
          <w:color w:val="auto"/>
        </w:rPr>
      </w:pPr>
    </w:p>
    <w:p>
      <w:pPr>
        <w:jc w:val="both"/>
        <w:ind w:firstLine="875"/>
        <w:spacing w:after="0" w:line="256" w:lineRule="auto"/>
        <w:tabs>
          <w:tab w:leader="none" w:pos="1538"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Section, (ii) by way of participation in accordance with the provisions of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 or (iii) by way of pledge or assignment of a security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0920"/>
          </w:cols>
          <w:pgMar w:left="480" w:top="270" w:right="499" w:bottom="1440" w:gutter="0" w:footer="0" w:header="0"/>
        </w:sectPr>
      </w:pPr>
    </w:p>
    <w:bookmarkStart w:id="79" w:name="page80"/>
    <w:bookmarkEnd w:id="79"/>
    <w:p>
      <w:pPr>
        <w:jc w:val="both"/>
        <w:spacing w:after="0" w:line="25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interest subject to the restrictions of </w:t>
      </w:r>
      <w:r>
        <w:rPr>
          <w:rFonts w:ascii="Arial" w:cs="Arial" w:eastAsia="Arial" w:hAnsi="Arial"/>
          <w:sz w:val="19"/>
          <w:szCs w:val="19"/>
          <w:u w:val="single" w:color="auto"/>
          <w:color w:val="auto"/>
        </w:rPr>
        <w:t>subsection (f)</w:t>
      </w:r>
      <w:r>
        <w:rPr>
          <w:rFonts w:ascii="Arial" w:cs="Arial" w:eastAsia="Arial" w:hAnsi="Arial"/>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78" w:lineRule="exact"/>
        <w:rPr>
          <w:sz w:val="20"/>
          <w:szCs w:val="20"/>
          <w:color w:val="auto"/>
        </w:rPr>
      </w:pPr>
    </w:p>
    <w:p>
      <w:pPr>
        <w:jc w:val="both"/>
        <w:ind w:firstLine="875"/>
        <w:spacing w:after="0" w:line="247" w:lineRule="auto"/>
        <w:tabs>
          <w:tab w:leader="none" w:pos="1522"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assignment shall be subject to the following conditions:</w:t>
      </w:r>
    </w:p>
    <w:p>
      <w:pPr>
        <w:spacing w:after="0" w:line="187" w:lineRule="exact"/>
        <w:rPr>
          <w:rFonts w:ascii="Arial" w:cs="Arial" w:eastAsia="Arial" w:hAnsi="Arial"/>
          <w:sz w:val="20"/>
          <w:szCs w:val="20"/>
          <w:color w:val="auto"/>
        </w:rPr>
      </w:pPr>
    </w:p>
    <w:p>
      <w:pPr>
        <w:ind w:left="2260" w:hanging="581"/>
        <w:spacing w:after="0"/>
        <w:tabs>
          <w:tab w:leader="none" w:pos="2260"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1" w:lineRule="exact"/>
        <w:rPr>
          <w:rFonts w:ascii="Arial" w:cs="Arial" w:eastAsia="Arial" w:hAnsi="Arial"/>
          <w:sz w:val="20"/>
          <w:szCs w:val="20"/>
          <w:color w:val="auto"/>
        </w:rPr>
      </w:pPr>
    </w:p>
    <w:p>
      <w:pPr>
        <w:jc w:val="both"/>
        <w:ind w:left="1740" w:firstLine="743"/>
        <w:spacing w:after="0" w:line="247" w:lineRule="auto"/>
        <w:tabs>
          <w:tab w:leader="none" w:pos="3519" w:val="left"/>
        </w:tabs>
        <w:numPr>
          <w:ilvl w:val="2"/>
          <w:numId w:val="103"/>
        </w:numPr>
        <w:rPr>
          <w:rFonts w:ascii="Arial" w:cs="Arial" w:eastAsia="Arial" w:hAnsi="Arial"/>
          <w:sz w:val="20"/>
          <w:szCs w:val="20"/>
          <w:color w:val="auto"/>
        </w:rPr>
      </w:pPr>
      <w:r>
        <w:rPr>
          <w:rFonts w:ascii="Arial" w:cs="Arial" w:eastAsia="Arial" w:hAnsi="Arial"/>
          <w:sz w:val="20"/>
          <w:szCs w:val="20"/>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187" w:lineRule="exact"/>
        <w:rPr>
          <w:rFonts w:ascii="Arial" w:cs="Arial" w:eastAsia="Arial" w:hAnsi="Arial"/>
          <w:sz w:val="20"/>
          <w:szCs w:val="20"/>
          <w:color w:val="auto"/>
        </w:rPr>
      </w:pPr>
    </w:p>
    <w:p>
      <w:pPr>
        <w:jc w:val="both"/>
        <w:ind w:left="1740" w:firstLine="743"/>
        <w:spacing w:after="0" w:line="253" w:lineRule="auto"/>
        <w:tabs>
          <w:tab w:leader="none" w:pos="3304" w:val="left"/>
        </w:tabs>
        <w:numPr>
          <w:ilvl w:val="2"/>
          <w:numId w:val="103"/>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subsection (b)(i)(A)</w:t>
      </w:r>
      <w:r>
        <w:rPr>
          <w:rFonts w:ascii="Arial" w:cs="Arial" w:eastAsia="Arial" w:hAnsi="Arial"/>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84" w:lineRule="exact"/>
        <w:rPr>
          <w:rFonts w:ascii="Arial" w:cs="Arial" w:eastAsia="Arial" w:hAnsi="Arial"/>
          <w:sz w:val="19"/>
          <w:szCs w:val="19"/>
          <w:color w:val="auto"/>
        </w:rPr>
      </w:pPr>
    </w:p>
    <w:p>
      <w:pPr>
        <w:ind w:left="880" w:firstLine="799"/>
        <w:spacing w:after="0" w:line="345" w:lineRule="auto"/>
        <w:tabs>
          <w:tab w:leader="none" w:pos="2316"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Proportionate Amounts</w:t>
      </w:r>
      <w:r>
        <w:rPr>
          <w:rFonts w:ascii="Arial" w:cs="Arial" w:eastAsia="Arial" w:hAnsi="Arial"/>
          <w:sz w:val="17"/>
          <w:szCs w:val="17"/>
          <w:color w:val="auto"/>
        </w:rPr>
        <w:t>. Each partial assignment shall be made as an assignment of a proportionate part of all the assigning Lender’s rights and obligations under this Agreement with respect to the Loans or the Commitment assigned;</w:t>
      </w:r>
    </w:p>
    <w:p>
      <w:pPr>
        <w:spacing w:after="0" w:line="107" w:lineRule="exact"/>
        <w:rPr>
          <w:rFonts w:ascii="Arial" w:cs="Arial" w:eastAsia="Arial" w:hAnsi="Arial"/>
          <w:sz w:val="17"/>
          <w:szCs w:val="17"/>
          <w:color w:val="auto"/>
        </w:rPr>
      </w:pPr>
    </w:p>
    <w:p>
      <w:pPr>
        <w:ind w:left="880" w:firstLine="799"/>
        <w:spacing w:after="0" w:line="257" w:lineRule="auto"/>
        <w:tabs>
          <w:tab w:leader="none" w:pos="2598" w:val="left"/>
        </w:tabs>
        <w:numPr>
          <w:ilvl w:val="1"/>
          <w:numId w:val="103"/>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subsection (b)(i)(B)</w:t>
      </w:r>
      <w:r>
        <w:rPr>
          <w:rFonts w:ascii="Arial" w:cs="Arial" w:eastAsia="Arial" w:hAnsi="Arial"/>
          <w:sz w:val="20"/>
          <w:szCs w:val="20"/>
          <w:color w:val="auto"/>
        </w:rPr>
        <w:t xml:space="preserve"> of this Section and, in addition:</w:t>
      </w:r>
    </w:p>
    <w:p>
      <w:pPr>
        <w:spacing w:after="0" w:line="176" w:lineRule="exact"/>
        <w:rPr>
          <w:rFonts w:ascii="Arial" w:cs="Arial" w:eastAsia="Arial" w:hAnsi="Arial"/>
          <w:sz w:val="20"/>
          <w:szCs w:val="20"/>
          <w:color w:val="auto"/>
        </w:rPr>
      </w:pPr>
    </w:p>
    <w:p>
      <w:pPr>
        <w:jc w:val="both"/>
        <w:ind w:left="1740" w:firstLine="743"/>
        <w:spacing w:after="0" w:line="295" w:lineRule="auto"/>
        <w:tabs>
          <w:tab w:leader="none" w:pos="3242" w:val="left"/>
        </w:tabs>
        <w:numPr>
          <w:ilvl w:val="2"/>
          <w:numId w:val="103"/>
        </w:numPr>
        <w:rPr>
          <w:rFonts w:ascii="Arial" w:cs="Arial" w:eastAsia="Arial" w:hAnsi="Arial"/>
          <w:sz w:val="17"/>
          <w:szCs w:val="17"/>
          <w:color w:val="auto"/>
        </w:rPr>
      </w:pPr>
      <w:r>
        <w:rPr>
          <w:rFonts w:ascii="Arial" w:cs="Arial" w:eastAsia="Arial" w:hAnsi="Arial"/>
          <w:sz w:val="17"/>
          <w:szCs w:val="17"/>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consented to any such assignment unless it shall object thereto by written notice to the Administrative Agent within ten (10) Business Days after having received notice thereof; and</w:t>
      </w:r>
    </w:p>
    <w:p>
      <w:pPr>
        <w:spacing w:after="0" w:line="150" w:lineRule="exact"/>
        <w:rPr>
          <w:rFonts w:ascii="Arial" w:cs="Arial" w:eastAsia="Arial" w:hAnsi="Arial"/>
          <w:sz w:val="17"/>
          <w:szCs w:val="17"/>
          <w:color w:val="auto"/>
        </w:rPr>
      </w:pPr>
    </w:p>
    <w:p>
      <w:pPr>
        <w:ind w:left="1740" w:firstLine="743"/>
        <w:spacing w:after="0" w:line="257" w:lineRule="auto"/>
        <w:tabs>
          <w:tab w:leader="none" w:pos="3133" w:val="left"/>
        </w:tabs>
        <w:numPr>
          <w:ilvl w:val="2"/>
          <w:numId w:val="103"/>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if such assignment is to a Person that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0920"/>
          </w:cols>
          <w:pgMar w:left="480" w:top="270" w:right="499" w:bottom="1440" w:gutter="0" w:footer="0" w:header="0"/>
        </w:sectPr>
      </w:pPr>
    </w:p>
    <w:bookmarkStart w:id="80" w:name="page81"/>
    <w:bookmarkEnd w:id="80"/>
    <w:p>
      <w:pPr>
        <w:jc w:val="center"/>
        <w:ind w:right="6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is not a Lender, an Affiliate of such Lender or an Approved Fund with respect to such Lender.</w:t>
      </w:r>
    </w:p>
    <w:p>
      <w:pPr>
        <w:spacing w:after="0" w:line="212" w:lineRule="exact"/>
        <w:rPr>
          <w:sz w:val="20"/>
          <w:szCs w:val="20"/>
          <w:color w:val="auto"/>
        </w:rPr>
      </w:pPr>
    </w:p>
    <w:p>
      <w:pPr>
        <w:jc w:val="both"/>
        <w:ind w:left="880" w:firstLine="799"/>
        <w:spacing w:after="0" w:line="242" w:lineRule="auto"/>
        <w:tabs>
          <w:tab w:leader="none" w:pos="2386"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2" w:lineRule="exact"/>
        <w:rPr>
          <w:rFonts w:ascii="Arial" w:cs="Arial" w:eastAsia="Arial" w:hAnsi="Arial"/>
          <w:sz w:val="20"/>
          <w:szCs w:val="20"/>
          <w:color w:val="auto"/>
        </w:rPr>
      </w:pPr>
    </w:p>
    <w:p>
      <w:pPr>
        <w:jc w:val="both"/>
        <w:ind w:left="880" w:firstLine="799"/>
        <w:spacing w:after="0" w:line="312" w:lineRule="auto"/>
        <w:tabs>
          <w:tab w:leader="none" w:pos="234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No Assignment to Borrower and Defaulting Lender</w:t>
      </w:r>
      <w:r>
        <w:rPr>
          <w:rFonts w:ascii="Arial" w:cs="Arial" w:eastAsia="Arial" w:hAnsi="Arial"/>
          <w:sz w:val="17"/>
          <w:szCs w:val="17"/>
          <w:color w:val="auto"/>
        </w:rPr>
        <w:t xml:space="preserve">. No such assignment shall be made (A) to the Borrower or any of the Borrower’s Affiliates or Subsidiaries or (B) to any Defaulting Lender or any of its Subsidiaries, or any Person who, upon becoming a Lender hereunder, would constitute any of the foregoing Persons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w:t>
      </w:r>
    </w:p>
    <w:p>
      <w:pPr>
        <w:spacing w:after="0" w:line="134" w:lineRule="exact"/>
        <w:rPr>
          <w:rFonts w:ascii="Arial" w:cs="Arial" w:eastAsia="Arial" w:hAnsi="Arial"/>
          <w:sz w:val="17"/>
          <w:szCs w:val="17"/>
          <w:color w:val="auto"/>
        </w:rPr>
      </w:pPr>
    </w:p>
    <w:p>
      <w:pPr>
        <w:ind w:left="880" w:firstLine="799"/>
        <w:spacing w:after="0" w:line="283" w:lineRule="auto"/>
        <w:tabs>
          <w:tab w:leader="none" w:pos="2507"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No Assignment to Natural Persons</w:t>
      </w:r>
      <w:r>
        <w:rPr>
          <w:rFonts w:ascii="Arial" w:cs="Arial" w:eastAsia="Arial" w:hAnsi="Arial"/>
          <w:sz w:val="19"/>
          <w:szCs w:val="19"/>
          <w:color w:val="auto"/>
        </w:rPr>
        <w:t>. No such assignment shall be made to a natural Person (or a holding company investment vehicle or trust for, or owned and operated for the primary benefit of a natural Person).</w:t>
      </w:r>
    </w:p>
    <w:p>
      <w:pPr>
        <w:spacing w:after="0" w:line="154" w:lineRule="exact"/>
        <w:rPr>
          <w:rFonts w:ascii="Arial" w:cs="Arial" w:eastAsia="Arial" w:hAnsi="Arial"/>
          <w:sz w:val="19"/>
          <w:szCs w:val="19"/>
          <w:color w:val="auto"/>
        </w:rPr>
      </w:pPr>
    </w:p>
    <w:p>
      <w:pPr>
        <w:jc w:val="both"/>
        <w:ind w:left="880" w:firstLine="799"/>
        <w:spacing w:after="0" w:line="252" w:lineRule="auto"/>
        <w:tabs>
          <w:tab w:leader="none" w:pos="2414"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1" w:lineRule="exact"/>
        <w:rPr>
          <w:sz w:val="20"/>
          <w:szCs w:val="20"/>
          <w:color w:val="auto"/>
        </w:rPr>
      </w:pPr>
    </w:p>
    <w:p>
      <w:pPr>
        <w:jc w:val="both"/>
        <w:ind w:firstLine="874"/>
        <w:spacing w:after="0" w:line="286"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and assumed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 having been a Defaulting Lender. Upon request, the Borrower (at its expense) shall execute and deliver a Note to the assignee Lender. Any assignment or transfer by a Lender of rights or obligations under this Agreement that does not comply with this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0920"/>
          </w:cols>
          <w:pgMar w:left="480" w:top="270" w:right="499" w:bottom="1440" w:gutter="0" w:footer="0" w:header="0"/>
        </w:sectPr>
      </w:pPr>
    </w:p>
    <w:bookmarkStart w:id="81" w:name="page82"/>
    <w:bookmarkEnd w:id="81"/>
    <w:p>
      <w:pPr>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subsection shall be treated for purposes of this Agreement as a sale by such Lender of a participation in such rights and obligations in accordance with </w:t>
      </w:r>
      <w:r>
        <w:rPr>
          <w:rFonts w:ascii="Arial" w:cs="Arial" w:eastAsia="Arial" w:hAnsi="Arial"/>
          <w:sz w:val="20"/>
          <w:szCs w:val="20"/>
          <w:u w:val="single" w:color="auto"/>
          <w:color w:val="auto"/>
        </w:rPr>
        <w:t>subsection (d)</w:t>
      </w:r>
      <w:r>
        <w:rPr>
          <w:rFonts w:ascii="Arial" w:cs="Arial" w:eastAsia="Arial" w:hAnsi="Arial"/>
          <w:sz w:val="20"/>
          <w:szCs w:val="20"/>
          <w:color w:val="auto"/>
        </w:rPr>
        <w:t xml:space="preserve"> of this Section.</w:t>
      </w:r>
    </w:p>
    <w:p>
      <w:pPr>
        <w:spacing w:after="0" w:line="177" w:lineRule="exact"/>
        <w:rPr>
          <w:sz w:val="20"/>
          <w:szCs w:val="20"/>
          <w:color w:val="auto"/>
        </w:rPr>
      </w:pPr>
    </w:p>
    <w:p>
      <w:pPr>
        <w:jc w:val="both"/>
        <w:ind w:firstLine="875"/>
        <w:spacing w:after="0" w:line="287" w:lineRule="auto"/>
        <w:tabs>
          <w:tab w:leader="none" w:pos="1524"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w:t>
      </w:r>
      <w:r>
        <w:rPr>
          <w:rFonts w:ascii="Arial" w:cs="Arial" w:eastAsia="Arial" w:hAnsi="Arial"/>
          <w:sz w:val="17"/>
          <w:szCs w:val="17"/>
          <w:b w:val="1"/>
          <w:bCs w:val="1"/>
          <w:color w:val="auto"/>
        </w:rPr>
        <w:t>.</w:t>
      </w:r>
      <w:r>
        <w:rPr>
          <w:rFonts w:ascii="Arial" w:cs="Arial" w:eastAsia="Arial" w:hAnsi="Arial"/>
          <w:sz w:val="17"/>
          <w:szCs w:val="17"/>
          <w:color w:val="auto"/>
        </w:rPr>
        <w:t xml:space="preserve"> The Register shall be available for inspection by the Borrower and any Lender at any reasonable time and from time to time upon reasonable prior notice.</w:t>
      </w:r>
    </w:p>
    <w:p>
      <w:pPr>
        <w:spacing w:after="0" w:line="159" w:lineRule="exact"/>
        <w:rPr>
          <w:rFonts w:ascii="Arial" w:cs="Arial" w:eastAsia="Arial" w:hAnsi="Arial"/>
          <w:sz w:val="17"/>
          <w:szCs w:val="17"/>
          <w:color w:val="auto"/>
        </w:rPr>
      </w:pPr>
    </w:p>
    <w:p>
      <w:pPr>
        <w:jc w:val="both"/>
        <w:ind w:firstLine="875"/>
        <w:spacing w:after="0" w:line="287" w:lineRule="auto"/>
        <w:tabs>
          <w:tab w:leader="none" w:pos="1575"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that is not a Defaulting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a Disqualified Lender,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without regard to the existence of any participation.</w:t>
      </w:r>
    </w:p>
    <w:p>
      <w:pPr>
        <w:spacing w:after="0" w:line="159" w:lineRule="exact"/>
        <w:rPr>
          <w:sz w:val="20"/>
          <w:szCs w:val="20"/>
          <w:color w:val="auto"/>
        </w:rPr>
      </w:pPr>
    </w:p>
    <w:p>
      <w:pPr>
        <w:jc w:val="both"/>
        <w:ind w:firstLine="874"/>
        <w:spacing w:after="0" w:line="283"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that affects such Participant. Subject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of this Section,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To the extent permitted by law, each Participant also shall be entitled to the benefits of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0920"/>
          </w:cols>
          <w:pgMar w:left="480" w:top="270" w:right="499" w:bottom="1440" w:gutter="0" w:footer="0" w:header="0"/>
        </w:sectPr>
      </w:pPr>
    </w:p>
    <w:bookmarkStart w:id="82" w:name="page83"/>
    <w:bookmarkEnd w:id="82"/>
    <w:p>
      <w:pPr>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contrary. For the avoidance of doubt, the Administrative Agent (in its capacity as Administrative Agent) shall have no responsibility for maintaining a Participant Register.</w:t>
      </w:r>
    </w:p>
    <w:p>
      <w:pPr>
        <w:spacing w:after="0" w:line="177" w:lineRule="exact"/>
        <w:rPr>
          <w:sz w:val="20"/>
          <w:szCs w:val="20"/>
          <w:color w:val="auto"/>
        </w:rPr>
      </w:pPr>
    </w:p>
    <w:p>
      <w:pPr>
        <w:jc w:val="both"/>
        <w:ind w:firstLine="875"/>
        <w:spacing w:after="0" w:line="241" w:lineRule="auto"/>
        <w:tabs>
          <w:tab w:leader="none" w:pos="1806"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Limitations upon Participant Rights</w:t>
      </w:r>
      <w:r>
        <w:rPr>
          <w:rFonts w:ascii="Arial" w:cs="Arial" w:eastAsia="Arial" w:hAnsi="Arial"/>
          <w:sz w:val="20"/>
          <w:szCs w:val="20"/>
          <w:color w:val="auto"/>
        </w:rPr>
        <w:t xml:space="preserve">. A Participant shall not be entitled to receive any greater payment under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3.04</w:t>
      </w:r>
      <w:r>
        <w:rPr>
          <w:rFonts w:ascii="Arial" w:cs="Arial" w:eastAsia="Arial" w:hAnsi="Arial"/>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unless the Borrower is notified of the participation sold to such Participant and such Participant agrees, for the benefit of the Borrower,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as though it were a Lender.</w:t>
      </w:r>
    </w:p>
    <w:p>
      <w:pPr>
        <w:spacing w:after="0" w:line="194" w:lineRule="exact"/>
        <w:rPr>
          <w:rFonts w:ascii="Arial" w:cs="Arial" w:eastAsia="Arial" w:hAnsi="Arial"/>
          <w:sz w:val="20"/>
          <w:szCs w:val="20"/>
          <w:color w:val="auto"/>
        </w:rPr>
      </w:pPr>
    </w:p>
    <w:p>
      <w:pPr>
        <w:jc w:val="both"/>
        <w:ind w:firstLine="875"/>
        <w:spacing w:after="0" w:line="242" w:lineRule="auto"/>
        <w:tabs>
          <w:tab w:leader="none" w:pos="1476"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or another central banking authority having jurisdiction over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7" w:lineRule="exact"/>
        <w:rPr>
          <w:sz w:val="20"/>
          <w:szCs w:val="20"/>
          <w:color w:val="auto"/>
        </w:rPr>
      </w:pPr>
    </w:p>
    <w:p>
      <w:pPr>
        <w:jc w:val="both"/>
        <w:ind w:firstLine="874"/>
        <w:spacing w:after="0" w:line="283" w:lineRule="auto"/>
        <w:rPr>
          <w:sz w:val="20"/>
          <w:szCs w:val="20"/>
          <w:color w:val="auto"/>
        </w:rPr>
      </w:pPr>
      <w:r>
        <w:rPr>
          <w:rFonts w:ascii="Arial" w:cs="Arial" w:eastAsia="Arial" w:hAnsi="Arial"/>
          <w:sz w:val="17"/>
          <w:szCs w:val="17"/>
          <w:b w:val="1"/>
          <w:bCs w:val="1"/>
          <w:color w:val="auto"/>
        </w:rPr>
        <w:t>10.07 Treatment of Certain Information; Confidentiality</w:t>
      </w:r>
      <w:r>
        <w:rPr>
          <w:rFonts w:ascii="Arial" w:cs="Arial" w:eastAsia="Arial" w:hAnsi="Arial"/>
          <w:sz w:val="17"/>
          <w:szCs w:val="17"/>
          <w:color w:val="auto"/>
        </w:rPr>
        <w:t>. Each of the Administrative Agent and the Lenders agrees to</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the confidentiality of the Information (as defined below), except that Information may be disclosed (a) to its Affiliates and to its and its Affiliates’ respective partners, directors, officers, employees, agents, trustees, advisors and representatives on a need-to-know basis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Affiliates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and which gives the Borrower the right to enforce such confidentiality provisions,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or any of its Subsidiaries.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390" w:lineRule="exact"/>
        <w:rPr>
          <w:sz w:val="20"/>
          <w:szCs w:val="20"/>
          <w:color w:val="auto"/>
        </w:rPr>
      </w:pPr>
    </w:p>
    <w:p>
      <w:pPr>
        <w:jc w:val="both"/>
        <w:ind w:firstLine="874"/>
        <w:spacing w:after="0" w:line="301" w:lineRule="auto"/>
        <w:rPr>
          <w:sz w:val="20"/>
          <w:szCs w:val="20"/>
          <w:color w:val="auto"/>
        </w:rPr>
      </w:pPr>
      <w:r>
        <w:rPr>
          <w:rFonts w:ascii="Arial" w:cs="Arial" w:eastAsia="Arial" w:hAnsi="Arial"/>
          <w:sz w:val="17"/>
          <w:szCs w:val="17"/>
          <w:color w:val="auto"/>
        </w:rPr>
        <w:t>For purposes of this Section,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the Borrower or any Subsidiary relating to the Borrower or any Subsidiary or any of their respective businesses, other than any such information that is available to the Administrative Agent or any Lender on a non-confidential basis prior to disclosure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the Borrower or any Subsidiary after the date hereof, such information is clearly identified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0920"/>
          </w:cols>
          <w:pgMar w:left="480" w:top="270" w:right="499" w:bottom="1440" w:gutter="0" w:footer="0" w:header="0"/>
        </w:sectPr>
      </w:pPr>
    </w:p>
    <w:bookmarkStart w:id="83" w:name="page84"/>
    <w:bookmarkEnd w:id="83"/>
    <w:p>
      <w:pPr>
        <w:jc w:val="both"/>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Each of the Administrative Agent and the Lenders acknowledges that (a) the Information may include material non-public information concerning the Borrower or a Subsidiary, as the case may be, (b) it has developed reasonable compliance procedures regarding the use of material non-public information and (c) it will handle such material non-public information in accordance with applicable Law, including United States Federal and state securities laws.</w:t>
      </w:r>
    </w:p>
    <w:p>
      <w:pPr>
        <w:spacing w:after="0" w:line="183" w:lineRule="exact"/>
        <w:rPr>
          <w:sz w:val="20"/>
          <w:szCs w:val="20"/>
          <w:color w:val="auto"/>
        </w:rPr>
      </w:pPr>
    </w:p>
    <w:p>
      <w:pPr>
        <w:jc w:val="both"/>
        <w:ind w:firstLine="874"/>
        <w:spacing w:after="0" w:line="284" w:lineRule="auto"/>
        <w:rPr>
          <w:sz w:val="20"/>
          <w:szCs w:val="20"/>
          <w:color w:val="auto"/>
        </w:rPr>
      </w:pPr>
      <w:r>
        <w:rPr>
          <w:rFonts w:ascii="Arial" w:cs="Arial" w:eastAsia="Arial" w:hAnsi="Arial"/>
          <w:sz w:val="17"/>
          <w:szCs w:val="17"/>
          <w:b w:val="1"/>
          <w:bCs w:val="1"/>
          <w:color w:val="auto"/>
        </w:rPr>
        <w:t>10.08 Right of Setoff</w:t>
      </w:r>
      <w:r>
        <w:rPr>
          <w:rFonts w:ascii="Arial" w:cs="Arial" w:eastAsia="Arial" w:hAnsi="Arial"/>
          <w:sz w:val="17"/>
          <w:szCs w:val="17"/>
          <w:color w:val="auto"/>
        </w:rPr>
        <w:t>. If an Event of Default shall have occurred and be continuing, each Lender and each of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is hereby authorized at any time and from time to time, after giving prior written notice to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Borrower against any and all of the obligations of the Borrower now or hereafter existing under this Agreement or any other Loan Document to such Lender, irrespective of whether or not such Lender shall have made any demand under this Agreement or any other Loan Document and although such obligations of the Borrower may be contingent or unmatured or are owed to a branch or office of such Lender different from the branch or office holding such deposit or obligated on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any Defaulting Lender shall exercise any such right of setoff hereunder,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383" w:lineRule="exact"/>
        <w:rPr>
          <w:sz w:val="20"/>
          <w:szCs w:val="20"/>
          <w:color w:val="auto"/>
        </w:rPr>
      </w:pPr>
    </w:p>
    <w:p>
      <w:pPr>
        <w:jc w:val="both"/>
        <w:ind w:firstLine="874"/>
        <w:spacing w:after="0" w:line="289" w:lineRule="auto"/>
        <w:rPr>
          <w:sz w:val="20"/>
          <w:szCs w:val="20"/>
          <w:color w:val="auto"/>
        </w:rPr>
      </w:pPr>
      <w:r>
        <w:rPr>
          <w:rFonts w:ascii="Arial" w:cs="Arial" w:eastAsia="Arial" w:hAnsi="Arial"/>
          <w:sz w:val="17"/>
          <w:szCs w:val="17"/>
          <w:b w:val="1"/>
          <w:bCs w:val="1"/>
          <w:color w:val="auto"/>
        </w:rPr>
        <w:t>10.09 Interest Rate Limitation</w:t>
      </w:r>
      <w:r>
        <w:rPr>
          <w:rFonts w:ascii="Arial" w:cs="Arial" w:eastAsia="Arial" w:hAnsi="Arial"/>
          <w:sz w:val="17"/>
          <w:szCs w:val="17"/>
          <w:color w:val="auto"/>
        </w:rPr>
        <w:t>. Notwithstanding anything to the contrary contained in any Loan Document, the interest paid</w:t>
      </w:r>
      <w:r>
        <w:rPr>
          <w:rFonts w:ascii="Arial" w:cs="Arial" w:eastAsia="Arial" w:hAnsi="Arial"/>
          <w:sz w:val="17"/>
          <w:szCs w:val="17"/>
          <w:b w:val="1"/>
          <w:bCs w:val="1"/>
          <w:color w:val="auto"/>
        </w:rPr>
        <w:t xml:space="preserve"> </w:t>
      </w:r>
      <w:r>
        <w:rPr>
          <w:rFonts w:ascii="Arial" w:cs="Arial" w:eastAsia="Arial" w:hAnsi="Arial"/>
          <w:sz w:val="17"/>
          <w:szCs w:val="17"/>
          <w:color w:val="auto"/>
        </w:rPr>
        <w:t>or agreed to be paid under the Loan Documents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52" w:lineRule="exact"/>
        <w:rPr>
          <w:sz w:val="20"/>
          <w:szCs w:val="20"/>
          <w:color w:val="auto"/>
        </w:rPr>
      </w:pPr>
    </w:p>
    <w:p>
      <w:pPr>
        <w:jc w:val="both"/>
        <w:ind w:firstLine="874"/>
        <w:spacing w:after="0" w:line="303" w:lineRule="auto"/>
        <w:rPr>
          <w:sz w:val="20"/>
          <w:szCs w:val="20"/>
          <w:color w:val="auto"/>
        </w:rPr>
      </w:pPr>
      <w:r>
        <w:rPr>
          <w:rFonts w:ascii="Arial" w:cs="Arial" w:eastAsia="Arial" w:hAnsi="Arial"/>
          <w:sz w:val="17"/>
          <w:szCs w:val="17"/>
          <w:b w:val="1"/>
          <w:bCs w:val="1"/>
          <w:color w:val="auto"/>
        </w:rPr>
        <w:t>10.10 Counterparts; Integration; Effectiveness</w:t>
      </w:r>
      <w:r>
        <w:rPr>
          <w:rFonts w:ascii="Arial" w:cs="Arial" w:eastAsia="Arial" w:hAnsi="Arial"/>
          <w:sz w:val="17"/>
          <w:szCs w:val="17"/>
          <w:color w:val="auto"/>
        </w:rPr>
        <w:t>. This Agreement and the other Loan Documents may be executed in</w:t>
      </w:r>
      <w:r>
        <w:rPr>
          <w:rFonts w:ascii="Arial" w:cs="Arial" w:eastAsia="Arial" w:hAnsi="Arial"/>
          <w:sz w:val="17"/>
          <w:szCs w:val="17"/>
          <w:b w:val="1"/>
          <w:bCs w:val="1"/>
          <w:color w:val="auto"/>
        </w:rPr>
        <w:t xml:space="preserve"> </w:t>
      </w:r>
      <w:r>
        <w:rPr>
          <w:rFonts w:ascii="Arial" w:cs="Arial" w:eastAsia="Arial" w:hAnsi="Arial"/>
          <w:sz w:val="17"/>
          <w:szCs w:val="17"/>
          <w:color w:val="auto"/>
        </w:rPr>
        <w:t>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0920"/>
          </w:cols>
          <w:pgMar w:left="480" w:top="270" w:right="499" w:bottom="1440" w:gutter="0" w:footer="0" w:header="0"/>
        </w:sectPr>
      </w:pPr>
    </w:p>
    <w:bookmarkStart w:id="84" w:name="page85"/>
    <w:bookmarkEnd w:id="84"/>
    <w:p>
      <w:pPr>
        <w:jc w:val="both"/>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oral or written, relating to the subject matter hereof. Except as provided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or as provided in the applicable Loan Document, this Agreement or such other Loan Documents shall become effective when they shall have been executed by the Administrative Agent and when the Administrative Agent shall have received counterparts hereof or thereof that, when taken together, bear the signatures of each of the other parties hereto. Delivery of an executed counterpart of a signature page of this Agreement and any other Loan Document by telecopy or other electronic imaging means shall be effective as delivery of a manually executed counterpart of this Agreement and the other Loan Documents.</w:t>
      </w:r>
    </w:p>
    <w:p>
      <w:pPr>
        <w:spacing w:after="0" w:line="188" w:lineRule="exact"/>
        <w:rPr>
          <w:sz w:val="20"/>
          <w:szCs w:val="20"/>
          <w:color w:val="auto"/>
        </w:rPr>
      </w:pPr>
    </w:p>
    <w:p>
      <w:pPr>
        <w:jc w:val="both"/>
        <w:ind w:firstLine="874"/>
        <w:spacing w:after="0" w:line="294" w:lineRule="auto"/>
        <w:rPr>
          <w:sz w:val="20"/>
          <w:szCs w:val="20"/>
          <w:color w:val="auto"/>
        </w:rPr>
      </w:pPr>
      <w:r>
        <w:rPr>
          <w:rFonts w:ascii="Arial" w:cs="Arial" w:eastAsia="Arial" w:hAnsi="Arial"/>
          <w:sz w:val="17"/>
          <w:szCs w:val="17"/>
          <w:b w:val="1"/>
          <w:bCs w:val="1"/>
          <w:color w:val="auto"/>
        </w:rPr>
        <w:t>10.11 Survival of Representations and Warranties</w:t>
      </w:r>
      <w:r>
        <w:rPr>
          <w:rFonts w:ascii="Arial" w:cs="Arial" w:eastAsia="Arial" w:hAnsi="Arial"/>
          <w:sz w:val="17"/>
          <w:szCs w:val="17"/>
          <w:color w:val="auto"/>
        </w:rPr>
        <w:t>. All representations and warranties made hereunder and in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43" w:lineRule="exact"/>
        <w:rPr>
          <w:sz w:val="20"/>
          <w:szCs w:val="20"/>
          <w:color w:val="auto"/>
        </w:rPr>
      </w:pPr>
    </w:p>
    <w:p>
      <w:pPr>
        <w:jc w:val="both"/>
        <w:ind w:firstLine="874"/>
        <w:spacing w:after="0" w:line="289" w:lineRule="auto"/>
        <w:rPr>
          <w:sz w:val="20"/>
          <w:szCs w:val="20"/>
          <w:color w:val="auto"/>
        </w:rPr>
      </w:pPr>
      <w:r>
        <w:rPr>
          <w:rFonts w:ascii="Arial" w:cs="Arial" w:eastAsia="Arial" w:hAnsi="Arial"/>
          <w:sz w:val="17"/>
          <w:szCs w:val="17"/>
          <w:b w:val="1"/>
          <w:bCs w:val="1"/>
          <w:color w:val="auto"/>
        </w:rPr>
        <w:t>10.12 Severability</w:t>
      </w:r>
      <w:r>
        <w:rPr>
          <w:rFonts w:ascii="Arial" w:cs="Arial" w:eastAsia="Arial" w:hAnsi="Arial"/>
          <w:sz w:val="17"/>
          <w:szCs w:val="17"/>
          <w:color w:val="auto"/>
        </w:rPr>
        <w:t>. If any provision of this Agreement or the other Loan Documents is held to be illegal, invalid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7"/>
          <w:szCs w:val="17"/>
          <w:u w:val="single" w:color="auto"/>
          <w:color w:val="auto"/>
        </w:rPr>
        <w:t>Section 10.12</w:t>
      </w:r>
      <w:r>
        <w:rPr>
          <w:rFonts w:ascii="Arial" w:cs="Arial" w:eastAsia="Arial" w:hAnsi="Arial"/>
          <w:sz w:val="17"/>
          <w:szCs w:val="17"/>
          <w:color w:val="auto"/>
        </w:rPr>
        <w:t>, if and to the extent that the enforceability of any provisions in this Agreement relating to Defaulting Lenders shall be limited by Debtor Relief Laws, as determined in good faith by the Administrative Agent, then such provisions shall be deemed to be in effect only to the extent not so limited.</w:t>
      </w:r>
    </w:p>
    <w:p>
      <w:pPr>
        <w:spacing w:after="0" w:line="152"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0"/>
          <w:szCs w:val="20"/>
          <w:b w:val="1"/>
          <w:bCs w:val="1"/>
          <w:color w:val="auto"/>
        </w:rPr>
        <w:t>10.13</w:t>
      </w:r>
      <w:r>
        <w:rPr>
          <w:sz w:val="20"/>
          <w:szCs w:val="20"/>
          <w:color w:val="auto"/>
        </w:rPr>
        <w:tab/>
      </w:r>
      <w:r>
        <w:rPr>
          <w:rFonts w:ascii="Arial" w:cs="Arial" w:eastAsia="Arial" w:hAnsi="Arial"/>
          <w:sz w:val="17"/>
          <w:szCs w:val="17"/>
          <w:b w:val="1"/>
          <w:bCs w:val="1"/>
          <w:color w:val="auto"/>
        </w:rPr>
        <w:t>Replacement of Lenders; Termination of Commitments</w:t>
      </w:r>
      <w:r>
        <w:rPr>
          <w:rFonts w:ascii="Arial" w:cs="Arial" w:eastAsia="Arial" w:hAnsi="Arial"/>
          <w:sz w:val="17"/>
          <w:szCs w:val="17"/>
          <w:color w:val="auto"/>
        </w:rPr>
        <w:t>.</w:t>
      </w:r>
    </w:p>
    <w:p>
      <w:pPr>
        <w:spacing w:after="0" w:line="218" w:lineRule="exact"/>
        <w:rPr>
          <w:sz w:val="20"/>
          <w:szCs w:val="20"/>
          <w:color w:val="auto"/>
        </w:rPr>
      </w:pPr>
    </w:p>
    <w:p>
      <w:pPr>
        <w:jc w:val="both"/>
        <w:ind w:firstLine="875"/>
        <w:spacing w:after="0"/>
        <w:tabs>
          <w:tab w:leader="none" w:pos="1490" w:val="left"/>
        </w:tabs>
        <w:numPr>
          <w:ilvl w:val="0"/>
          <w:numId w:val="107"/>
        </w:numPr>
        <w:rPr>
          <w:rFonts w:ascii="Arial" w:cs="Arial" w:eastAsia="Arial" w:hAnsi="Arial"/>
          <w:sz w:val="20"/>
          <w:szCs w:val="20"/>
          <w:color w:val="auto"/>
        </w:rPr>
      </w:pPr>
      <w:r>
        <w:rPr>
          <w:rFonts w:ascii="Arial" w:cs="Arial" w:eastAsia="Arial" w:hAnsi="Arial"/>
          <w:sz w:val="20"/>
          <w:szCs w:val="20"/>
          <w:color w:val="auto"/>
        </w:rPr>
        <w:t xml:space="preserve">If (i) any Lender (or any Participant)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(ii) the Borrower is required to pay any additional amount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(iii) any Lender is a Defaulting Lender or (iv) any Lender fails to approve any amendment, waiver or consent requested by the Borrower pursuant to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that has received the written approval of not less than the Required Lenders but also requires the approval of such Lender, then the Borrower may elect, by delivering written notice to such Lender and the Administrative Agent, to either replace such Lender at its sole expense and effort in accordance with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or terminate all of the Commitments of such Lender in accordance with </w:t>
      </w:r>
      <w:r>
        <w:rPr>
          <w:rFonts w:ascii="Arial" w:cs="Arial" w:eastAsia="Arial" w:hAnsi="Arial"/>
          <w:sz w:val="20"/>
          <w:szCs w:val="20"/>
          <w:u w:val="single" w:color="auto"/>
          <w:color w:val="auto"/>
        </w:rPr>
        <w:t>subsection (c)</w:t>
      </w:r>
      <w:r>
        <w:rPr>
          <w:rFonts w:ascii="Arial" w:cs="Arial" w:eastAsia="Arial" w:hAnsi="Arial"/>
          <w:sz w:val="20"/>
          <w:szCs w:val="20"/>
          <w:color w:val="auto"/>
        </w:rPr>
        <w:t xml:space="preserve"> below.</w:t>
      </w:r>
    </w:p>
    <w:p>
      <w:pPr>
        <w:spacing w:after="0" w:line="197" w:lineRule="exact"/>
        <w:rPr>
          <w:rFonts w:ascii="Arial" w:cs="Arial" w:eastAsia="Arial" w:hAnsi="Arial"/>
          <w:sz w:val="20"/>
          <w:szCs w:val="20"/>
          <w:color w:val="auto"/>
        </w:rPr>
      </w:pPr>
    </w:p>
    <w:p>
      <w:pPr>
        <w:jc w:val="both"/>
        <w:ind w:firstLine="875"/>
        <w:spacing w:after="0" w:line="295" w:lineRule="auto"/>
        <w:tabs>
          <w:tab w:leader="none" w:pos="1591"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If the Borrower elects to replace a Lender in accordance with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above, such Lender shall be required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within 10 Business Days after receipt by such Lender of the Borrower’s written notice of such election, all of its interests, rights and obligations under this Agreement and the related Loan Documents to an assignee identified by the Borrower that shall assume such obligations (which assignee may be another Lender, if a Lender accepts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51" w:lineRule="exact"/>
        <w:rPr>
          <w:sz w:val="20"/>
          <w:szCs w:val="20"/>
          <w:color w:val="auto"/>
        </w:rPr>
      </w:pPr>
    </w:p>
    <w:p>
      <w:pPr>
        <w:ind w:left="880" w:firstLine="799"/>
        <w:spacing w:after="0" w:line="257" w:lineRule="auto"/>
        <w:tabs>
          <w:tab w:leader="none" w:pos="2374" w:val="left"/>
        </w:tabs>
        <w:numPr>
          <w:ilvl w:val="0"/>
          <w:numId w:val="108"/>
        </w:numPr>
        <w:rPr>
          <w:rFonts w:ascii="Arial" w:cs="Arial" w:eastAsia="Arial" w:hAnsi="Arial"/>
          <w:sz w:val="20"/>
          <w:szCs w:val="20"/>
          <w:color w:val="auto"/>
        </w:rPr>
      </w:pPr>
      <w:r>
        <w:rPr>
          <w:rFonts w:ascii="Arial" w:cs="Arial" w:eastAsia="Arial" w:hAnsi="Arial"/>
          <w:sz w:val="20"/>
          <w:szCs w:val="20"/>
          <w:color w:val="auto"/>
        </w:rPr>
        <w:t xml:space="preserve">the Borrower shall have paid to the Administrative Agent the assignment fee specified in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(unless waived by the Administrative Agent);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0920"/>
          </w:cols>
          <w:pgMar w:left="480" w:top="270" w:right="499" w:bottom="1440" w:gutter="0" w:footer="0" w:header="0"/>
        </w:sectPr>
      </w:pPr>
    </w:p>
    <w:bookmarkStart w:id="85" w:name="page86"/>
    <w:bookmarkEnd w:id="85"/>
    <w:p>
      <w:pPr>
        <w:jc w:val="both"/>
        <w:ind w:left="880" w:firstLine="799"/>
        <w:spacing w:after="0" w:line="244" w:lineRule="auto"/>
        <w:tabs>
          <w:tab w:leader="none" w:pos="2508" w:val="left"/>
        </w:tabs>
        <w:numPr>
          <w:ilvl w:val="0"/>
          <w:numId w:val="109"/>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such Lender shall have received payment of an amount equal to the outstanding principal of its Loans,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Borrower (in the case of all other amounts);</w:t>
      </w:r>
    </w:p>
    <w:p>
      <w:pPr>
        <w:spacing w:after="0" w:line="189" w:lineRule="exact"/>
        <w:rPr>
          <w:rFonts w:ascii="Arial" w:cs="Arial" w:eastAsia="Arial" w:hAnsi="Arial"/>
          <w:sz w:val="20"/>
          <w:szCs w:val="20"/>
          <w:color w:val="auto"/>
        </w:rPr>
      </w:pPr>
    </w:p>
    <w:p>
      <w:pPr>
        <w:jc w:val="both"/>
        <w:ind w:left="880" w:firstLine="799"/>
        <w:spacing w:after="0" w:line="247" w:lineRule="auto"/>
        <w:tabs>
          <w:tab w:leader="none" w:pos="24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claim for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payments required to be made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such assignment will result in a reduction in such compensation or payments thereafter;</w:t>
      </w:r>
    </w:p>
    <w:p>
      <w:pPr>
        <w:spacing w:after="0" w:line="187" w:lineRule="exact"/>
        <w:rPr>
          <w:rFonts w:ascii="Arial" w:cs="Arial" w:eastAsia="Arial" w:hAnsi="Arial"/>
          <w:sz w:val="20"/>
          <w:szCs w:val="20"/>
          <w:color w:val="auto"/>
        </w:rPr>
      </w:pPr>
    </w:p>
    <w:p>
      <w:pPr>
        <w:jc w:val="both"/>
        <w:ind w:left="880" w:firstLine="799"/>
        <w:spacing w:after="0" w:line="247" w:lineRule="auto"/>
        <w:tabs>
          <w:tab w:leader="none" w:pos="2368"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 the case of any such assignment resulting from the refusal of a Lender to approve a requested amendment, waiver or consent, the Person to whom such assignment is being made has agreed to approve such amendment, waiver or consent; and</w:t>
      </w:r>
    </w:p>
    <w:p>
      <w:pPr>
        <w:spacing w:after="0" w:line="187" w:lineRule="exact"/>
        <w:rPr>
          <w:rFonts w:ascii="Arial" w:cs="Arial" w:eastAsia="Arial" w:hAnsi="Arial"/>
          <w:sz w:val="20"/>
          <w:szCs w:val="20"/>
          <w:color w:val="auto"/>
        </w:rPr>
      </w:pPr>
    </w:p>
    <w:p>
      <w:pPr>
        <w:ind w:left="2300" w:hanging="621"/>
        <w:spacing w:after="0"/>
        <w:tabs>
          <w:tab w:leader="none" w:pos="230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7" w:lineRule="exact"/>
        <w:rPr>
          <w:sz w:val="20"/>
          <w:szCs w:val="20"/>
          <w:color w:val="auto"/>
        </w:rPr>
      </w:pPr>
    </w:p>
    <w:p>
      <w:pPr>
        <w:jc w:val="both"/>
        <w:ind w:firstLine="875"/>
        <w:spacing w:after="0" w:line="287" w:lineRule="auto"/>
        <w:tabs>
          <w:tab w:leader="none" w:pos="158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If the Borrower elects to terminate the Commitments of a Lender in accordance with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above, all of the Commitments of such Lender shall be terminated immediately (with the Aggregate Commitments reduced in a like amount on a non-pro rata basis) upon the later of (i) the date of the receipt by the Administrative Agent and such Lender of the Borrower’s written notice of such election and (ii) the date that the Borrower has repaid all of outstanding principal of its Loans of such Lender, together with accrued interest thereon, accrued fees and all other amounts payable to it hereunder and under the other Loan Documents (including any amounts under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(which payments may be applied to the Loans, interest, fees and other obligations of such Lender on a non-pro rata basis with payments made to the other Lenders, notwithstanding the provisions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to the contrary);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not terminate the Commitments of a Lender pursuant to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if, after giving effect to such termination and the repayment of Loans of such Lender required hereby, the Total Outstandings would exceed the Aggregate Commitments.</w:t>
      </w:r>
    </w:p>
    <w:p>
      <w:pPr>
        <w:spacing w:after="0" w:line="153" w:lineRule="exact"/>
        <w:rPr>
          <w:sz w:val="20"/>
          <w:szCs w:val="20"/>
          <w:color w:val="auto"/>
        </w:rPr>
      </w:pPr>
    </w:p>
    <w:p>
      <w:pPr>
        <w:ind w:left="880"/>
        <w:spacing w:after="0"/>
        <w:tabs>
          <w:tab w:leader="none" w:pos="1500" w:val="left"/>
        </w:tabs>
        <w:rPr>
          <w:sz w:val="20"/>
          <w:szCs w:val="20"/>
          <w:color w:val="auto"/>
        </w:rPr>
      </w:pPr>
      <w:r>
        <w:rPr>
          <w:rFonts w:ascii="Arial" w:cs="Arial" w:eastAsia="Arial" w:hAnsi="Arial"/>
          <w:sz w:val="20"/>
          <w:szCs w:val="20"/>
          <w:b w:val="1"/>
          <w:bCs w:val="1"/>
          <w:color w:val="auto"/>
        </w:rPr>
        <w:t>10.14</w:t>
      </w:r>
      <w:r>
        <w:rPr>
          <w:sz w:val="20"/>
          <w:szCs w:val="20"/>
          <w:color w:val="auto"/>
        </w:rPr>
        <w:tab/>
      </w:r>
      <w:r>
        <w:rPr>
          <w:rFonts w:ascii="Arial" w:cs="Arial" w:eastAsia="Arial" w:hAnsi="Arial"/>
          <w:sz w:val="17"/>
          <w:szCs w:val="17"/>
          <w:b w:val="1"/>
          <w:bCs w:val="1"/>
          <w:color w:val="auto"/>
        </w:rPr>
        <w:t>Governing Law; Jurisdiction; Etc</w:t>
      </w:r>
      <w:r>
        <w:rPr>
          <w:rFonts w:ascii="Arial" w:cs="Arial" w:eastAsia="Arial" w:hAnsi="Arial"/>
          <w:sz w:val="17"/>
          <w:szCs w:val="17"/>
          <w:color w:val="auto"/>
        </w:rPr>
        <w:t>.</w:t>
      </w:r>
    </w:p>
    <w:p>
      <w:pPr>
        <w:spacing w:after="0" w:line="218" w:lineRule="exact"/>
        <w:rPr>
          <w:sz w:val="20"/>
          <w:szCs w:val="20"/>
          <w:color w:val="auto"/>
        </w:rPr>
      </w:pPr>
    </w:p>
    <w:p>
      <w:pPr>
        <w:ind w:firstLine="875"/>
        <w:spacing w:after="0" w:line="257" w:lineRule="auto"/>
        <w:tabs>
          <w:tab w:leader="none" w:pos="1565"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AND CONSTRUED IN ACCORDANCE WITH, THE LAW OF THE STATE OF NEW YORK.</w:t>
      </w:r>
    </w:p>
    <w:p>
      <w:pPr>
        <w:spacing w:after="0" w:line="176" w:lineRule="exact"/>
        <w:rPr>
          <w:rFonts w:ascii="Arial" w:cs="Arial" w:eastAsia="Arial" w:hAnsi="Arial"/>
          <w:sz w:val="20"/>
          <w:szCs w:val="20"/>
          <w:color w:val="auto"/>
        </w:rPr>
      </w:pPr>
    </w:p>
    <w:p>
      <w:pPr>
        <w:jc w:val="both"/>
        <w:ind w:firstLine="875"/>
        <w:spacing w:after="0" w:line="253" w:lineRule="auto"/>
        <w:tabs>
          <w:tab w:leader="none" w:pos="1562"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IRREVOCABLY AND UNCONDITIONALLY SUBMITS, FOR ITSELF AND ITS PROPERTY, TO THE NONEXCLUSIVE JURISDICTION OF THE COURTS OF THE STATE OF NEW YORK SITTING IN NEW YORK COUNTY AND OF THE UNITED STATES DISTRICT COURT FOR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0920"/>
          </w:cols>
          <w:pgMar w:left="480" w:top="270" w:right="499" w:bottom="1440" w:gutter="0" w:footer="0" w:header="0"/>
        </w:sectPr>
      </w:pPr>
    </w:p>
    <w:bookmarkStart w:id="86" w:name="page87"/>
    <w:bookmarkEnd w:id="86"/>
    <w:p>
      <w:pPr>
        <w:jc w:val="both"/>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THE BORROWER OR ITS PROPERTIES IN THE COURTS OF ANY JURISDICTION.</w:t>
      </w:r>
    </w:p>
    <w:p>
      <w:pPr>
        <w:spacing w:after="0" w:line="189" w:lineRule="exact"/>
        <w:rPr>
          <w:sz w:val="20"/>
          <w:szCs w:val="20"/>
          <w:color w:val="auto"/>
        </w:rPr>
      </w:pPr>
    </w:p>
    <w:p>
      <w:pPr>
        <w:jc w:val="both"/>
        <w:ind w:firstLine="875"/>
        <w:spacing w:after="0"/>
        <w:tabs>
          <w:tab w:leader="none" w:pos="1752"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20"/>
          <w:szCs w:val="20"/>
          <w:u w:val="single" w:color="auto"/>
          <w:color w:val="auto"/>
        </w:rPr>
        <w:t>PARAGRAPH (b)</w:t>
      </w:r>
      <w:r>
        <w:rPr>
          <w:rFonts w:ascii="Arial" w:cs="Arial" w:eastAsia="Arial" w:hAnsi="Arial"/>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7" w:lineRule="exact"/>
        <w:rPr>
          <w:rFonts w:ascii="Arial" w:cs="Arial" w:eastAsia="Arial" w:hAnsi="Arial"/>
          <w:sz w:val="20"/>
          <w:szCs w:val="20"/>
          <w:color w:val="auto"/>
        </w:rPr>
      </w:pPr>
    </w:p>
    <w:p>
      <w:pPr>
        <w:jc w:val="both"/>
        <w:ind w:firstLine="875"/>
        <w:spacing w:after="0" w:line="242" w:lineRule="auto"/>
        <w:tabs>
          <w:tab w:leader="none" w:pos="1575"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10.02</w:t>
      </w:r>
      <w:r>
        <w:rPr>
          <w:rFonts w:ascii="Arial" w:cs="Arial" w:eastAsia="Arial" w:hAnsi="Arial"/>
          <w:sz w:val="20"/>
          <w:szCs w:val="20"/>
          <w:color w:val="auto"/>
        </w:rPr>
        <w:t xml:space="preserve"> TO THE EXTENT NOT PROHIBITED BY APPLICABLE LAW. NOTHING IN THIS AGREEMENT WILL AFFECT THE RIGHT OF ANY PARTY HERETO TO SERVE PROCESS IN ANY OTHER MANNER PERMITTED BY APPLICABLE LAW. EACH PARTY HERETO IRREVOCABLY WAIVES PERSONAL SERVICE OF ANY SUMMONS, COMPLAINT OR OTHER PROCESS.</w:t>
      </w:r>
    </w:p>
    <w:p>
      <w:pPr>
        <w:spacing w:after="0" w:line="187" w:lineRule="exact"/>
        <w:rPr>
          <w:sz w:val="20"/>
          <w:szCs w:val="20"/>
          <w:color w:val="auto"/>
        </w:rPr>
      </w:pPr>
    </w:p>
    <w:p>
      <w:pPr>
        <w:jc w:val="both"/>
        <w:ind w:firstLine="874"/>
        <w:spacing w:after="0" w:line="255" w:lineRule="auto"/>
        <w:rPr>
          <w:sz w:val="20"/>
          <w:szCs w:val="20"/>
          <w:color w:val="auto"/>
        </w:rPr>
      </w:pPr>
      <w:r>
        <w:rPr>
          <w:rFonts w:ascii="Arial" w:cs="Arial" w:eastAsia="Arial" w:hAnsi="Arial"/>
          <w:sz w:val="19"/>
          <w:szCs w:val="19"/>
          <w:b w:val="1"/>
          <w:bCs w:val="1"/>
          <w:color w:val="auto"/>
        </w:rPr>
        <w:t>10.15 Waiver of Jury Trial</w:t>
      </w:r>
      <w:r>
        <w:rPr>
          <w:rFonts w:ascii="Arial" w:cs="Arial" w:eastAsia="Arial" w:hAnsi="Arial"/>
          <w:sz w:val="19"/>
          <w:szCs w:val="19"/>
          <w:color w:val="auto"/>
        </w:rPr>
        <w:t>. EACH PARTY HERETO HEREBY IRREVOCABLY WAIVES, TO THE FULLEST EXTENT</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4" w:lineRule="exact"/>
        <w:rPr>
          <w:sz w:val="20"/>
          <w:szCs w:val="20"/>
          <w:color w:val="auto"/>
        </w:rPr>
      </w:pPr>
    </w:p>
    <w:p>
      <w:pPr>
        <w:jc w:val="both"/>
        <w:ind w:firstLine="874"/>
        <w:spacing w:after="0" w:line="284" w:lineRule="auto"/>
        <w:rPr>
          <w:sz w:val="20"/>
          <w:szCs w:val="20"/>
          <w:color w:val="auto"/>
        </w:rPr>
      </w:pPr>
      <w:r>
        <w:rPr>
          <w:rFonts w:ascii="Arial" w:cs="Arial" w:eastAsia="Arial" w:hAnsi="Arial"/>
          <w:sz w:val="17"/>
          <w:szCs w:val="17"/>
          <w:b w:val="1"/>
          <w:bCs w:val="1"/>
          <w:color w:val="auto"/>
        </w:rPr>
        <w:t>10.16 No Advisory or Fiduciary Responsibility</w:t>
      </w:r>
      <w:r>
        <w:rPr>
          <w:rFonts w:ascii="Arial" w:cs="Arial" w:eastAsia="Arial" w:hAnsi="Arial"/>
          <w:sz w:val="17"/>
          <w:szCs w:val="17"/>
          <w:color w:val="auto"/>
        </w:rPr>
        <w:t>. In connection with all aspects of each transaction contemplated hereby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co-documentation agents and Lenders are arm’s-length commercial transactions between the Borrower and its Affiliates, on the one hand, and the Administrative Agent and the Arrangers, on the other hand,</w:t>
      </w:r>
    </w:p>
    <w:p>
      <w:pPr>
        <w:spacing w:after="0" w:line="4" w:lineRule="exact"/>
        <w:rPr>
          <w:sz w:val="20"/>
          <w:szCs w:val="20"/>
          <w:color w:val="auto"/>
        </w:rPr>
      </w:pPr>
    </w:p>
    <w:p>
      <w:pPr>
        <w:jc w:val="both"/>
        <w:ind w:firstLine="1"/>
        <w:spacing w:after="0" w:line="253" w:lineRule="auto"/>
        <w:tabs>
          <w:tab w:leader="none" w:pos="31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Arrangers, co-documentation agents and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co-documentation agents nor Lenders has any obligation to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0920"/>
          </w:cols>
          <w:pgMar w:left="480" w:top="270" w:right="499" w:bottom="1440" w:gutter="0" w:footer="0" w:header="0"/>
        </w:sectPr>
      </w:pPr>
    </w:p>
    <w:bookmarkStart w:id="87" w:name="page88"/>
    <w:bookmarkEnd w:id="87"/>
    <w:p>
      <w:pPr>
        <w:jc w:val="both"/>
        <w:spacing w:after="0" w:line="29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Borrower or any of its Affiliates with respect to the transactions contemplated hereby except those obligations expressly set forth herein and in the other Loan Documents and (iii) the Administrative Agent, the Arrangers, co-documentation agents and Lenders and their respective Affiliates may be engaged in a broad range of transactions that involve interests that differ from those of the Borrower and its Affiliates, and neither the Administrative Agent, the Arrangers, co-documentation agents nor Lenders has any obligation to disclose any of such interests to the Borrower or its Affiliates. To the fullest extent permitted by law, the Borrower hereby waives and releases any claims that it may have against the Administrative Agent, the Arrangers, co-documentation agents and/or the Lenders with respect to any breach or alleged breach of agency or fiduciary duty in connection with any aspect of any transaction contemplated hereby.</w:t>
      </w:r>
    </w:p>
    <w:p>
      <w:pPr>
        <w:spacing w:after="0" w:line="148" w:lineRule="exact"/>
        <w:rPr>
          <w:sz w:val="20"/>
          <w:szCs w:val="20"/>
          <w:color w:val="auto"/>
        </w:rPr>
      </w:pPr>
    </w:p>
    <w:p>
      <w:pPr>
        <w:jc w:val="both"/>
        <w:ind w:firstLine="874"/>
        <w:spacing w:after="0" w:line="287" w:lineRule="auto"/>
        <w:rPr>
          <w:sz w:val="20"/>
          <w:szCs w:val="20"/>
          <w:color w:val="auto"/>
        </w:rPr>
      </w:pPr>
      <w:r>
        <w:rPr>
          <w:rFonts w:ascii="Arial" w:cs="Arial" w:eastAsia="Arial" w:hAnsi="Arial"/>
          <w:sz w:val="17"/>
          <w:szCs w:val="17"/>
          <w:b w:val="1"/>
          <w:bCs w:val="1"/>
          <w:color w:val="auto"/>
        </w:rPr>
        <w:t>10.17 Electronic Execution of Assignments and Certain Other Documents</w:t>
      </w:r>
      <w:r>
        <w:rPr>
          <w:rFonts w:ascii="Arial" w:cs="Arial" w:eastAsia="Arial" w:hAnsi="Arial"/>
          <w:sz w:val="17"/>
          <w:szCs w:val="17"/>
          <w:color w:val="auto"/>
        </w:rPr>
        <w:t>. The words “execute,” “execution,” “signed,”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“signature,” and words of like import in or related to any document to be signed in connection with this Agreement and the transactions contemplated hereby (including without limitation Assignment and Assumptions, amendments or other modifications,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381" w:lineRule="exact"/>
        <w:rPr>
          <w:sz w:val="20"/>
          <w:szCs w:val="20"/>
          <w:color w:val="auto"/>
        </w:rPr>
      </w:pPr>
    </w:p>
    <w:p>
      <w:pPr>
        <w:jc w:val="both"/>
        <w:ind w:firstLine="874"/>
        <w:spacing w:after="0" w:line="255" w:lineRule="auto"/>
        <w:rPr>
          <w:sz w:val="20"/>
          <w:szCs w:val="20"/>
          <w:color w:val="auto"/>
        </w:rPr>
      </w:pPr>
      <w:r>
        <w:rPr>
          <w:rFonts w:ascii="Arial" w:cs="Arial" w:eastAsia="Arial" w:hAnsi="Arial"/>
          <w:sz w:val="19"/>
          <w:szCs w:val="19"/>
          <w:b w:val="1"/>
          <w:bCs w:val="1"/>
          <w:color w:val="auto"/>
        </w:rPr>
        <w:t>10.18 USA PATRIOT Act Notice</w:t>
      </w:r>
      <w:r>
        <w:rPr>
          <w:rFonts w:ascii="Arial" w:cs="Arial" w:eastAsia="Arial" w:hAnsi="Arial"/>
          <w:sz w:val="19"/>
          <w:szCs w:val="19"/>
          <w:color w:val="auto"/>
        </w:rPr>
        <w:t>. Each Lender that is subject to the Act (as hereinafter defined) and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(for itself and not on behalf of any Lender) hereby notifies the Borrower that pursuant to the requirements of the USA PATRIOT Act (Title III of Pub. L. 107-56 (signed into law October 26, 2001)) (the “</w:t>
      </w:r>
      <w:r>
        <w:rPr>
          <w:rFonts w:ascii="Arial" w:cs="Arial" w:eastAsia="Arial" w:hAnsi="Arial"/>
          <w:sz w:val="19"/>
          <w:szCs w:val="19"/>
          <w:u w:val="single" w:color="auto"/>
          <w:color w:val="auto"/>
        </w:rPr>
        <w:t>Act</w:t>
      </w:r>
      <w:r>
        <w:rPr>
          <w:rFonts w:ascii="Arial" w:cs="Arial" w:eastAsia="Arial" w:hAnsi="Arial"/>
          <w:sz w:val="19"/>
          <w:szCs w:val="19"/>
          <w:color w:val="auto"/>
        </w:rPr>
        <w:t>”), it is required to obtain, verify and record information that identifies the Borrower, which information includes the name and address of the Borrower, tax identification number and other information that will allow such Lender or the Administrative Agent, as applicable, to identify the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78" w:lineRule="exact"/>
        <w:rPr>
          <w:sz w:val="20"/>
          <w:szCs w:val="20"/>
          <w:color w:val="auto"/>
        </w:rPr>
      </w:pPr>
    </w:p>
    <w:p>
      <w:pPr>
        <w:jc w:val="both"/>
        <w:ind w:firstLine="874"/>
        <w:spacing w:after="0" w:line="242" w:lineRule="auto"/>
        <w:rPr>
          <w:sz w:val="20"/>
          <w:szCs w:val="20"/>
          <w:color w:val="auto"/>
        </w:rPr>
      </w:pPr>
      <w:r>
        <w:rPr>
          <w:rFonts w:ascii="Arial" w:cs="Arial" w:eastAsia="Arial" w:hAnsi="Arial"/>
          <w:sz w:val="20"/>
          <w:szCs w:val="20"/>
          <w:b w:val="1"/>
          <w:bCs w:val="1"/>
          <w:color w:val="auto"/>
        </w:rPr>
        <w:t>10.19 Acknowledgement and Consent to Bail-In of Affected Financial Institutions</w:t>
      </w:r>
      <w:r>
        <w:rPr>
          <w:rFonts w:ascii="Arial" w:cs="Arial" w:eastAsia="Arial" w:hAnsi="Arial"/>
          <w:sz w:val="20"/>
          <w:szCs w:val="20"/>
          <w:color w:val="auto"/>
        </w:rPr>
        <w:t>. Solely to the extent any Lender that is</w:t>
      </w:r>
      <w:r>
        <w:rPr>
          <w:rFonts w:ascii="Arial" w:cs="Arial" w:eastAsia="Arial" w:hAnsi="Arial"/>
          <w:sz w:val="20"/>
          <w:szCs w:val="20"/>
          <w:b w:val="1"/>
          <w:bCs w:val="1"/>
          <w:color w:val="auto"/>
        </w:rPr>
        <w:t xml:space="preserve"> </w:t>
      </w:r>
      <w:r>
        <w:rPr>
          <w:rFonts w:ascii="Arial" w:cs="Arial" w:eastAsia="Arial" w:hAnsi="Arial"/>
          <w:sz w:val="20"/>
          <w:szCs w:val="20"/>
          <w:color w:val="auto"/>
        </w:rPr>
        <w:t>an Affected Financial Institution is a party to this Agreement and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5" w:lineRule="exact"/>
        <w:rPr>
          <w:sz w:val="20"/>
          <w:szCs w:val="20"/>
          <w:color w:val="auto"/>
        </w:rPr>
      </w:pPr>
    </w:p>
    <w:p>
      <w:pPr>
        <w:ind w:firstLine="875"/>
        <w:spacing w:after="0" w:line="257" w:lineRule="auto"/>
        <w:tabs>
          <w:tab w:leader="none" w:pos="174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76" w:lineRule="exact"/>
        <w:rPr>
          <w:rFonts w:ascii="Arial" w:cs="Arial" w:eastAsia="Arial" w:hAnsi="Arial"/>
          <w:sz w:val="20"/>
          <w:szCs w:val="20"/>
          <w:color w:val="auto"/>
        </w:rPr>
      </w:pPr>
    </w:p>
    <w:p>
      <w:pPr>
        <w:ind w:left="1500" w:hanging="625"/>
        <w:spacing w:after="0"/>
        <w:tabs>
          <w:tab w:leader="none" w:pos="15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0920"/>
          </w:cols>
          <w:pgMar w:left="480" w:top="270" w:right="499" w:bottom="1440" w:gutter="0" w:footer="0" w:header="0"/>
        </w:sectPr>
      </w:pPr>
    </w:p>
    <w:bookmarkStart w:id="88" w:name="page89"/>
    <w:bookmarkEnd w:id="88"/>
    <w:p>
      <w:pPr>
        <w:ind w:left="2260" w:hanging="581"/>
        <w:spacing w:after="0"/>
        <w:tabs>
          <w:tab w:leader="none" w:pos="2260" w:val="left"/>
        </w:tabs>
        <w:numPr>
          <w:ilvl w:val="0"/>
          <w:numId w:val="115"/>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 reduction in full or in part or cancellation of any such liability;</w:t>
      </w:r>
    </w:p>
    <w:p>
      <w:pPr>
        <w:spacing w:after="0" w:line="211" w:lineRule="exact"/>
        <w:rPr>
          <w:rFonts w:ascii="Arial" w:cs="Arial" w:eastAsia="Arial" w:hAnsi="Arial"/>
          <w:sz w:val="20"/>
          <w:szCs w:val="20"/>
          <w:color w:val="auto"/>
        </w:rPr>
      </w:pPr>
    </w:p>
    <w:p>
      <w:pPr>
        <w:jc w:val="both"/>
        <w:ind w:left="880" w:firstLine="799"/>
        <w:spacing w:after="0" w:line="244" w:lineRule="auto"/>
        <w:tabs>
          <w:tab w:leader="none" w:pos="250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9" w:lineRule="exact"/>
        <w:rPr>
          <w:rFonts w:ascii="Arial" w:cs="Arial" w:eastAsia="Arial" w:hAnsi="Arial"/>
          <w:sz w:val="20"/>
          <w:szCs w:val="20"/>
          <w:color w:val="auto"/>
        </w:rPr>
      </w:pPr>
    </w:p>
    <w:p>
      <w:pPr>
        <w:ind w:left="880" w:firstLine="799"/>
        <w:spacing w:after="0" w:line="257" w:lineRule="auto"/>
        <w:tabs>
          <w:tab w:leader="none" w:pos="2688"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1" w:lineRule="exact"/>
        <w:rPr>
          <w:sz w:val="20"/>
          <w:szCs w:val="20"/>
          <w:color w:val="auto"/>
        </w:rPr>
      </w:pPr>
    </w:p>
    <w:p>
      <w:pPr>
        <w:jc w:val="both"/>
        <w:ind w:left="120" w:firstLine="865"/>
        <w:spacing w:after="0" w:line="255" w:lineRule="auto"/>
        <w:rPr>
          <w:sz w:val="20"/>
          <w:szCs w:val="20"/>
          <w:color w:val="auto"/>
        </w:rPr>
      </w:pPr>
      <w:r>
        <w:rPr>
          <w:rFonts w:ascii="Arial" w:cs="Arial" w:eastAsia="Arial" w:hAnsi="Arial"/>
          <w:sz w:val="19"/>
          <w:szCs w:val="19"/>
          <w:b w:val="1"/>
          <w:bCs w:val="1"/>
          <w:color w:val="auto"/>
        </w:rPr>
        <w:t>10.20 Acknowledgement Regarding Any Supported QFCs</w:t>
      </w:r>
      <w:r>
        <w:rPr>
          <w:rFonts w:ascii="Arial" w:cs="Arial" w:eastAsia="Arial" w:hAnsi="Arial"/>
          <w:sz w:val="19"/>
          <w:szCs w:val="19"/>
          <w:color w:val="auto"/>
        </w:rPr>
        <w:t>. To the extent that the Loan Documents provide support,</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a guarantee or otherwise, for any Swap Contract or any other agreement or instrument that is a QFC (such support, “</w:t>
      </w:r>
      <w:r>
        <w:rPr>
          <w:rFonts w:ascii="Arial" w:cs="Arial" w:eastAsia="Arial" w:hAnsi="Arial"/>
          <w:sz w:val="19"/>
          <w:szCs w:val="19"/>
          <w:u w:val="single" w:color="auto"/>
          <w:color w:val="auto"/>
        </w:rPr>
        <w:t>QFC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Suppor</w:t>
      </w:r>
      <w:r>
        <w:rPr>
          <w:rFonts w:ascii="Arial" w:cs="Arial" w:eastAsia="Arial" w:hAnsi="Arial"/>
          <w:sz w:val="19"/>
          <w:szCs w:val="19"/>
          <w:color w:val="auto"/>
        </w:rPr>
        <w:t>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4" w:lineRule="exact"/>
        <w:rPr>
          <w:sz w:val="20"/>
          <w:szCs w:val="20"/>
          <w:color w:val="auto"/>
        </w:rPr>
      </w:pPr>
    </w:p>
    <w:p>
      <w:pPr>
        <w:jc w:val="both"/>
        <w:ind w:firstLine="875"/>
        <w:spacing w:after="0" w:line="285" w:lineRule="auto"/>
        <w:tabs>
          <w:tab w:leader="none" w:pos="170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0" w:lineRule="exact"/>
        <w:rPr>
          <w:rFonts w:ascii="Arial" w:cs="Arial" w:eastAsia="Arial" w:hAnsi="Arial"/>
          <w:sz w:val="17"/>
          <w:szCs w:val="17"/>
          <w:color w:val="auto"/>
        </w:rPr>
      </w:pPr>
    </w:p>
    <w:p>
      <w:pPr>
        <w:ind w:left="1480" w:hanging="605"/>
        <w:spacing w:after="0"/>
        <w:tabs>
          <w:tab w:leader="none" w:pos="14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10.20</w:t>
      </w:r>
      <w:r>
        <w:rPr>
          <w:rFonts w:ascii="Arial" w:cs="Arial" w:eastAsia="Arial" w:hAnsi="Arial"/>
          <w:sz w:val="20"/>
          <w:szCs w:val="20"/>
          <w:color w:val="auto"/>
        </w:rPr>
        <w:t>, the following terms have the following meanings:</w:t>
      </w:r>
    </w:p>
    <w:p>
      <w:pPr>
        <w:spacing w:after="0" w:line="212" w:lineRule="exact"/>
        <w:rPr>
          <w:sz w:val="20"/>
          <w:szCs w:val="20"/>
          <w:color w:val="auto"/>
        </w:rPr>
      </w:pPr>
    </w:p>
    <w:p>
      <w:pPr>
        <w:jc w:val="both"/>
        <w:ind w:left="660" w:firstLine="61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jc w:val="both"/>
        <w:ind w:left="660" w:firstLine="616"/>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35" w:lineRule="exact"/>
        <w:rPr>
          <w:sz w:val="20"/>
          <w:szCs w:val="20"/>
          <w:color w:val="auto"/>
        </w:rPr>
      </w:pPr>
    </w:p>
    <w:p>
      <w:pPr>
        <w:jc w:val="both"/>
        <w:ind w:left="660" w:firstLine="616"/>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0920"/>
          </w:cols>
          <w:pgMar w:left="480" w:top="270" w:right="499" w:bottom="1440" w:gutter="0" w:footer="0" w:header="0"/>
        </w:sectPr>
      </w:pPr>
    </w:p>
    <w:bookmarkStart w:id="89" w:name="page90"/>
    <w:bookmarkEnd w:id="89"/>
    <w:p>
      <w:pPr>
        <w:ind w:left="540" w:firstLine="616"/>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71" w:lineRule="exact"/>
        <w:rPr>
          <w:sz w:val="20"/>
          <w:szCs w:val="20"/>
          <w:color w:val="auto"/>
        </w:rPr>
      </w:pPr>
    </w:p>
    <w:p>
      <w:pPr>
        <w:jc w:val="both"/>
        <w:ind w:firstLine="865"/>
        <w:spacing w:after="0" w:line="246" w:lineRule="auto"/>
        <w:rPr>
          <w:sz w:val="20"/>
          <w:szCs w:val="20"/>
          <w:color w:val="auto"/>
        </w:rPr>
      </w:pPr>
      <w:r>
        <w:rPr>
          <w:rFonts w:ascii="Arial" w:cs="Arial" w:eastAsia="Arial" w:hAnsi="Arial"/>
          <w:sz w:val="20"/>
          <w:szCs w:val="20"/>
          <w:b w:val="1"/>
          <w:bCs w:val="1"/>
          <w:color w:val="auto"/>
        </w:rPr>
        <w:t>10.21 ENTIRE AGREEMENT. 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[Remainder of page is intentionally left blank; signature pages follow]</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0800"/>
          </w:cols>
          <w:pgMar w:left="600" w:top="270" w:right="49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caused this Agreement to be duly executed as of the date first above written.</w:t>
      </w:r>
    </w:p>
    <w:p>
      <w:pPr>
        <w:spacing w:after="0" w:line="26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REPUBLIC SERVICES, INC.</w:t>
      </w:r>
    </w:p>
    <w:p>
      <w:pPr>
        <w:spacing w:after="0" w:line="325" w:lineRule="exact"/>
        <w:rPr>
          <w:sz w:val="20"/>
          <w:szCs w:val="20"/>
          <w:color w:val="auto"/>
        </w:rPr>
      </w:pPr>
    </w:p>
    <w:p>
      <w:pPr>
        <w:ind w:left="5140"/>
        <w:spacing w:after="0"/>
        <w:tabs>
          <w:tab w:leader="none" w:pos="5600" w:val="left"/>
        </w:tabs>
        <w:rPr>
          <w:sz w:val="20"/>
          <w:szCs w:val="20"/>
          <w:color w:val="auto"/>
        </w:rPr>
      </w:pPr>
      <w:r>
        <w:rPr>
          <w:rFonts w:ascii="Arial" w:cs="Arial" w:eastAsia="Arial" w:hAnsi="Arial"/>
          <w:sz w:val="20"/>
          <w:szCs w:val="20"/>
          <w:color w:val="auto"/>
        </w:rPr>
        <w:t>By:</w:t>
        <w:tab/>
        <w:t>/s/ Calvin R.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8890</wp:posOffset>
            </wp:positionV>
            <wp:extent cx="28060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4" w:lineRule="exact"/>
        <w:rPr>
          <w:sz w:val="20"/>
          <w:szCs w:val="20"/>
          <w:color w:val="auto"/>
        </w:rPr>
      </w:pPr>
    </w:p>
    <w:p>
      <w:pPr>
        <w:ind w:left="5140"/>
        <w:spacing w:after="0"/>
        <w:tabs>
          <w:tab w:leader="none" w:pos="5860" w:val="left"/>
        </w:tabs>
        <w:rPr>
          <w:sz w:val="20"/>
          <w:szCs w:val="20"/>
          <w:color w:val="auto"/>
        </w:rPr>
      </w:pPr>
      <w:r>
        <w:rPr>
          <w:rFonts w:ascii="Arial" w:cs="Arial" w:eastAsia="Arial" w:hAnsi="Arial"/>
          <w:sz w:val="20"/>
          <w:szCs w:val="20"/>
          <w:color w:val="auto"/>
        </w:rPr>
        <w:t>Name:</w:t>
        <w:tab/>
        <w:t>Calvin R. Boyd</w:t>
      </w:r>
    </w:p>
    <w:p>
      <w:pPr>
        <w:spacing w:after="0" w:line="14" w:lineRule="exact"/>
        <w:rPr>
          <w:sz w:val="20"/>
          <w:szCs w:val="20"/>
          <w:color w:val="auto"/>
        </w:rPr>
      </w:pPr>
    </w:p>
    <w:p>
      <w:pPr>
        <w:ind w:left="5140"/>
        <w:spacing w:after="0"/>
        <w:tabs>
          <w:tab w:leader="none" w:pos="5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Assistant Treasurer</w:t>
      </w:r>
    </w:p>
    <w:p>
      <w:pPr>
        <w:spacing w:after="0" w:line="131"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Credit Agreement (2020)</w:t>
      </w:r>
    </w:p>
    <w:p>
      <w:pPr>
        <w:spacing w:after="0" w:line="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00"/>
          </w:cols>
          <w:pgMar w:left="1360" w:top="270" w:right="53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BANK OF AMERICA, N.A.</w:t>
      </w:r>
      <w:r>
        <w:rPr>
          <w:rFonts w:ascii="Arial" w:cs="Arial" w:eastAsia="Arial" w:hAnsi="Arial"/>
          <w:sz w:val="20"/>
          <w:szCs w:val="20"/>
          <w:color w:val="auto"/>
        </w:rPr>
        <w:t>, as Administrative Agent</w:t>
      </w:r>
    </w:p>
    <w:p>
      <w:pPr>
        <w:spacing w:after="0" w:line="322"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Mollie S. Canup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2540</wp:posOffset>
            </wp:positionV>
            <wp:extent cx="28060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2"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Mollie S. Canup</w:t>
      </w:r>
    </w:p>
    <w:p>
      <w:pPr>
        <w:spacing w:after="0" w:line="6"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440"/>
          </w:cols>
          <w:pgMar w:left="1440" w:top="264" w:right="1019" w:bottom="1440" w:gutter="0" w:footer="0" w:header="0"/>
        </w:sectPr>
      </w:pPr>
    </w:p>
    <w:bookmarkStart w:id="92" w:name="page93"/>
    <w:bookmarkEnd w:id="92"/>
    <w:p>
      <w:pPr>
        <w:jc w:val="right"/>
        <w:ind w:right="5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BANK OF AMERICA, N.A.</w:t>
      </w:r>
      <w:r>
        <w:rPr>
          <w:rFonts w:ascii="Arial" w:cs="Arial" w:eastAsia="Arial" w:hAnsi="Arial"/>
          <w:sz w:val="20"/>
          <w:szCs w:val="20"/>
          <w:color w:val="auto"/>
        </w:rPr>
        <w:t>, as a Lender</w:t>
      </w:r>
    </w:p>
    <w:p>
      <w:pPr>
        <w:spacing w:after="0" w:line="32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20"/>
          <w:szCs w:val="20"/>
          <w:color w:val="auto"/>
        </w:rPr>
        <w:t>By:</w:t>
        <w:tab/>
        <w:t>/s/ Michael Contreras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8890</wp:posOffset>
            </wp:positionV>
            <wp:extent cx="28060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Michael Contreras</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JPMORGAN CHASE BANK, N.A.</w:t>
      </w:r>
      <w:r>
        <w:rPr>
          <w:rFonts w:ascii="Arial" w:cs="Arial" w:eastAsia="Arial" w:hAnsi="Arial"/>
          <w:sz w:val="20"/>
          <w:szCs w:val="20"/>
          <w:color w:val="auto"/>
        </w:rPr>
        <w:t>, as a Lender</w:t>
      </w:r>
    </w:p>
    <w:p>
      <w:pPr>
        <w:spacing w:after="0" w:line="325"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8890</wp:posOffset>
            </wp:positionV>
            <wp:extent cx="28314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Peter S. Predun</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Director</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20"/>
          </w:cols>
          <w:pgMar w:left="1440" w:top="264" w:right="1439" w:bottom="1440" w:gutter="0" w:footer="0" w:header="0"/>
        </w:sectPr>
      </w:pPr>
    </w:p>
    <w:bookmarkStart w:id="94" w:name="page95"/>
    <w:bookmarkEnd w:id="94"/>
    <w:p>
      <w:pPr>
        <w:ind w:left="50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WELLS FARGO BANK, NATIONAL ASSOCIATION,</w:t>
      </w:r>
    </w:p>
    <w:p>
      <w:pPr>
        <w:spacing w:after="0" w:line="3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as a Lender</w:t>
      </w:r>
    </w:p>
    <w:p>
      <w:pPr>
        <w:spacing w:after="0" w:line="30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20"/>
          <w:szCs w:val="20"/>
          <w:color w:val="auto"/>
        </w:rPr>
        <w:t>By:</w:t>
        <w:tab/>
        <w:t>/s/ Kara Treiber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8890</wp:posOffset>
            </wp:positionV>
            <wp:extent cx="28060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Kara Treiber</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131"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00"/>
          </w:cols>
          <w:pgMar w:left="1440" w:top="264" w:right="759" w:bottom="1440" w:gutter="0" w:footer="0" w:header="0"/>
        </w:sectPr>
      </w:pPr>
    </w:p>
    <w:bookmarkStart w:id="95" w:name="page96"/>
    <w:bookmarkEnd w:id="95"/>
    <w:p>
      <w:pPr>
        <w:jc w:val="right"/>
        <w:ind w:right="8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BARCLAYS BANK PLC</w:t>
      </w:r>
      <w:r>
        <w:rPr>
          <w:rFonts w:ascii="Arial" w:cs="Arial" w:eastAsia="Arial" w:hAnsi="Arial"/>
          <w:sz w:val="20"/>
          <w:szCs w:val="20"/>
          <w:color w:val="auto"/>
        </w:rPr>
        <w:t>, as a Lender</w:t>
      </w:r>
    </w:p>
    <w:p>
      <w:pPr>
        <w:spacing w:after="0" w:line="32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20"/>
          <w:szCs w:val="20"/>
          <w:color w:val="auto"/>
        </w:rPr>
        <w:t>By:</w:t>
        <w:tab/>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8890</wp:posOffset>
            </wp:positionV>
            <wp:extent cx="28060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Craig Malloy</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Director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96" w:name="page97"/>
    <w:bookmarkEnd w:id="96"/>
    <w:p>
      <w:pPr>
        <w:jc w:val="right"/>
        <w:ind w:right="16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BNP PARIBAS, </w:t>
      </w:r>
      <w:r>
        <w:rPr>
          <w:rFonts w:ascii="Arial" w:cs="Arial" w:eastAsia="Arial" w:hAnsi="Arial"/>
          <w:sz w:val="20"/>
          <w:szCs w:val="20"/>
          <w:color w:val="auto"/>
        </w:rPr>
        <w:t>as a Lender</w:t>
      </w:r>
    </w:p>
    <w:p>
      <w:pPr>
        <w:spacing w:after="0" w:line="32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20"/>
          <w:szCs w:val="20"/>
          <w:color w:val="auto"/>
        </w:rPr>
        <w:t>By:</w:t>
        <w:tab/>
        <w:t>/s/ Mike Shryock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8890</wp:posOffset>
            </wp:positionV>
            <wp:extent cx="28060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Mike Shryock</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Managing Director</w:t>
      </w:r>
    </w:p>
    <w:p>
      <w:pPr>
        <w:spacing w:after="0" w:line="337"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Claudia Zarate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16510</wp:posOffset>
            </wp:positionV>
            <wp:extent cx="26441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Claudia Zarate</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Managing Director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97" w:name="page98"/>
    <w:bookmarkEnd w:id="97"/>
    <w:p>
      <w:pPr>
        <w:jc w:val="right"/>
        <w:ind w:right="97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MIZUHO BANK, LTD.</w:t>
      </w:r>
      <w:r>
        <w:rPr>
          <w:rFonts w:ascii="Arial" w:cs="Arial" w:eastAsia="Arial" w:hAnsi="Arial"/>
          <w:sz w:val="20"/>
          <w:szCs w:val="20"/>
          <w:color w:val="auto"/>
        </w:rPr>
        <w:t>, as a Lender</w:t>
      </w:r>
    </w:p>
    <w:p>
      <w:pPr>
        <w:spacing w:after="0" w:line="32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20"/>
          <w:szCs w:val="20"/>
          <w:color w:val="auto"/>
        </w:rPr>
        <w:t>By:</w:t>
        <w:tab/>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8890</wp:posOffset>
            </wp:positionV>
            <wp:extent cx="28060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Donna DeMagistris</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98" w:name="page99"/>
    <w:bookmarkEnd w:id="98"/>
    <w:p>
      <w:pPr>
        <w:jc w:val="right"/>
        <w:ind w:right="12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MUFG BANK, LTD.</w:t>
      </w:r>
      <w:r>
        <w:rPr>
          <w:rFonts w:ascii="Arial" w:cs="Arial" w:eastAsia="Arial" w:hAnsi="Arial"/>
          <w:sz w:val="20"/>
          <w:szCs w:val="20"/>
          <w:color w:val="auto"/>
        </w:rPr>
        <w:t>, as a Lender</w:t>
      </w:r>
    </w:p>
    <w:p>
      <w:pPr>
        <w:spacing w:after="0" w:line="32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20"/>
          <w:szCs w:val="20"/>
          <w:color w:val="auto"/>
        </w:rPr>
        <w:t>By:</w:t>
        <w:tab/>
        <w:t>/s/ Meng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8890</wp:posOffset>
            </wp:positionV>
            <wp:extent cx="28060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Meng Zhang</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99" w:name="page100"/>
    <w:bookmarkEnd w:id="99"/>
    <w:p>
      <w:pPr>
        <w:ind w:left="50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SUMITOMO MITSUI BANKING CORPORATION,</w:t>
      </w:r>
    </w:p>
    <w:p>
      <w:pPr>
        <w:spacing w:after="0" w:line="20"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as a Lender</w:t>
      </w:r>
    </w:p>
    <w:p>
      <w:pPr>
        <w:spacing w:after="0" w:line="30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20"/>
          <w:szCs w:val="20"/>
          <w:color w:val="auto"/>
        </w:rPr>
        <w:t>By:</w:t>
        <w:tab/>
        <w:t>/s/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8890</wp:posOffset>
            </wp:positionV>
            <wp:extent cx="28060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06065"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Michael Maguire</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20"/>
          </w:cols>
          <w:pgMar w:left="1440" w:top="264" w:right="939" w:bottom="1440" w:gutter="0" w:footer="0" w:header="0"/>
        </w:sectPr>
      </w:pPr>
    </w:p>
    <w:bookmarkStart w:id="100" w:name="page101"/>
    <w:bookmarkEnd w:id="100"/>
    <w:p>
      <w:pPr>
        <w:jc w:val="right"/>
        <w:ind w:right="1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BANK OF NOVA SCOTIA, </w:t>
      </w:r>
      <w:r>
        <w:rPr>
          <w:rFonts w:ascii="Arial" w:cs="Arial" w:eastAsia="Arial" w:hAnsi="Arial"/>
          <w:sz w:val="20"/>
          <w:szCs w:val="20"/>
          <w:color w:val="auto"/>
        </w:rPr>
        <w:t>as a Lender</w:t>
      </w:r>
    </w:p>
    <w:p>
      <w:pPr>
        <w:spacing w:after="0" w:line="325"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Robb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8890</wp:posOffset>
            </wp:positionV>
            <wp:extent cx="28651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Robb Gass</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101" w:name="page102"/>
    <w:bookmarkEnd w:id="101"/>
    <w:p>
      <w:pPr>
        <w:ind w:left="50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TRUIST BANK, </w:t>
      </w:r>
      <w:r>
        <w:rPr>
          <w:rFonts w:ascii="Arial" w:cs="Arial" w:eastAsia="Arial" w:hAnsi="Arial"/>
          <w:sz w:val="20"/>
          <w:szCs w:val="20"/>
          <w:color w:val="auto"/>
        </w:rPr>
        <w:t>as a Lender</w:t>
      </w:r>
    </w:p>
    <w:p>
      <w:pPr>
        <w:spacing w:after="0" w:line="325"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Brett Ross</w:t>
      </w:r>
    </w:p>
    <w:p>
      <w:pPr>
        <w:spacing w:after="0" w:line="34" w:lineRule="exact"/>
        <w:rPr>
          <w:sz w:val="20"/>
          <w:szCs w:val="20"/>
          <w:color w:val="auto"/>
        </w:rPr>
      </w:pPr>
    </w:p>
    <w:tbl>
      <w:tblPr>
        <w:tblLayout w:type="fixed"/>
        <w:tblInd w:w="5060" w:type="dxa"/>
        <w:tblCellMar>
          <w:top w:w="0" w:type="dxa"/>
          <w:left w:w="0" w:type="dxa"/>
          <w:bottom w:w="0" w:type="dxa"/>
          <w:right w:w="0" w:type="dxa"/>
        </w:tblCellMar>
      </w:tblP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198"/>
        </w:trPr>
        <w:tc>
          <w:tcPr>
            <w:tcW w:w="620" w:type="dxa"/>
            <w:vAlign w:val="bottom"/>
            <w:gridSpan w:val="2"/>
          </w:tcPr>
          <w:p>
            <w:pPr>
              <w:spacing w:after="0" w:line="198" w:lineRule="exact"/>
              <w:rPr>
                <w:sz w:val="20"/>
                <w:szCs w:val="20"/>
                <w:color w:val="auto"/>
              </w:rPr>
            </w:pPr>
            <w:r>
              <w:rPr>
                <w:rFonts w:ascii="Arial" w:cs="Arial" w:eastAsia="Arial" w:hAnsi="Arial"/>
                <w:sz w:val="20"/>
                <w:szCs w:val="20"/>
                <w:color w:val="auto"/>
              </w:rPr>
              <w:t>Name:</w:t>
            </w:r>
          </w:p>
        </w:tc>
        <w:tc>
          <w:tcPr>
            <w:tcW w:w="4300" w:type="dxa"/>
            <w:vAlign w:val="bottom"/>
          </w:tcPr>
          <w:p>
            <w:pPr>
              <w:ind w:left="120"/>
              <w:spacing w:after="0" w:line="198" w:lineRule="exact"/>
              <w:rPr>
                <w:sz w:val="20"/>
                <w:szCs w:val="20"/>
                <w:color w:val="auto"/>
              </w:rPr>
            </w:pPr>
            <w:r>
              <w:rPr>
                <w:rFonts w:ascii="Arial" w:cs="Arial" w:eastAsia="Arial" w:hAnsi="Arial"/>
                <w:sz w:val="20"/>
                <w:szCs w:val="20"/>
                <w:color w:val="auto"/>
              </w:rPr>
              <w:t>Brett Ross</w:t>
            </w:r>
          </w:p>
        </w:tc>
      </w:tr>
      <w:tr>
        <w:trPr>
          <w:trHeight w:val="249"/>
        </w:trPr>
        <w:tc>
          <w:tcPr>
            <w:tcW w:w="62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ind w:left="120"/>
              <w:spacing w:after="0"/>
              <w:rPr>
                <w:sz w:val="20"/>
                <w:szCs w:val="20"/>
                <w:color w:val="auto"/>
              </w:rPr>
            </w:pPr>
            <w:r>
              <w:rPr>
                <w:rFonts w:ascii="Arial" w:cs="Arial" w:eastAsia="Arial" w:hAnsi="Arial"/>
                <w:sz w:val="20"/>
                <w:szCs w:val="20"/>
                <w:color w:val="auto"/>
              </w:rPr>
              <w:t>Senior Vice President</w:t>
            </w:r>
          </w:p>
        </w:tc>
      </w:tr>
    </w:tbl>
    <w:p>
      <w:pPr>
        <w:spacing w:after="0" w:line="128"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980"/>
          </w:cols>
          <w:pgMar w:left="1440" w:top="264" w:right="479" w:bottom="1440" w:gutter="0" w:footer="0" w:header="0"/>
        </w:sectPr>
      </w:pPr>
    </w:p>
    <w:bookmarkStart w:id="102" w:name="page103"/>
    <w:bookmarkEnd w:id="102"/>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U.S. BANK NATIONAL ASSOCIATION, </w:t>
      </w:r>
      <w:r>
        <w:rPr>
          <w:rFonts w:ascii="Arial" w:cs="Arial" w:eastAsia="Arial" w:hAnsi="Arial"/>
          <w:sz w:val="20"/>
          <w:szCs w:val="20"/>
          <w:color w:val="auto"/>
        </w:rPr>
        <w:t>as a Lender</w:t>
      </w:r>
    </w:p>
    <w:p>
      <w:pPr>
        <w:spacing w:after="0" w:line="325"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Marty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8890</wp:posOffset>
            </wp:positionV>
            <wp:extent cx="28651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Marty McDonald</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13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520"/>
          </w:cols>
          <w:pgMar w:left="1440" w:top="264" w:right="939" w:bottom="1440" w:gutter="0" w:footer="0" w:header="0"/>
        </w:sectPr>
      </w:pPr>
    </w:p>
    <w:bookmarkStart w:id="103" w:name="page104"/>
    <w:bookmarkEnd w:id="103"/>
    <w:p>
      <w:pPr>
        <w:jc w:val="right"/>
        <w:ind w:right="15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COBANK, ACB, </w:t>
      </w:r>
      <w:r>
        <w:rPr>
          <w:rFonts w:ascii="Arial" w:cs="Arial" w:eastAsia="Arial" w:hAnsi="Arial"/>
          <w:sz w:val="20"/>
          <w:szCs w:val="20"/>
          <w:color w:val="auto"/>
        </w:rPr>
        <w:t>as a Lender</w:t>
      </w:r>
    </w:p>
    <w:p>
      <w:pPr>
        <w:spacing w:after="0" w:line="325"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Bryan Ervin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8890</wp:posOffset>
            </wp:positionV>
            <wp:extent cx="28651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Bryan Ervin</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104" w:name="page105"/>
    <w:bookmarkEnd w:id="104"/>
    <w:p>
      <w:pPr>
        <w:ind w:left="50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PNC BANK, NATIONAL ASSOCIATION, </w:t>
      </w:r>
      <w:r>
        <w:rPr>
          <w:rFonts w:ascii="Arial" w:cs="Arial" w:eastAsia="Arial" w:hAnsi="Arial"/>
          <w:sz w:val="20"/>
          <w:szCs w:val="20"/>
          <w:color w:val="auto"/>
        </w:rPr>
        <w:t>as a Lender</w:t>
      </w:r>
    </w:p>
    <w:p>
      <w:pPr>
        <w:spacing w:after="0" w:line="325"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Karl Thomasma</w:t>
      </w:r>
    </w:p>
    <w:p>
      <w:pPr>
        <w:spacing w:after="0" w:line="34" w:lineRule="exact"/>
        <w:rPr>
          <w:sz w:val="20"/>
          <w:szCs w:val="20"/>
          <w:color w:val="auto"/>
        </w:rPr>
      </w:pPr>
    </w:p>
    <w:tbl>
      <w:tblPr>
        <w:tblLayout w:type="fixed"/>
        <w:tblInd w:w="5060" w:type="dxa"/>
        <w:tblCellMar>
          <w:top w:w="0" w:type="dxa"/>
          <w:left w:w="0" w:type="dxa"/>
          <w:bottom w:w="0" w:type="dxa"/>
          <w:right w:w="0" w:type="dxa"/>
        </w:tblCellMar>
      </w:tblP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198"/>
        </w:trPr>
        <w:tc>
          <w:tcPr>
            <w:tcW w:w="620" w:type="dxa"/>
            <w:vAlign w:val="bottom"/>
            <w:gridSpan w:val="2"/>
          </w:tcPr>
          <w:p>
            <w:pPr>
              <w:spacing w:after="0" w:line="198" w:lineRule="exact"/>
              <w:rPr>
                <w:sz w:val="20"/>
                <w:szCs w:val="20"/>
                <w:color w:val="auto"/>
              </w:rPr>
            </w:pPr>
            <w:r>
              <w:rPr>
                <w:rFonts w:ascii="Arial" w:cs="Arial" w:eastAsia="Arial" w:hAnsi="Arial"/>
                <w:sz w:val="20"/>
                <w:szCs w:val="20"/>
                <w:color w:val="auto"/>
              </w:rPr>
              <w:t>Name:</w:t>
            </w:r>
          </w:p>
        </w:tc>
        <w:tc>
          <w:tcPr>
            <w:tcW w:w="4300" w:type="dxa"/>
            <w:vAlign w:val="bottom"/>
          </w:tcPr>
          <w:p>
            <w:pPr>
              <w:ind w:left="120"/>
              <w:spacing w:after="0" w:line="198" w:lineRule="exact"/>
              <w:rPr>
                <w:sz w:val="20"/>
                <w:szCs w:val="20"/>
                <w:color w:val="auto"/>
              </w:rPr>
            </w:pPr>
            <w:r>
              <w:rPr>
                <w:rFonts w:ascii="Arial" w:cs="Arial" w:eastAsia="Arial" w:hAnsi="Arial"/>
                <w:sz w:val="20"/>
                <w:szCs w:val="20"/>
                <w:color w:val="auto"/>
              </w:rPr>
              <w:t>Karl Thomasma</w:t>
            </w:r>
          </w:p>
        </w:tc>
      </w:tr>
      <w:tr>
        <w:trPr>
          <w:trHeight w:val="249"/>
        </w:trPr>
        <w:tc>
          <w:tcPr>
            <w:tcW w:w="62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ind w:left="120"/>
              <w:spacing w:after="0"/>
              <w:rPr>
                <w:sz w:val="20"/>
                <w:szCs w:val="20"/>
                <w:color w:val="auto"/>
              </w:rPr>
            </w:pPr>
            <w:r>
              <w:rPr>
                <w:rFonts w:ascii="Arial" w:cs="Arial" w:eastAsia="Arial" w:hAnsi="Arial"/>
                <w:sz w:val="20"/>
                <w:szCs w:val="20"/>
                <w:color w:val="auto"/>
              </w:rPr>
              <w:t>Senior Vice President</w:t>
            </w:r>
          </w:p>
        </w:tc>
      </w:tr>
    </w:tbl>
    <w:p>
      <w:pPr>
        <w:spacing w:after="0" w:line="128"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980"/>
          </w:cols>
          <w:pgMar w:left="1440" w:top="264" w:right="479" w:bottom="1440" w:gutter="0" w:footer="0" w:header="0"/>
        </w:sectPr>
      </w:pPr>
    </w:p>
    <w:bookmarkStart w:id="105" w:name="page106"/>
    <w:bookmarkEnd w:id="105"/>
    <w:p>
      <w:pPr>
        <w:jc w:val="right"/>
        <w:ind w:right="4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ROYAL BANK OF CANADA, </w:t>
      </w:r>
      <w:r>
        <w:rPr>
          <w:rFonts w:ascii="Arial" w:cs="Arial" w:eastAsia="Arial" w:hAnsi="Arial"/>
          <w:sz w:val="20"/>
          <w:szCs w:val="20"/>
          <w:color w:val="auto"/>
        </w:rPr>
        <w:t>as a Lender</w:t>
      </w:r>
    </w:p>
    <w:p>
      <w:pPr>
        <w:spacing w:after="0" w:line="325"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8890</wp:posOffset>
            </wp:positionV>
            <wp:extent cx="28651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Name:</w:t>
        <w:tab/>
        <w:t>Benjamin Lennon</w:t>
      </w:r>
    </w:p>
    <w:p>
      <w:pPr>
        <w:spacing w:after="0" w:line="14" w:lineRule="exact"/>
        <w:rPr>
          <w:sz w:val="20"/>
          <w:szCs w:val="20"/>
          <w:color w:val="auto"/>
        </w:rPr>
      </w:pPr>
    </w:p>
    <w:p>
      <w:pPr>
        <w:ind w:left="506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Authorized Signatory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106" w:name="page107"/>
    <w:bookmarkEnd w:id="106"/>
    <w:p>
      <w:pPr>
        <w:ind w:left="50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KEYBANK NATIONAL ASSOCIATION, </w:t>
      </w:r>
      <w:r>
        <w:rPr>
          <w:rFonts w:ascii="Arial" w:cs="Arial" w:eastAsia="Arial" w:hAnsi="Arial"/>
          <w:sz w:val="20"/>
          <w:szCs w:val="20"/>
          <w:color w:val="auto"/>
        </w:rPr>
        <w:t>as a Lender</w:t>
      </w:r>
    </w:p>
    <w:p>
      <w:pPr>
        <w:spacing w:after="0" w:line="325" w:lineRule="exact"/>
        <w:rPr>
          <w:sz w:val="20"/>
          <w:szCs w:val="20"/>
          <w:color w:val="auto"/>
        </w:rPr>
      </w:pPr>
    </w:p>
    <w:p>
      <w:pPr>
        <w:ind w:left="506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Thomas A. Crandell</w:t>
      </w:r>
    </w:p>
    <w:p>
      <w:pPr>
        <w:spacing w:after="0" w:line="34" w:lineRule="exact"/>
        <w:rPr>
          <w:sz w:val="20"/>
          <w:szCs w:val="20"/>
          <w:color w:val="auto"/>
        </w:rPr>
      </w:pPr>
    </w:p>
    <w:tbl>
      <w:tblPr>
        <w:tblLayout w:type="fixed"/>
        <w:tblInd w:w="5060" w:type="dxa"/>
        <w:tblCellMar>
          <w:top w:w="0" w:type="dxa"/>
          <w:left w:w="0" w:type="dxa"/>
          <w:bottom w:w="0" w:type="dxa"/>
          <w:right w:w="0" w:type="dxa"/>
        </w:tblCellMar>
      </w:tblP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r>
      <w:tr>
        <w:trPr>
          <w:trHeight w:val="198"/>
        </w:trPr>
        <w:tc>
          <w:tcPr>
            <w:tcW w:w="620" w:type="dxa"/>
            <w:vAlign w:val="bottom"/>
            <w:gridSpan w:val="2"/>
          </w:tcPr>
          <w:p>
            <w:pPr>
              <w:spacing w:after="0" w:line="198" w:lineRule="exact"/>
              <w:rPr>
                <w:sz w:val="20"/>
                <w:szCs w:val="20"/>
                <w:color w:val="auto"/>
              </w:rPr>
            </w:pPr>
            <w:r>
              <w:rPr>
                <w:rFonts w:ascii="Arial" w:cs="Arial" w:eastAsia="Arial" w:hAnsi="Arial"/>
                <w:sz w:val="20"/>
                <w:szCs w:val="20"/>
                <w:color w:val="auto"/>
              </w:rPr>
              <w:t>Name:</w:t>
            </w:r>
          </w:p>
        </w:tc>
        <w:tc>
          <w:tcPr>
            <w:tcW w:w="4300" w:type="dxa"/>
            <w:vAlign w:val="bottom"/>
          </w:tcPr>
          <w:p>
            <w:pPr>
              <w:ind w:left="120"/>
              <w:spacing w:after="0" w:line="198" w:lineRule="exact"/>
              <w:rPr>
                <w:sz w:val="20"/>
                <w:szCs w:val="20"/>
                <w:color w:val="auto"/>
              </w:rPr>
            </w:pPr>
            <w:r>
              <w:rPr>
                <w:rFonts w:ascii="Arial" w:cs="Arial" w:eastAsia="Arial" w:hAnsi="Arial"/>
                <w:sz w:val="20"/>
                <w:szCs w:val="20"/>
                <w:color w:val="auto"/>
              </w:rPr>
              <w:t>Thomas A. Crandell</w:t>
            </w:r>
          </w:p>
        </w:tc>
      </w:tr>
      <w:tr>
        <w:trPr>
          <w:trHeight w:val="249"/>
        </w:trPr>
        <w:tc>
          <w:tcPr>
            <w:tcW w:w="620" w:type="dxa"/>
            <w:vAlign w:val="bottom"/>
            <w:gridSpan w:val="2"/>
          </w:tcPr>
          <w:p>
            <w:pPr>
              <w:spacing w:after="0"/>
              <w:rPr>
                <w:sz w:val="20"/>
                <w:szCs w:val="20"/>
                <w:color w:val="auto"/>
              </w:rPr>
            </w:pPr>
            <w:r>
              <w:rPr>
                <w:rFonts w:ascii="Arial" w:cs="Arial" w:eastAsia="Arial" w:hAnsi="Arial"/>
                <w:sz w:val="20"/>
                <w:szCs w:val="20"/>
                <w:color w:val="auto"/>
              </w:rPr>
              <w:t>Title:</w:t>
            </w:r>
          </w:p>
        </w:tc>
        <w:tc>
          <w:tcPr>
            <w:tcW w:w="4300" w:type="dxa"/>
            <w:vAlign w:val="bottom"/>
          </w:tcPr>
          <w:p>
            <w:pPr>
              <w:ind w:left="120"/>
              <w:spacing w:after="0"/>
              <w:rPr>
                <w:sz w:val="20"/>
                <w:szCs w:val="20"/>
                <w:color w:val="auto"/>
              </w:rPr>
            </w:pPr>
            <w:r>
              <w:rPr>
                <w:rFonts w:ascii="Arial" w:cs="Arial" w:eastAsia="Arial" w:hAnsi="Arial"/>
                <w:sz w:val="20"/>
                <w:szCs w:val="20"/>
                <w:color w:val="auto"/>
              </w:rPr>
              <w:t>Senior Vice President</w:t>
            </w:r>
          </w:p>
        </w:tc>
      </w:tr>
    </w:tbl>
    <w:p>
      <w:pPr>
        <w:spacing w:after="0" w:line="128"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Republic Services, Inc.</w:t>
      </w:r>
    </w:p>
    <w:p>
      <w:pPr>
        <w:spacing w:after="0" w:line="32"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Credit Agreement (2020)</w:t>
      </w:r>
    </w:p>
    <w:p>
      <w:pPr>
        <w:spacing w:after="0" w:line="30"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980"/>
          </w:cols>
          <w:pgMar w:left="1440" w:top="264" w:right="47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1.01(a)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ALLIED UNRESTRICTED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Global Indemnity Assurance Company</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Saguaro National Captive Insurance Company</w:t>
      </w:r>
    </w:p>
    <w:p>
      <w:pPr>
        <w:spacing w:after="0" w:line="237" w:lineRule="auto"/>
        <w:rPr>
          <w:sz w:val="20"/>
          <w:szCs w:val="20"/>
          <w:color w:val="auto"/>
        </w:rPr>
      </w:pPr>
      <w:r>
        <w:rPr>
          <w:rFonts w:ascii="Arial" w:cs="Arial" w:eastAsia="Arial" w:hAnsi="Arial"/>
          <w:sz w:val="20"/>
          <w:szCs w:val="20"/>
          <w:color w:val="auto"/>
        </w:rPr>
        <w:t>BFI Trans River (LP),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Consolidated Processing, Inc.</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1.01(a) – Allied Unrestricted Subsidiaries</w:t>
      </w:r>
    </w:p>
    <w:p>
      <w:pPr>
        <w:sectPr>
          <w:pgSz w:w="11900" w:h="16838" w:orient="portrait"/>
          <w:cols w:equalWidth="0" w:num="1">
            <w:col w:w="10920"/>
          </w:cols>
          <w:pgMar w:left="480" w:top="264" w:right="49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1.01(b)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EXCLUDED SUBSIDIARIES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Allied Waste of Ponce, Inc.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Allied Waste of Puerto Rico, Inc.</w:t>
      </w:r>
    </w:p>
    <w:p>
      <w:pPr>
        <w:spacing w:after="0" w:line="237" w:lineRule="auto"/>
        <w:rPr>
          <w:sz w:val="20"/>
          <w:szCs w:val="20"/>
          <w:color w:val="auto"/>
        </w:rPr>
      </w:pPr>
      <w:r>
        <w:rPr>
          <w:rFonts w:ascii="Arial" w:cs="Arial" w:eastAsia="Arial" w:hAnsi="Arial"/>
          <w:sz w:val="20"/>
          <w:szCs w:val="20"/>
          <w:color w:val="auto"/>
        </w:rPr>
        <w:t>Kent-Meridian Disposal Company</w:t>
      </w:r>
    </w:p>
    <w:p>
      <w:pPr>
        <w:spacing w:after="0" w:line="238" w:lineRule="auto"/>
        <w:rPr>
          <w:sz w:val="20"/>
          <w:szCs w:val="20"/>
          <w:color w:val="auto"/>
        </w:rPr>
      </w:pPr>
      <w:r>
        <w:rPr>
          <w:rFonts w:ascii="Arial" w:cs="Arial" w:eastAsia="Arial" w:hAnsi="Arial"/>
          <w:sz w:val="20"/>
          <w:szCs w:val="20"/>
          <w:color w:val="auto"/>
        </w:rPr>
        <w:t>Roosevelt Associates</w:t>
      </w:r>
    </w:p>
    <w:p>
      <w:pPr>
        <w:spacing w:after="0"/>
        <w:rPr>
          <w:sz w:val="20"/>
          <w:szCs w:val="20"/>
          <w:color w:val="auto"/>
        </w:rPr>
      </w:pPr>
      <w:r>
        <w:rPr>
          <w:rFonts w:ascii="Arial" w:cs="Arial" w:eastAsia="Arial" w:hAnsi="Arial"/>
          <w:sz w:val="20"/>
          <w:szCs w:val="20"/>
          <w:color w:val="auto"/>
        </w:rPr>
        <w:t>Agromin OC, LLC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Continental Waste Industries-Gary, Inc.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Modern-Mallard Energy, LLC</w:t>
      </w:r>
    </w:p>
    <w:p>
      <w:pPr>
        <w:spacing w:after="0"/>
        <w:rPr>
          <w:sz w:val="20"/>
          <w:szCs w:val="20"/>
          <w:color w:val="auto"/>
        </w:rPr>
      </w:pPr>
      <w:r>
        <w:rPr>
          <w:rFonts w:ascii="Arial" w:cs="Arial" w:eastAsia="Arial" w:hAnsi="Arial"/>
          <w:sz w:val="20"/>
          <w:szCs w:val="20"/>
          <w:color w:val="auto"/>
        </w:rPr>
        <w:t>Prichard Landfill Corporation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Global Indemnity Assurance Company</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Saguaro National Captive Insurance Company</w:t>
      </w:r>
    </w:p>
    <w:p>
      <w:pPr>
        <w:spacing w:after="0" w:line="237" w:lineRule="auto"/>
        <w:rPr>
          <w:sz w:val="20"/>
          <w:szCs w:val="20"/>
          <w:color w:val="auto"/>
        </w:rPr>
      </w:pPr>
      <w:r>
        <w:rPr>
          <w:rFonts w:ascii="Arial" w:cs="Arial" w:eastAsia="Arial" w:hAnsi="Arial"/>
          <w:sz w:val="20"/>
          <w:szCs w:val="20"/>
          <w:color w:val="auto"/>
        </w:rPr>
        <w:t>BFI Trans River (LP),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Consolidated Processing, Inc.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Bom Ambiente Insurance Company</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Republic Services Risk Management, Inc.</w:t>
      </w:r>
    </w:p>
    <w:p>
      <w:pPr>
        <w:spacing w:after="0"/>
        <w:rPr>
          <w:sz w:val="20"/>
          <w:szCs w:val="20"/>
          <w:color w:val="auto"/>
        </w:rPr>
      </w:pPr>
      <w:r>
        <w:rPr>
          <w:rFonts w:ascii="Arial" w:cs="Arial" w:eastAsia="Arial" w:hAnsi="Arial"/>
          <w:sz w:val="20"/>
          <w:szCs w:val="20"/>
          <w:color w:val="auto"/>
        </w:rPr>
        <w:t>RSG Cayman Group, Inc.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Browning-Ferris Industries de Mexico, S.A. de C.V.</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Republic Services of British Columbia, Inc.</w:t>
      </w:r>
    </w:p>
    <w:p>
      <w:pPr>
        <w:spacing w:after="0" w:line="237" w:lineRule="auto"/>
        <w:rPr>
          <w:sz w:val="20"/>
          <w:szCs w:val="20"/>
          <w:color w:val="auto"/>
        </w:rPr>
      </w:pPr>
      <w:r>
        <w:rPr>
          <w:rFonts w:ascii="Arial" w:cs="Arial" w:eastAsia="Arial" w:hAnsi="Arial"/>
          <w:sz w:val="20"/>
          <w:szCs w:val="20"/>
          <w:color w:val="auto"/>
        </w:rPr>
        <w:t>Republic Services of Canada, Inc.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Republic Transportation Services of Canada, Inc.</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VHG, Inc.</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Warner Hill Development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1.01(b) – Excluded Subsidiaries</w:t>
      </w:r>
    </w:p>
    <w:p>
      <w:pPr>
        <w:sectPr>
          <w:pgSz w:w="11900" w:h="16838" w:orient="portrait"/>
          <w:cols w:equalWidth="0" w:num="1">
            <w:col w:w="10920"/>
          </w:cols>
          <w:pgMar w:left="480" w:top="264" w:right="49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1.01(c)</w:t>
      </w:r>
    </w:p>
    <w:p>
      <w:pPr>
        <w:spacing w:after="0" w:line="212" w:lineRule="exact"/>
        <w:rPr>
          <w:sz w:val="20"/>
          <w:szCs w:val="20"/>
          <w:color w:val="auto"/>
        </w:rPr>
      </w:pPr>
    </w:p>
    <w:p>
      <w:pPr>
        <w:ind w:left="3840"/>
        <w:spacing w:after="0"/>
        <w:rPr>
          <w:sz w:val="20"/>
          <w:szCs w:val="20"/>
          <w:color w:val="auto"/>
        </w:rPr>
      </w:pPr>
      <w:r>
        <w:rPr>
          <w:rFonts w:ascii="Arial" w:cs="Arial" w:eastAsia="Arial" w:hAnsi="Arial"/>
          <w:sz w:val="20"/>
          <w:szCs w:val="20"/>
          <w:b w:val="1"/>
          <w:bCs w:val="1"/>
          <w:color w:val="auto"/>
        </w:rPr>
        <w:t>DISQUALIFIED LENDERS</w:t>
      </w:r>
    </w:p>
    <w:p>
      <w:pPr>
        <w:spacing w:after="0" w:line="200" w:lineRule="exact"/>
        <w:rPr>
          <w:sz w:val="20"/>
          <w:szCs w:val="20"/>
          <w:color w:val="auto"/>
        </w:rPr>
      </w:pPr>
    </w:p>
    <w:p>
      <w:pPr>
        <w:spacing w:after="0" w:line="302" w:lineRule="exact"/>
        <w:rPr>
          <w:sz w:val="20"/>
          <w:szCs w:val="20"/>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Advanced Disposal Services Inc. (ADSW)</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Avalon Holdings Corporation (AWX)</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BioMedical Technology Holdings, Inc. (BMTL)</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Casella Waste Systems, Inc. (CWST)</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Clean Harbors, Inc. (CLH)</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Commodore Applied Technologies, Inc. (CXIA.PK)</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Covanta Holding Corporation (CVA)</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Darling International Inc. (DAR)</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Ecology and Environment, Inc. (EEI)</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Energy Capital Partners LLC (Private)</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GFL Environmental Inc. (GFL)</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GreenShift Corporation (GERS.OB)</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Heckmann Corporation (HEK)</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Heritage-Crystal Clean, Inc. (HCCI)</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Imperial Petroleum Recovery Corporation (IREC.PK)</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Metech Recycling (CERZF)</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OP-TECH Environmental Services, Inc. (OPST.PK)</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PDG Environmental, Inc. (PDGE.PK)</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Perma-Fix Environmental Services, Inc. (PESI)</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Pope Resources (POPE)</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Sharps Compliance Corp. (SMED)</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Stericycle, Inc. (SRCL)</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Titan Technologies, Inc. (TITT.PK)</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Transtech Industries, Inc. (TRTI.PK)</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TRC Companies, Inc. (TRC)</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Tri-Tech Holding Inc. (TRITF)</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US Ecology, Inc. (ECOL)</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Veolia Environmental SA (VEOEY)</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Vertex Energy, Inc. (VTNR)</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Waste Connections, Inc. (WCN)</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Waste Management, Inc. (WM)</w:t>
      </w:r>
    </w:p>
    <w:p>
      <w:pPr>
        <w:spacing w:after="0" w:line="74" w:lineRule="exact"/>
        <w:rPr>
          <w:rFonts w:ascii="Arial" w:cs="Arial" w:eastAsia="Arial" w:hAnsi="Arial"/>
          <w:sz w:val="18"/>
          <w:szCs w:val="18"/>
          <w:color w:val="auto"/>
        </w:rPr>
      </w:pPr>
    </w:p>
    <w:p>
      <w:pPr>
        <w:ind w:left="440" w:hanging="430"/>
        <w:spacing w:after="0"/>
        <w:tabs>
          <w:tab w:leader="none" w:pos="4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Macquarie Infrastructure Partners (f/k/a WCA Waste Corporation)</w:t>
      </w:r>
    </w:p>
    <w:p>
      <w:pPr>
        <w:spacing w:after="0" w:line="15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Schedule 1.01(c) – Disqualified Lenders</w:t>
      </w:r>
    </w:p>
    <w:p>
      <w:pPr>
        <w:sectPr>
          <w:pgSz w:w="11900" w:h="16838" w:orient="portrait"/>
          <w:cols w:equalWidth="0" w:num="1">
            <w:col w:w="10500"/>
          </w:cols>
          <w:pgMar w:left="900" w:top="264" w:right="499" w:bottom="1440" w:gutter="0" w:footer="0" w:header="0"/>
        </w:sectPr>
      </w:pPr>
    </w:p>
    <w:bookmarkStart w:id="110" w:name="page111"/>
    <w:bookmarkEnd w:id="110"/>
    <w:tbl>
      <w:tblPr>
        <w:tblLayout w:type="fixed"/>
        <w:tblInd w:w="1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140" w:type="dxa"/>
            <w:vAlign w:val="bottom"/>
            <w:gridSpan w:val="3"/>
          </w:tcPr>
          <w:p>
            <w:pPr>
              <w:ind w:left="680"/>
              <w:spacing w:after="0"/>
              <w:rPr>
                <w:sz w:val="20"/>
                <w:szCs w:val="20"/>
                <w:color w:val="auto"/>
              </w:rPr>
            </w:pPr>
            <w:r>
              <w:rPr>
                <w:rFonts w:ascii="Arial" w:cs="Arial" w:eastAsia="Arial" w:hAnsi="Arial"/>
                <w:sz w:val="20"/>
                <w:szCs w:val="20"/>
                <w:b w:val="1"/>
                <w:bCs w:val="1"/>
                <w:color w:val="auto"/>
                <w:w w:val="93"/>
              </w:rPr>
              <w:t>SCHEDULE 2.01</w:t>
            </w:r>
          </w:p>
        </w:tc>
      </w:tr>
      <w:tr>
        <w:trPr>
          <w:trHeight w:val="439"/>
        </w:trPr>
        <w:tc>
          <w:tcPr>
            <w:tcW w:w="6600" w:type="dxa"/>
            <w:vAlign w:val="bottom"/>
          </w:tcPr>
          <w:p>
            <w:pPr>
              <w:ind w:left="4000"/>
              <w:spacing w:after="0"/>
              <w:rPr>
                <w:sz w:val="20"/>
                <w:szCs w:val="20"/>
                <w:color w:val="auto"/>
              </w:rPr>
            </w:pPr>
            <w:r>
              <w:rPr>
                <w:rFonts w:ascii="Arial" w:cs="Arial" w:eastAsia="Arial" w:hAnsi="Arial"/>
                <w:sz w:val="20"/>
                <w:szCs w:val="20"/>
                <w:b w:val="1"/>
                <w:bCs w:val="1"/>
                <w:color w:val="auto"/>
              </w:rPr>
              <w:t>COMMITMENTS AND</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255"/>
        </w:trPr>
        <w:tc>
          <w:tcPr>
            <w:tcW w:w="6600" w:type="dxa"/>
            <w:vAlign w:val="bottom"/>
          </w:tcPr>
          <w:p>
            <w:pPr>
              <w:ind w:left="3640"/>
              <w:spacing w:after="0"/>
              <w:rPr>
                <w:sz w:val="20"/>
                <w:szCs w:val="20"/>
                <w:color w:val="auto"/>
              </w:rPr>
            </w:pPr>
            <w:r>
              <w:rPr>
                <w:rFonts w:ascii="Arial" w:cs="Arial" w:eastAsia="Arial" w:hAnsi="Arial"/>
                <w:sz w:val="20"/>
                <w:szCs w:val="20"/>
                <w:b w:val="1"/>
                <w:bCs w:val="1"/>
                <w:color w:val="auto"/>
              </w:rPr>
              <w:t>APPLICABLE PERCENTAGES</w:t>
            </w: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37"/>
        </w:trPr>
        <w:tc>
          <w:tcPr>
            <w:tcW w:w="6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12"/>
        </w:trPr>
        <w:tc>
          <w:tcPr>
            <w:tcW w:w="6600" w:type="dxa"/>
            <w:vAlign w:val="bottom"/>
            <w:tcBorders>
              <w:left w:val="single" w:sz="8" w:color="auto"/>
              <w:right w:val="single" w:sz="8" w:color="auto"/>
            </w:tcBorders>
            <w:shd w:val="clear" w:color="auto" w:fill="BFBFBF"/>
          </w:tcPr>
          <w:p>
            <w:pPr>
              <w:spacing w:after="0"/>
              <w:rPr>
                <w:sz w:val="18"/>
                <w:szCs w:val="18"/>
                <w:color w:val="auto"/>
              </w:rPr>
            </w:pPr>
          </w:p>
        </w:tc>
        <w:tc>
          <w:tcPr>
            <w:tcW w:w="260" w:type="dxa"/>
            <w:vAlign w:val="bottom"/>
            <w:shd w:val="clear" w:color="auto" w:fill="BFBFBF"/>
          </w:tcPr>
          <w:p>
            <w:pPr>
              <w:spacing w:after="0"/>
              <w:rPr>
                <w:sz w:val="18"/>
                <w:szCs w:val="18"/>
                <w:color w:val="auto"/>
              </w:rPr>
            </w:pPr>
          </w:p>
        </w:tc>
        <w:tc>
          <w:tcPr>
            <w:tcW w:w="1480" w:type="dxa"/>
            <w:vAlign w:val="bottom"/>
            <w:tcBorders>
              <w:right w:val="single" w:sz="8" w:color="auto"/>
            </w:tcBorders>
            <w:shd w:val="clear" w:color="auto" w:fill="BFBFBF"/>
          </w:tcPr>
          <w:p>
            <w:pPr>
              <w:spacing w:after="0"/>
              <w:rPr>
                <w:sz w:val="18"/>
                <w:szCs w:val="18"/>
                <w:color w:val="auto"/>
              </w:rPr>
            </w:pPr>
          </w:p>
        </w:tc>
        <w:tc>
          <w:tcPr>
            <w:tcW w:w="1740" w:type="dxa"/>
            <w:vAlign w:val="bottom"/>
            <w:tcBorders>
              <w:right w:val="single" w:sz="8" w:color="auto"/>
            </w:tcBorders>
            <w:gridSpan w:val="2"/>
            <w:shd w:val="clear" w:color="auto" w:fill="BFBFBF"/>
          </w:tcPr>
          <w:p>
            <w:pPr>
              <w:jc w:val="right"/>
              <w:ind w:right="480"/>
              <w:spacing w:after="0" w:line="211" w:lineRule="exact"/>
              <w:rPr>
                <w:sz w:val="20"/>
                <w:szCs w:val="20"/>
                <w:color w:val="auto"/>
              </w:rPr>
            </w:pPr>
            <w:r>
              <w:rPr>
                <w:rFonts w:ascii="Arial" w:cs="Arial" w:eastAsia="Arial" w:hAnsi="Arial"/>
                <w:sz w:val="20"/>
                <w:szCs w:val="20"/>
                <w:b w:val="1"/>
                <w:bCs w:val="1"/>
                <w:color w:val="auto"/>
              </w:rPr>
              <w:t>Applicable</w:t>
            </w:r>
          </w:p>
        </w:tc>
        <w:tc>
          <w:tcPr>
            <w:tcW w:w="400" w:type="dxa"/>
            <w:vAlign w:val="bottom"/>
          </w:tcPr>
          <w:p>
            <w:pPr>
              <w:spacing w:after="0"/>
              <w:rPr>
                <w:sz w:val="18"/>
                <w:szCs w:val="18"/>
                <w:color w:val="auto"/>
              </w:rPr>
            </w:pPr>
          </w:p>
        </w:tc>
      </w:tr>
      <w:tr>
        <w:trPr>
          <w:trHeight w:val="264"/>
        </w:trPr>
        <w:tc>
          <w:tcPr>
            <w:tcW w:w="6600" w:type="dxa"/>
            <w:vAlign w:val="bottom"/>
            <w:tcBorders>
              <w:left w:val="single" w:sz="8" w:color="auto"/>
              <w:bottom w:val="single" w:sz="8" w:color="auto"/>
              <w:right w:val="single" w:sz="8" w:color="auto"/>
            </w:tcBorders>
            <w:shd w:val="clear" w:color="auto" w:fill="BFBFBF"/>
          </w:tcPr>
          <w:p>
            <w:pPr>
              <w:ind w:left="3060"/>
              <w:spacing w:after="0"/>
              <w:rPr>
                <w:sz w:val="20"/>
                <w:szCs w:val="20"/>
                <w:color w:val="auto"/>
              </w:rPr>
            </w:pPr>
            <w:r>
              <w:rPr>
                <w:rFonts w:ascii="Arial" w:cs="Arial" w:eastAsia="Arial" w:hAnsi="Arial"/>
                <w:sz w:val="20"/>
                <w:szCs w:val="20"/>
                <w:b w:val="1"/>
                <w:bCs w:val="1"/>
                <w:color w:val="auto"/>
              </w:rPr>
              <w:t>Lender</w:t>
            </w:r>
          </w:p>
        </w:tc>
        <w:tc>
          <w:tcPr>
            <w:tcW w:w="260" w:type="dxa"/>
            <w:vAlign w:val="bottom"/>
            <w:tcBorders>
              <w:bottom w:val="single" w:sz="8" w:color="auto"/>
            </w:tcBorders>
            <w:shd w:val="clear" w:color="auto" w:fill="BFBFBF"/>
          </w:tcPr>
          <w:p>
            <w:pPr>
              <w:spacing w:after="0"/>
              <w:rPr>
                <w:sz w:val="22"/>
                <w:szCs w:val="22"/>
                <w:color w:val="auto"/>
              </w:rPr>
            </w:pPr>
          </w:p>
        </w:tc>
        <w:tc>
          <w:tcPr>
            <w:tcW w:w="1480" w:type="dxa"/>
            <w:vAlign w:val="bottom"/>
            <w:tcBorders>
              <w:bottom w:val="single" w:sz="8" w:color="auto"/>
              <w:right w:val="single" w:sz="8" w:color="auto"/>
            </w:tcBorders>
            <w:shd w:val="clear" w:color="auto" w:fill="BFBFBF"/>
          </w:tcPr>
          <w:p>
            <w:pPr>
              <w:jc w:val="right"/>
              <w:ind w:right="182"/>
              <w:spacing w:after="0"/>
              <w:rPr>
                <w:sz w:val="20"/>
                <w:szCs w:val="20"/>
                <w:color w:val="auto"/>
              </w:rPr>
            </w:pPr>
            <w:r>
              <w:rPr>
                <w:rFonts w:ascii="Arial" w:cs="Arial" w:eastAsia="Arial" w:hAnsi="Arial"/>
                <w:sz w:val="20"/>
                <w:szCs w:val="20"/>
                <w:b w:val="1"/>
                <w:bCs w:val="1"/>
                <w:color w:val="auto"/>
                <w:w w:val="96"/>
              </w:rPr>
              <w:t>Commitment</w:t>
            </w:r>
          </w:p>
        </w:tc>
        <w:tc>
          <w:tcPr>
            <w:tcW w:w="1740" w:type="dxa"/>
            <w:vAlign w:val="bottom"/>
            <w:tcBorders>
              <w:bottom w:val="single" w:sz="8" w:color="auto"/>
              <w:right w:val="single" w:sz="8" w:color="auto"/>
            </w:tcBorders>
            <w:gridSpan w:val="2"/>
            <w:shd w:val="clear" w:color="auto" w:fill="BFBFBF"/>
          </w:tcPr>
          <w:p>
            <w:pPr>
              <w:jc w:val="right"/>
              <w:ind w:right="480"/>
              <w:spacing w:after="0"/>
              <w:rPr>
                <w:sz w:val="20"/>
                <w:szCs w:val="20"/>
                <w:color w:val="auto"/>
              </w:rPr>
            </w:pPr>
            <w:r>
              <w:rPr>
                <w:rFonts w:ascii="Arial" w:cs="Arial" w:eastAsia="Arial" w:hAnsi="Arial"/>
                <w:sz w:val="20"/>
                <w:szCs w:val="20"/>
                <w:b w:val="1"/>
                <w:bCs w:val="1"/>
                <w:color w:val="auto"/>
              </w:rPr>
              <w:t>Percentage</w:t>
            </w:r>
          </w:p>
        </w:tc>
        <w:tc>
          <w:tcPr>
            <w:tcW w:w="400" w:type="dxa"/>
            <w:vAlign w:val="bottom"/>
          </w:tcPr>
          <w:p>
            <w:pPr>
              <w:spacing w:after="0"/>
              <w:rPr>
                <w:sz w:val="22"/>
                <w:szCs w:val="22"/>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Bank of America, N.A.</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9"/>
              </w:rPr>
              <w:t>142,000,000.00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14.200000000%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JPMorgan Chase Bank, N.A.</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9"/>
              </w:rPr>
              <w:t>102,000,000.00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10.200000000%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Wells Fargo Bank, National Association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99"/>
              </w:rPr>
              <w:t>102,000,000.00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10.200000000%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Barclays Bank plc</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BNP Paribas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CoBank, ACB</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Mizuho Bank, Ltd.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MUFG Bank, Ltd.</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Sumitomo Mitsui Banking Corporation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The Bank of Nova Scotia</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Truist Bank</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U.S. Bank National Association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60,000,000.00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6.000000000%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PNC Bank, National Association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4.000000000%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Royal Bank of Canada</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40,000,000.00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4.000000000%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Keybank National Association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34,000,000.00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3.400000000%</w:t>
            </w:r>
          </w:p>
        </w:tc>
        <w:tc>
          <w:tcPr>
            <w:tcW w:w="400" w:type="dxa"/>
            <w:vAlign w:val="bottom"/>
          </w:tcPr>
          <w:p>
            <w:pPr>
              <w:spacing w:after="0"/>
              <w:rPr>
                <w:sz w:val="20"/>
                <w:szCs w:val="20"/>
                <w:color w:val="auto"/>
              </w:rPr>
            </w:pPr>
          </w:p>
        </w:tc>
      </w:tr>
      <w:tr>
        <w:trPr>
          <w:trHeight w:val="234"/>
        </w:trPr>
        <w:tc>
          <w:tcPr>
            <w:tcW w:w="6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20"/>
                <w:szCs w:val="20"/>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w w:val="88"/>
              </w:rPr>
              <w:t>1,000,000,000.00</w:t>
            </w:r>
          </w:p>
        </w:tc>
        <w:tc>
          <w:tcPr>
            <w:tcW w:w="174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20"/>
                <w:szCs w:val="20"/>
                <w:color w:val="auto"/>
              </w:rPr>
              <w:t>100.000000000%</w:t>
            </w:r>
          </w:p>
        </w:tc>
        <w:tc>
          <w:tcPr>
            <w:tcW w:w="400" w:type="dxa"/>
            <w:vAlign w:val="bottom"/>
          </w:tcPr>
          <w:p>
            <w:pPr>
              <w:spacing w:after="0"/>
              <w:rPr>
                <w:sz w:val="20"/>
                <w:szCs w:val="20"/>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left="2920"/>
        <w:spacing w:after="0"/>
        <w:rPr>
          <w:sz w:val="20"/>
          <w:szCs w:val="20"/>
          <w:color w:val="auto"/>
        </w:rPr>
      </w:pPr>
      <w:r>
        <w:rPr>
          <w:rFonts w:ascii="Arial" w:cs="Arial" w:eastAsia="Arial" w:hAnsi="Arial"/>
          <w:sz w:val="18"/>
          <w:szCs w:val="18"/>
          <w:color w:val="auto"/>
        </w:rPr>
        <w:t>Schedule 2.01 – Commitments and Applicable Percentages</w:t>
      </w:r>
    </w:p>
    <w:p>
      <w:pPr>
        <w:sectPr>
          <w:pgSz w:w="11900" w:h="16838" w:orient="portrait"/>
          <w:cols w:equalWidth="0" w:num="1">
            <w:col w:w="10480"/>
          </w:cols>
          <w:pgMar w:left="920" w:top="244" w:right="49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5.07</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ERISA MATTERS</w:t>
      </w:r>
    </w:p>
    <w:p>
      <w:pPr>
        <w:spacing w:after="0" w:line="200" w:lineRule="exact"/>
        <w:rPr>
          <w:sz w:val="20"/>
          <w:szCs w:val="20"/>
          <w:color w:val="auto"/>
        </w:rPr>
      </w:pPr>
    </w:p>
    <w:p>
      <w:pPr>
        <w:spacing w:after="0" w:line="23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Two Hundred Fifty Three Million Seventy Five Thousand and Seven Hundred and Sixty Eight Dollars ($253,075,768) in charges have been taken in prior fiscal quarters in connection with the Central States, Southeast &amp; Southwest Areas Pension Fund, Union de Tronquistas De Puerto Rico Local 901 Pension Plan, Local 705 International Brotherhood of Teamsters Pension Fund, Western Conference of Teamsters Pension Plan, Industrial Employers and Distributors Association Retirement Plan, New England Teamsters &amp; Trucking Industry Pension, and New York State Teamsters Conference Pension &amp; Retirement Fund withdrawal liabilities.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Borrower may incur further withdrawal liabilities not to exceed Three Hundred Fifty Million Dollars ($350,000,000) in the aggregate during the term of the Credit Agreement for its possible withdrawal from the following Multiemployer Plans: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New England Teamsters &amp; Trucking Industry Pension</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Local No. 731, I.B. of T. Pension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Western Metal Pension Trust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Teamsters Employers Local 945 Pension Fund</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Operating Engineers Local 324 Pension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Suburban Teamsters of Northern Illinois Pension Plan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Automotive Industries Pension Plan</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New York State Teamsters Conference Pension &amp; Retirement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Western Pennsylvania Teamsters and Employers Pension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Pension Trust Fund for Operating Engineers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Union De Tronquistas De Puerto Rico Local 901 – Pension Plan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Teamsters Pension Trust Fund of Philadelphia and Vicinity</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LIUNA National (Industrial) Pension Fund</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Automobile Mechanics’ Local No. 701 Pension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Western States Office and Professional Employees Pension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Automotive Machinists Pension Plan</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Industrial Employers and Distributors Association Retirement Plan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Operating Engineers Construction Industry and Miscellaneous Pension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Local 705 International Brotherhood of Teamsters Pension Fund</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Western Conference of Teamsters Pension Plan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Teamsters Union No. 142 Pension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Central Pension Fund of the IUOE &amp; Participating Employers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Midwest Operating Engineers Pension Trust Fund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5.07 – ERISA Matters</w:t>
      </w:r>
    </w:p>
    <w:p>
      <w:pPr>
        <w:sectPr>
          <w:pgSz w:w="11900" w:h="16838" w:orient="portrait"/>
          <w:cols w:equalWidth="0" w:num="1">
            <w:col w:w="10920"/>
          </w:cols>
          <w:pgMar w:left="480" w:top="264" w:right="49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IAM National Pension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Recycling and General Industrial Union Local 108 Pension Fund</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Indiana Teamster Pension Fund</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Operating Engineers Pension Trust</w:t>
      </w:r>
    </w:p>
    <w:p>
      <w:pPr>
        <w:spacing w:after="0" w:line="65" w:lineRule="exact"/>
        <w:rPr>
          <w:sz w:val="20"/>
          <w:szCs w:val="20"/>
          <w:color w:val="auto"/>
        </w:rPr>
      </w:pPr>
    </w:p>
    <w:p>
      <w:pPr>
        <w:ind w:right="3840"/>
        <w:spacing w:after="0" w:line="330" w:lineRule="auto"/>
        <w:rPr>
          <w:sz w:val="20"/>
          <w:szCs w:val="20"/>
          <w:color w:val="auto"/>
        </w:rPr>
      </w:pPr>
      <w:r>
        <w:rPr>
          <w:rFonts w:ascii="Arial" w:cs="Arial" w:eastAsia="Arial" w:hAnsi="Arial"/>
          <w:sz w:val="19"/>
          <w:szCs w:val="19"/>
          <w:color w:val="auto"/>
        </w:rPr>
        <w:t>Locals 302 &amp; 612 of the IUOE - Employers Construction Industry Retirement Plan Local 813 &amp; Local 1034 Severance and Retirement Trust Fund</w:t>
      </w: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For the avoidance of doubt, this Schedule 5.07 shall constitute notice under Section 6.03(c) of the Borrower’s withdrawal from such Multiemployer Plan and Borrower’s incurrence of such liabilities.</w:t>
      </w:r>
    </w:p>
    <w:p>
      <w:pPr>
        <w:spacing w:after="0" w:line="11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Schedule 5.07 – ERISA Matters</w:t>
      </w:r>
    </w:p>
    <w:p>
      <w:pPr>
        <w:sectPr>
          <w:pgSz w:w="11900" w:h="16838" w:orient="portrait"/>
          <w:cols w:equalWidth="0" w:num="1">
            <w:col w:w="10380"/>
          </w:cols>
          <w:pgMar w:left="480" w:top="270" w:right="10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5.12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ENVIRONMENTAL MATTERS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5.12 – Environmental Matters</w:t>
      </w:r>
    </w:p>
    <w:p>
      <w:pPr>
        <w:sectPr>
          <w:pgSz w:w="11900" w:h="16838" w:orient="portrait"/>
          <w:cols w:equalWidth="0" w:num="1">
            <w:col w:w="10920"/>
          </w:cols>
          <w:pgMar w:left="480" w:top="264" w:right="49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5.16</w:t>
      </w: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MATERIAL SUBSIDIARIES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Allied Waste Industries, LLC</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Allied Waste North America, LLC</w:t>
      </w:r>
    </w:p>
    <w:p>
      <w:pPr>
        <w:spacing w:after="0" w:line="237" w:lineRule="auto"/>
        <w:rPr>
          <w:sz w:val="20"/>
          <w:szCs w:val="20"/>
          <w:color w:val="auto"/>
        </w:rPr>
      </w:pPr>
      <w:r>
        <w:rPr>
          <w:rFonts w:ascii="Arial" w:cs="Arial" w:eastAsia="Arial" w:hAnsi="Arial"/>
          <w:sz w:val="20"/>
          <w:szCs w:val="20"/>
          <w:color w:val="auto"/>
        </w:rPr>
        <w:t>Allied Waste Services of North America, LLC</w:t>
      </w:r>
    </w:p>
    <w:p>
      <w:pPr>
        <w:spacing w:after="0" w:line="238" w:lineRule="auto"/>
        <w:rPr>
          <w:sz w:val="20"/>
          <w:szCs w:val="20"/>
          <w:color w:val="auto"/>
        </w:rPr>
      </w:pPr>
      <w:r>
        <w:rPr>
          <w:rFonts w:ascii="Arial" w:cs="Arial" w:eastAsia="Arial" w:hAnsi="Arial"/>
          <w:sz w:val="20"/>
          <w:szCs w:val="20"/>
          <w:color w:val="auto"/>
        </w:rPr>
        <w:t>Allied Waste Systems, Inc.</w:t>
      </w:r>
    </w:p>
    <w:p>
      <w:pPr>
        <w:spacing w:after="0" w:line="237" w:lineRule="auto"/>
        <w:rPr>
          <w:sz w:val="20"/>
          <w:szCs w:val="20"/>
          <w:color w:val="auto"/>
        </w:rPr>
      </w:pPr>
      <w:r>
        <w:rPr>
          <w:rFonts w:ascii="Arial" w:cs="Arial" w:eastAsia="Arial" w:hAnsi="Arial"/>
          <w:sz w:val="20"/>
          <w:szCs w:val="20"/>
          <w:color w:val="auto"/>
        </w:rPr>
        <w:t>Allied Waste Transportation, Inc.</w:t>
      </w:r>
    </w:p>
    <w:p>
      <w:pPr>
        <w:spacing w:after="0" w:line="238" w:lineRule="auto"/>
        <w:rPr>
          <w:sz w:val="20"/>
          <w:szCs w:val="20"/>
          <w:color w:val="auto"/>
        </w:rPr>
      </w:pPr>
      <w:r>
        <w:rPr>
          <w:rFonts w:ascii="Arial" w:cs="Arial" w:eastAsia="Arial" w:hAnsi="Arial"/>
          <w:sz w:val="20"/>
          <w:szCs w:val="20"/>
          <w:color w:val="auto"/>
        </w:rPr>
        <w:t>AWIN Management, Inc.</w:t>
      </w:r>
    </w:p>
    <w:p>
      <w:pPr>
        <w:spacing w:after="0" w:line="237" w:lineRule="auto"/>
        <w:rPr>
          <w:sz w:val="20"/>
          <w:szCs w:val="20"/>
          <w:color w:val="auto"/>
        </w:rPr>
      </w:pPr>
      <w:r>
        <w:rPr>
          <w:rFonts w:ascii="Arial" w:cs="Arial" w:eastAsia="Arial" w:hAnsi="Arial"/>
          <w:sz w:val="20"/>
          <w:szCs w:val="20"/>
          <w:color w:val="auto"/>
        </w:rPr>
        <w:t>BFI Waste Services, LLC</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Browning-Ferris Industries, LLC</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Schedule 5.16 – Material Subsidiaries</w:t>
      </w:r>
    </w:p>
    <w:p>
      <w:pPr>
        <w:sectPr>
          <w:pgSz w:w="11900" w:h="16838" w:orient="portrait"/>
          <w:cols w:equalWidth="0" w:num="1">
            <w:col w:w="10820"/>
          </w:cols>
          <w:pgMar w:left="580" w:top="264" w:right="49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7.02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EXISTING LIENS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7.02 – Existing Liens</w:t>
      </w:r>
    </w:p>
    <w:p>
      <w:pPr>
        <w:sectPr>
          <w:pgSz w:w="11900" w:h="16838" w:orient="portrait"/>
          <w:cols w:equalWidth="0" w:num="1">
            <w:col w:w="10920"/>
          </w:cols>
          <w:pgMar w:left="480" w:top="264" w:right="49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7.06</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EXISTING SUBSIDIARY INDEBTEDNESS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7.06 – Existing Subsidiary Indebtedness</w:t>
      </w:r>
    </w:p>
    <w:p>
      <w:pPr>
        <w:sectPr>
          <w:pgSz w:w="11900" w:h="16838" w:orient="portrait"/>
          <w:cols w:equalWidth="0" w:num="1">
            <w:col w:w="10920"/>
          </w:cols>
          <w:pgMar w:left="480" w:top="264" w:right="499" w:bottom="1440" w:gutter="0" w:footer="0" w:header="0"/>
        </w:sectPr>
      </w:pPr>
    </w:p>
    <w:bookmarkStart w:id="117" w:name="page118"/>
    <w:bookmarkEnd w:id="117"/>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7.12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EXISTING BURDENSOME AGREEMENTS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7.12 – Existing Burdensome Agreements</w:t>
      </w:r>
    </w:p>
    <w:p>
      <w:pPr>
        <w:sectPr>
          <w:pgSz w:w="11900" w:h="16838" w:orient="portrait"/>
          <w:cols w:equalWidth="0" w:num="1">
            <w:col w:w="10920"/>
          </w:cols>
          <w:pgMar w:left="480" w:top="264" w:right="49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10.02</w:t>
      </w:r>
    </w:p>
    <w:p>
      <w:pPr>
        <w:spacing w:after="0" w:line="212"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ADMINISTRATIVE AGENT’S OFFICE;</w:t>
      </w:r>
    </w:p>
    <w:p>
      <w:pPr>
        <w:spacing w:after="0" w:line="20"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CERTAIN ADDRESSES FOR NOTICES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Republic Services, Inc.</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18500 North Allied Way</w:t>
      </w:r>
    </w:p>
    <w:p>
      <w:pPr>
        <w:spacing w:after="0" w:line="237" w:lineRule="auto"/>
        <w:rPr>
          <w:sz w:val="20"/>
          <w:szCs w:val="20"/>
          <w:color w:val="auto"/>
        </w:rPr>
      </w:pPr>
      <w:r>
        <w:rPr>
          <w:rFonts w:ascii="Arial" w:cs="Arial" w:eastAsia="Arial" w:hAnsi="Arial"/>
          <w:sz w:val="20"/>
          <w:szCs w:val="20"/>
          <w:color w:val="auto"/>
        </w:rPr>
        <w:t>Phoenix, Arizona 85054</w:t>
      </w: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line="212" w:lineRule="exact"/>
              <w:rPr>
                <w:sz w:val="20"/>
                <w:szCs w:val="20"/>
                <w:color w:val="auto"/>
              </w:rPr>
            </w:pPr>
            <w:r>
              <w:rPr>
                <w:rFonts w:ascii="Arial" w:cs="Arial" w:eastAsia="Arial" w:hAnsi="Arial"/>
                <w:sz w:val="20"/>
                <w:szCs w:val="20"/>
                <w:color w:val="auto"/>
              </w:rPr>
              <w:t>Attention:</w:t>
            </w:r>
          </w:p>
        </w:tc>
        <w:tc>
          <w:tcPr>
            <w:tcW w:w="2880" w:type="dxa"/>
            <w:vAlign w:val="bottom"/>
            <w:gridSpan w:val="3"/>
          </w:tcPr>
          <w:p>
            <w:pPr>
              <w:ind w:left="160"/>
              <w:spacing w:after="0" w:line="212" w:lineRule="exact"/>
              <w:rPr>
                <w:sz w:val="20"/>
                <w:szCs w:val="20"/>
                <w:color w:val="auto"/>
              </w:rPr>
            </w:pPr>
            <w:r>
              <w:rPr>
                <w:rFonts w:ascii="Arial" w:cs="Arial" w:eastAsia="Arial" w:hAnsi="Arial"/>
                <w:sz w:val="20"/>
                <w:szCs w:val="20"/>
                <w:color w:val="auto"/>
              </w:rPr>
              <w:t>Calvin R. Boyd</w:t>
            </w:r>
          </w:p>
        </w:tc>
      </w:tr>
      <w:tr>
        <w:trPr>
          <w:trHeight w:val="228"/>
        </w:trPr>
        <w:tc>
          <w:tcPr>
            <w:tcW w:w="1020" w:type="dxa"/>
            <w:vAlign w:val="bottom"/>
          </w:tcPr>
          <w:p>
            <w:pPr>
              <w:spacing w:after="0"/>
              <w:rPr>
                <w:sz w:val="19"/>
                <w:szCs w:val="19"/>
                <w:color w:val="auto"/>
              </w:rPr>
            </w:pPr>
          </w:p>
        </w:tc>
        <w:tc>
          <w:tcPr>
            <w:tcW w:w="2880" w:type="dxa"/>
            <w:vAlign w:val="bottom"/>
            <w:gridSpan w:val="3"/>
          </w:tcPr>
          <w:p>
            <w:pPr>
              <w:ind w:left="200"/>
              <w:spacing w:after="0" w:line="228" w:lineRule="exact"/>
              <w:rPr>
                <w:sz w:val="20"/>
                <w:szCs w:val="20"/>
                <w:color w:val="auto"/>
              </w:rPr>
            </w:pPr>
            <w:r>
              <w:rPr>
                <w:rFonts w:ascii="Arial" w:cs="Arial" w:eastAsia="Arial" w:hAnsi="Arial"/>
                <w:sz w:val="20"/>
                <w:szCs w:val="20"/>
                <w:color w:val="auto"/>
              </w:rPr>
              <w:t>Assistant Treasurer</w:t>
            </w:r>
          </w:p>
        </w:tc>
      </w:tr>
      <w:tr>
        <w:trPr>
          <w:trHeight w:val="228"/>
        </w:trPr>
        <w:tc>
          <w:tcPr>
            <w:tcW w:w="1020" w:type="dxa"/>
            <w:vAlign w:val="bottom"/>
          </w:tcPr>
          <w:p>
            <w:pPr>
              <w:spacing w:after="0" w:line="228" w:lineRule="exact"/>
              <w:rPr>
                <w:sz w:val="20"/>
                <w:szCs w:val="20"/>
                <w:color w:val="auto"/>
              </w:rPr>
            </w:pPr>
            <w:r>
              <w:rPr>
                <w:rFonts w:ascii="Arial" w:cs="Arial" w:eastAsia="Arial" w:hAnsi="Arial"/>
                <w:sz w:val="20"/>
                <w:szCs w:val="20"/>
                <w:color w:val="auto"/>
                <w:w w:val="99"/>
              </w:rPr>
              <w:t>Telephone:</w:t>
            </w:r>
          </w:p>
        </w:tc>
        <w:tc>
          <w:tcPr>
            <w:tcW w:w="2580" w:type="dxa"/>
            <w:vAlign w:val="bottom"/>
            <w:gridSpan w:val="2"/>
          </w:tcPr>
          <w:p>
            <w:pPr>
              <w:jc w:val="right"/>
              <w:ind w:right="1262"/>
              <w:spacing w:after="0" w:line="228" w:lineRule="exact"/>
              <w:rPr>
                <w:sz w:val="20"/>
                <w:szCs w:val="20"/>
                <w:color w:val="auto"/>
              </w:rPr>
            </w:pPr>
            <w:r>
              <w:rPr>
                <w:rFonts w:ascii="Arial" w:cs="Arial" w:eastAsia="Arial" w:hAnsi="Arial"/>
                <w:sz w:val="20"/>
                <w:szCs w:val="20"/>
                <w:color w:val="auto"/>
                <w:w w:val="98"/>
              </w:rPr>
              <w:t>480.477.5065</w:t>
            </w:r>
          </w:p>
        </w:tc>
        <w:tc>
          <w:tcPr>
            <w:tcW w:w="300" w:type="dxa"/>
            <w:vAlign w:val="bottom"/>
          </w:tcPr>
          <w:p>
            <w:pPr>
              <w:spacing w:after="0"/>
              <w:rPr>
                <w:sz w:val="19"/>
                <w:szCs w:val="19"/>
                <w:color w:val="auto"/>
              </w:rPr>
            </w:pPr>
          </w:p>
        </w:tc>
      </w:tr>
      <w:tr>
        <w:trPr>
          <w:trHeight w:val="204"/>
        </w:trPr>
        <w:tc>
          <w:tcPr>
            <w:tcW w:w="1480" w:type="dxa"/>
            <w:vAlign w:val="bottom"/>
            <w:gridSpan w:val="2"/>
          </w:tcPr>
          <w:p>
            <w:pPr>
              <w:spacing w:after="0" w:line="205" w:lineRule="exact"/>
              <w:rPr>
                <w:sz w:val="20"/>
                <w:szCs w:val="20"/>
                <w:color w:val="auto"/>
              </w:rPr>
            </w:pPr>
            <w:r>
              <w:rPr>
                <w:rFonts w:ascii="Arial" w:cs="Arial" w:eastAsia="Arial" w:hAnsi="Arial"/>
                <w:sz w:val="20"/>
                <w:szCs w:val="20"/>
                <w:color w:val="auto"/>
              </w:rPr>
              <w:t>Electronic Mail:</w:t>
            </w:r>
          </w:p>
        </w:tc>
        <w:tc>
          <w:tcPr>
            <w:tcW w:w="2420" w:type="dxa"/>
            <w:vAlign w:val="bottom"/>
            <w:tcBorders>
              <w:bottom w:val="single" w:sz="8" w:color="0000FF"/>
            </w:tcBorders>
            <w:gridSpan w:val="2"/>
          </w:tcPr>
          <w:p>
            <w:pPr>
              <w:spacing w:after="0" w:line="205" w:lineRule="exact"/>
              <w:rPr>
                <w:sz w:val="20"/>
                <w:szCs w:val="20"/>
                <w:color w:val="auto"/>
              </w:rPr>
            </w:pPr>
            <w:r>
              <w:rPr>
                <w:rFonts w:ascii="Arial" w:cs="Arial" w:eastAsia="Arial" w:hAnsi="Arial"/>
                <w:sz w:val="20"/>
                <w:szCs w:val="20"/>
                <w:color w:val="0000FF"/>
                <w:w w:val="88"/>
              </w:rPr>
              <w:t>cboyd2@republicservices.com</w:t>
            </w:r>
          </w:p>
        </w:tc>
      </w:tr>
      <w:tr>
        <w:trPr>
          <w:trHeight w:val="208"/>
        </w:trPr>
        <w:tc>
          <w:tcPr>
            <w:tcW w:w="1480" w:type="dxa"/>
            <w:vAlign w:val="bottom"/>
            <w:gridSpan w:val="2"/>
          </w:tcPr>
          <w:p>
            <w:pPr>
              <w:spacing w:after="0" w:line="207" w:lineRule="exact"/>
              <w:rPr>
                <w:sz w:val="20"/>
                <w:szCs w:val="20"/>
                <w:color w:val="auto"/>
              </w:rPr>
            </w:pPr>
            <w:r>
              <w:rPr>
                <w:rFonts w:ascii="Arial" w:cs="Arial" w:eastAsia="Arial" w:hAnsi="Arial"/>
                <w:sz w:val="20"/>
                <w:szCs w:val="20"/>
                <w:color w:val="auto"/>
                <w:w w:val="93"/>
              </w:rPr>
              <w:t>Website Address:</w:t>
            </w:r>
          </w:p>
        </w:tc>
        <w:tc>
          <w:tcPr>
            <w:tcW w:w="2120" w:type="dxa"/>
            <w:vAlign w:val="bottom"/>
            <w:tcBorders>
              <w:bottom w:val="single" w:sz="8" w:color="0000FF"/>
            </w:tcBorders>
          </w:tcPr>
          <w:p>
            <w:pPr>
              <w:spacing w:after="0" w:line="207" w:lineRule="exact"/>
              <w:rPr>
                <w:sz w:val="20"/>
                <w:szCs w:val="20"/>
                <w:color w:val="auto"/>
              </w:rPr>
            </w:pPr>
            <w:r>
              <w:rPr>
                <w:rFonts w:ascii="Arial" w:cs="Arial" w:eastAsia="Arial" w:hAnsi="Arial"/>
                <w:sz w:val="20"/>
                <w:szCs w:val="20"/>
                <w:color w:val="0000FF"/>
                <w:w w:val="89"/>
              </w:rPr>
              <w:t>www.republicservices.com</w:t>
            </w:r>
          </w:p>
        </w:tc>
        <w:tc>
          <w:tcPr>
            <w:tcW w:w="300" w:type="dxa"/>
            <w:vAlign w:val="bottom"/>
          </w:tcPr>
          <w:p>
            <w:pPr>
              <w:spacing w:after="0"/>
              <w:rPr>
                <w:sz w:val="18"/>
                <w:szCs w:val="18"/>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with a copy to:</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Quarles &amp; Brady LLP</w:t>
      </w:r>
    </w:p>
    <w:p>
      <w:pPr>
        <w:spacing w:after="0" w:line="237" w:lineRule="auto"/>
        <w:rPr>
          <w:sz w:val="20"/>
          <w:szCs w:val="20"/>
          <w:color w:val="auto"/>
        </w:rPr>
      </w:pPr>
      <w:r>
        <w:rPr>
          <w:rFonts w:ascii="Arial" w:cs="Arial" w:eastAsia="Arial" w:hAnsi="Arial"/>
          <w:sz w:val="20"/>
          <w:szCs w:val="20"/>
          <w:color w:val="auto"/>
        </w:rPr>
        <w:t>One Renaissance Square</w:t>
      </w:r>
    </w:p>
    <w:p>
      <w:pPr>
        <w:spacing w:after="0" w:line="238" w:lineRule="auto"/>
        <w:rPr>
          <w:sz w:val="20"/>
          <w:szCs w:val="20"/>
          <w:color w:val="auto"/>
        </w:rPr>
      </w:pPr>
      <w:r>
        <w:rPr>
          <w:rFonts w:ascii="Arial" w:cs="Arial" w:eastAsia="Arial" w:hAnsi="Arial"/>
          <w:sz w:val="20"/>
          <w:szCs w:val="20"/>
          <w:color w:val="auto"/>
        </w:rPr>
        <w:t>Two North Central Avenue</w:t>
      </w:r>
    </w:p>
    <w:p>
      <w:pPr>
        <w:spacing w:after="0" w:line="237" w:lineRule="auto"/>
        <w:rPr>
          <w:sz w:val="20"/>
          <w:szCs w:val="20"/>
          <w:color w:val="auto"/>
        </w:rPr>
      </w:pPr>
      <w:r>
        <w:rPr>
          <w:rFonts w:ascii="Arial" w:cs="Arial" w:eastAsia="Arial" w:hAnsi="Arial"/>
          <w:sz w:val="20"/>
          <w:szCs w:val="20"/>
          <w:color w:val="auto"/>
        </w:rPr>
        <w:t>Phoenix, Arizona 85004</w:t>
      </w:r>
    </w:p>
    <w:p>
      <w:pPr>
        <w:spacing w:after="0" w:line="238" w:lineRule="auto"/>
        <w:tabs>
          <w:tab w:leader="none" w:pos="126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Kevin Walsh, Partner</w:t>
      </w:r>
    </w:p>
    <w:p>
      <w:pPr>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0"/>
          <w:szCs w:val="20"/>
          <w:u w:val="single" w:color="auto"/>
          <w:color w:val="0000FF"/>
        </w:rPr>
        <w:t>kevin.walsh@quarles.com</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AGENT: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Administrative Agent’s Office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payments and Requests for Credit Extensions):</w:t>
      </w:r>
    </w:p>
    <w:p>
      <w:pPr>
        <w:spacing w:after="0" w:line="237" w:lineRule="auto"/>
        <w:rPr>
          <w:sz w:val="20"/>
          <w:szCs w:val="20"/>
          <w:color w:val="auto"/>
        </w:rPr>
      </w:pPr>
      <w:r>
        <w:rPr>
          <w:rFonts w:ascii="Arial" w:cs="Arial" w:eastAsia="Arial" w:hAnsi="Arial"/>
          <w:sz w:val="20"/>
          <w:szCs w:val="20"/>
          <w:color w:val="auto"/>
        </w:rPr>
        <w:t>Bank of America, N.A.</w:t>
      </w:r>
    </w:p>
    <w:p>
      <w:pPr>
        <w:spacing w:after="0" w:line="238" w:lineRule="auto"/>
        <w:rPr>
          <w:sz w:val="20"/>
          <w:szCs w:val="20"/>
          <w:color w:val="auto"/>
        </w:rPr>
      </w:pPr>
      <w:r>
        <w:rPr>
          <w:rFonts w:ascii="Arial" w:cs="Arial" w:eastAsia="Arial" w:hAnsi="Arial"/>
          <w:sz w:val="20"/>
          <w:szCs w:val="20"/>
          <w:color w:val="auto"/>
        </w:rPr>
        <w:t>2380 Performance Dr., Building C</w:t>
      </w:r>
    </w:p>
    <w:p>
      <w:pPr>
        <w:spacing w:after="0" w:line="237" w:lineRule="auto"/>
        <w:rPr>
          <w:sz w:val="20"/>
          <w:szCs w:val="20"/>
          <w:color w:val="auto"/>
        </w:rPr>
      </w:pPr>
      <w:r>
        <w:rPr>
          <w:rFonts w:ascii="Arial" w:cs="Arial" w:eastAsia="Arial" w:hAnsi="Arial"/>
          <w:sz w:val="20"/>
          <w:szCs w:val="20"/>
          <w:color w:val="auto"/>
        </w:rPr>
        <w:t>Mail Code: TX2-984-03-23</w:t>
      </w:r>
    </w:p>
    <w:p>
      <w:pPr>
        <w:spacing w:after="0" w:line="238" w:lineRule="auto"/>
        <w:rPr>
          <w:sz w:val="20"/>
          <w:szCs w:val="20"/>
          <w:color w:val="auto"/>
        </w:rPr>
      </w:pPr>
      <w:r>
        <w:rPr>
          <w:rFonts w:ascii="Arial" w:cs="Arial" w:eastAsia="Arial" w:hAnsi="Arial"/>
          <w:sz w:val="20"/>
          <w:szCs w:val="20"/>
          <w:color w:val="auto"/>
        </w:rPr>
        <w:t>Richardson, Texas 75082</w:t>
      </w:r>
    </w:p>
    <w:p>
      <w:pPr>
        <w:spacing w:after="0" w:line="237" w:lineRule="auto"/>
        <w:tabs>
          <w:tab w:leader="none" w:pos="1060" w:val="left"/>
        </w:tabs>
        <w:rPr>
          <w:sz w:val="20"/>
          <w:szCs w:val="20"/>
          <w:color w:val="auto"/>
        </w:rPr>
      </w:pPr>
      <w:r>
        <w:rPr>
          <w:rFonts w:ascii="Arial" w:cs="Arial" w:eastAsia="Arial" w:hAnsi="Arial"/>
          <w:sz w:val="20"/>
          <w:szCs w:val="20"/>
          <w:color w:val="auto"/>
        </w:rPr>
        <w:t>Attention:</w:t>
        <w:tab/>
        <w:t>Armando Gonzalez</w:t>
      </w:r>
    </w:p>
    <w:p>
      <w:pPr>
        <w:spacing w:after="0"/>
        <w:tabs>
          <w:tab w:leader="none" w:pos="1040" w:val="left"/>
        </w:tabs>
        <w:rPr>
          <w:sz w:val="20"/>
          <w:szCs w:val="20"/>
          <w:color w:val="auto"/>
        </w:rPr>
      </w:pPr>
      <w:r>
        <w:rPr>
          <w:rFonts w:ascii="Arial" w:cs="Arial" w:eastAsia="Arial" w:hAnsi="Arial"/>
          <w:sz w:val="20"/>
          <w:szCs w:val="20"/>
          <w:color w:val="auto"/>
        </w:rPr>
        <w:t>Telephone:</w:t>
      </w:r>
      <w:r>
        <w:rPr>
          <w:sz w:val="20"/>
          <w:szCs w:val="20"/>
          <w:color w:val="auto"/>
        </w:rPr>
        <w:tab/>
      </w:r>
      <w:r>
        <w:rPr>
          <w:rFonts w:ascii="Arial" w:cs="Arial" w:eastAsia="Arial" w:hAnsi="Arial"/>
          <w:sz w:val="17"/>
          <w:szCs w:val="17"/>
          <w:color w:val="auto"/>
        </w:rPr>
        <w:t>469.201.8330</w:t>
      </w:r>
    </w:p>
    <w:p>
      <w:pPr>
        <w:spacing w:after="0"/>
        <w:tabs>
          <w:tab w:leader="none" w:pos="1060" w:val="left"/>
        </w:tabs>
        <w:rPr>
          <w:sz w:val="20"/>
          <w:szCs w:val="20"/>
          <w:color w:val="auto"/>
        </w:rPr>
      </w:pPr>
      <w:r>
        <w:rPr>
          <w:rFonts w:ascii="Arial" w:cs="Arial" w:eastAsia="Arial" w:hAnsi="Arial"/>
          <w:sz w:val="20"/>
          <w:szCs w:val="20"/>
          <w:color w:val="auto"/>
        </w:rPr>
        <w:t>Telecopier:</w:t>
      </w:r>
      <w:r>
        <w:rPr>
          <w:sz w:val="20"/>
          <w:szCs w:val="20"/>
          <w:color w:val="auto"/>
        </w:rPr>
        <w:tab/>
      </w:r>
      <w:r>
        <w:rPr>
          <w:rFonts w:ascii="Arial" w:cs="Arial" w:eastAsia="Arial" w:hAnsi="Arial"/>
          <w:sz w:val="17"/>
          <w:szCs w:val="17"/>
          <w:color w:val="auto"/>
        </w:rPr>
        <w:t>214.416.0948</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0"/>
          <w:szCs w:val="20"/>
          <w:u w:val="single" w:color="auto"/>
          <w:color w:val="0000FF"/>
        </w:rPr>
        <w:t>armando.a.gonzalez@bofa.com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Wire Instructions</w:t>
      </w:r>
      <w:r>
        <w:rPr>
          <w:rFonts w:ascii="Arial" w:cs="Arial" w:eastAsia="Arial" w:hAnsi="Arial"/>
          <w:sz w:val="20"/>
          <w:szCs w:val="20"/>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237" w:lineRule="auto"/>
        <w:rPr>
          <w:sz w:val="20"/>
          <w:szCs w:val="20"/>
          <w:color w:val="auto"/>
        </w:rPr>
      </w:pPr>
      <w:r>
        <w:rPr>
          <w:rFonts w:ascii="Arial" w:cs="Arial" w:eastAsia="Arial" w:hAnsi="Arial"/>
          <w:sz w:val="20"/>
          <w:szCs w:val="20"/>
          <w:color w:val="auto"/>
        </w:rPr>
        <w:t>New York, New York</w:t>
      </w:r>
    </w:p>
    <w:p>
      <w:pPr>
        <w:spacing w:after="0" w:line="238" w:lineRule="auto"/>
        <w:rPr>
          <w:sz w:val="20"/>
          <w:szCs w:val="20"/>
          <w:color w:val="auto"/>
        </w:rPr>
      </w:pPr>
      <w:r>
        <w:rPr>
          <w:rFonts w:ascii="Arial" w:cs="Arial" w:eastAsia="Arial" w:hAnsi="Arial"/>
          <w:sz w:val="20"/>
          <w:szCs w:val="20"/>
          <w:color w:val="auto"/>
        </w:rPr>
        <w:t>ABA #026009593</w:t>
      </w:r>
    </w:p>
    <w:p>
      <w:pPr>
        <w:spacing w:after="0" w:line="237" w:lineRule="auto"/>
        <w:rPr>
          <w:sz w:val="20"/>
          <w:szCs w:val="20"/>
          <w:color w:val="auto"/>
        </w:rPr>
      </w:pPr>
      <w:r>
        <w:rPr>
          <w:rFonts w:ascii="Arial" w:cs="Arial" w:eastAsia="Arial" w:hAnsi="Arial"/>
          <w:sz w:val="20"/>
          <w:szCs w:val="20"/>
          <w:color w:val="auto"/>
        </w:rPr>
        <w:t>Account #1366072250600</w:t>
      </w:r>
    </w:p>
    <w:p>
      <w:pPr>
        <w:spacing w:after="0" w:line="238" w:lineRule="auto"/>
        <w:rPr>
          <w:sz w:val="20"/>
          <w:szCs w:val="20"/>
          <w:color w:val="auto"/>
        </w:rPr>
      </w:pPr>
      <w:r>
        <w:rPr>
          <w:rFonts w:ascii="Arial" w:cs="Arial" w:eastAsia="Arial" w:hAnsi="Arial"/>
          <w:sz w:val="20"/>
          <w:szCs w:val="20"/>
          <w:color w:val="auto"/>
        </w:rPr>
        <w:t>Attn: Wire Clearing Acct for Syn Loans - LIQ</w:t>
      </w:r>
    </w:p>
    <w:p>
      <w:pPr>
        <w:spacing w:after="0"/>
        <w:rPr>
          <w:sz w:val="20"/>
          <w:szCs w:val="20"/>
          <w:color w:val="auto"/>
        </w:rPr>
      </w:pPr>
      <w:r>
        <w:rPr>
          <w:rFonts w:ascii="Arial" w:cs="Arial" w:eastAsia="Arial" w:hAnsi="Arial"/>
          <w:sz w:val="20"/>
          <w:szCs w:val="20"/>
          <w:color w:val="auto"/>
        </w:rPr>
        <w:t>Ref: Republic Services,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10.02 – Administrative Agent’s Office; Certain Addresses for Notices</w:t>
      </w:r>
    </w:p>
    <w:p>
      <w:pPr>
        <w:sectPr>
          <w:pgSz w:w="11900" w:h="16838" w:orient="portrait"/>
          <w:cols w:equalWidth="0" w:num="1">
            <w:col w:w="10920"/>
          </w:cols>
          <w:pgMar w:left="480" w:top="264" w:right="49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i w:val="1"/>
          <w:i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Other Notices as Administrative Agent</w:t>
      </w:r>
      <w:r>
        <w:rPr>
          <w:rFonts w:ascii="Arial" w:cs="Arial" w:eastAsia="Arial" w:hAnsi="Arial"/>
          <w:sz w:val="20"/>
          <w:szCs w:val="20"/>
          <w:i w:val="1"/>
          <w:iCs w:val="1"/>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237" w:lineRule="auto"/>
        <w:rPr>
          <w:sz w:val="20"/>
          <w:szCs w:val="20"/>
          <w:color w:val="auto"/>
        </w:rPr>
      </w:pPr>
      <w:r>
        <w:rPr>
          <w:rFonts w:ascii="Arial" w:cs="Arial" w:eastAsia="Arial" w:hAnsi="Arial"/>
          <w:sz w:val="20"/>
          <w:szCs w:val="20"/>
          <w:color w:val="auto"/>
        </w:rPr>
        <w:t>Agency Management</w:t>
      </w:r>
    </w:p>
    <w:p>
      <w:pPr>
        <w:spacing w:after="0" w:line="238" w:lineRule="auto"/>
        <w:rPr>
          <w:sz w:val="20"/>
          <w:szCs w:val="20"/>
          <w:color w:val="auto"/>
        </w:rPr>
      </w:pPr>
      <w:r>
        <w:rPr>
          <w:rFonts w:ascii="Arial" w:cs="Arial" w:eastAsia="Arial" w:hAnsi="Arial"/>
          <w:sz w:val="20"/>
          <w:szCs w:val="20"/>
          <w:color w:val="auto"/>
        </w:rPr>
        <w:t>900 West Trade Street</w:t>
      </w:r>
    </w:p>
    <w:p>
      <w:pPr>
        <w:spacing w:after="0" w:line="237" w:lineRule="auto"/>
        <w:rPr>
          <w:sz w:val="20"/>
          <w:szCs w:val="20"/>
          <w:color w:val="auto"/>
        </w:rPr>
      </w:pPr>
      <w:r>
        <w:rPr>
          <w:rFonts w:ascii="Arial" w:cs="Arial" w:eastAsia="Arial" w:hAnsi="Arial"/>
          <w:sz w:val="20"/>
          <w:szCs w:val="20"/>
          <w:color w:val="auto"/>
        </w:rPr>
        <w:t>Mail Code: NC1-026-06-03</w:t>
      </w:r>
    </w:p>
    <w:p>
      <w:pPr>
        <w:spacing w:after="0" w:line="238" w:lineRule="auto"/>
        <w:rPr>
          <w:sz w:val="20"/>
          <w:szCs w:val="20"/>
          <w:color w:val="auto"/>
        </w:rPr>
      </w:pPr>
      <w:r>
        <w:rPr>
          <w:rFonts w:ascii="Arial" w:cs="Arial" w:eastAsia="Arial" w:hAnsi="Arial"/>
          <w:sz w:val="20"/>
          <w:szCs w:val="20"/>
          <w:color w:val="auto"/>
        </w:rPr>
        <w:t>Charlotte, North Carolina 28255</w:t>
      </w:r>
    </w:p>
    <w:p>
      <w:pPr>
        <w:spacing w:after="0" w:line="237" w:lineRule="auto"/>
        <w:tabs>
          <w:tab w:leader="none" w:pos="1080" w:val="left"/>
        </w:tabs>
        <w:rPr>
          <w:sz w:val="20"/>
          <w:szCs w:val="20"/>
          <w:color w:val="auto"/>
        </w:rPr>
      </w:pPr>
      <w:r>
        <w:rPr>
          <w:rFonts w:ascii="Arial" w:cs="Arial" w:eastAsia="Arial" w:hAnsi="Arial"/>
          <w:sz w:val="20"/>
          <w:szCs w:val="20"/>
          <w:color w:val="auto"/>
        </w:rPr>
        <w:t>Attention:</w:t>
        <w:tab/>
        <w:t>Mollie S. Canup</w:t>
      </w:r>
    </w:p>
    <w:p>
      <w:pPr>
        <w:spacing w:after="0" w:line="238" w:lineRule="auto"/>
        <w:tabs>
          <w:tab w:leader="none" w:pos="1100" w:val="left"/>
        </w:tabs>
        <w:rPr>
          <w:sz w:val="20"/>
          <w:szCs w:val="20"/>
          <w:color w:val="auto"/>
        </w:rPr>
      </w:pPr>
      <w:r>
        <w:rPr>
          <w:rFonts w:ascii="Arial" w:cs="Arial" w:eastAsia="Arial" w:hAnsi="Arial"/>
          <w:sz w:val="20"/>
          <w:szCs w:val="20"/>
          <w:color w:val="auto"/>
        </w:rPr>
        <w:t>Telephone:</w:t>
        <w:tab/>
        <w:t>980.387.5449</w:t>
      </w:r>
    </w:p>
    <w:p>
      <w:pPr>
        <w:spacing w:after="0" w:line="237" w:lineRule="auto"/>
        <w:tabs>
          <w:tab w:leader="none" w:pos="1100" w:val="left"/>
        </w:tabs>
        <w:rPr>
          <w:sz w:val="20"/>
          <w:szCs w:val="20"/>
          <w:color w:val="auto"/>
        </w:rPr>
      </w:pPr>
      <w:r>
        <w:rPr>
          <w:rFonts w:ascii="Arial" w:cs="Arial" w:eastAsia="Arial" w:hAnsi="Arial"/>
          <w:sz w:val="20"/>
          <w:szCs w:val="20"/>
          <w:color w:val="auto"/>
        </w:rPr>
        <w:t>Telecopier:</w:t>
        <w:tab/>
        <w:t>704.409.0011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0"/>
          <w:szCs w:val="20"/>
          <w:u w:val="single" w:color="auto"/>
          <w:color w:val="0000FF"/>
        </w:rPr>
        <w:t>mollie.s.canup@bofa.com</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All Notices to Portfolio/Credit Contact:</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w:t>
      </w:r>
    </w:p>
    <w:p>
      <w:pPr>
        <w:spacing w:after="0" w:line="237" w:lineRule="auto"/>
        <w:rPr>
          <w:sz w:val="20"/>
          <w:szCs w:val="20"/>
          <w:color w:val="auto"/>
        </w:rPr>
      </w:pPr>
      <w:r>
        <w:rPr>
          <w:rFonts w:ascii="Arial" w:cs="Arial" w:eastAsia="Arial" w:hAnsi="Arial"/>
          <w:sz w:val="20"/>
          <w:szCs w:val="20"/>
          <w:color w:val="auto"/>
        </w:rPr>
        <w:t>540 W. Madison Street</w:t>
      </w:r>
    </w:p>
    <w:p>
      <w:pPr>
        <w:spacing w:after="0" w:line="238" w:lineRule="auto"/>
        <w:rPr>
          <w:sz w:val="20"/>
          <w:szCs w:val="20"/>
          <w:color w:val="auto"/>
        </w:rPr>
      </w:pPr>
      <w:r>
        <w:rPr>
          <w:rFonts w:ascii="Arial" w:cs="Arial" w:eastAsia="Arial" w:hAnsi="Arial"/>
          <w:sz w:val="20"/>
          <w:szCs w:val="20"/>
          <w:color w:val="auto"/>
        </w:rPr>
        <w:t>Mail Code: IL4-540-22-23</w:t>
      </w:r>
    </w:p>
    <w:p>
      <w:pPr>
        <w:spacing w:after="0" w:line="237" w:lineRule="auto"/>
        <w:rPr>
          <w:sz w:val="20"/>
          <w:szCs w:val="20"/>
          <w:color w:val="auto"/>
        </w:rPr>
      </w:pPr>
      <w:r>
        <w:rPr>
          <w:rFonts w:ascii="Arial" w:cs="Arial" w:eastAsia="Arial" w:hAnsi="Arial"/>
          <w:sz w:val="20"/>
          <w:szCs w:val="20"/>
          <w:color w:val="auto"/>
        </w:rPr>
        <w:t>Chicago, Illinois 60661</w:t>
      </w:r>
    </w:p>
    <w:p>
      <w:pPr>
        <w:spacing w:after="0" w:line="238" w:lineRule="auto"/>
        <w:tabs>
          <w:tab w:leader="none" w:pos="1080" w:val="left"/>
        </w:tabs>
        <w:rPr>
          <w:sz w:val="20"/>
          <w:szCs w:val="20"/>
          <w:color w:val="auto"/>
        </w:rPr>
      </w:pPr>
      <w:r>
        <w:rPr>
          <w:rFonts w:ascii="Arial" w:cs="Arial" w:eastAsia="Arial" w:hAnsi="Arial"/>
          <w:sz w:val="20"/>
          <w:szCs w:val="20"/>
          <w:color w:val="auto"/>
        </w:rPr>
        <w:t>Attention:</w:t>
        <w:tab/>
        <w:t>Michael Contreras</w:t>
      </w:r>
    </w:p>
    <w:p>
      <w:pPr>
        <w:ind w:left="1080"/>
        <w:spacing w:after="0" w:line="237" w:lineRule="auto"/>
        <w:rPr>
          <w:sz w:val="20"/>
          <w:szCs w:val="20"/>
          <w:color w:val="auto"/>
        </w:rPr>
      </w:pPr>
      <w:r>
        <w:rPr>
          <w:rFonts w:ascii="Arial" w:cs="Arial" w:eastAsia="Arial" w:hAnsi="Arial"/>
          <w:sz w:val="20"/>
          <w:szCs w:val="20"/>
          <w:color w:val="auto"/>
        </w:rPr>
        <w:t>Director</w:t>
      </w:r>
    </w:p>
    <w:p>
      <w:pPr>
        <w:spacing w:after="0"/>
        <w:tabs>
          <w:tab w:leader="none" w:pos="1040" w:val="left"/>
        </w:tabs>
        <w:rPr>
          <w:sz w:val="20"/>
          <w:szCs w:val="20"/>
          <w:color w:val="auto"/>
        </w:rPr>
      </w:pPr>
      <w:r>
        <w:rPr>
          <w:rFonts w:ascii="Arial" w:cs="Arial" w:eastAsia="Arial" w:hAnsi="Arial"/>
          <w:sz w:val="20"/>
          <w:szCs w:val="20"/>
          <w:color w:val="auto"/>
        </w:rPr>
        <w:t>Telephone:</w:t>
      </w:r>
      <w:r>
        <w:rPr>
          <w:sz w:val="20"/>
          <w:szCs w:val="20"/>
          <w:color w:val="auto"/>
        </w:rPr>
        <w:tab/>
      </w:r>
      <w:r>
        <w:rPr>
          <w:rFonts w:ascii="Arial" w:cs="Arial" w:eastAsia="Arial" w:hAnsi="Arial"/>
          <w:sz w:val="17"/>
          <w:szCs w:val="17"/>
          <w:color w:val="auto"/>
        </w:rPr>
        <w:t>312.992.3882</w:t>
      </w:r>
    </w:p>
    <w:p>
      <w:pPr>
        <w:spacing w:after="0"/>
        <w:rPr>
          <w:sz w:val="20"/>
          <w:szCs w:val="20"/>
          <w:color w:val="auto"/>
        </w:rPr>
      </w:pPr>
      <w:r>
        <w:rPr>
          <w:rFonts w:ascii="Arial" w:cs="Arial" w:eastAsia="Arial" w:hAnsi="Arial"/>
          <w:sz w:val="20"/>
          <w:szCs w:val="20"/>
          <w:color w:val="auto"/>
        </w:rPr>
        <w:t xml:space="preserve">Electronic Mail: </w:t>
      </w:r>
      <w:r>
        <w:rPr>
          <w:rFonts w:ascii="Arial" w:cs="Arial" w:eastAsia="Arial" w:hAnsi="Arial"/>
          <w:sz w:val="20"/>
          <w:szCs w:val="20"/>
          <w:u w:val="single" w:color="auto"/>
          <w:color w:val="0000FF"/>
        </w:rPr>
        <w:t>Michael.contreras@bofa.com</w:t>
      </w:r>
    </w:p>
    <w:p>
      <w:pPr>
        <w:spacing w:after="0" w:line="131" w:lineRule="exact"/>
        <w:rPr>
          <w:sz w:val="20"/>
          <w:szCs w:val="20"/>
          <w:color w:val="auto"/>
        </w:rPr>
      </w:pPr>
    </w:p>
    <w:p>
      <w:pPr>
        <w:jc w:val="right"/>
        <w:ind w:right="1679"/>
        <w:spacing w:after="0"/>
        <w:rPr>
          <w:sz w:val="20"/>
          <w:szCs w:val="20"/>
          <w:color w:val="auto"/>
        </w:rPr>
      </w:pPr>
      <w:r>
        <w:rPr>
          <w:rFonts w:ascii="Arial" w:cs="Arial" w:eastAsia="Arial" w:hAnsi="Arial"/>
          <w:sz w:val="18"/>
          <w:szCs w:val="18"/>
          <w:color w:val="auto"/>
        </w:rPr>
        <w:t>Schedule 10.02 – Administrative Agent’s Office; Certain Addresses for Notices</w:t>
      </w:r>
    </w:p>
    <w:p>
      <w:pPr>
        <w:sectPr>
          <w:pgSz w:w="11900" w:h="16838" w:orient="portrait"/>
          <w:cols w:equalWidth="0" w:num="1">
            <w:col w:w="9979"/>
          </w:cols>
          <w:pgMar w:left="480" w:top="270"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COMMITTED LOAN NOTICE</w:t>
      </w:r>
    </w:p>
    <w:p>
      <w:pPr>
        <w:spacing w:after="0" w:line="218" w:lineRule="exact"/>
        <w:rPr>
          <w:sz w:val="20"/>
          <w:szCs w:val="20"/>
          <w:color w:val="auto"/>
        </w:rPr>
      </w:pPr>
    </w:p>
    <w:p>
      <w:pPr>
        <w:ind w:left="9580"/>
        <w:spacing w:after="0"/>
        <w:tabs>
          <w:tab w:leader="none" w:pos="10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6377940</wp:posOffset>
            </wp:positionH>
            <wp:positionV relativeFrom="paragraph">
              <wp:posOffset>-15875</wp:posOffset>
            </wp:positionV>
            <wp:extent cx="5607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2"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Reference is made to that certain Credit Agreement, dated as of August 25, 2020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Republic Services,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from time to time party thereto, and Bank of America, N.A., as Administrative Agent.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The undersigned hereby requests (select one):</w:t>
      </w:r>
    </w:p>
    <w:p>
      <w:pPr>
        <w:spacing w:after="0" w:line="225" w:lineRule="exact"/>
        <w:rPr>
          <w:sz w:val="20"/>
          <w:szCs w:val="20"/>
          <w:color w:val="auto"/>
        </w:rPr>
      </w:pPr>
    </w:p>
    <w:p>
      <w:pPr>
        <w:ind w:left="1100" w:hanging="225"/>
        <w:spacing w:after="0"/>
        <w:tabs>
          <w:tab w:leader="none" w:pos="1100" w:val="left"/>
        </w:tabs>
        <w:numPr>
          <w:ilvl w:val="0"/>
          <w:numId w:val="118"/>
        </w:numPr>
        <w:rPr>
          <w:rFonts w:ascii="MS PGothic" w:cs="MS PGothic" w:eastAsia="MS PGothic" w:hAnsi="MS PGothic"/>
          <w:sz w:val="20"/>
          <w:szCs w:val="20"/>
          <w:color w:val="auto"/>
        </w:rPr>
      </w:pPr>
      <w:r>
        <w:rPr>
          <w:rFonts w:ascii="Arial" w:cs="Arial" w:eastAsia="Arial" w:hAnsi="Arial"/>
          <w:sz w:val="20"/>
          <w:szCs w:val="20"/>
          <w:color w:val="auto"/>
        </w:rPr>
        <w:t>A Committed Borrowing</w:t>
      </w:r>
    </w:p>
    <w:p>
      <w:pPr>
        <w:spacing w:after="0" w:line="225" w:lineRule="exact"/>
        <w:rPr>
          <w:rFonts w:ascii="MS PGothic" w:cs="MS PGothic" w:eastAsia="MS PGothic" w:hAnsi="MS PGothic"/>
          <w:sz w:val="20"/>
          <w:szCs w:val="20"/>
          <w:color w:val="auto"/>
        </w:rPr>
      </w:pPr>
    </w:p>
    <w:p>
      <w:pPr>
        <w:ind w:left="1100" w:hanging="225"/>
        <w:spacing w:after="0"/>
        <w:tabs>
          <w:tab w:leader="none" w:pos="1100" w:val="left"/>
        </w:tabs>
        <w:numPr>
          <w:ilvl w:val="0"/>
          <w:numId w:val="118"/>
        </w:numPr>
        <w:rPr>
          <w:rFonts w:ascii="MS PGothic" w:cs="MS PGothic" w:eastAsia="MS PGothic" w:hAnsi="MS PGothic"/>
          <w:sz w:val="20"/>
          <w:szCs w:val="20"/>
          <w:color w:val="auto"/>
        </w:rPr>
      </w:pPr>
      <w:r>
        <w:rPr>
          <w:rFonts w:ascii="Arial" w:cs="Arial" w:eastAsia="Arial" w:hAnsi="Arial"/>
          <w:sz w:val="20"/>
          <w:szCs w:val="20"/>
          <w:color w:val="auto"/>
        </w:rPr>
        <w:t>A conversion or continuation of Committed Loans</w:t>
      </w:r>
    </w:p>
    <w:p>
      <w:pPr>
        <w:spacing w:after="0" w:line="186"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240" w:type="dxa"/>
            <w:vAlign w:val="bottom"/>
          </w:tcPr>
          <w:p>
            <w:pPr>
              <w:jc w:val="right"/>
              <w:ind w:right="2"/>
              <w:spacing w:after="0"/>
              <w:rPr>
                <w:sz w:val="20"/>
                <w:szCs w:val="20"/>
                <w:color w:val="auto"/>
              </w:rPr>
            </w:pPr>
            <w:r>
              <w:rPr>
                <w:rFonts w:ascii="Arial" w:cs="Arial" w:eastAsia="Arial" w:hAnsi="Arial"/>
                <w:sz w:val="20"/>
                <w:szCs w:val="20"/>
                <w:color w:val="auto"/>
                <w:w w:val="71"/>
              </w:rPr>
              <w:t>1.</w:t>
            </w:r>
          </w:p>
        </w:tc>
        <w:tc>
          <w:tcPr>
            <w:tcW w:w="380" w:type="dxa"/>
            <w:vAlign w:val="bottom"/>
          </w:tcPr>
          <w:p>
            <w:pPr>
              <w:ind w:left="100"/>
              <w:spacing w:after="0"/>
              <w:rPr>
                <w:sz w:val="20"/>
                <w:szCs w:val="20"/>
                <w:color w:val="auto"/>
              </w:rPr>
            </w:pPr>
            <w:r>
              <w:rPr>
                <w:rFonts w:ascii="Arial" w:cs="Arial" w:eastAsia="Arial" w:hAnsi="Arial"/>
                <w:sz w:val="20"/>
                <w:szCs w:val="20"/>
                <w:color w:val="auto"/>
                <w:w w:val="97"/>
              </w:rPr>
              <w:t>On</w:t>
            </w:r>
          </w:p>
        </w:tc>
        <w:tc>
          <w:tcPr>
            <w:tcW w:w="980" w:type="dxa"/>
            <w:vAlign w:val="bottom"/>
            <w:tcBorders>
              <w:bottom w:val="single" w:sz="8" w:color="auto"/>
            </w:tcBorders>
            <w:gridSpan w:val="2"/>
          </w:tcPr>
          <w:p>
            <w:pPr>
              <w:spacing w:after="0"/>
              <w:rPr>
                <w:sz w:val="19"/>
                <w:szCs w:val="19"/>
                <w:color w:val="auto"/>
              </w:rPr>
            </w:pPr>
          </w:p>
        </w:tc>
        <w:tc>
          <w:tcPr>
            <w:tcW w:w="3940" w:type="dxa"/>
            <w:vAlign w:val="bottom"/>
            <w:gridSpan w:val="4"/>
          </w:tcPr>
          <w:p>
            <w:pPr>
              <w:jc w:val="right"/>
              <w:ind w:right="2402"/>
              <w:spacing w:after="0"/>
              <w:rPr>
                <w:sz w:val="20"/>
                <w:szCs w:val="20"/>
                <w:color w:val="auto"/>
              </w:rPr>
            </w:pPr>
            <w:r>
              <w:rPr>
                <w:rFonts w:ascii="Arial" w:cs="Arial" w:eastAsia="Arial" w:hAnsi="Arial"/>
                <w:sz w:val="20"/>
                <w:szCs w:val="20"/>
                <w:color w:val="auto"/>
                <w:w w:val="89"/>
              </w:rPr>
              <w:t>(a Business Day).</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22"/>
        </w:trPr>
        <w:tc>
          <w:tcPr>
            <w:tcW w:w="240" w:type="dxa"/>
            <w:vAlign w:val="bottom"/>
          </w:tcPr>
          <w:p>
            <w:pPr>
              <w:jc w:val="right"/>
              <w:ind w:right="2"/>
              <w:spacing w:after="0"/>
              <w:rPr>
                <w:sz w:val="20"/>
                <w:szCs w:val="20"/>
                <w:color w:val="auto"/>
              </w:rPr>
            </w:pPr>
            <w:r>
              <w:rPr>
                <w:rFonts w:ascii="Arial" w:cs="Arial" w:eastAsia="Arial" w:hAnsi="Arial"/>
                <w:sz w:val="20"/>
                <w:szCs w:val="20"/>
                <w:color w:val="auto"/>
                <w:w w:val="71"/>
              </w:rPr>
              <w:t>2.</w:t>
            </w:r>
          </w:p>
        </w:tc>
        <w:tc>
          <w:tcPr>
            <w:tcW w:w="1940" w:type="dxa"/>
            <w:vAlign w:val="bottom"/>
            <w:gridSpan w:val="5"/>
          </w:tcPr>
          <w:p>
            <w:pPr>
              <w:ind w:left="100"/>
              <w:spacing w:after="0"/>
              <w:rPr>
                <w:sz w:val="20"/>
                <w:szCs w:val="20"/>
                <w:color w:val="auto"/>
              </w:rPr>
            </w:pPr>
            <w:r>
              <w:rPr>
                <w:rFonts w:ascii="Arial" w:cs="Arial" w:eastAsia="Arial" w:hAnsi="Arial"/>
                <w:sz w:val="20"/>
                <w:szCs w:val="20"/>
                <w:color w:val="auto"/>
              </w:rPr>
              <w:t>In the amount of $</w:t>
            </w:r>
          </w:p>
        </w:tc>
        <w:tc>
          <w:tcPr>
            <w:tcW w:w="260" w:type="dxa"/>
            <w:vAlign w:val="bottom"/>
          </w:tcPr>
          <w:p>
            <w:pPr>
              <w:jc w:val="right"/>
              <w:ind w:right="171"/>
              <w:spacing w:after="0"/>
              <w:rPr>
                <w:sz w:val="20"/>
                <w:szCs w:val="20"/>
                <w:color w:val="auto"/>
              </w:rPr>
            </w:pPr>
            <w:r>
              <w:rPr>
                <w:rFonts w:ascii="Arial" w:cs="Arial" w:eastAsia="Arial" w:hAnsi="Arial"/>
                <w:sz w:val="10"/>
                <w:szCs w:val="10"/>
                <w:color w:val="auto"/>
                <w:w w:val="70"/>
              </w:rPr>
              <w:t>.</w:t>
            </w: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2"/>
        </w:trPr>
        <w:tc>
          <w:tcPr>
            <w:tcW w:w="240" w:type="dxa"/>
            <w:vAlign w:val="bottom"/>
          </w:tcPr>
          <w:p>
            <w:pPr>
              <w:jc w:val="right"/>
              <w:ind w:right="2"/>
              <w:spacing w:after="0"/>
              <w:rPr>
                <w:sz w:val="20"/>
                <w:szCs w:val="20"/>
                <w:color w:val="auto"/>
              </w:rPr>
            </w:pPr>
            <w:r>
              <w:rPr>
                <w:rFonts w:ascii="Arial" w:cs="Arial" w:eastAsia="Arial" w:hAnsi="Arial"/>
                <w:sz w:val="20"/>
                <w:szCs w:val="20"/>
                <w:color w:val="auto"/>
                <w:w w:val="71"/>
              </w:rPr>
              <w:t>3.</w:t>
            </w:r>
          </w:p>
        </w:tc>
        <w:tc>
          <w:tcPr>
            <w:tcW w:w="1220" w:type="dxa"/>
            <w:vAlign w:val="bottom"/>
            <w:gridSpan w:val="2"/>
          </w:tcPr>
          <w:p>
            <w:pPr>
              <w:ind w:left="100"/>
              <w:spacing w:after="0"/>
              <w:rPr>
                <w:sz w:val="20"/>
                <w:szCs w:val="20"/>
                <w:color w:val="auto"/>
              </w:rPr>
            </w:pPr>
            <w:r>
              <w:rPr>
                <w:rFonts w:ascii="Arial" w:cs="Arial" w:eastAsia="Arial" w:hAnsi="Arial"/>
                <w:sz w:val="20"/>
                <w:szCs w:val="20"/>
                <w:color w:val="auto"/>
                <w:w w:val="92"/>
              </w:rPr>
              <w:t>Comprised of</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00" w:type="dxa"/>
            <w:vAlign w:val="bottom"/>
          </w:tcPr>
          <w:p>
            <w:pPr>
              <w:jc w:val="right"/>
              <w:ind w:right="2942"/>
              <w:spacing w:after="0"/>
              <w:rPr>
                <w:sz w:val="20"/>
                <w:szCs w:val="20"/>
                <w:color w:val="auto"/>
              </w:rPr>
            </w:pPr>
            <w:r>
              <w:rPr>
                <w:rFonts w:ascii="Arial" w:cs="Arial" w:eastAsia="Arial" w:hAnsi="Arial"/>
                <w:sz w:val="20"/>
                <w:szCs w:val="20"/>
                <w:color w:val="auto"/>
                <w:w w:val="71"/>
              </w:rPr>
              <w:t>.</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2"/>
        </w:trPr>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40" w:type="dxa"/>
            <w:vAlign w:val="bottom"/>
            <w:gridSpan w:val="4"/>
          </w:tcPr>
          <w:p>
            <w:pPr>
              <w:jc w:val="right"/>
              <w:ind w:right="782"/>
              <w:spacing w:after="0"/>
              <w:rPr>
                <w:sz w:val="20"/>
                <w:szCs w:val="20"/>
                <w:color w:val="auto"/>
              </w:rPr>
            </w:pPr>
            <w:r>
              <w:rPr>
                <w:rFonts w:ascii="Arial" w:cs="Arial" w:eastAsia="Arial" w:hAnsi="Arial"/>
                <w:sz w:val="20"/>
                <w:szCs w:val="20"/>
                <w:color w:val="auto"/>
                <w:w w:val="93"/>
              </w:rPr>
              <w:t>[Type of Committed Loan requested]</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97"/>
        </w:trPr>
        <w:tc>
          <w:tcPr>
            <w:tcW w:w="240" w:type="dxa"/>
            <w:vAlign w:val="bottom"/>
          </w:tcPr>
          <w:p>
            <w:pPr>
              <w:jc w:val="right"/>
              <w:ind w:right="2"/>
              <w:spacing w:after="0"/>
              <w:rPr>
                <w:sz w:val="20"/>
                <w:szCs w:val="20"/>
                <w:color w:val="auto"/>
              </w:rPr>
            </w:pPr>
            <w:r>
              <w:rPr>
                <w:rFonts w:ascii="Arial" w:cs="Arial" w:eastAsia="Arial" w:hAnsi="Arial"/>
                <w:sz w:val="20"/>
                <w:szCs w:val="20"/>
                <w:color w:val="auto"/>
                <w:w w:val="71"/>
              </w:rPr>
              <w:t>4.</w:t>
            </w:r>
          </w:p>
        </w:tc>
        <w:tc>
          <w:tcPr>
            <w:tcW w:w="5300" w:type="dxa"/>
            <w:vAlign w:val="bottom"/>
            <w:gridSpan w:val="7"/>
          </w:tcPr>
          <w:p>
            <w:pPr>
              <w:ind w:left="100"/>
              <w:spacing w:after="0"/>
              <w:rPr>
                <w:sz w:val="20"/>
                <w:szCs w:val="20"/>
                <w:color w:val="auto"/>
              </w:rPr>
            </w:pPr>
            <w:r>
              <w:rPr>
                <w:rFonts w:ascii="Arial" w:cs="Arial" w:eastAsia="Arial" w:hAnsi="Arial"/>
                <w:sz w:val="20"/>
                <w:szCs w:val="20"/>
                <w:color w:val="auto"/>
                <w:w w:val="88"/>
              </w:rPr>
              <w:t xml:space="preserve">For Eurodollar Rate Loans: with an Interest Period of </w:t>
            </w:r>
            <w:r>
              <w:rPr>
                <w:rFonts w:ascii="Arial" w:cs="Arial" w:eastAsia="Arial" w:hAnsi="Arial"/>
                <w:sz w:val="20"/>
                <w:szCs w:val="20"/>
                <w:b w:val="1"/>
                <w:bCs w:val="1"/>
                <w:color w:val="auto"/>
                <w:w w:val="88"/>
              </w:rPr>
              <w:t>[one week][</w:t>
            </w:r>
          </w:p>
        </w:tc>
        <w:tc>
          <w:tcPr>
            <w:tcW w:w="400" w:type="dxa"/>
            <w:vAlign w:val="bottom"/>
            <w:tcBorders>
              <w:bottom w:val="single" w:sz="8" w:color="auto"/>
            </w:tcBorders>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20"/>
                <w:szCs w:val="20"/>
                <w:b w:val="1"/>
                <w:bCs w:val="1"/>
                <w:color w:val="auto"/>
                <w:w w:val="85"/>
              </w:rPr>
              <w:t>months]</w:t>
            </w:r>
            <w:r>
              <w:rPr>
                <w:rFonts w:ascii="Arial" w:cs="Arial" w:eastAsia="Arial" w:hAnsi="Arial"/>
                <w:sz w:val="20"/>
                <w:szCs w:val="20"/>
                <w:color w:val="auto"/>
                <w:w w:val="85"/>
              </w:rPr>
              <w:t>.</w:t>
            </w:r>
          </w:p>
        </w:tc>
      </w:tr>
    </w:tbl>
    <w:p>
      <w:pPr>
        <w:spacing w:after="0" w:line="224" w:lineRule="exact"/>
        <w:rPr>
          <w:sz w:val="20"/>
          <w:szCs w:val="20"/>
          <w:color w:val="auto"/>
        </w:rPr>
      </w:pPr>
    </w:p>
    <w:p>
      <w:pPr>
        <w:ind w:firstLine="874"/>
        <w:spacing w:after="0" w:line="257" w:lineRule="auto"/>
        <w:rPr>
          <w:sz w:val="20"/>
          <w:szCs w:val="20"/>
          <w:color w:val="auto"/>
        </w:rPr>
      </w:pPr>
      <w:r>
        <w:rPr>
          <w:rFonts w:ascii="Arial" w:cs="Arial" w:eastAsia="Arial" w:hAnsi="Arial"/>
          <w:sz w:val="20"/>
          <w:szCs w:val="20"/>
          <w:color w:val="auto"/>
        </w:rPr>
        <w:t xml:space="preserve">The Committed Borrowing, if any, requested herein complies with the provisos to the first sentence of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of the Agreement.</w:t>
      </w:r>
    </w:p>
    <w:p>
      <w:pPr>
        <w:spacing w:after="0" w:line="198"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REPUBLIC SERVICES, INC.</w:t>
      </w:r>
    </w:p>
    <w:p>
      <w:pPr>
        <w:spacing w:after="0" w:line="325"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8890</wp:posOffset>
            </wp:positionV>
            <wp:extent cx="31883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Name:</w:t>
      </w:r>
    </w:p>
    <w:p>
      <w:pPr>
        <w:spacing w:after="0" w:line="1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Title: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Committed Loan Notice</w:t>
      </w:r>
    </w:p>
    <w:p>
      <w:pPr>
        <w:sectPr>
          <w:pgSz w:w="11900" w:h="16838" w:orient="portrait"/>
          <w:cols w:equalWidth="0" w:num="1">
            <w:col w:w="10920"/>
          </w:cols>
          <w:pgMar w:left="480" w:top="264" w:right="499" w:bottom="1440" w:gutter="0" w:footer="0" w:header="0"/>
        </w:sectPr>
      </w:pPr>
    </w:p>
    <w:bookmarkStart w:id="121" w:name="page122"/>
    <w:bookmarkEnd w:id="121"/>
    <w:tbl>
      <w:tblPr>
        <w:tblLayout w:type="fixed"/>
        <w:tblInd w:w="88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auto"/>
              </w:rPr>
              <w:t>EXHIBIT B</w:t>
            </w:r>
          </w:p>
        </w:tc>
      </w:tr>
      <w:tr>
        <w:trPr>
          <w:trHeight w:val="466"/>
        </w:trPr>
        <w:tc>
          <w:tcPr>
            <w:tcW w:w="6980" w:type="dxa"/>
            <w:vAlign w:val="bottom"/>
            <w:gridSpan w:val="3"/>
          </w:tcPr>
          <w:p>
            <w:pPr>
              <w:ind w:left="3820"/>
              <w:spacing w:after="0"/>
              <w:rPr>
                <w:sz w:val="20"/>
                <w:szCs w:val="20"/>
                <w:color w:val="auto"/>
              </w:rPr>
            </w:pPr>
            <w:r>
              <w:rPr>
                <w:rFonts w:ascii="Arial" w:cs="Arial" w:eastAsia="Arial" w:hAnsi="Arial"/>
                <w:sz w:val="20"/>
                <w:szCs w:val="20"/>
                <w:b w:val="1"/>
                <w:bCs w:val="1"/>
                <w:color w:val="auto"/>
              </w:rPr>
              <w:t>FORM OF NOTE</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183"/>
        </w:trPr>
        <w:tc>
          <w:tcPr>
            <w:tcW w:w="3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20" w:type="dxa"/>
            <w:vAlign w:val="bottom"/>
            <w:tcBorders>
              <w:bottom w:val="single" w:sz="8" w:color="auto"/>
            </w:tcBorders>
            <w:gridSpan w:val="2"/>
          </w:tcPr>
          <w:p>
            <w:pPr>
              <w:spacing w:after="0"/>
              <w:rPr>
                <w:sz w:val="15"/>
                <w:szCs w:val="15"/>
                <w:color w:val="auto"/>
              </w:rPr>
            </w:pPr>
          </w:p>
        </w:tc>
      </w:tr>
      <w:tr>
        <w:trPr>
          <w:trHeight w:val="422"/>
        </w:trPr>
        <w:tc>
          <w:tcPr>
            <w:tcW w:w="6980" w:type="dxa"/>
            <w:vAlign w:val="bottom"/>
            <w:gridSpan w:val="3"/>
          </w:tcPr>
          <w:p>
            <w:pPr>
              <w:spacing w:after="0"/>
              <w:rPr>
                <w:sz w:val="20"/>
                <w:szCs w:val="20"/>
                <w:color w:val="auto"/>
              </w:rPr>
            </w:pPr>
            <w:r>
              <w:rPr>
                <w:rFonts w:ascii="Arial" w:cs="Arial" w:eastAsia="Arial" w:hAnsi="Arial"/>
                <w:sz w:val="20"/>
                <w:szCs w:val="20"/>
                <w:color w:val="auto"/>
                <w:w w:val="91"/>
              </w:rPr>
              <w:t>FOR VALUE RECEIVED, the undersigned (the “Borrower”) hereby promises to pay to</w:t>
            </w:r>
          </w:p>
        </w:tc>
        <w:tc>
          <w:tcPr>
            <w:tcW w:w="104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Arial" w:cs="Arial" w:eastAsia="Arial" w:hAnsi="Arial"/>
                <w:sz w:val="20"/>
                <w:szCs w:val="20"/>
                <w:color w:val="auto"/>
                <w:w w:val="88"/>
              </w:rPr>
              <w:t>or registered assigns (the</w:t>
            </w:r>
          </w:p>
        </w:tc>
      </w:tr>
      <w:tr>
        <w:trPr>
          <w:trHeight w:val="20"/>
        </w:trPr>
        <w:tc>
          <w:tcPr>
            <w:tcW w:w="3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both"/>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in accordance with the provisions of the Agreement (as hereinafter defined), the principal amount of each Loan from time to time made by the Lender to the Borrower under that certain Credit Agreement, dated as of August 25, 2020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the Borrower, the Lenders from time to time party thereto, and Bank of America, N.A., as Administrative Agent.</w:t>
      </w:r>
    </w:p>
    <w:p>
      <w:pPr>
        <w:spacing w:after="0" w:line="193" w:lineRule="exact"/>
        <w:rPr>
          <w:sz w:val="20"/>
          <w:szCs w:val="20"/>
          <w:color w:val="auto"/>
        </w:rPr>
      </w:pPr>
    </w:p>
    <w:p>
      <w:pPr>
        <w:jc w:val="both"/>
        <w:ind w:firstLine="874"/>
        <w:spacing w:after="0" w:line="241" w:lineRule="auto"/>
        <w:rPr>
          <w:sz w:val="20"/>
          <w:szCs w:val="20"/>
          <w:color w:val="auto"/>
        </w:rPr>
      </w:pPr>
      <w:r>
        <w:rPr>
          <w:rFonts w:ascii="Arial" w:cs="Arial" w:eastAsia="Arial" w:hAnsi="Arial"/>
          <w:sz w:val="20"/>
          <w:szCs w:val="20"/>
          <w:color w:val="auto"/>
        </w:rPr>
        <w:t>The Borrower promises to pay interest on the unpaid principal amount of each Loan from the date of such Loan until such principal amount is paid in full, at such interest rates and at such times as provided in the Agreement.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94" w:lineRule="exact"/>
        <w:rPr>
          <w:sz w:val="20"/>
          <w:szCs w:val="20"/>
          <w:color w:val="auto"/>
        </w:rPr>
      </w:pPr>
    </w:p>
    <w:p>
      <w:pPr>
        <w:jc w:val="both"/>
        <w:ind w:firstLine="874"/>
        <w:spacing w:after="0" w:line="256" w:lineRule="auto"/>
        <w:rPr>
          <w:sz w:val="20"/>
          <w:szCs w:val="20"/>
          <w:color w:val="auto"/>
        </w:rPr>
      </w:pPr>
      <w:r>
        <w:rPr>
          <w:rFonts w:ascii="Arial" w:cs="Arial" w:eastAsia="Arial" w:hAnsi="Arial"/>
          <w:sz w:val="19"/>
          <w:szCs w:val="19"/>
          <w:color w:val="auto"/>
        </w:rPr>
        <w:t>This Note is one of the Notes referred to in the Agreement, is entitled to the benefits thereof and may be prepaid in whole or in part subject to the terms and conditions provided therein. Upon the occurrence and continuation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82" w:lineRule="exact"/>
        <w:rPr>
          <w:sz w:val="20"/>
          <w:szCs w:val="20"/>
          <w:color w:val="auto"/>
        </w:rPr>
      </w:pPr>
    </w:p>
    <w:p>
      <w:pPr>
        <w:jc w:val="both"/>
        <w:ind w:firstLine="874"/>
        <w:spacing w:after="0" w:line="257" w:lineRule="auto"/>
        <w:rPr>
          <w:sz w:val="20"/>
          <w:szCs w:val="20"/>
          <w:color w:val="auto"/>
        </w:rPr>
      </w:pPr>
      <w:r>
        <w:rPr>
          <w:rFonts w:ascii="Arial" w:cs="Arial" w:eastAsia="Arial" w:hAnsi="Arial"/>
          <w:sz w:val="20"/>
          <w:szCs w:val="20"/>
          <w:color w:val="auto"/>
        </w:rPr>
        <w:t>The Borrower, for itself, its successors and assigns, hereby waives diligence, presentment, protest and demand and notice of protest, demand, dishonor and non-payment of this Note.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 page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0920"/>
          </w:cols>
          <w:pgMar w:left="480" w:top="244" w:right="499" w:bottom="1440" w:gutter="0" w:footer="0" w:header="0"/>
        </w:sectPr>
      </w:pPr>
    </w:p>
    <w:bookmarkStart w:id="122" w:name="page123"/>
    <w:bookmarkEnd w:id="122"/>
    <w:p>
      <w:pPr>
        <w:ind w:firstLine="874"/>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THIS NOTE SHALL BE GOVERNED BY AND CONSTRUED IN ACCORDANCE WITH THE LAWS OF THE STATE OF NEW YORK.</w:t>
      </w:r>
    </w:p>
    <w:p>
      <w:pPr>
        <w:spacing w:after="0" w:line="20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REPUBLIC SERVICES, INC.</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8890</wp:posOffset>
            </wp:positionV>
            <wp:extent cx="31883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Name:</w:t>
      </w:r>
    </w:p>
    <w:p>
      <w:pPr>
        <w:spacing w:after="0" w:line="1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Title: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Note</w:t>
      </w:r>
    </w:p>
    <w:p>
      <w:pPr>
        <w:sectPr>
          <w:pgSz w:w="11900" w:h="16838" w:orient="portrait"/>
          <w:cols w:equalWidth="0" w:num="1">
            <w:col w:w="10920"/>
          </w:cols>
          <w:pgMar w:left="480" w:top="270" w:right="499" w:bottom="1440" w:gutter="0" w:footer="0" w:header="0"/>
        </w:sectPr>
      </w:pPr>
    </w:p>
    <w:bookmarkStart w:id="123" w:name="page124"/>
    <w:bookmarkEnd w:id="123"/>
    <w:p>
      <w:pPr>
        <w:ind w:left="24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LOANS AND PAYMENTS WITH RESPECT THERETO</w:t>
      </w:r>
    </w:p>
    <w:p>
      <w:pPr>
        <w:sectPr>
          <w:pgSz w:w="11900" w:h="16838" w:orient="portrait"/>
          <w:cols w:equalWidth="0" w:num="1">
            <w:col w:w="10000"/>
          </w:cols>
          <w:pgMar w:left="1120" w:top="26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Type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Amount of</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End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-421005</wp:posOffset>
            </wp:positionV>
            <wp:extent cx="6946265" cy="36556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46265" cy="36556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Period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 of</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Principal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 Interest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Paid This</w:t>
      </w:r>
    </w:p>
    <w:p>
      <w:pPr>
        <w:jc w:val="center"/>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Outstanding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Principal</w:t>
      </w:r>
    </w:p>
    <w:p>
      <w:pPr>
        <w:jc w:val="center"/>
        <w:spacing w:after="0"/>
        <w:rPr>
          <w:sz w:val="20"/>
          <w:szCs w:val="20"/>
          <w:color w:val="auto"/>
        </w:rPr>
      </w:pPr>
      <w:r>
        <w:rPr>
          <w:rFonts w:ascii="Arial" w:cs="Arial" w:eastAsia="Arial" w:hAnsi="Arial"/>
          <w:sz w:val="17"/>
          <w:szCs w:val="17"/>
          <w:b w:val="1"/>
          <w:bCs w:val="1"/>
          <w:color w:val="auto"/>
        </w:rPr>
        <w:t>Balance This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14"/>
        <w:spacing w:after="0" w:line="352" w:lineRule="auto"/>
        <w:rPr>
          <w:sz w:val="20"/>
          <w:szCs w:val="20"/>
          <w:color w:val="auto"/>
        </w:rPr>
      </w:pPr>
      <w:r>
        <w:rPr>
          <w:rFonts w:ascii="Arial" w:cs="Arial" w:eastAsia="Arial" w:hAnsi="Arial"/>
          <w:sz w:val="17"/>
          <w:szCs w:val="17"/>
          <w:b w:val="1"/>
          <w:bCs w:val="1"/>
          <w:color w:val="auto"/>
        </w:rPr>
        <w:t>Notation Made By</w:t>
      </w:r>
    </w:p>
    <w:p>
      <w:pPr>
        <w:spacing w:after="0" w:line="200" w:lineRule="exact"/>
        <w:rPr>
          <w:sz w:val="20"/>
          <w:szCs w:val="20"/>
          <w:color w:val="auto"/>
        </w:rPr>
      </w:pPr>
    </w:p>
    <w:p>
      <w:pPr>
        <w:sectPr>
          <w:pgSz w:w="11900" w:h="16838" w:orient="portrait"/>
          <w:cols w:equalWidth="0" w:num="7">
            <w:col w:w="540" w:space="720"/>
            <w:col w:w="960" w:space="680"/>
            <w:col w:w="980" w:space="660"/>
            <w:col w:w="660" w:space="700"/>
            <w:col w:w="900" w:space="720"/>
            <w:col w:w="1080" w:space="640"/>
            <w:col w:w="760"/>
          </w:cols>
          <w:pgMar w:left="1120" w:top="26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Form of Note</w:t>
      </w:r>
    </w:p>
    <w:p>
      <w:pPr>
        <w:sectPr>
          <w:pgSz w:w="11900" w:h="16838" w:orient="portrait"/>
          <w:cols w:equalWidth="0" w:num="1">
            <w:col w:w="10000"/>
          </w:cols>
          <w:pgMar w:left="1120" w:top="264" w:right="77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COMPLIANCE CERTIFICATE</w:t>
      </w:r>
    </w:p>
    <w:p>
      <w:pPr>
        <w:spacing w:after="0" w:line="218" w:lineRule="exact"/>
        <w:rPr>
          <w:sz w:val="20"/>
          <w:szCs w:val="20"/>
          <w:color w:val="auto"/>
        </w:rPr>
      </w:pPr>
    </w:p>
    <w:p>
      <w:pPr>
        <w:ind w:left="7760"/>
        <w:spacing w:after="0"/>
        <w:tabs>
          <w:tab w:leader="none" w:pos="10420" w:val="left"/>
        </w:tabs>
        <w:rPr>
          <w:sz w:val="20"/>
          <w:szCs w:val="20"/>
          <w:color w:val="auto"/>
        </w:rPr>
      </w:pPr>
      <w:r>
        <w:rPr>
          <w:rFonts w:ascii="Arial" w:cs="Arial" w:eastAsia="Arial" w:hAnsi="Arial"/>
          <w:sz w:val="20"/>
          <w:szCs w:val="20"/>
          <w:color w:val="auto"/>
        </w:rPr>
        <w:t>Financial Statement Date: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6253480</wp:posOffset>
            </wp:positionH>
            <wp:positionV relativeFrom="paragraph">
              <wp:posOffset>-15875</wp:posOffset>
            </wp:positionV>
            <wp:extent cx="6851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Bank of America, N.A., as Administrative Agent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2" w:lineRule="exact"/>
        <w:rPr>
          <w:sz w:val="20"/>
          <w:szCs w:val="20"/>
          <w:color w:val="auto"/>
        </w:rPr>
      </w:pPr>
    </w:p>
    <w:p>
      <w:pPr>
        <w:jc w:val="both"/>
        <w:ind w:firstLine="874"/>
        <w:spacing w:after="0" w:line="244" w:lineRule="auto"/>
        <w:rPr>
          <w:sz w:val="20"/>
          <w:szCs w:val="20"/>
          <w:color w:val="auto"/>
        </w:rPr>
      </w:pPr>
      <w:r>
        <w:rPr>
          <w:rFonts w:ascii="Arial" w:cs="Arial" w:eastAsia="Arial" w:hAnsi="Arial"/>
          <w:sz w:val="20"/>
          <w:szCs w:val="20"/>
          <w:color w:val="auto"/>
        </w:rPr>
        <w:t>Reference is made to that certain Credit Agreement, dated as of August 25, 2020 (as 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Republic Services,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from time to time party thereto, and Bank of America, N.A., as Administrative Agent.</w:t>
      </w:r>
    </w:p>
    <w:p>
      <w:pPr>
        <w:spacing w:after="0" w:line="189" w:lineRule="exact"/>
        <w:rPr>
          <w:sz w:val="20"/>
          <w:szCs w:val="20"/>
          <w:color w:val="auto"/>
        </w:rPr>
      </w:pPr>
    </w:p>
    <w:p>
      <w:pPr>
        <w:ind w:left="880"/>
        <w:spacing w:after="0"/>
        <w:tabs>
          <w:tab w:leader="none" w:pos="9260" w:val="left"/>
        </w:tabs>
        <w:rPr>
          <w:sz w:val="20"/>
          <w:szCs w:val="20"/>
          <w:color w:val="auto"/>
        </w:rPr>
      </w:pPr>
      <w:r>
        <w:rPr>
          <w:rFonts w:ascii="Arial" w:cs="Arial" w:eastAsia="Arial" w:hAnsi="Arial"/>
          <w:sz w:val="20"/>
          <w:szCs w:val="20"/>
          <w:color w:val="auto"/>
        </w:rPr>
        <w:t>The undersigned Responsible Officer hereby certifies as of the date hereof that he/she is the</w:t>
      </w:r>
      <w:r>
        <w:rPr>
          <w:sz w:val="20"/>
          <w:szCs w:val="20"/>
          <w:color w:val="auto"/>
        </w:rPr>
        <w:tab/>
      </w:r>
      <w:r>
        <w:rPr>
          <w:rFonts w:ascii="Arial" w:cs="Arial" w:eastAsia="Arial" w:hAnsi="Arial"/>
          <w:sz w:val="17"/>
          <w:szCs w:val="17"/>
          <w:color w:val="auto"/>
        </w:rPr>
        <w:t>of the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5193030</wp:posOffset>
            </wp:positionH>
            <wp:positionV relativeFrom="paragraph">
              <wp:posOffset>-15875</wp:posOffset>
            </wp:positionV>
            <wp:extent cx="6654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5480" cy="8255"/>
                    </a:xfrm>
                    <a:prstGeom prst="rect">
                      <a:avLst/>
                    </a:prstGeom>
                    <a:noFill/>
                  </pic:spPr>
                </pic:pic>
              </a:graphicData>
            </a:graphic>
          </wp:anchor>
        </w:drawing>
      </w:r>
    </w:p>
    <w:p>
      <w:pPr>
        <w:jc w:val="center"/>
        <w:ind w:right="220"/>
        <w:spacing w:after="0"/>
        <w:rPr>
          <w:sz w:val="20"/>
          <w:szCs w:val="20"/>
          <w:color w:val="auto"/>
        </w:rPr>
      </w:pPr>
      <w:r>
        <w:rPr>
          <w:rFonts w:ascii="Arial" w:cs="Arial" w:eastAsia="Arial" w:hAnsi="Arial"/>
          <w:sz w:val="17"/>
          <w:szCs w:val="17"/>
          <w:color w:val="auto"/>
        </w:rPr>
        <w:t>that, as such, he/she is authorized to execute and deliver this Certificate to the Administrative Agent on behalf of the Borrower, and that: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year-end</w:t>
      </w:r>
      <w:r>
        <w:rPr>
          <w:rFonts w:ascii="Arial" w:cs="Arial" w:eastAsia="Arial" w:hAnsi="Arial"/>
          <w:sz w:val="20"/>
          <w:szCs w:val="20"/>
          <w:i w:val="1"/>
          <w:iCs w:val="1"/>
          <w:color w:val="auto"/>
        </w:rPr>
        <w:t xml:space="preserve"> financial statements]</w:t>
      </w:r>
    </w:p>
    <w:p>
      <w:pPr>
        <w:spacing w:after="0" w:line="212" w:lineRule="exact"/>
        <w:rPr>
          <w:sz w:val="20"/>
          <w:szCs w:val="20"/>
          <w:color w:val="auto"/>
        </w:rPr>
      </w:pPr>
    </w:p>
    <w:p>
      <w:pPr>
        <w:jc w:val="both"/>
        <w:ind w:firstLine="875"/>
        <w:spacing w:after="0" w:line="295" w:lineRule="auto"/>
        <w:tabs>
          <w:tab w:leader="none" w:pos="122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The Borrower has delivered the year-end audited financial statements required by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of the Agreement for the fiscal year of the Borrower ended as of the above date, together with the report of an independent certified public accountant required by such section, provided, consistent with past practice since January 1, 2012, when the Borrower and its accountants determined that consolidating notes with respect to the Excluded Subsidiaries were no longer applicable for GAAP financial statements, the Borrower’s financial statements do not include consolidating notes with respect to the Excluded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xml:space="preserve">[Use following paragraph 1 for fiscal </w:t>
      </w:r>
      <w:r>
        <w:rPr>
          <w:rFonts w:ascii="Arial" w:cs="Arial" w:eastAsia="Arial" w:hAnsi="Arial"/>
          <w:sz w:val="20"/>
          <w:szCs w:val="20"/>
          <w:b w:val="1"/>
          <w:bCs w:val="1"/>
          <w:i w:val="1"/>
          <w:iCs w:val="1"/>
          <w:color w:val="auto"/>
        </w:rPr>
        <w:t>quarter-end</w:t>
      </w:r>
      <w:r>
        <w:rPr>
          <w:rFonts w:ascii="Arial" w:cs="Arial" w:eastAsia="Arial" w:hAnsi="Arial"/>
          <w:sz w:val="20"/>
          <w:szCs w:val="20"/>
          <w:i w:val="1"/>
          <w:iCs w:val="1"/>
          <w:color w:val="auto"/>
        </w:rPr>
        <w:t xml:space="preserve"> financial statements]</w:t>
      </w:r>
    </w:p>
    <w:p>
      <w:pPr>
        <w:spacing w:after="0" w:line="212" w:lineRule="exact"/>
        <w:rPr>
          <w:sz w:val="20"/>
          <w:szCs w:val="20"/>
          <w:color w:val="auto"/>
        </w:rPr>
      </w:pPr>
    </w:p>
    <w:p>
      <w:pPr>
        <w:jc w:val="both"/>
        <w:ind w:firstLine="875"/>
        <w:spacing w:after="0"/>
        <w:tabs>
          <w:tab w:leader="none" w:pos="123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The Borrower has delivered the unaudited financial statements required by </w:t>
      </w:r>
      <w:r>
        <w:rPr>
          <w:rFonts w:ascii="Arial" w:cs="Arial" w:eastAsia="Arial" w:hAnsi="Arial"/>
          <w:sz w:val="20"/>
          <w:szCs w:val="20"/>
          <w:u w:val="single" w:color="auto"/>
          <w:color w:val="auto"/>
        </w:rPr>
        <w:t>Section 6.01(b)</w:t>
      </w:r>
      <w:r>
        <w:rPr>
          <w:rFonts w:ascii="Arial" w:cs="Arial" w:eastAsia="Arial" w:hAnsi="Arial"/>
          <w:sz w:val="20"/>
          <w:szCs w:val="20"/>
          <w:color w:val="auto"/>
        </w:rPr>
        <w:t xml:space="preserve"> of the Agreement for the fiscal quarter of the Borrower ended as of the above date. Such financial statements fairly present, in accordance with GAAP (subject to the absence of footnotes and to ordinary, good faith year-end audit adjustments), the financial position and the results of operations of the Borrower and its Subsidiaries as of such date and for such period, provided, consistent with past practice since January 1, 2012, when the Borrower and its accountants determined that consolidating notes with respect to the Excluded Subsidiaries were no longer applicable for GAAP financial statements, the Borrower’s financial statements do not include consolidating notes with respect to the Excluded Subsidiaries.</w:t>
      </w:r>
    </w:p>
    <w:p>
      <w:pPr>
        <w:spacing w:after="0" w:line="197" w:lineRule="exact"/>
        <w:rPr>
          <w:rFonts w:ascii="Arial" w:cs="Arial" w:eastAsia="Arial" w:hAnsi="Arial"/>
          <w:sz w:val="20"/>
          <w:szCs w:val="20"/>
          <w:color w:val="auto"/>
        </w:rPr>
      </w:pPr>
    </w:p>
    <w:p>
      <w:pPr>
        <w:jc w:val="both"/>
        <w:ind w:firstLine="875"/>
        <w:spacing w:after="0" w:line="247" w:lineRule="auto"/>
        <w:tabs>
          <w:tab w:leader="none" w:pos="127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undersigned has reviewed and is familiar with the terms of the Agreement and has made, or has caused to be made under his/her supervision, a detailed review of the transactions and condition (financial or otherwise) of the Borrower during the accounting period covered by such financial statements.</w:t>
      </w:r>
    </w:p>
    <w:p>
      <w:pPr>
        <w:spacing w:after="0" w:line="187" w:lineRule="exact"/>
        <w:rPr>
          <w:rFonts w:ascii="Arial" w:cs="Arial" w:eastAsia="Arial" w:hAnsi="Arial"/>
          <w:sz w:val="20"/>
          <w:szCs w:val="20"/>
          <w:color w:val="auto"/>
        </w:rPr>
      </w:pPr>
    </w:p>
    <w:p>
      <w:pPr>
        <w:jc w:val="both"/>
        <w:ind w:firstLine="875"/>
        <w:spacing w:after="0" w:line="247" w:lineRule="auto"/>
        <w:tabs>
          <w:tab w:leader="none" w:pos="137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 review of the activities of the Borrower during such fiscal period has been made under the supervision of the undersigned with a view to determining whether during such fiscal period the Borrower performed and observed all its Obligations under the Loan Documents, and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0920"/>
          </w:cols>
          <w:pgMar w:left="480" w:top="264" w:right="49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0"/>
          <w:szCs w:val="20"/>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[select one:]</w:t>
      </w:r>
    </w:p>
    <w:p>
      <w:pPr>
        <w:spacing w:after="0" w:line="212" w:lineRule="exact"/>
        <w:rPr>
          <w:sz w:val="20"/>
          <w:szCs w:val="20"/>
          <w:color w:val="auto"/>
        </w:rPr>
      </w:pPr>
    </w:p>
    <w:p>
      <w:pPr>
        <w:ind w:firstLine="874"/>
        <w:spacing w:after="0" w:line="257" w:lineRule="auto"/>
        <w:rPr>
          <w:sz w:val="20"/>
          <w:szCs w:val="20"/>
          <w:color w:val="auto"/>
        </w:rPr>
      </w:pPr>
      <w:r>
        <w:rPr>
          <w:rFonts w:ascii="Arial" w:cs="Arial" w:eastAsia="Arial" w:hAnsi="Arial"/>
          <w:sz w:val="20"/>
          <w:szCs w:val="20"/>
          <w:color w:val="auto"/>
        </w:rPr>
        <w:t>[to the best knowledge of the undersigned, during such fiscal period, the Borrower performed and observed each covenant and condition of the Loan Documents applicable to it, and no Default has occurred and is continuing.]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--or--</w:t>
      </w:r>
    </w:p>
    <w:p>
      <w:pPr>
        <w:spacing w:after="0" w:line="212" w:lineRule="exact"/>
        <w:rPr>
          <w:sz w:val="20"/>
          <w:szCs w:val="20"/>
          <w:color w:val="auto"/>
        </w:rPr>
      </w:pPr>
    </w:p>
    <w:p>
      <w:pPr>
        <w:ind w:firstLine="874"/>
        <w:spacing w:after="0" w:line="257" w:lineRule="auto"/>
        <w:rPr>
          <w:sz w:val="20"/>
          <w:szCs w:val="20"/>
          <w:color w:val="auto"/>
        </w:rPr>
      </w:pPr>
      <w:r>
        <w:rPr>
          <w:rFonts w:ascii="Arial" w:cs="Arial" w:eastAsia="Arial" w:hAnsi="Arial"/>
          <w:sz w:val="20"/>
          <w:szCs w:val="20"/>
          <w:color w:val="auto"/>
        </w:rPr>
        <w:t>[to the best knowledge of the undersigned, during such fiscal period the following covenants or conditions have not been performed or observed and the following is a list of each such Default and its nature and status:]</w:t>
      </w:r>
    </w:p>
    <w:p>
      <w:pPr>
        <w:spacing w:after="0" w:line="177" w:lineRule="exact"/>
        <w:rPr>
          <w:sz w:val="20"/>
          <w:szCs w:val="20"/>
          <w:color w:val="auto"/>
        </w:rPr>
      </w:pPr>
    </w:p>
    <w:p>
      <w:pPr>
        <w:jc w:val="both"/>
        <w:ind w:firstLine="875"/>
        <w:spacing w:after="0" w:line="255" w:lineRule="auto"/>
        <w:tabs>
          <w:tab w:leader="none" w:pos="1243"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Borrower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the Agreement, and any representations and warranties of the Borrower that are contained in any Loan Document or other document furnished at any time under or in connection with the Loan Documents, are true and correct on and as of the date hereof, except to the extent that such representations and warranties specifically refer to an earlier date, in which case they are true and correct as of such earlier date, and except that for purposes of this Certificate, the representations and warranties contained in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of the Agreement shall be deemed to refer to the most recent statements furnished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of the Agreement, including the statements in connection with which this Certificate is delivered.</w:t>
      </w:r>
    </w:p>
    <w:p>
      <w:pPr>
        <w:spacing w:after="0" w:line="182" w:lineRule="exact"/>
        <w:rPr>
          <w:rFonts w:ascii="Arial" w:cs="Arial" w:eastAsia="Arial" w:hAnsi="Arial"/>
          <w:sz w:val="19"/>
          <w:szCs w:val="19"/>
          <w:color w:val="auto"/>
        </w:rPr>
      </w:pPr>
    </w:p>
    <w:p>
      <w:pPr>
        <w:ind w:firstLine="875"/>
        <w:spacing w:after="0" w:line="257" w:lineRule="auto"/>
        <w:tabs>
          <w:tab w:leader="none" w:pos="123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The financial covenant analyses and information set forth on </w:t>
      </w:r>
      <w:r>
        <w:rPr>
          <w:rFonts w:ascii="Arial" w:cs="Arial" w:eastAsia="Arial" w:hAnsi="Arial"/>
          <w:sz w:val="20"/>
          <w:szCs w:val="20"/>
          <w:u w:val="single" w:color="auto"/>
          <w:color w:val="auto"/>
        </w:rPr>
        <w:t>Schedule 1</w:t>
      </w:r>
      <w:r>
        <w:rPr>
          <w:rFonts w:ascii="Arial" w:cs="Arial" w:eastAsia="Arial" w:hAnsi="Arial"/>
          <w:sz w:val="20"/>
          <w:szCs w:val="20"/>
          <w:color w:val="auto"/>
        </w:rPr>
        <w:t xml:space="preserve"> attached hereto are true and accurate on and as of the date of this Certificate.</w:t>
      </w:r>
    </w:p>
    <w:p>
      <w:pPr>
        <w:spacing w:after="0" w:line="177" w:lineRule="exact"/>
        <w:rPr>
          <w:sz w:val="20"/>
          <w:szCs w:val="20"/>
          <w:color w:val="auto"/>
        </w:rPr>
      </w:pPr>
    </w:p>
    <w:p>
      <w:pPr>
        <w:ind w:left="880"/>
        <w:spacing w:after="0"/>
        <w:tabs>
          <w:tab w:leader="none" w:pos="7540" w:val="left"/>
          <w:tab w:leader="none" w:pos="8020" w:val="left"/>
        </w:tabs>
        <w:rPr>
          <w:sz w:val="20"/>
          <w:szCs w:val="20"/>
          <w:color w:val="auto"/>
        </w:rPr>
      </w:pPr>
      <w:r>
        <w:rPr>
          <w:rFonts w:ascii="Arial" w:cs="Arial" w:eastAsia="Arial" w:hAnsi="Arial"/>
          <w:sz w:val="19"/>
          <w:szCs w:val="19"/>
          <w:i w:val="1"/>
          <w:iCs w:val="1"/>
          <w:color w:val="auto"/>
        </w:rPr>
        <w:t>IN WITNESS WHEREOF</w:t>
      </w:r>
      <w:r>
        <w:rPr>
          <w:rFonts w:ascii="Arial" w:cs="Arial" w:eastAsia="Arial" w:hAnsi="Arial"/>
          <w:sz w:val="19"/>
          <w:szCs w:val="19"/>
          <w:color w:val="auto"/>
        </w:rPr>
        <w:t>, the undersigned has executed this Certificate as of</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-15875</wp:posOffset>
            </wp:positionV>
            <wp:extent cx="6851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13"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REPUBLIC SERVICES, INC.</w:t>
      </w:r>
    </w:p>
    <w:p>
      <w:pPr>
        <w:spacing w:after="0" w:line="200" w:lineRule="exact"/>
        <w:rPr>
          <w:sz w:val="20"/>
          <w:szCs w:val="20"/>
          <w:color w:val="auto"/>
        </w:rPr>
      </w:pPr>
    </w:p>
    <w:p>
      <w:pPr>
        <w:spacing w:after="0" w:line="339"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8890</wp:posOffset>
            </wp:positionV>
            <wp:extent cx="31883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Name:</w:t>
      </w:r>
    </w:p>
    <w:p>
      <w:pPr>
        <w:spacing w:after="0" w:line="1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Title: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0920"/>
          </w:cols>
          <w:pgMar w:left="480" w:top="270" w:right="499" w:bottom="1440" w:gutter="0" w:footer="0" w:header="0"/>
        </w:sectPr>
      </w:pPr>
    </w:p>
    <w:bookmarkStart w:id="126" w:name="page127"/>
    <w:bookmarkEnd w:id="126"/>
    <w:p>
      <w:pPr>
        <w:jc w:val="right"/>
        <w:spacing w:after="0"/>
        <w:tabs>
          <w:tab w:leader="none" w:pos="14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the Quarter/Year ended</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Statement 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5326380</wp:posOffset>
            </wp:positionH>
            <wp:positionV relativeFrom="paragraph">
              <wp:posOffset>-15875</wp:posOffset>
            </wp:positionV>
            <wp:extent cx="6229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the Compliance Certificate</w:t>
      </w:r>
    </w:p>
    <w:p>
      <w:pPr>
        <w:jc w:val="center"/>
        <w:spacing w:after="0"/>
        <w:rPr>
          <w:sz w:val="20"/>
          <w:szCs w:val="20"/>
          <w:color w:val="auto"/>
        </w:rPr>
      </w:pPr>
      <w:r>
        <w:rPr>
          <w:rFonts w:ascii="Arial" w:cs="Arial" w:eastAsia="Arial" w:hAnsi="Arial"/>
          <w:sz w:val="20"/>
          <w:szCs w:val="20"/>
          <w:color w:val="auto"/>
        </w:rPr>
        <w:t>($ in 000’s)</w:t>
      </w:r>
    </w:p>
    <w:p>
      <w:pPr>
        <w:spacing w:after="0" w:line="223" w:lineRule="exact"/>
        <w:rPr>
          <w:sz w:val="20"/>
          <w:szCs w:val="20"/>
          <w:color w:val="auto"/>
        </w:rPr>
      </w:pPr>
    </w:p>
    <w:p>
      <w:pPr>
        <w:ind w:left="640" w:hanging="639"/>
        <w:spacing w:after="0"/>
        <w:tabs>
          <w:tab w:leader="none" w:pos="640" w:val="left"/>
        </w:tabs>
        <w:numPr>
          <w:ilvl w:val="0"/>
          <w:numId w:val="122"/>
        </w:numPr>
        <w:rPr>
          <w:rFonts w:ascii="Arial" w:cs="Arial" w:eastAsia="Arial" w:hAnsi="Arial"/>
          <w:sz w:val="20"/>
          <w:szCs w:val="20"/>
          <w:color w:val="auto"/>
        </w:rPr>
      </w:pPr>
      <w:r>
        <w:rPr>
          <w:rFonts w:ascii="Arial" w:cs="Arial" w:eastAsia="Arial" w:hAnsi="Arial"/>
          <w:sz w:val="20"/>
          <w:szCs w:val="20"/>
          <w:u w:val="single" w:color="auto"/>
          <w:color w:val="auto"/>
        </w:rPr>
        <w:t>Section 7.01: Total Debt to EBITDA Ratio</w:t>
      </w:r>
    </w:p>
    <w:p>
      <w:pPr>
        <w:spacing w:after="0" w:line="146"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20"/>
                <w:szCs w:val="20"/>
                <w:color w:val="auto"/>
              </w:rPr>
              <w:t>A.</w:t>
            </w:r>
          </w:p>
        </w:tc>
        <w:tc>
          <w:tcPr>
            <w:tcW w:w="6660" w:type="dxa"/>
            <w:vAlign w:val="bottom"/>
          </w:tcPr>
          <w:p>
            <w:pPr>
              <w:ind w:left="240"/>
              <w:spacing w:after="0"/>
              <w:rPr>
                <w:sz w:val="20"/>
                <w:szCs w:val="20"/>
                <w:color w:val="auto"/>
              </w:rPr>
            </w:pPr>
            <w:r>
              <w:rPr>
                <w:rFonts w:ascii="Arial" w:cs="Arial" w:eastAsia="Arial" w:hAnsi="Arial"/>
                <w:sz w:val="20"/>
                <w:szCs w:val="20"/>
                <w:color w:val="auto"/>
              </w:rPr>
              <w:t>Total Debt as of last day of Computation Period:</w:t>
            </w:r>
          </w:p>
        </w:tc>
        <w:tc>
          <w:tcPr>
            <w:tcW w:w="25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382"/>
        </w:trPr>
        <w:tc>
          <w:tcPr>
            <w:tcW w:w="440" w:type="dxa"/>
            <w:vAlign w:val="bottom"/>
          </w:tcPr>
          <w:p>
            <w:pPr>
              <w:spacing w:after="0"/>
              <w:rPr>
                <w:sz w:val="20"/>
                <w:szCs w:val="20"/>
                <w:color w:val="auto"/>
              </w:rPr>
            </w:pPr>
            <w:r>
              <w:rPr>
                <w:rFonts w:ascii="Arial" w:cs="Arial" w:eastAsia="Arial" w:hAnsi="Arial"/>
                <w:sz w:val="20"/>
                <w:szCs w:val="20"/>
                <w:color w:val="auto"/>
              </w:rPr>
              <w:t>B.</w:t>
            </w:r>
          </w:p>
        </w:tc>
        <w:tc>
          <w:tcPr>
            <w:tcW w:w="6660" w:type="dxa"/>
            <w:vAlign w:val="bottom"/>
          </w:tcPr>
          <w:p>
            <w:pPr>
              <w:ind w:left="240"/>
              <w:spacing w:after="0"/>
              <w:rPr>
                <w:sz w:val="20"/>
                <w:szCs w:val="20"/>
                <w:color w:val="auto"/>
              </w:rPr>
            </w:pPr>
            <w:r>
              <w:rPr>
                <w:rFonts w:ascii="Arial" w:cs="Arial" w:eastAsia="Arial" w:hAnsi="Arial"/>
                <w:sz w:val="20"/>
                <w:szCs w:val="20"/>
                <w:color w:val="auto"/>
              </w:rPr>
              <w:t>Restricted Cash as of last day of Computation Period:</w:t>
            </w:r>
          </w:p>
        </w:tc>
        <w:tc>
          <w:tcPr>
            <w:tcW w:w="23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pacing w:after="0" w:line="184" w:lineRule="exact"/>
        <w:rPr>
          <w:sz w:val="20"/>
          <w:szCs w:val="20"/>
          <w:color w:val="auto"/>
        </w:rPr>
      </w:pPr>
    </w:p>
    <w:p>
      <w:pPr>
        <w:ind w:left="1320" w:right="1520" w:hanging="690"/>
        <w:spacing w:after="0" w:line="289" w:lineRule="auto"/>
        <w:tabs>
          <w:tab w:leader="none" w:pos="13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Outstanding tax-exempt bonds that are included in Total Debt and that are held by the Borrower or a Subsidiary as an Investment included on the balance sheet of the Borrower or a Subsidiary pending the</w:t>
      </w:r>
    </w:p>
    <w:tbl>
      <w:tblPr>
        <w:tblLayout w:type="fixed"/>
        <w:tblInd w:w="640" w:type="dxa"/>
        <w:tblCellMar>
          <w:top w:w="0" w:type="dxa"/>
          <w:left w:w="0" w:type="dxa"/>
          <w:bottom w:w="0" w:type="dxa"/>
          <w:right w:w="0" w:type="dxa"/>
        </w:tblCellMar>
      </w:tblPr>
      <w:tr>
        <w:trPr>
          <w:trHeight w:val="189"/>
        </w:trPr>
        <w:tc>
          <w:tcPr>
            <w:tcW w:w="440" w:type="dxa"/>
            <w:vAlign w:val="bottom"/>
          </w:tcPr>
          <w:p>
            <w:pPr>
              <w:spacing w:after="0"/>
              <w:rPr>
                <w:sz w:val="16"/>
                <w:szCs w:val="16"/>
                <w:color w:val="auto"/>
              </w:rPr>
            </w:pPr>
          </w:p>
        </w:tc>
        <w:tc>
          <w:tcPr>
            <w:tcW w:w="7700" w:type="dxa"/>
            <w:vAlign w:val="bottom"/>
          </w:tcPr>
          <w:p>
            <w:pPr>
              <w:ind w:left="240"/>
              <w:spacing w:after="0" w:line="188" w:lineRule="exact"/>
              <w:rPr>
                <w:sz w:val="20"/>
                <w:szCs w:val="20"/>
                <w:color w:val="auto"/>
              </w:rPr>
            </w:pPr>
            <w:r>
              <w:rPr>
                <w:rFonts w:ascii="Arial" w:cs="Arial" w:eastAsia="Arial" w:hAnsi="Arial"/>
                <w:sz w:val="20"/>
                <w:szCs w:val="20"/>
                <w:color w:val="auto"/>
              </w:rPr>
              <w:t>remarketing or repayment thereof as of the last day of the Computation Period:</w:t>
            </w:r>
          </w:p>
        </w:tc>
        <w:tc>
          <w:tcPr>
            <w:tcW w:w="1360" w:type="dxa"/>
            <w:vAlign w:val="bottom"/>
          </w:tcPr>
          <w:p>
            <w:pPr>
              <w:jc w:val="right"/>
              <w:spacing w:after="0" w:line="188" w:lineRule="exact"/>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spacing w:after="0"/>
              <w:rPr>
                <w:sz w:val="16"/>
                <w:szCs w:val="16"/>
                <w:color w:val="auto"/>
              </w:rPr>
            </w:pPr>
          </w:p>
        </w:tc>
      </w:tr>
      <w:tr>
        <w:trPr>
          <w:trHeight w:val="382"/>
        </w:trPr>
        <w:tc>
          <w:tcPr>
            <w:tcW w:w="440" w:type="dxa"/>
            <w:vAlign w:val="bottom"/>
          </w:tcPr>
          <w:p>
            <w:pPr>
              <w:spacing w:after="0"/>
              <w:rPr>
                <w:sz w:val="20"/>
                <w:szCs w:val="20"/>
                <w:color w:val="auto"/>
              </w:rPr>
            </w:pPr>
            <w:r>
              <w:rPr>
                <w:rFonts w:ascii="Arial" w:cs="Arial" w:eastAsia="Arial" w:hAnsi="Arial"/>
                <w:sz w:val="20"/>
                <w:szCs w:val="20"/>
                <w:color w:val="auto"/>
              </w:rPr>
              <w:t>D.</w:t>
            </w:r>
          </w:p>
        </w:tc>
        <w:tc>
          <w:tcPr>
            <w:tcW w:w="7700" w:type="dxa"/>
            <w:vAlign w:val="bottom"/>
          </w:tcPr>
          <w:p>
            <w:pPr>
              <w:ind w:left="240"/>
              <w:spacing w:after="0"/>
              <w:rPr>
                <w:sz w:val="20"/>
                <w:szCs w:val="20"/>
                <w:color w:val="auto"/>
              </w:rPr>
            </w:pPr>
            <w:r>
              <w:rPr>
                <w:rFonts w:ascii="Arial" w:cs="Arial" w:eastAsia="Arial" w:hAnsi="Arial"/>
                <w:sz w:val="20"/>
                <w:szCs w:val="20"/>
                <w:color w:val="auto"/>
              </w:rPr>
              <w:t>Line I.A. minus Line I.B. minus Line I.C:</w:t>
            </w: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spacing w:after="0"/>
              <w:rPr>
                <w:sz w:val="24"/>
                <w:szCs w:val="24"/>
                <w:color w:val="auto"/>
              </w:rPr>
            </w:pPr>
          </w:p>
        </w:tc>
      </w:tr>
    </w:tbl>
    <w:p>
      <w:pPr>
        <w:spacing w:after="0" w:line="184" w:lineRule="exact"/>
        <w:rPr>
          <w:sz w:val="20"/>
          <w:szCs w:val="20"/>
          <w:color w:val="auto"/>
        </w:rPr>
      </w:pPr>
    </w:p>
    <w:p>
      <w:pPr>
        <w:ind w:left="1320" w:hanging="690"/>
        <w:spacing w:after="0"/>
        <w:tabs>
          <w:tab w:leader="none" w:pos="132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Consolidated EBITDA for Computation Period</w:t>
      </w:r>
      <w:r>
        <w:rPr>
          <w:rFonts w:ascii="Arial" w:cs="Arial" w:eastAsia="Arial" w:hAnsi="Arial"/>
          <w:sz w:val="16"/>
          <w:szCs w:val="16"/>
          <w:color w:val="auto"/>
        </w:rPr>
        <w:t>1</w:t>
      </w:r>
      <w:r>
        <w:rPr>
          <w:rFonts w:ascii="Arial" w:cs="Arial" w:eastAsia="Arial" w:hAnsi="Arial"/>
          <w:sz w:val="20"/>
          <w:szCs w:val="20"/>
          <w:color w:val="auto"/>
        </w:rPr>
        <w:t>:</w:t>
      </w:r>
    </w:p>
    <w:p>
      <w:pPr>
        <w:spacing w:after="0" w:line="146"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440" w:type="dxa"/>
            <w:vAlign w:val="bottom"/>
          </w:tcPr>
          <w:p>
            <w:pPr>
              <w:jc w:val="right"/>
              <w:ind w:right="102"/>
              <w:spacing w:after="0"/>
              <w:rPr>
                <w:sz w:val="20"/>
                <w:szCs w:val="20"/>
                <w:color w:val="auto"/>
              </w:rPr>
            </w:pPr>
            <w:r>
              <w:rPr>
                <w:rFonts w:ascii="Arial" w:cs="Arial" w:eastAsia="Arial" w:hAnsi="Arial"/>
                <w:sz w:val="20"/>
                <w:szCs w:val="20"/>
                <w:color w:val="auto"/>
                <w:w w:val="89"/>
              </w:rPr>
              <w:t>(1)</w:t>
            </w:r>
          </w:p>
        </w:tc>
        <w:tc>
          <w:tcPr>
            <w:tcW w:w="6760" w:type="dxa"/>
            <w:vAlign w:val="bottom"/>
          </w:tcPr>
          <w:p>
            <w:pPr>
              <w:ind w:left="200"/>
              <w:spacing w:after="0"/>
              <w:rPr>
                <w:sz w:val="20"/>
                <w:szCs w:val="20"/>
                <w:color w:val="auto"/>
              </w:rPr>
            </w:pPr>
            <w:r>
              <w:rPr>
                <w:rFonts w:ascii="Arial" w:cs="Arial" w:eastAsia="Arial" w:hAnsi="Arial"/>
                <w:sz w:val="20"/>
                <w:szCs w:val="20"/>
                <w:color w:val="auto"/>
              </w:rPr>
              <w:t>Consolidated Net Income for Computation Period:</w:t>
            </w:r>
          </w:p>
        </w:tc>
        <w:tc>
          <w:tcPr>
            <w:tcW w:w="1640" w:type="dxa"/>
            <w:vAlign w:val="bottom"/>
            <w:gridSpan w:val="3"/>
          </w:tcPr>
          <w:p>
            <w:pPr>
              <w:jc w:val="right"/>
              <w:ind w:right="2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08"/>
        </w:trPr>
        <w:tc>
          <w:tcPr>
            <w:tcW w:w="440" w:type="dxa"/>
            <w:vAlign w:val="bottom"/>
          </w:tcPr>
          <w:p>
            <w:pPr>
              <w:jc w:val="right"/>
              <w:ind w:right="102"/>
              <w:spacing w:after="0" w:line="207" w:lineRule="exact"/>
              <w:rPr>
                <w:sz w:val="20"/>
                <w:szCs w:val="20"/>
                <w:color w:val="auto"/>
              </w:rPr>
            </w:pPr>
            <w:r>
              <w:rPr>
                <w:rFonts w:ascii="Arial" w:cs="Arial" w:eastAsia="Arial" w:hAnsi="Arial"/>
                <w:sz w:val="20"/>
                <w:szCs w:val="20"/>
                <w:color w:val="auto"/>
                <w:w w:val="89"/>
              </w:rPr>
              <w:t>(2)</w:t>
            </w:r>
          </w:p>
        </w:tc>
        <w:tc>
          <w:tcPr>
            <w:tcW w:w="6760" w:type="dxa"/>
            <w:vAlign w:val="bottom"/>
          </w:tcPr>
          <w:p>
            <w:pPr>
              <w:ind w:left="200"/>
              <w:spacing w:after="0" w:line="207" w:lineRule="exact"/>
              <w:rPr>
                <w:sz w:val="20"/>
                <w:szCs w:val="20"/>
                <w:color w:val="auto"/>
              </w:rPr>
            </w:pPr>
            <w:r>
              <w:rPr>
                <w:rFonts w:ascii="Arial" w:cs="Arial" w:eastAsia="Arial" w:hAnsi="Arial"/>
                <w:sz w:val="20"/>
                <w:szCs w:val="20"/>
                <w:color w:val="auto"/>
              </w:rPr>
              <w:t>Consolidated Interest Expense for Computation Period:</w:t>
            </w:r>
          </w:p>
        </w:tc>
        <w:tc>
          <w:tcPr>
            <w:tcW w:w="1640" w:type="dxa"/>
            <w:vAlign w:val="bottom"/>
            <w:gridSpan w:val="3"/>
          </w:tcPr>
          <w:p>
            <w:pPr>
              <w:jc w:val="right"/>
              <w:ind w:right="20"/>
              <w:spacing w:after="0" w:line="207" w:lineRule="exact"/>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8"/>
        </w:trPr>
        <w:tc>
          <w:tcPr>
            <w:tcW w:w="440" w:type="dxa"/>
            <w:vAlign w:val="bottom"/>
          </w:tcPr>
          <w:p>
            <w:pPr>
              <w:jc w:val="right"/>
              <w:ind w:right="102"/>
              <w:spacing w:after="0" w:line="207" w:lineRule="exact"/>
              <w:rPr>
                <w:sz w:val="20"/>
                <w:szCs w:val="20"/>
                <w:color w:val="auto"/>
              </w:rPr>
            </w:pPr>
            <w:r>
              <w:rPr>
                <w:rFonts w:ascii="Arial" w:cs="Arial" w:eastAsia="Arial" w:hAnsi="Arial"/>
                <w:sz w:val="20"/>
                <w:szCs w:val="20"/>
                <w:color w:val="auto"/>
                <w:w w:val="89"/>
              </w:rPr>
              <w:t>(3)</w:t>
            </w:r>
          </w:p>
        </w:tc>
        <w:tc>
          <w:tcPr>
            <w:tcW w:w="6760" w:type="dxa"/>
            <w:vAlign w:val="bottom"/>
          </w:tcPr>
          <w:p>
            <w:pPr>
              <w:ind w:left="200"/>
              <w:spacing w:after="0" w:line="207" w:lineRule="exact"/>
              <w:rPr>
                <w:sz w:val="20"/>
                <w:szCs w:val="20"/>
                <w:color w:val="auto"/>
              </w:rPr>
            </w:pPr>
            <w:r>
              <w:rPr>
                <w:rFonts w:ascii="Arial" w:cs="Arial" w:eastAsia="Arial" w:hAnsi="Arial"/>
                <w:sz w:val="20"/>
                <w:szCs w:val="20"/>
                <w:color w:val="auto"/>
              </w:rPr>
              <w:t>taxes on income for Computation Period:</w:t>
            </w:r>
          </w:p>
        </w:tc>
        <w:tc>
          <w:tcPr>
            <w:tcW w:w="1640" w:type="dxa"/>
            <w:vAlign w:val="bottom"/>
            <w:gridSpan w:val="3"/>
          </w:tcPr>
          <w:p>
            <w:pPr>
              <w:jc w:val="right"/>
              <w:ind w:right="20"/>
              <w:spacing w:after="0" w:line="207" w:lineRule="exact"/>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8"/>
        </w:trPr>
        <w:tc>
          <w:tcPr>
            <w:tcW w:w="440" w:type="dxa"/>
            <w:vAlign w:val="bottom"/>
          </w:tcPr>
          <w:p>
            <w:pPr>
              <w:jc w:val="right"/>
              <w:ind w:right="102"/>
              <w:spacing w:after="0" w:line="207" w:lineRule="exact"/>
              <w:rPr>
                <w:sz w:val="20"/>
                <w:szCs w:val="20"/>
                <w:color w:val="auto"/>
              </w:rPr>
            </w:pPr>
            <w:r>
              <w:rPr>
                <w:rFonts w:ascii="Arial" w:cs="Arial" w:eastAsia="Arial" w:hAnsi="Arial"/>
                <w:sz w:val="20"/>
                <w:szCs w:val="20"/>
                <w:color w:val="auto"/>
                <w:w w:val="89"/>
              </w:rPr>
              <w:t>(4)</w:t>
            </w:r>
          </w:p>
        </w:tc>
        <w:tc>
          <w:tcPr>
            <w:tcW w:w="6760" w:type="dxa"/>
            <w:vAlign w:val="bottom"/>
          </w:tcPr>
          <w:p>
            <w:pPr>
              <w:ind w:left="200"/>
              <w:spacing w:after="0" w:line="207" w:lineRule="exact"/>
              <w:rPr>
                <w:sz w:val="20"/>
                <w:szCs w:val="20"/>
                <w:color w:val="auto"/>
              </w:rPr>
            </w:pPr>
            <w:r>
              <w:rPr>
                <w:rFonts w:ascii="Arial" w:cs="Arial" w:eastAsia="Arial" w:hAnsi="Arial"/>
                <w:sz w:val="20"/>
                <w:szCs w:val="20"/>
                <w:color w:val="auto"/>
              </w:rPr>
              <w:t>depreciation, amortization and depletion for Computation Period:</w:t>
            </w:r>
          </w:p>
        </w:tc>
        <w:tc>
          <w:tcPr>
            <w:tcW w:w="1640" w:type="dxa"/>
            <w:vAlign w:val="bottom"/>
            <w:gridSpan w:val="3"/>
          </w:tcPr>
          <w:p>
            <w:pPr>
              <w:jc w:val="right"/>
              <w:ind w:right="20"/>
              <w:spacing w:after="0" w:line="207" w:lineRule="exact"/>
              <w:rPr>
                <w:sz w:val="20"/>
                <w:szCs w:val="20"/>
                <w:color w:val="auto"/>
              </w:rPr>
            </w:pPr>
            <w:r>
              <w:rPr>
                <w:rFonts w:ascii="Arial" w:cs="Arial" w:eastAsia="Arial" w:hAnsi="Arial"/>
                <w:sz w:val="20"/>
                <w:szCs w:val="20"/>
                <w:color w:val="auto"/>
              </w:rPr>
              <w: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08"/>
        </w:trPr>
        <w:tc>
          <w:tcPr>
            <w:tcW w:w="440" w:type="dxa"/>
            <w:vAlign w:val="bottom"/>
          </w:tcPr>
          <w:p>
            <w:pPr>
              <w:jc w:val="right"/>
              <w:ind w:right="102"/>
              <w:spacing w:after="0" w:line="207" w:lineRule="exact"/>
              <w:rPr>
                <w:sz w:val="20"/>
                <w:szCs w:val="20"/>
                <w:color w:val="auto"/>
              </w:rPr>
            </w:pPr>
            <w:r>
              <w:rPr>
                <w:rFonts w:ascii="Arial" w:cs="Arial" w:eastAsia="Arial" w:hAnsi="Arial"/>
                <w:sz w:val="20"/>
                <w:szCs w:val="20"/>
                <w:color w:val="auto"/>
                <w:w w:val="89"/>
              </w:rPr>
              <w:t>(5)</w:t>
            </w:r>
          </w:p>
        </w:tc>
        <w:tc>
          <w:tcPr>
            <w:tcW w:w="6760" w:type="dxa"/>
            <w:vAlign w:val="bottom"/>
          </w:tcPr>
          <w:p>
            <w:pPr>
              <w:ind w:left="200"/>
              <w:spacing w:after="0" w:line="207" w:lineRule="exact"/>
              <w:rPr>
                <w:sz w:val="20"/>
                <w:szCs w:val="20"/>
                <w:color w:val="auto"/>
              </w:rPr>
            </w:pPr>
            <w:r>
              <w:rPr>
                <w:rFonts w:ascii="Arial" w:cs="Arial" w:eastAsia="Arial" w:hAnsi="Arial"/>
                <w:sz w:val="20"/>
                <w:szCs w:val="20"/>
                <w:color w:val="auto"/>
              </w:rPr>
              <w:t>accretion for Computation Period:</w:t>
            </w:r>
          </w:p>
        </w:tc>
        <w:tc>
          <w:tcPr>
            <w:tcW w:w="1640" w:type="dxa"/>
            <w:vAlign w:val="bottom"/>
            <w:gridSpan w:val="3"/>
          </w:tcPr>
          <w:p>
            <w:pPr>
              <w:jc w:val="right"/>
              <w:ind w:right="20"/>
              <w:spacing w:after="0" w:line="207" w:lineRule="exact"/>
              <w:rPr>
                <w:sz w:val="20"/>
                <w:szCs w:val="20"/>
                <w:color w:val="auto"/>
              </w:rPr>
            </w:pPr>
            <w:r>
              <w:rPr>
                <w:rFonts w:ascii="Arial" w:cs="Arial" w:eastAsia="Arial" w:hAnsi="Arial"/>
                <w:sz w:val="20"/>
                <w:szCs w:val="20"/>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40" w:type="dxa"/>
            <w:vAlign w:val="bottom"/>
          </w:tcPr>
          <w:p>
            <w:pPr>
              <w:jc w:val="right"/>
              <w:ind w:right="102"/>
              <w:spacing w:after="0" w:line="207" w:lineRule="exact"/>
              <w:rPr>
                <w:sz w:val="20"/>
                <w:szCs w:val="20"/>
                <w:color w:val="auto"/>
              </w:rPr>
            </w:pPr>
            <w:r>
              <w:rPr>
                <w:rFonts w:ascii="Arial" w:cs="Arial" w:eastAsia="Arial" w:hAnsi="Arial"/>
                <w:sz w:val="20"/>
                <w:szCs w:val="20"/>
                <w:color w:val="auto"/>
                <w:w w:val="89"/>
              </w:rPr>
              <w:t>(6)</w:t>
            </w:r>
          </w:p>
        </w:tc>
        <w:tc>
          <w:tcPr>
            <w:tcW w:w="6760" w:type="dxa"/>
            <w:vAlign w:val="bottom"/>
          </w:tcPr>
          <w:p>
            <w:pPr>
              <w:ind w:left="200"/>
              <w:spacing w:after="0" w:line="207" w:lineRule="exact"/>
              <w:rPr>
                <w:sz w:val="20"/>
                <w:szCs w:val="20"/>
                <w:color w:val="auto"/>
              </w:rPr>
            </w:pPr>
            <w:r>
              <w:rPr>
                <w:rFonts w:ascii="Arial" w:cs="Arial" w:eastAsia="Arial" w:hAnsi="Arial"/>
                <w:sz w:val="20"/>
                <w:szCs w:val="20"/>
                <w:color w:val="auto"/>
              </w:rPr>
              <w:t>loss on extinguishment of Indebtedness for Computation Period:</w:t>
            </w:r>
          </w:p>
        </w:tc>
        <w:tc>
          <w:tcPr>
            <w:tcW w:w="152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0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bl>
    <w:p>
      <w:pPr>
        <w:spacing w:after="0" w:line="10" w:lineRule="exact"/>
        <w:rPr>
          <w:sz w:val="20"/>
          <w:szCs w:val="20"/>
          <w:color w:val="auto"/>
        </w:rPr>
      </w:pPr>
    </w:p>
    <w:p>
      <w:pPr>
        <w:ind w:left="1960" w:hanging="633"/>
        <w:spacing w:after="0"/>
        <w:tabs>
          <w:tab w:leader="none" w:pos="19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non-cash charges incurred with respect to Borrower’s withdrawal liabilities disclosed on Schedule</w:t>
      </w:r>
    </w:p>
    <w:p>
      <w:pPr>
        <w:spacing w:after="0" w:line="11" w:lineRule="exact"/>
        <w:rPr>
          <w:sz w:val="20"/>
          <w:szCs w:val="20"/>
          <w:color w:val="auto"/>
        </w:rPr>
      </w:pPr>
    </w:p>
    <w:p>
      <w:pPr>
        <w:ind w:left="1960"/>
        <w:spacing w:after="0"/>
        <w:tabs>
          <w:tab w:leader="none" w:pos="10020" w:val="left"/>
        </w:tabs>
        <w:rPr>
          <w:sz w:val="20"/>
          <w:szCs w:val="20"/>
          <w:color w:val="auto"/>
        </w:rPr>
      </w:pPr>
      <w:r>
        <w:rPr>
          <w:rFonts w:ascii="Arial" w:cs="Arial" w:eastAsia="Arial" w:hAnsi="Arial"/>
          <w:sz w:val="20"/>
          <w:szCs w:val="20"/>
          <w:color w:val="auto"/>
        </w:rPr>
        <w:t>5.07 during the Computation 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6433820</wp:posOffset>
            </wp:positionH>
            <wp:positionV relativeFrom="paragraph">
              <wp:posOffset>-24130</wp:posOffset>
            </wp:positionV>
            <wp:extent cx="3740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74015" cy="8255"/>
                    </a:xfrm>
                    <a:prstGeom prst="rect">
                      <a:avLst/>
                    </a:prstGeom>
                    <a:noFill/>
                  </pic:spPr>
                </pic:pic>
              </a:graphicData>
            </a:graphic>
          </wp:anchor>
        </w:drawing>
      </w:r>
    </w:p>
    <w:p>
      <w:pPr>
        <w:ind w:left="1960" w:hanging="633"/>
        <w:spacing w:after="0" w:line="237" w:lineRule="auto"/>
        <w:tabs>
          <w:tab w:leader="none" w:pos="19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non-cash write-downs or write-offs of assets, including non-cash losses on the sale of assets outside</w:t>
      </w:r>
    </w:p>
    <w:tbl>
      <w:tblPr>
        <w:tblLayout w:type="fixed"/>
        <w:tblInd w:w="640" w:type="dxa"/>
        <w:tblCellMar>
          <w:top w:w="0" w:type="dxa"/>
          <w:left w:w="0" w:type="dxa"/>
          <w:bottom w:w="0" w:type="dxa"/>
          <w:right w:w="0" w:type="dxa"/>
        </w:tblCellMar>
      </w:tblPr>
      <w:tr>
        <w:trPr>
          <w:trHeight w:val="189"/>
        </w:trPr>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180" w:type="dxa"/>
            <w:vAlign w:val="bottom"/>
            <w:gridSpan w:val="3"/>
          </w:tcPr>
          <w:p>
            <w:pPr>
              <w:ind w:left="200"/>
              <w:spacing w:after="0" w:line="189" w:lineRule="exact"/>
              <w:rPr>
                <w:sz w:val="20"/>
                <w:szCs w:val="20"/>
                <w:color w:val="auto"/>
              </w:rPr>
            </w:pPr>
            <w:r>
              <w:rPr>
                <w:rFonts w:ascii="Arial" w:cs="Arial" w:eastAsia="Arial" w:hAnsi="Arial"/>
                <w:sz w:val="20"/>
                <w:szCs w:val="20"/>
                <w:color w:val="auto"/>
              </w:rPr>
              <w:t>the ordinary course of business:</w:t>
            </w: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20"/>
                <w:szCs w:val="20"/>
                <w:color w:val="auto"/>
              </w:rPr>
              <w:t>$</w:t>
            </w: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208"/>
        </w:trPr>
        <w:tc>
          <w:tcPr>
            <w:tcW w:w="400" w:type="dxa"/>
            <w:vAlign w:val="bottom"/>
          </w:tcPr>
          <w:p>
            <w:pPr>
              <w:spacing w:after="0"/>
              <w:rPr>
                <w:sz w:val="18"/>
                <w:szCs w:val="18"/>
                <w:color w:val="auto"/>
              </w:rPr>
            </w:pPr>
          </w:p>
        </w:tc>
        <w:tc>
          <w:tcPr>
            <w:tcW w:w="720" w:type="dxa"/>
            <w:vAlign w:val="bottom"/>
          </w:tcPr>
          <w:p>
            <w:pPr>
              <w:ind w:left="280"/>
              <w:spacing w:after="0" w:line="207" w:lineRule="exact"/>
              <w:rPr>
                <w:sz w:val="20"/>
                <w:szCs w:val="20"/>
                <w:color w:val="auto"/>
              </w:rPr>
            </w:pPr>
            <w:r>
              <w:rPr>
                <w:rFonts w:ascii="Arial" w:cs="Arial" w:eastAsia="Arial" w:hAnsi="Arial"/>
                <w:sz w:val="20"/>
                <w:szCs w:val="20"/>
                <w:color w:val="auto"/>
              </w:rPr>
              <w:t>(9)</w:t>
            </w:r>
          </w:p>
        </w:tc>
        <w:tc>
          <w:tcPr>
            <w:tcW w:w="8180" w:type="dxa"/>
            <w:vAlign w:val="bottom"/>
            <w:gridSpan w:val="3"/>
          </w:tcPr>
          <w:p>
            <w:pPr>
              <w:ind w:left="200"/>
              <w:spacing w:after="0" w:line="207" w:lineRule="exact"/>
              <w:rPr>
                <w:sz w:val="20"/>
                <w:szCs w:val="20"/>
                <w:color w:val="auto"/>
              </w:rPr>
            </w:pPr>
            <w:r>
              <w:rPr>
                <w:rFonts w:ascii="Arial" w:cs="Arial" w:eastAsia="Arial" w:hAnsi="Arial"/>
                <w:sz w:val="20"/>
                <w:szCs w:val="20"/>
                <w:color w:val="auto"/>
              </w:rPr>
              <w:t>Lines I.E.(1)+(2)+(3)+(4)+(5)+(6)+(7)+(8):</w:t>
            </w:r>
          </w:p>
        </w:tc>
        <w:tc>
          <w:tcPr>
            <w:tcW w:w="20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382"/>
        </w:trPr>
        <w:tc>
          <w:tcPr>
            <w:tcW w:w="400" w:type="dxa"/>
            <w:vAlign w:val="bottom"/>
          </w:tcPr>
          <w:p>
            <w:pPr>
              <w:spacing w:after="0"/>
              <w:rPr>
                <w:sz w:val="20"/>
                <w:szCs w:val="20"/>
                <w:color w:val="auto"/>
              </w:rPr>
            </w:pPr>
            <w:r>
              <w:rPr>
                <w:rFonts w:ascii="Arial" w:cs="Arial" w:eastAsia="Arial" w:hAnsi="Arial"/>
                <w:sz w:val="20"/>
                <w:szCs w:val="20"/>
                <w:color w:val="auto"/>
              </w:rPr>
              <w:t>F.</w:t>
            </w:r>
          </w:p>
        </w:tc>
        <w:tc>
          <w:tcPr>
            <w:tcW w:w="8900" w:type="dxa"/>
            <w:vAlign w:val="bottom"/>
            <w:gridSpan w:val="4"/>
          </w:tcPr>
          <w:p>
            <w:pPr>
              <w:ind w:left="280"/>
              <w:spacing w:after="0"/>
              <w:rPr>
                <w:sz w:val="20"/>
                <w:szCs w:val="20"/>
                <w:color w:val="auto"/>
              </w:rPr>
            </w:pPr>
            <w:r>
              <w:rPr>
                <w:rFonts w:ascii="Arial" w:cs="Arial" w:eastAsia="Arial" w:hAnsi="Arial"/>
                <w:sz w:val="20"/>
                <w:szCs w:val="20"/>
                <w:color w:val="auto"/>
              </w:rPr>
              <w:t>Line I.D. divided by Line I.E.(9):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Arial" w:cs="Arial" w:eastAsia="Arial" w:hAnsi="Arial"/>
                <w:sz w:val="20"/>
                <w:szCs w:val="20"/>
                <w:color w:val="auto"/>
                <w:w w:val="84"/>
              </w:rPr>
              <w:t>to 1.00</w:t>
            </w:r>
          </w:p>
        </w:tc>
      </w:tr>
      <w:tr>
        <w:trPr>
          <w:trHeight w:val="422"/>
        </w:trPr>
        <w:tc>
          <w:tcPr>
            <w:tcW w:w="400" w:type="dxa"/>
            <w:vAlign w:val="bottom"/>
          </w:tcPr>
          <w:p>
            <w:pPr>
              <w:spacing w:after="0"/>
              <w:rPr>
                <w:sz w:val="24"/>
                <w:szCs w:val="24"/>
                <w:color w:val="auto"/>
              </w:rPr>
            </w:pPr>
          </w:p>
        </w:tc>
        <w:tc>
          <w:tcPr>
            <w:tcW w:w="8900" w:type="dxa"/>
            <w:vAlign w:val="bottom"/>
            <w:gridSpan w:val="4"/>
          </w:tcPr>
          <w:p>
            <w:pPr>
              <w:ind w:left="280"/>
              <w:spacing w:after="0"/>
              <w:rPr>
                <w:sz w:val="20"/>
                <w:szCs w:val="20"/>
                <w:color w:val="auto"/>
              </w:rPr>
            </w:pPr>
            <w:r>
              <w:rPr>
                <w:rFonts w:ascii="Arial" w:cs="Arial" w:eastAsia="Arial" w:hAnsi="Arial"/>
                <w:sz w:val="20"/>
                <w:szCs w:val="20"/>
                <w:color w:val="auto"/>
                <w:w w:val="94"/>
              </w:rPr>
              <w:t>(Line I.F must not be greater than 3.75 to 1.00, subject to the proviso in Section 7.01 of the Agreement)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722630</wp:posOffset>
            </wp:positionV>
            <wp:extent cx="1727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27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firstLine="1"/>
        <w:spacing w:after="0" w:line="260" w:lineRule="auto"/>
        <w:tabs>
          <w:tab w:leader="none" w:pos="12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To the extent that any Acquisition has been consummated during a Computation Period, Consolidated EBITDA shall be computed on a pro forma basis in accordance with Article 11 of Regulation S-X of the SEC or in a manner otherwise approved by the Administrative Agent only for the purpose of determining the Total Debt to EBITDA Ratio.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Compliance Certificate</w:t>
      </w:r>
    </w:p>
    <w:p>
      <w:pPr>
        <w:sectPr>
          <w:pgSz w:w="11900" w:h="16838" w:orient="portrait"/>
          <w:cols w:equalWidth="0" w:num="1">
            <w:col w:w="10920"/>
          </w:cols>
          <w:pgMar w:left="480" w:top="270" w:right="49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D-1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w:t>
      </w:r>
    </w:p>
    <w:p>
      <w:pPr>
        <w:spacing w:after="0" w:line="218" w:lineRule="exact"/>
        <w:rPr>
          <w:sz w:val="20"/>
          <w:szCs w:val="20"/>
          <w:color w:val="auto"/>
        </w:rPr>
      </w:pPr>
    </w:p>
    <w:p>
      <w:pPr>
        <w:jc w:val="both"/>
        <w:ind w:firstLine="874"/>
        <w:spacing w:after="0" w:line="290" w:lineRule="auto"/>
        <w:rPr>
          <w:sz w:val="20"/>
          <w:szCs w:val="20"/>
          <w:color w:val="auto"/>
        </w:rPr>
      </w:pPr>
      <w:r>
        <w:rPr>
          <w:rFonts w:ascii="Arial" w:cs="Arial" w:eastAsia="Arial" w:hAnsi="Arial"/>
          <w:sz w:val="17"/>
          <w:szCs w:val="17"/>
          <w:color w:val="auto"/>
        </w:rPr>
        <w:t>This Assignment and Assumption (this “</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is dated as of the Effective Date set forth below and is entered into by and between </w:t>
      </w:r>
      <w:r>
        <w:rPr>
          <w:rFonts w:ascii="Arial" w:cs="Arial" w:eastAsia="Arial" w:hAnsi="Arial"/>
          <w:sz w:val="17"/>
          <w:szCs w:val="17"/>
          <w:b w:val="1"/>
          <w:bCs w:val="1"/>
          <w:color w:val="auto"/>
        </w:rPr>
        <w:t>[the][each]</w:t>
      </w:r>
      <w:r>
        <w:rPr>
          <w:rFonts w:ascii="Arial" w:cs="Arial" w:eastAsia="Arial" w:hAnsi="Arial"/>
          <w:sz w:val="17"/>
          <w:szCs w:val="17"/>
          <w:color w:val="auto"/>
        </w:rPr>
        <w:t xml:space="preserve"> Assignor identified in item 1 below (</w:t>
      </w:r>
      <w:r>
        <w:rPr>
          <w:rFonts w:ascii="Arial" w:cs="Arial" w:eastAsia="Arial" w:hAnsi="Arial"/>
          <w:sz w:val="17"/>
          <w:szCs w:val="17"/>
          <w:b w:val="1"/>
          <w:bCs w:val="1"/>
          <w:color w:val="auto"/>
        </w:rPr>
        <w:t>[the][each, an]</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Assignor</w:t>
      </w:r>
      <w:r>
        <w:rPr>
          <w:rFonts w:ascii="Arial" w:cs="Arial" w:eastAsia="Arial" w:hAnsi="Arial"/>
          <w:sz w:val="17"/>
          <w:szCs w:val="17"/>
          <w:color w:val="auto"/>
        </w:rPr>
        <w:t xml:space="preserve">”) and </w:t>
      </w:r>
      <w:r>
        <w:rPr>
          <w:rFonts w:ascii="Arial" w:cs="Arial" w:eastAsia="Arial" w:hAnsi="Arial"/>
          <w:sz w:val="17"/>
          <w:szCs w:val="17"/>
          <w:b w:val="1"/>
          <w:bCs w:val="1"/>
          <w:color w:val="auto"/>
        </w:rPr>
        <w:t>[the][each]</w:t>
      </w:r>
      <w:r>
        <w:rPr>
          <w:rFonts w:ascii="Arial" w:cs="Arial" w:eastAsia="Arial" w:hAnsi="Arial"/>
          <w:sz w:val="17"/>
          <w:szCs w:val="17"/>
          <w:color w:val="auto"/>
        </w:rPr>
        <w:t xml:space="preserve"> Assignee identified in item 2 below (</w:t>
      </w:r>
      <w:r>
        <w:rPr>
          <w:rFonts w:ascii="Arial" w:cs="Arial" w:eastAsia="Arial" w:hAnsi="Arial"/>
          <w:sz w:val="17"/>
          <w:szCs w:val="17"/>
          <w:b w:val="1"/>
          <w:bCs w:val="1"/>
          <w:color w:val="auto"/>
        </w:rPr>
        <w:t>[the][each, an]</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Assignee</w:t>
      </w:r>
      <w:r>
        <w:rPr>
          <w:rFonts w:ascii="Arial" w:cs="Arial" w:eastAsia="Arial" w:hAnsi="Arial"/>
          <w:sz w:val="17"/>
          <w:szCs w:val="17"/>
          <w:color w:val="auto"/>
        </w:rPr>
        <w:t xml:space="preserve">”). </w:t>
      </w:r>
      <w:r>
        <w:rPr>
          <w:rFonts w:ascii="Arial" w:cs="Arial" w:eastAsia="Arial" w:hAnsi="Arial"/>
          <w:sz w:val="17"/>
          <w:szCs w:val="17"/>
          <w:b w:val="1"/>
          <w:bCs w:val="1"/>
          <w:color w:val="auto"/>
        </w:rPr>
        <w:t>[It is understood and agreed that the rights and obligations of [the Assignors]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[the Assignees] hereunder are several and not joint.] </w:t>
      </w:r>
      <w:r>
        <w:rPr>
          <w:rFonts w:ascii="Arial" w:cs="Arial" w:eastAsia="Arial" w:hAnsi="Arial"/>
          <w:sz w:val="17"/>
          <w:szCs w:val="17"/>
          <w:color w:val="auto"/>
        </w:rPr>
        <w:t>Capitalized terms used but not defined herein shall have the meanings given to</w:t>
      </w:r>
      <w:r>
        <w:rPr>
          <w:rFonts w:ascii="Arial" w:cs="Arial" w:eastAsia="Arial" w:hAnsi="Arial"/>
          <w:sz w:val="17"/>
          <w:szCs w:val="17"/>
          <w:b w:val="1"/>
          <w:bCs w:val="1"/>
          <w:color w:val="auto"/>
        </w:rPr>
        <w:t xml:space="preserve"> </w:t>
      </w:r>
      <w:r>
        <w:rPr>
          <w:rFonts w:ascii="Arial" w:cs="Arial" w:eastAsia="Arial" w:hAnsi="Arial"/>
          <w:sz w:val="17"/>
          <w:szCs w:val="17"/>
          <w:color w:val="auto"/>
        </w:rPr>
        <w:t>them in the Credit Agreement identified below (as amended,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xml:space="preserve">”), receipt of a copy of which is hereby acknowledged by </w:t>
      </w:r>
      <w:r>
        <w:rPr>
          <w:rFonts w:ascii="Arial" w:cs="Arial" w:eastAsia="Arial" w:hAnsi="Arial"/>
          <w:sz w:val="17"/>
          <w:szCs w:val="17"/>
          <w:b w:val="1"/>
          <w:bCs w:val="1"/>
          <w:color w:val="auto"/>
        </w:rPr>
        <w:t>[the][each]</w:t>
      </w:r>
      <w:r>
        <w:rPr>
          <w:rFonts w:ascii="Arial" w:cs="Arial" w:eastAsia="Arial" w:hAnsi="Arial"/>
          <w:sz w:val="17"/>
          <w:szCs w:val="17"/>
          <w:color w:val="auto"/>
        </w:rPr>
        <w:t xml:space="preserve"> Assignee. The Standard Terms and Conditions set forth in Annex 1 attached hereto are hereby agreed to and incorporated herein by reference and made a part of this Assignment and Assumption as if set forth herein in full.</w:t>
      </w:r>
    </w:p>
    <w:p>
      <w:pPr>
        <w:spacing w:after="0" w:line="148" w:lineRule="exact"/>
        <w:rPr>
          <w:sz w:val="20"/>
          <w:szCs w:val="20"/>
          <w:color w:val="auto"/>
        </w:rPr>
      </w:pPr>
    </w:p>
    <w:p>
      <w:pPr>
        <w:jc w:val="both"/>
        <w:ind w:firstLine="874"/>
        <w:spacing w:after="0" w:line="284" w:lineRule="auto"/>
        <w:rPr>
          <w:sz w:val="20"/>
          <w:szCs w:val="20"/>
          <w:color w:val="auto"/>
        </w:rPr>
      </w:pPr>
      <w:r>
        <w:rPr>
          <w:rFonts w:ascii="Arial" w:cs="Arial" w:eastAsia="Arial" w:hAnsi="Arial"/>
          <w:sz w:val="17"/>
          <w:szCs w:val="17"/>
          <w:color w:val="auto"/>
        </w:rPr>
        <w:t xml:space="preserve">For an agreed consideration, </w:t>
      </w:r>
      <w:r>
        <w:rPr>
          <w:rFonts w:ascii="Arial" w:cs="Arial" w:eastAsia="Arial" w:hAnsi="Arial"/>
          <w:sz w:val="17"/>
          <w:szCs w:val="17"/>
          <w:b w:val="1"/>
          <w:bCs w:val="1"/>
          <w:color w:val="auto"/>
        </w:rPr>
        <w:t>[the][each]</w:t>
      </w:r>
      <w:r>
        <w:rPr>
          <w:rFonts w:ascii="Arial" w:cs="Arial" w:eastAsia="Arial" w:hAnsi="Arial"/>
          <w:sz w:val="17"/>
          <w:szCs w:val="17"/>
          <w:color w:val="auto"/>
        </w:rPr>
        <w:t xml:space="preserve"> Assignor hereby irrevocably sells and assigns to </w:t>
      </w:r>
      <w:r>
        <w:rPr>
          <w:rFonts w:ascii="Arial" w:cs="Arial" w:eastAsia="Arial" w:hAnsi="Arial"/>
          <w:sz w:val="17"/>
          <w:szCs w:val="17"/>
          <w:b w:val="1"/>
          <w:bCs w:val="1"/>
          <w:color w:val="auto"/>
        </w:rPr>
        <w:t>[the Assignee][the respective</w:t>
      </w:r>
      <w:r>
        <w:rPr>
          <w:rFonts w:ascii="Arial" w:cs="Arial" w:eastAsia="Arial" w:hAnsi="Arial"/>
          <w:sz w:val="17"/>
          <w:szCs w:val="17"/>
          <w:color w:val="auto"/>
        </w:rPr>
        <w:t xml:space="preserve"> </w:t>
      </w:r>
      <w:r>
        <w:rPr>
          <w:rFonts w:ascii="Arial" w:cs="Arial" w:eastAsia="Arial" w:hAnsi="Arial"/>
          <w:sz w:val="17"/>
          <w:szCs w:val="17"/>
          <w:b w:val="1"/>
          <w:bCs w:val="1"/>
          <w:color w:val="auto"/>
        </w:rPr>
        <w:t>Assignees]</w:t>
      </w:r>
      <w:r>
        <w:rPr>
          <w:rFonts w:ascii="Arial" w:cs="Arial" w:eastAsia="Arial" w:hAnsi="Arial"/>
          <w:sz w:val="17"/>
          <w:szCs w:val="17"/>
          <w:color w:val="auto"/>
        </w:rPr>
        <w:t>, and</w:t>
      </w:r>
      <w:r>
        <w:rPr>
          <w:rFonts w:ascii="Arial" w:cs="Arial" w:eastAsia="Arial" w:hAnsi="Arial"/>
          <w:sz w:val="17"/>
          <w:szCs w:val="17"/>
          <w:b w:val="1"/>
          <w:bCs w:val="1"/>
          <w:color w:val="auto"/>
        </w:rPr>
        <w:t xml:space="preserve"> [the][each] </w:t>
      </w:r>
      <w:r>
        <w:rPr>
          <w:rFonts w:ascii="Arial" w:cs="Arial" w:eastAsia="Arial" w:hAnsi="Arial"/>
          <w:sz w:val="17"/>
          <w:szCs w:val="17"/>
          <w:color w:val="auto"/>
        </w:rPr>
        <w:t>Assignee hereby irrevocably purchases and assumes from</w:t>
      </w:r>
      <w:r>
        <w:rPr>
          <w:rFonts w:ascii="Arial" w:cs="Arial" w:eastAsia="Arial" w:hAnsi="Arial"/>
          <w:sz w:val="17"/>
          <w:szCs w:val="17"/>
          <w:b w:val="1"/>
          <w:bCs w:val="1"/>
          <w:color w:val="auto"/>
        </w:rPr>
        <w:t xml:space="preserve"> [the Assignor][the respective Assignors]</w:t>
      </w:r>
      <w:r>
        <w:rPr>
          <w:rFonts w:ascii="Arial" w:cs="Arial" w:eastAsia="Arial" w:hAnsi="Arial"/>
          <w:sz w:val="17"/>
          <w:szCs w:val="17"/>
          <w:color w:val="auto"/>
        </w:rPr>
        <w:t>,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and in accordance with the Standard Terms and Conditions and the Credit Agreement, as of the Effective Date inserted by the Administrative Agent as contemplated below (i) all of </w:t>
      </w:r>
      <w:r>
        <w:rPr>
          <w:rFonts w:ascii="Arial" w:cs="Arial" w:eastAsia="Arial" w:hAnsi="Arial"/>
          <w:sz w:val="17"/>
          <w:szCs w:val="17"/>
          <w:b w:val="1"/>
          <w:bCs w:val="1"/>
          <w:color w:val="auto"/>
        </w:rPr>
        <w:t>[the Assignor’s][the respective Assignors’]</w:t>
      </w:r>
      <w:r>
        <w:rPr>
          <w:rFonts w:ascii="Arial" w:cs="Arial" w:eastAsia="Arial" w:hAnsi="Arial"/>
          <w:sz w:val="17"/>
          <w:szCs w:val="17"/>
          <w:color w:val="auto"/>
        </w:rPr>
        <w:t xml:space="preserve"> rights and obligations in </w:t>
      </w:r>
      <w:r>
        <w:rPr>
          <w:rFonts w:ascii="Arial" w:cs="Arial" w:eastAsia="Arial" w:hAnsi="Arial"/>
          <w:sz w:val="17"/>
          <w:szCs w:val="17"/>
          <w:b w:val="1"/>
          <w:bCs w:val="1"/>
          <w:color w:val="auto"/>
        </w:rPr>
        <w:t>[its capacity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as a Lender][their respective capacities as Lenders] </w:t>
      </w:r>
      <w:r>
        <w:rPr>
          <w:rFonts w:ascii="Arial" w:cs="Arial" w:eastAsia="Arial" w:hAnsi="Arial"/>
          <w:sz w:val="17"/>
          <w:szCs w:val="17"/>
          <w:color w:val="auto"/>
        </w:rPr>
        <w:t>under the Credit Agreement and any other documents or instruments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thereto in the amount</w:t>
      </w:r>
      <w:r>
        <w:rPr>
          <w:rFonts w:ascii="Arial" w:cs="Arial" w:eastAsia="Arial" w:hAnsi="Arial"/>
          <w:sz w:val="17"/>
          <w:szCs w:val="17"/>
          <w:b w:val="1"/>
          <w:bCs w:val="1"/>
          <w:color w:val="auto"/>
        </w:rPr>
        <w:t>[s]</w:t>
      </w:r>
      <w:r>
        <w:rPr>
          <w:rFonts w:ascii="Arial" w:cs="Arial" w:eastAsia="Arial" w:hAnsi="Arial"/>
          <w:sz w:val="17"/>
          <w:szCs w:val="17"/>
          <w:color w:val="auto"/>
        </w:rPr>
        <w:t xml:space="preserve"> and equal to the percentage interest</w:t>
      </w:r>
      <w:r>
        <w:rPr>
          <w:rFonts w:ascii="Arial" w:cs="Arial" w:eastAsia="Arial" w:hAnsi="Arial"/>
          <w:sz w:val="17"/>
          <w:szCs w:val="17"/>
          <w:b w:val="1"/>
          <w:bCs w:val="1"/>
          <w:color w:val="auto"/>
        </w:rPr>
        <w:t>[s]</w:t>
      </w:r>
      <w:r>
        <w:rPr>
          <w:rFonts w:ascii="Arial" w:cs="Arial" w:eastAsia="Arial" w:hAnsi="Arial"/>
          <w:sz w:val="17"/>
          <w:szCs w:val="17"/>
          <w:color w:val="auto"/>
        </w:rPr>
        <w:t xml:space="preserve"> identified below of all the outstanding rights and obligations under the respective facilities identified below and (ii) to the extent permitted to be assigned under applicable law, all claims, suits, causes of action and any other right of </w:t>
      </w:r>
      <w:r>
        <w:rPr>
          <w:rFonts w:ascii="Arial" w:cs="Arial" w:eastAsia="Arial" w:hAnsi="Arial"/>
          <w:sz w:val="17"/>
          <w:szCs w:val="17"/>
          <w:b w:val="1"/>
          <w:bCs w:val="1"/>
          <w:color w:val="auto"/>
        </w:rPr>
        <w:t>[the Assignor (in its capacity as a Lender)][the respective Assignors (in their respective capacities as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Lenders)] </w:t>
      </w:r>
      <w:r>
        <w:rPr>
          <w:rFonts w:ascii="Arial" w:cs="Arial" w:eastAsia="Arial" w:hAnsi="Arial"/>
          <w:sz w:val="17"/>
          <w:szCs w:val="17"/>
          <w:color w:val="auto"/>
        </w:rPr>
        <w:t>against any Person, whether known or unknown, arising under or in connection with the Credit Agreement,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by </w:t>
      </w:r>
      <w:r>
        <w:rPr>
          <w:rFonts w:ascii="Arial" w:cs="Arial" w:eastAsia="Arial" w:hAnsi="Arial"/>
          <w:sz w:val="17"/>
          <w:szCs w:val="17"/>
          <w:b w:val="1"/>
          <w:bCs w:val="1"/>
          <w:color w:val="auto"/>
        </w:rPr>
        <w:t>[the][any]</w:t>
      </w:r>
      <w:r>
        <w:rPr>
          <w:rFonts w:ascii="Arial" w:cs="Arial" w:eastAsia="Arial" w:hAnsi="Arial"/>
          <w:sz w:val="17"/>
          <w:szCs w:val="17"/>
          <w:color w:val="auto"/>
        </w:rPr>
        <w:t xml:space="preserve"> Assignor to </w:t>
      </w:r>
      <w:r>
        <w:rPr>
          <w:rFonts w:ascii="Arial" w:cs="Arial" w:eastAsia="Arial" w:hAnsi="Arial"/>
          <w:sz w:val="17"/>
          <w:szCs w:val="17"/>
          <w:b w:val="1"/>
          <w:bCs w:val="1"/>
          <w:color w:val="auto"/>
        </w:rPr>
        <w:t>[the][any]</w:t>
      </w:r>
      <w:r>
        <w:rPr>
          <w:rFonts w:ascii="Arial" w:cs="Arial" w:eastAsia="Arial" w:hAnsi="Arial"/>
          <w:sz w:val="17"/>
          <w:szCs w:val="17"/>
          <w:color w:val="auto"/>
        </w:rPr>
        <w:t xml:space="preserve"> Assignee pursuant to clause (i) above (the rights and obligations sold and assigned pursuant to clauses (i) and (ii) above being referred to herein collectively as </w:t>
      </w:r>
      <w:r>
        <w:rPr>
          <w:rFonts w:ascii="Arial" w:cs="Arial" w:eastAsia="Arial" w:hAnsi="Arial"/>
          <w:sz w:val="17"/>
          <w:szCs w:val="17"/>
          <w:b w:val="1"/>
          <w:bCs w:val="1"/>
          <w:color w:val="auto"/>
        </w:rPr>
        <w:t>[the][an]</w:t>
      </w:r>
      <w:r>
        <w:rPr>
          <w:rFonts w:ascii="Arial" w:cs="Arial" w:eastAsia="Arial" w:hAnsi="Arial"/>
          <w:sz w:val="17"/>
          <w:szCs w:val="17"/>
          <w:color w:val="auto"/>
        </w:rPr>
        <w:t xml:space="preserve"> “</w:t>
      </w:r>
      <w:r>
        <w:rPr>
          <w:rFonts w:ascii="Arial" w:cs="Arial" w:eastAsia="Arial" w:hAnsi="Arial"/>
          <w:sz w:val="17"/>
          <w:szCs w:val="17"/>
          <w:u w:val="single" w:color="auto"/>
          <w:color w:val="auto"/>
        </w:rPr>
        <w:t>Assigned Interest</w:t>
      </w:r>
      <w:r>
        <w:rPr>
          <w:rFonts w:ascii="Arial" w:cs="Arial" w:eastAsia="Arial" w:hAnsi="Arial"/>
          <w:sz w:val="17"/>
          <w:szCs w:val="17"/>
          <w:color w:val="auto"/>
        </w:rPr>
        <w:t xml:space="preserve">”). Each such sale and assignment is without recourse to </w:t>
      </w:r>
      <w:r>
        <w:rPr>
          <w:rFonts w:ascii="Arial" w:cs="Arial" w:eastAsia="Arial" w:hAnsi="Arial"/>
          <w:sz w:val="17"/>
          <w:szCs w:val="17"/>
          <w:b w:val="1"/>
          <w:bCs w:val="1"/>
          <w:color w:val="auto"/>
        </w:rPr>
        <w:t>[the][any]</w:t>
      </w:r>
      <w:r>
        <w:rPr>
          <w:rFonts w:ascii="Arial" w:cs="Arial" w:eastAsia="Arial" w:hAnsi="Arial"/>
          <w:sz w:val="17"/>
          <w:szCs w:val="17"/>
          <w:color w:val="auto"/>
        </w:rPr>
        <w:t xml:space="preserve"> Assignor and, except as expressly provided in this Assignment and Assumption, without representation or warranty by </w:t>
      </w:r>
      <w:r>
        <w:rPr>
          <w:rFonts w:ascii="Arial" w:cs="Arial" w:eastAsia="Arial" w:hAnsi="Arial"/>
          <w:sz w:val="17"/>
          <w:szCs w:val="17"/>
          <w:b w:val="1"/>
          <w:bCs w:val="1"/>
          <w:color w:val="auto"/>
        </w:rPr>
        <w:t>[the][any]</w:t>
      </w:r>
      <w:r>
        <w:rPr>
          <w:rFonts w:ascii="Arial" w:cs="Arial" w:eastAsia="Arial" w:hAnsi="Arial"/>
          <w:sz w:val="17"/>
          <w:szCs w:val="17"/>
          <w:color w:val="auto"/>
        </w:rPr>
        <w:t xml:space="preserve"> Assignor.</w:t>
      </w:r>
    </w:p>
    <w:p>
      <w:pPr>
        <w:spacing w:after="0" w:line="200" w:lineRule="exact"/>
        <w:rPr>
          <w:sz w:val="20"/>
          <w:szCs w:val="20"/>
          <w:color w:val="auto"/>
        </w:rPr>
      </w:pPr>
    </w:p>
    <w:p>
      <w:pPr>
        <w:spacing w:after="0" w:line="217" w:lineRule="exact"/>
        <w:rPr>
          <w:sz w:val="20"/>
          <w:szCs w:val="20"/>
          <w:color w:val="auto"/>
        </w:rPr>
      </w:pPr>
    </w:p>
    <w:p>
      <w:pPr>
        <w:ind w:left="880" w:hanging="879"/>
        <w:spacing w:after="0"/>
        <w:tabs>
          <w:tab w:leader="none" w:pos="88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Assignor</w:t>
      </w:r>
      <w:r>
        <w:rPr>
          <w:rFonts w:ascii="Arial" w:cs="Arial" w:eastAsia="Arial" w:hAnsi="Arial"/>
          <w:sz w:val="20"/>
          <w:szCs w:val="20"/>
          <w:b w:val="1"/>
          <w:bCs w:val="1"/>
          <w:u w:val="single" w:color="auto"/>
          <w:color w:val="auto"/>
        </w:rPr>
        <w:t>[s]</w:t>
      </w:r>
      <w:r>
        <w:rPr>
          <w:rFonts w:ascii="Arial" w:cs="Arial" w:eastAsia="Arial" w:hAnsi="Arial"/>
          <w:sz w:val="20"/>
          <w:szCs w:val="20"/>
          <w:color w:val="auto"/>
        </w:rPr>
        <w:t>:</w:t>
      </w:r>
    </w:p>
    <w:p>
      <w:pPr>
        <w:spacing w:after="0" w:line="217"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color w:val="auto"/>
        </w:rPr>
        <w:t>[Assignor [is] [is not] a Defaulting Lender]</w:t>
      </w:r>
    </w:p>
    <w:p>
      <w:pPr>
        <w:spacing w:after="0" w:line="232" w:lineRule="exact"/>
        <w:rPr>
          <w:rFonts w:ascii="Arial" w:cs="Arial" w:eastAsia="Arial" w:hAnsi="Arial"/>
          <w:sz w:val="20"/>
          <w:szCs w:val="20"/>
          <w:color w:val="auto"/>
        </w:rPr>
      </w:pPr>
    </w:p>
    <w:p>
      <w:pPr>
        <w:ind w:left="880" w:hanging="879"/>
        <w:spacing w:after="0"/>
        <w:tabs>
          <w:tab w:leader="none" w:pos="88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Assignee</w:t>
      </w:r>
      <w:r>
        <w:rPr>
          <w:rFonts w:ascii="Arial" w:cs="Arial" w:eastAsia="Arial" w:hAnsi="Arial"/>
          <w:sz w:val="20"/>
          <w:szCs w:val="20"/>
          <w:b w:val="1"/>
          <w:bCs w:val="1"/>
          <w:u w:val="single" w:color="auto"/>
          <w:color w:val="auto"/>
        </w:rPr>
        <w:t>[s]</w:t>
      </w:r>
      <w:r>
        <w:rPr>
          <w:rFonts w:ascii="Arial" w:cs="Arial" w:eastAsia="Arial" w:hAnsi="Arial"/>
          <w:sz w:val="20"/>
          <w:szCs w:val="20"/>
          <w:color w:val="auto"/>
        </w:rPr>
        <w:t>:</w:t>
      </w:r>
      <w:r>
        <w:rPr>
          <w:rFonts w:ascii="Arial" w:cs="Arial" w:eastAsia="Arial" w:hAnsi="Arial"/>
          <w:sz w:val="17"/>
          <w:szCs w:val="17"/>
          <w:color w:val="auto"/>
        </w:rPr>
        <w:t>[for each Assignee, indicate [Affiliate][Approved Fund] of [</w:t>
      </w:r>
      <w:r>
        <w:rPr>
          <w:rFonts w:ascii="Arial" w:cs="Arial" w:eastAsia="Arial" w:hAnsi="Arial"/>
          <w:sz w:val="17"/>
          <w:szCs w:val="17"/>
          <w:i w:val="1"/>
          <w:iCs w:val="1"/>
          <w:color w:val="auto"/>
        </w:rPr>
        <w:t>identify Lender</w:t>
      </w:r>
      <w:r>
        <w:rPr>
          <w:rFonts w:ascii="Arial" w:cs="Arial" w:eastAsia="Arial" w:hAnsi="Arial"/>
          <w:sz w:val="17"/>
          <w:szCs w:val="17"/>
          <w:color w:val="auto"/>
        </w:rPr>
        <w:t>]]</w:t>
      </w:r>
    </w:p>
    <w:p>
      <w:pPr>
        <w:spacing w:after="0" w:line="244" w:lineRule="exact"/>
        <w:rPr>
          <w:rFonts w:ascii="Arial" w:cs="Arial" w:eastAsia="Arial" w:hAnsi="Arial"/>
          <w:sz w:val="20"/>
          <w:szCs w:val="20"/>
          <w:color w:val="auto"/>
        </w:rPr>
      </w:pPr>
    </w:p>
    <w:p>
      <w:pPr>
        <w:ind w:left="880" w:hanging="879"/>
        <w:spacing w:after="0"/>
        <w:tabs>
          <w:tab w:leader="none" w:pos="88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Borrower</w:t>
      </w:r>
      <w:r>
        <w:rPr>
          <w:rFonts w:ascii="Arial" w:cs="Arial" w:eastAsia="Arial" w:hAnsi="Arial"/>
          <w:sz w:val="20"/>
          <w:szCs w:val="20"/>
          <w:color w:val="auto"/>
        </w:rPr>
        <w:t>: Republic Services, Inc., a Delaware corporation</w:t>
      </w:r>
    </w:p>
    <w:p>
      <w:pPr>
        <w:spacing w:after="0" w:line="238" w:lineRule="exact"/>
        <w:rPr>
          <w:rFonts w:ascii="Arial" w:cs="Arial" w:eastAsia="Arial" w:hAnsi="Arial"/>
          <w:sz w:val="20"/>
          <w:szCs w:val="20"/>
          <w:color w:val="auto"/>
        </w:rPr>
      </w:pPr>
    </w:p>
    <w:p>
      <w:pPr>
        <w:ind w:left="880" w:hanging="879"/>
        <w:spacing w:after="0"/>
        <w:tabs>
          <w:tab w:leader="none" w:pos="88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Administrative Agent</w:t>
      </w:r>
      <w:r>
        <w:rPr>
          <w:rFonts w:ascii="Arial" w:cs="Arial" w:eastAsia="Arial" w:hAnsi="Arial"/>
          <w:sz w:val="20"/>
          <w:szCs w:val="20"/>
          <w:color w:val="auto"/>
        </w:rPr>
        <w:t>: Bank of America, N.A., as the administrative agent under the Credit Agreement</w:t>
      </w:r>
    </w:p>
    <w:p>
      <w:pPr>
        <w:spacing w:after="0" w:line="238" w:lineRule="exact"/>
        <w:rPr>
          <w:rFonts w:ascii="Arial" w:cs="Arial" w:eastAsia="Arial" w:hAnsi="Arial"/>
          <w:sz w:val="20"/>
          <w:szCs w:val="20"/>
          <w:color w:val="auto"/>
        </w:rPr>
      </w:pPr>
    </w:p>
    <w:p>
      <w:pPr>
        <w:jc w:val="both"/>
        <w:ind w:left="880" w:hanging="879"/>
        <w:spacing w:after="0" w:line="247" w:lineRule="auto"/>
        <w:tabs>
          <w:tab w:leader="none" w:pos="88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Credit Agreement</w:t>
      </w:r>
      <w:r>
        <w:rPr>
          <w:rFonts w:ascii="Arial" w:cs="Arial" w:eastAsia="Arial" w:hAnsi="Arial"/>
          <w:sz w:val="20"/>
          <w:szCs w:val="20"/>
          <w:color w:val="auto"/>
        </w:rPr>
        <w:t>: Credit Agreement, dated as of August 25, 2020, as amended, restated, extended, supplemented or otherwise modified in writing from time to time, among Republic Services, Inc., a Delaware corporation, the Lenders from time to time party thereto, and Bank of America,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-1791335</wp:posOffset>
            </wp:positionV>
            <wp:extent cx="6229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2935" cy="8255"/>
                    </a:xfrm>
                    <a:prstGeom prst="rect">
                      <a:avLst/>
                    </a:prstGeom>
                    <a:noFill/>
                  </pic:spPr>
                </pic:pic>
              </a:graphicData>
            </a:graphic>
          </wp:anchor>
        </w:drawing>
        <w:drawing>
          <wp:anchor simplePos="0" relativeHeight="251657728" behindDoc="1" locked="0" layoutInCell="0" allowOverlap="1">
            <wp:simplePos x="0" y="0"/>
            <wp:positionH relativeFrom="column">
              <wp:posOffset>1207135</wp:posOffset>
            </wp:positionH>
            <wp:positionV relativeFrom="paragraph">
              <wp:posOffset>-1213485</wp:posOffset>
            </wp:positionV>
            <wp:extent cx="6229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0920"/>
          </w:cols>
          <w:pgMar w:left="480" w:top="264" w:right="499" w:bottom="1440" w:gutter="0" w:footer="0" w:header="0"/>
        </w:sectPr>
      </w:pPr>
    </w:p>
    <w:bookmarkStart w:id="128" w:name="page129"/>
    <w:bookmarkEnd w:id="128"/>
    <w:p>
      <w:pPr>
        <w:ind w:left="880" w:hanging="879"/>
        <w:spacing w:after="0"/>
        <w:tabs>
          <w:tab w:leader="none" w:pos="880"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Assigned Interest</w:t>
      </w:r>
      <w:r>
        <w:rPr>
          <w:rFonts w:ascii="Arial" w:cs="Arial" w:eastAsia="Arial" w:hAnsi="Arial"/>
          <w:sz w:val="20"/>
          <w:szCs w:val="20"/>
          <w:color w:val="auto"/>
        </w:rPr>
        <w:t>:</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425"/>
        </w:trPr>
        <w:tc>
          <w:tcPr>
            <w:tcW w:w="380" w:type="dxa"/>
            <w:vAlign w:val="bottom"/>
            <w:tcBorders>
              <w:top w:val="single" w:sz="8" w:color="auto"/>
              <w:left w:val="single" w:sz="8" w:color="auto"/>
            </w:tcBorders>
            <w:shd w:val="clear" w:color="auto" w:fill="BFBFBF"/>
          </w:tcPr>
          <w:p>
            <w:pPr>
              <w:spacing w:after="0"/>
              <w:rPr>
                <w:sz w:val="24"/>
                <w:szCs w:val="24"/>
                <w:color w:val="auto"/>
              </w:rPr>
            </w:pPr>
          </w:p>
        </w:tc>
        <w:tc>
          <w:tcPr>
            <w:tcW w:w="500" w:type="dxa"/>
            <w:vAlign w:val="bottom"/>
            <w:tcBorders>
              <w:top w:val="single" w:sz="8" w:color="auto"/>
            </w:tcBorders>
            <w:shd w:val="clear" w:color="auto" w:fill="BFBFBF"/>
          </w:tcPr>
          <w:p>
            <w:pPr>
              <w:spacing w:after="0"/>
              <w:rPr>
                <w:sz w:val="24"/>
                <w:szCs w:val="24"/>
                <w:color w:val="auto"/>
              </w:rPr>
            </w:pPr>
          </w:p>
        </w:tc>
        <w:tc>
          <w:tcPr>
            <w:tcW w:w="380" w:type="dxa"/>
            <w:vAlign w:val="bottom"/>
            <w:tcBorders>
              <w:top w:val="single" w:sz="8" w:color="auto"/>
            </w:tcBorders>
            <w:shd w:val="clear" w:color="auto" w:fill="BFBFBF"/>
          </w:tcPr>
          <w:p>
            <w:pPr>
              <w:spacing w:after="0"/>
              <w:rPr>
                <w:sz w:val="24"/>
                <w:szCs w:val="24"/>
                <w:color w:val="auto"/>
              </w:rPr>
            </w:pPr>
          </w:p>
        </w:tc>
        <w:tc>
          <w:tcPr>
            <w:tcW w:w="480" w:type="dxa"/>
            <w:vAlign w:val="bottom"/>
            <w:tcBorders>
              <w:top w:val="single" w:sz="8" w:color="auto"/>
            </w:tcBorders>
            <w:shd w:val="clear" w:color="auto" w:fill="BFBFBF"/>
          </w:tcPr>
          <w:p>
            <w:pPr>
              <w:spacing w:after="0"/>
              <w:rPr>
                <w:sz w:val="24"/>
                <w:szCs w:val="24"/>
                <w:color w:val="auto"/>
              </w:rPr>
            </w:pPr>
          </w:p>
        </w:tc>
        <w:tc>
          <w:tcPr>
            <w:tcW w:w="180" w:type="dxa"/>
            <w:vAlign w:val="bottom"/>
            <w:tcBorders>
              <w:top w:val="single" w:sz="8" w:color="auto"/>
              <w:right w:val="single" w:sz="8" w:color="auto"/>
            </w:tcBorders>
            <w:shd w:val="clear" w:color="auto" w:fill="BFBFBF"/>
          </w:tcPr>
          <w:p>
            <w:pPr>
              <w:spacing w:after="0"/>
              <w:rPr>
                <w:sz w:val="24"/>
                <w:szCs w:val="24"/>
                <w:color w:val="auto"/>
              </w:rPr>
            </w:pPr>
          </w:p>
        </w:tc>
        <w:tc>
          <w:tcPr>
            <w:tcW w:w="140" w:type="dxa"/>
            <w:vAlign w:val="bottom"/>
            <w:tcBorders>
              <w:top w:val="single" w:sz="8" w:color="auto"/>
              <w:right w:val="single" w:sz="8" w:color="BFBFBF"/>
            </w:tcBorders>
            <w:shd w:val="clear" w:color="auto" w:fill="BFBFBF"/>
          </w:tcPr>
          <w:p>
            <w:pPr>
              <w:spacing w:after="0"/>
              <w:rPr>
                <w:sz w:val="24"/>
                <w:szCs w:val="24"/>
                <w:color w:val="auto"/>
              </w:rPr>
            </w:pPr>
          </w:p>
        </w:tc>
        <w:tc>
          <w:tcPr>
            <w:tcW w:w="300" w:type="dxa"/>
            <w:vAlign w:val="bottom"/>
            <w:tcBorders>
              <w:top w:val="single" w:sz="8" w:color="auto"/>
            </w:tcBorders>
            <w:shd w:val="clear" w:color="auto" w:fill="BFBFBF"/>
          </w:tcPr>
          <w:p>
            <w:pPr>
              <w:spacing w:after="0"/>
              <w:rPr>
                <w:sz w:val="24"/>
                <w:szCs w:val="24"/>
                <w:color w:val="auto"/>
              </w:rPr>
            </w:pPr>
          </w:p>
        </w:tc>
        <w:tc>
          <w:tcPr>
            <w:tcW w:w="260" w:type="dxa"/>
            <w:vAlign w:val="bottom"/>
            <w:tcBorders>
              <w:top w:val="single" w:sz="8" w:color="auto"/>
            </w:tcBorders>
            <w:shd w:val="clear" w:color="auto" w:fill="BFBFBF"/>
          </w:tcPr>
          <w:p>
            <w:pPr>
              <w:spacing w:after="0"/>
              <w:rPr>
                <w:sz w:val="24"/>
                <w:szCs w:val="24"/>
                <w:color w:val="auto"/>
              </w:rPr>
            </w:pPr>
          </w:p>
        </w:tc>
        <w:tc>
          <w:tcPr>
            <w:tcW w:w="400" w:type="dxa"/>
            <w:vAlign w:val="bottom"/>
            <w:tcBorders>
              <w:top w:val="single" w:sz="8" w:color="auto"/>
            </w:tcBorders>
            <w:shd w:val="clear" w:color="auto" w:fill="BFBFBF"/>
          </w:tcPr>
          <w:p>
            <w:pPr>
              <w:spacing w:after="0"/>
              <w:rPr>
                <w:sz w:val="24"/>
                <w:szCs w:val="24"/>
                <w:color w:val="auto"/>
              </w:rPr>
            </w:pPr>
          </w:p>
        </w:tc>
        <w:tc>
          <w:tcPr>
            <w:tcW w:w="440" w:type="dxa"/>
            <w:vAlign w:val="bottom"/>
            <w:tcBorders>
              <w:top w:val="single" w:sz="8" w:color="auto"/>
              <w:right w:val="single" w:sz="8" w:color="auto"/>
            </w:tcBorders>
            <w:shd w:val="clear" w:color="auto" w:fill="BFBFBF"/>
          </w:tcPr>
          <w:p>
            <w:pPr>
              <w:spacing w:after="0"/>
              <w:rPr>
                <w:sz w:val="24"/>
                <w:szCs w:val="24"/>
                <w:color w:val="auto"/>
              </w:rPr>
            </w:pPr>
          </w:p>
        </w:tc>
        <w:tc>
          <w:tcPr>
            <w:tcW w:w="1540" w:type="dxa"/>
            <w:vAlign w:val="bottom"/>
            <w:tcBorders>
              <w:top w:val="single" w:sz="8" w:color="auto"/>
              <w:right w:val="single" w:sz="8" w:color="auto"/>
            </w:tcBorders>
            <w:shd w:val="clear" w:color="auto" w:fill="BFBFBF"/>
          </w:tcPr>
          <w:p>
            <w:pPr>
              <w:spacing w:after="0"/>
              <w:rPr>
                <w:sz w:val="24"/>
                <w:szCs w:val="24"/>
                <w:color w:val="auto"/>
              </w:rPr>
            </w:pPr>
          </w:p>
        </w:tc>
        <w:tc>
          <w:tcPr>
            <w:tcW w:w="1520" w:type="dxa"/>
            <w:vAlign w:val="bottom"/>
            <w:tcBorders>
              <w:top w:val="single" w:sz="8" w:color="auto"/>
              <w:right w:val="single" w:sz="8" w:color="auto"/>
            </w:tcBorders>
            <w:gridSpan w:val="3"/>
            <w:shd w:val="clear" w:color="auto" w:fill="BFBFBF"/>
          </w:tcPr>
          <w:p>
            <w:pPr>
              <w:jc w:val="center"/>
              <w:ind w:left="162"/>
              <w:spacing w:after="0"/>
              <w:rPr>
                <w:sz w:val="20"/>
                <w:szCs w:val="20"/>
                <w:color w:val="auto"/>
              </w:rPr>
            </w:pPr>
            <w:r>
              <w:rPr>
                <w:rFonts w:ascii="Arial" w:cs="Arial" w:eastAsia="Arial" w:hAnsi="Arial"/>
                <w:sz w:val="20"/>
                <w:szCs w:val="20"/>
                <w:color w:val="auto"/>
                <w:w w:val="88"/>
              </w:rPr>
              <w:t>Aggregate</w:t>
            </w:r>
          </w:p>
        </w:tc>
        <w:tc>
          <w:tcPr>
            <w:tcW w:w="760" w:type="dxa"/>
            <w:vAlign w:val="bottom"/>
            <w:tcBorders>
              <w:top w:val="single" w:sz="8" w:color="auto"/>
            </w:tcBorders>
            <w:shd w:val="clear" w:color="auto" w:fill="BFBFBF"/>
          </w:tcPr>
          <w:p>
            <w:pPr>
              <w:spacing w:after="0"/>
              <w:rPr>
                <w:sz w:val="24"/>
                <w:szCs w:val="24"/>
                <w:color w:val="auto"/>
              </w:rPr>
            </w:pPr>
          </w:p>
        </w:tc>
        <w:tc>
          <w:tcPr>
            <w:tcW w:w="580" w:type="dxa"/>
            <w:vAlign w:val="bottom"/>
            <w:tcBorders>
              <w:top w:val="single" w:sz="8" w:color="auto"/>
            </w:tcBorders>
            <w:shd w:val="clear" w:color="auto" w:fill="BFBFBF"/>
          </w:tcPr>
          <w:p>
            <w:pPr>
              <w:spacing w:after="0"/>
              <w:rPr>
                <w:sz w:val="24"/>
                <w:szCs w:val="24"/>
                <w:color w:val="auto"/>
              </w:rPr>
            </w:pPr>
          </w:p>
        </w:tc>
        <w:tc>
          <w:tcPr>
            <w:tcW w:w="140" w:type="dxa"/>
            <w:vAlign w:val="bottom"/>
            <w:tcBorders>
              <w:top w:val="single" w:sz="8" w:color="auto"/>
              <w:right w:val="single" w:sz="8" w:color="auto"/>
            </w:tcBorders>
            <w:shd w:val="clear" w:color="auto" w:fill="BFBFBF"/>
          </w:tcPr>
          <w:p>
            <w:pPr>
              <w:spacing w:after="0"/>
              <w:rPr>
                <w:sz w:val="24"/>
                <w:szCs w:val="24"/>
                <w:color w:val="auto"/>
              </w:rPr>
            </w:pPr>
          </w:p>
        </w:tc>
        <w:tc>
          <w:tcPr>
            <w:tcW w:w="1240" w:type="dxa"/>
            <w:vAlign w:val="bottom"/>
            <w:tcBorders>
              <w:top w:val="single" w:sz="8" w:color="auto"/>
            </w:tcBorders>
            <w:shd w:val="clear" w:color="auto" w:fill="BFBFBF"/>
          </w:tcPr>
          <w:p>
            <w:pPr>
              <w:spacing w:after="0"/>
              <w:rPr>
                <w:sz w:val="24"/>
                <w:szCs w:val="24"/>
                <w:color w:val="auto"/>
              </w:rPr>
            </w:pPr>
          </w:p>
        </w:tc>
        <w:tc>
          <w:tcPr>
            <w:tcW w:w="200" w:type="dxa"/>
            <w:vAlign w:val="bottom"/>
            <w:tcBorders>
              <w:top w:val="single" w:sz="8" w:color="auto"/>
            </w:tcBorders>
            <w:shd w:val="clear" w:color="auto" w:fill="BFBFBF"/>
          </w:tcPr>
          <w:p>
            <w:pPr>
              <w:spacing w:after="0"/>
              <w:rPr>
                <w:sz w:val="24"/>
                <w:szCs w:val="24"/>
                <w:color w:val="auto"/>
              </w:rPr>
            </w:pPr>
          </w:p>
        </w:tc>
        <w:tc>
          <w:tcPr>
            <w:tcW w:w="240" w:type="dxa"/>
            <w:vAlign w:val="bottom"/>
            <w:tcBorders>
              <w:top w:val="single" w:sz="8" w:color="auto"/>
              <w:right w:val="single" w:sz="8" w:color="auto"/>
            </w:tcBorders>
            <w:shd w:val="clear" w:color="auto" w:fill="BFBFBF"/>
          </w:tcPr>
          <w:p>
            <w:pPr>
              <w:spacing w:after="0"/>
              <w:rPr>
                <w:sz w:val="24"/>
                <w:szCs w:val="24"/>
                <w:color w:val="auto"/>
              </w:rPr>
            </w:pPr>
          </w:p>
        </w:tc>
        <w:tc>
          <w:tcPr>
            <w:tcW w:w="1280" w:type="dxa"/>
            <w:vAlign w:val="bottom"/>
            <w:tcBorders>
              <w:top w:val="single" w:sz="8" w:color="auto"/>
              <w:right w:val="single" w:sz="8" w:color="auto"/>
            </w:tcBorders>
            <w:shd w:val="clear" w:color="auto" w:fill="BFBFBF"/>
          </w:tcPr>
          <w:p>
            <w:pPr>
              <w:spacing w:after="0"/>
              <w:rPr>
                <w:sz w:val="24"/>
                <w:szCs w:val="24"/>
                <w:color w:val="auto"/>
              </w:rPr>
            </w:pPr>
          </w:p>
        </w:tc>
      </w:tr>
      <w:tr>
        <w:trPr>
          <w:trHeight w:val="228"/>
        </w:trPr>
        <w:tc>
          <w:tcPr>
            <w:tcW w:w="380" w:type="dxa"/>
            <w:vAlign w:val="bottom"/>
            <w:tcBorders>
              <w:left w:val="single" w:sz="8" w:color="auto"/>
            </w:tcBorders>
            <w:shd w:val="clear" w:color="auto" w:fill="BFBFBF"/>
          </w:tcPr>
          <w:p>
            <w:pPr>
              <w:spacing w:after="0"/>
              <w:rPr>
                <w:sz w:val="19"/>
                <w:szCs w:val="19"/>
                <w:color w:val="auto"/>
              </w:rPr>
            </w:pPr>
          </w:p>
        </w:tc>
        <w:tc>
          <w:tcPr>
            <w:tcW w:w="500" w:type="dxa"/>
            <w:vAlign w:val="bottom"/>
            <w:shd w:val="clear" w:color="auto" w:fill="BFBFBF"/>
          </w:tcPr>
          <w:p>
            <w:pPr>
              <w:spacing w:after="0"/>
              <w:rPr>
                <w:sz w:val="19"/>
                <w:szCs w:val="19"/>
                <w:color w:val="auto"/>
              </w:rPr>
            </w:pPr>
          </w:p>
        </w:tc>
        <w:tc>
          <w:tcPr>
            <w:tcW w:w="380" w:type="dxa"/>
            <w:vAlign w:val="bottom"/>
            <w:shd w:val="clear" w:color="auto" w:fill="BFBFBF"/>
          </w:tcPr>
          <w:p>
            <w:pPr>
              <w:spacing w:after="0"/>
              <w:rPr>
                <w:sz w:val="19"/>
                <w:szCs w:val="19"/>
                <w:color w:val="auto"/>
              </w:rPr>
            </w:pPr>
          </w:p>
        </w:tc>
        <w:tc>
          <w:tcPr>
            <w:tcW w:w="480" w:type="dxa"/>
            <w:vAlign w:val="bottom"/>
            <w:shd w:val="clear" w:color="auto" w:fill="BFBFBF"/>
          </w:tcPr>
          <w:p>
            <w:pPr>
              <w:spacing w:after="0"/>
              <w:rPr>
                <w:sz w:val="19"/>
                <w:szCs w:val="19"/>
                <w:color w:val="auto"/>
              </w:rPr>
            </w:pPr>
          </w:p>
        </w:tc>
        <w:tc>
          <w:tcPr>
            <w:tcW w:w="180" w:type="dxa"/>
            <w:vAlign w:val="bottom"/>
            <w:tcBorders>
              <w:right w:val="single" w:sz="8" w:color="auto"/>
            </w:tcBorders>
            <w:shd w:val="clear" w:color="auto" w:fill="BFBFBF"/>
          </w:tcPr>
          <w:p>
            <w:pPr>
              <w:spacing w:after="0"/>
              <w:rPr>
                <w:sz w:val="19"/>
                <w:szCs w:val="19"/>
                <w:color w:val="auto"/>
              </w:rPr>
            </w:pPr>
          </w:p>
        </w:tc>
        <w:tc>
          <w:tcPr>
            <w:tcW w:w="140" w:type="dxa"/>
            <w:vAlign w:val="bottom"/>
            <w:tcBorders>
              <w:right w:val="single" w:sz="8" w:color="BFBFBF"/>
            </w:tcBorders>
            <w:shd w:val="clear" w:color="auto" w:fill="BFBFBF"/>
          </w:tcPr>
          <w:p>
            <w:pPr>
              <w:spacing w:after="0"/>
              <w:rPr>
                <w:sz w:val="19"/>
                <w:szCs w:val="19"/>
                <w:color w:val="auto"/>
              </w:rPr>
            </w:pPr>
          </w:p>
        </w:tc>
        <w:tc>
          <w:tcPr>
            <w:tcW w:w="300" w:type="dxa"/>
            <w:vAlign w:val="bottom"/>
            <w:shd w:val="clear" w:color="auto" w:fill="BFBFBF"/>
          </w:tcPr>
          <w:p>
            <w:pPr>
              <w:spacing w:after="0"/>
              <w:rPr>
                <w:sz w:val="19"/>
                <w:szCs w:val="19"/>
                <w:color w:val="auto"/>
              </w:rPr>
            </w:pPr>
          </w:p>
        </w:tc>
        <w:tc>
          <w:tcPr>
            <w:tcW w:w="260" w:type="dxa"/>
            <w:vAlign w:val="bottom"/>
            <w:shd w:val="clear" w:color="auto" w:fill="BFBFBF"/>
          </w:tcPr>
          <w:p>
            <w:pPr>
              <w:spacing w:after="0"/>
              <w:rPr>
                <w:sz w:val="19"/>
                <w:szCs w:val="19"/>
                <w:color w:val="auto"/>
              </w:rPr>
            </w:pPr>
          </w:p>
        </w:tc>
        <w:tc>
          <w:tcPr>
            <w:tcW w:w="400" w:type="dxa"/>
            <w:vAlign w:val="bottom"/>
            <w:shd w:val="clear" w:color="auto" w:fill="BFBFBF"/>
          </w:tcPr>
          <w:p>
            <w:pPr>
              <w:spacing w:after="0"/>
              <w:rPr>
                <w:sz w:val="19"/>
                <w:szCs w:val="19"/>
                <w:color w:val="auto"/>
              </w:rPr>
            </w:pPr>
          </w:p>
        </w:tc>
        <w:tc>
          <w:tcPr>
            <w:tcW w:w="440" w:type="dxa"/>
            <w:vAlign w:val="bottom"/>
            <w:tcBorders>
              <w:right w:val="single" w:sz="8" w:color="auto"/>
            </w:tcBorders>
            <w:shd w:val="clear" w:color="auto" w:fill="BFBFBF"/>
          </w:tcPr>
          <w:p>
            <w:pPr>
              <w:spacing w:after="0"/>
              <w:rPr>
                <w:sz w:val="19"/>
                <w:szCs w:val="19"/>
                <w:color w:val="auto"/>
              </w:rPr>
            </w:pPr>
          </w:p>
        </w:tc>
        <w:tc>
          <w:tcPr>
            <w:tcW w:w="1540" w:type="dxa"/>
            <w:vAlign w:val="bottom"/>
            <w:tcBorders>
              <w:right w:val="single" w:sz="8" w:color="auto"/>
            </w:tcBorders>
            <w:shd w:val="clear" w:color="auto" w:fill="BFBFBF"/>
          </w:tcPr>
          <w:p>
            <w:pPr>
              <w:spacing w:after="0"/>
              <w:rPr>
                <w:sz w:val="19"/>
                <w:szCs w:val="19"/>
                <w:color w:val="auto"/>
              </w:rPr>
            </w:pPr>
          </w:p>
        </w:tc>
        <w:tc>
          <w:tcPr>
            <w:tcW w:w="1520" w:type="dxa"/>
            <w:vAlign w:val="bottom"/>
            <w:tcBorders>
              <w:right w:val="single" w:sz="8" w:color="auto"/>
            </w:tcBorders>
            <w:gridSpan w:val="3"/>
            <w:shd w:val="clear" w:color="auto" w:fill="BFBFBF"/>
          </w:tcPr>
          <w:p>
            <w:pPr>
              <w:jc w:val="center"/>
              <w:ind w:left="162"/>
              <w:spacing w:after="0" w:line="228" w:lineRule="exact"/>
              <w:rPr>
                <w:sz w:val="20"/>
                <w:szCs w:val="20"/>
                <w:color w:val="auto"/>
              </w:rPr>
            </w:pPr>
            <w:r>
              <w:rPr>
                <w:rFonts w:ascii="Arial" w:cs="Arial" w:eastAsia="Arial" w:hAnsi="Arial"/>
                <w:sz w:val="20"/>
                <w:szCs w:val="20"/>
                <w:color w:val="auto"/>
                <w:w w:val="94"/>
              </w:rPr>
              <w:t>Amount of</w:t>
            </w:r>
          </w:p>
        </w:tc>
        <w:tc>
          <w:tcPr>
            <w:tcW w:w="1480" w:type="dxa"/>
            <w:vAlign w:val="bottom"/>
            <w:tcBorders>
              <w:right w:val="single" w:sz="8" w:color="auto"/>
            </w:tcBorders>
            <w:gridSpan w:val="3"/>
            <w:shd w:val="clear" w:color="auto" w:fill="BFBFBF"/>
          </w:tcPr>
          <w:p>
            <w:pPr>
              <w:jc w:val="center"/>
              <w:ind w:left="162"/>
              <w:spacing w:after="0" w:line="228" w:lineRule="exact"/>
              <w:rPr>
                <w:sz w:val="20"/>
                <w:szCs w:val="20"/>
                <w:color w:val="auto"/>
              </w:rPr>
            </w:pPr>
            <w:r>
              <w:rPr>
                <w:rFonts w:ascii="Arial" w:cs="Arial" w:eastAsia="Arial" w:hAnsi="Arial"/>
                <w:sz w:val="20"/>
                <w:szCs w:val="20"/>
                <w:color w:val="auto"/>
                <w:w w:val="94"/>
              </w:rPr>
              <w:t>Amount of</w:t>
            </w:r>
          </w:p>
        </w:tc>
        <w:tc>
          <w:tcPr>
            <w:tcW w:w="1440" w:type="dxa"/>
            <w:vAlign w:val="bottom"/>
            <w:gridSpan w:val="2"/>
            <w:shd w:val="clear" w:color="auto" w:fill="BFBFBF"/>
          </w:tcPr>
          <w:p>
            <w:pPr>
              <w:jc w:val="center"/>
              <w:ind w:left="242"/>
              <w:spacing w:after="0" w:line="228" w:lineRule="exact"/>
              <w:rPr>
                <w:sz w:val="20"/>
                <w:szCs w:val="20"/>
                <w:color w:val="auto"/>
              </w:rPr>
            </w:pPr>
            <w:r>
              <w:rPr>
                <w:rFonts w:ascii="Arial" w:cs="Arial" w:eastAsia="Arial" w:hAnsi="Arial"/>
                <w:sz w:val="20"/>
                <w:szCs w:val="20"/>
                <w:color w:val="auto"/>
                <w:w w:val="84"/>
              </w:rPr>
              <w:t>Percentage</w:t>
            </w:r>
          </w:p>
        </w:tc>
        <w:tc>
          <w:tcPr>
            <w:tcW w:w="240" w:type="dxa"/>
            <w:vAlign w:val="bottom"/>
            <w:tcBorders>
              <w:right w:val="single" w:sz="8" w:color="auto"/>
            </w:tcBorders>
            <w:shd w:val="clear" w:color="auto" w:fill="BFBFBF"/>
          </w:tcPr>
          <w:p>
            <w:pPr>
              <w:spacing w:after="0"/>
              <w:rPr>
                <w:sz w:val="19"/>
                <w:szCs w:val="19"/>
                <w:color w:val="auto"/>
              </w:rPr>
            </w:pPr>
          </w:p>
        </w:tc>
        <w:tc>
          <w:tcPr>
            <w:tcW w:w="1280" w:type="dxa"/>
            <w:vAlign w:val="bottom"/>
            <w:tcBorders>
              <w:right w:val="single" w:sz="8" w:color="auto"/>
            </w:tcBorders>
            <w:shd w:val="clear" w:color="auto" w:fill="BFBFBF"/>
          </w:tcPr>
          <w:p>
            <w:pPr>
              <w:spacing w:after="0"/>
              <w:rPr>
                <w:sz w:val="19"/>
                <w:szCs w:val="19"/>
                <w:color w:val="auto"/>
              </w:rPr>
            </w:pPr>
          </w:p>
        </w:tc>
      </w:tr>
      <w:tr>
        <w:trPr>
          <w:trHeight w:val="228"/>
        </w:trPr>
        <w:tc>
          <w:tcPr>
            <w:tcW w:w="380" w:type="dxa"/>
            <w:vAlign w:val="bottom"/>
            <w:tcBorders>
              <w:left w:val="single" w:sz="8" w:color="auto"/>
            </w:tcBorders>
            <w:shd w:val="clear" w:color="auto" w:fill="BFBFBF"/>
          </w:tcPr>
          <w:p>
            <w:pPr>
              <w:spacing w:after="0"/>
              <w:rPr>
                <w:sz w:val="19"/>
                <w:szCs w:val="19"/>
                <w:color w:val="auto"/>
              </w:rPr>
            </w:pPr>
          </w:p>
        </w:tc>
        <w:tc>
          <w:tcPr>
            <w:tcW w:w="500" w:type="dxa"/>
            <w:vAlign w:val="bottom"/>
            <w:shd w:val="clear" w:color="auto" w:fill="BFBFBF"/>
          </w:tcPr>
          <w:p>
            <w:pPr>
              <w:spacing w:after="0"/>
              <w:rPr>
                <w:sz w:val="19"/>
                <w:szCs w:val="19"/>
                <w:color w:val="auto"/>
              </w:rPr>
            </w:pPr>
          </w:p>
        </w:tc>
        <w:tc>
          <w:tcPr>
            <w:tcW w:w="380" w:type="dxa"/>
            <w:vAlign w:val="bottom"/>
            <w:shd w:val="clear" w:color="auto" w:fill="BFBFBF"/>
          </w:tcPr>
          <w:p>
            <w:pPr>
              <w:spacing w:after="0"/>
              <w:rPr>
                <w:sz w:val="19"/>
                <w:szCs w:val="19"/>
                <w:color w:val="auto"/>
              </w:rPr>
            </w:pPr>
          </w:p>
        </w:tc>
        <w:tc>
          <w:tcPr>
            <w:tcW w:w="480" w:type="dxa"/>
            <w:vAlign w:val="bottom"/>
            <w:shd w:val="clear" w:color="auto" w:fill="BFBFBF"/>
          </w:tcPr>
          <w:p>
            <w:pPr>
              <w:spacing w:after="0"/>
              <w:rPr>
                <w:sz w:val="19"/>
                <w:szCs w:val="19"/>
                <w:color w:val="auto"/>
              </w:rPr>
            </w:pPr>
          </w:p>
        </w:tc>
        <w:tc>
          <w:tcPr>
            <w:tcW w:w="180" w:type="dxa"/>
            <w:vAlign w:val="bottom"/>
            <w:tcBorders>
              <w:right w:val="single" w:sz="8" w:color="auto"/>
            </w:tcBorders>
            <w:shd w:val="clear" w:color="auto" w:fill="BFBFBF"/>
          </w:tcPr>
          <w:p>
            <w:pPr>
              <w:spacing w:after="0"/>
              <w:rPr>
                <w:sz w:val="19"/>
                <w:szCs w:val="19"/>
                <w:color w:val="auto"/>
              </w:rPr>
            </w:pPr>
          </w:p>
        </w:tc>
        <w:tc>
          <w:tcPr>
            <w:tcW w:w="140" w:type="dxa"/>
            <w:vAlign w:val="bottom"/>
            <w:tcBorders>
              <w:right w:val="single" w:sz="8" w:color="BFBFBF"/>
            </w:tcBorders>
            <w:shd w:val="clear" w:color="auto" w:fill="BFBFBF"/>
          </w:tcPr>
          <w:p>
            <w:pPr>
              <w:spacing w:after="0"/>
              <w:rPr>
                <w:sz w:val="19"/>
                <w:szCs w:val="19"/>
                <w:color w:val="auto"/>
              </w:rPr>
            </w:pPr>
          </w:p>
        </w:tc>
        <w:tc>
          <w:tcPr>
            <w:tcW w:w="300" w:type="dxa"/>
            <w:vAlign w:val="bottom"/>
            <w:shd w:val="clear" w:color="auto" w:fill="BFBFBF"/>
          </w:tcPr>
          <w:p>
            <w:pPr>
              <w:spacing w:after="0"/>
              <w:rPr>
                <w:sz w:val="19"/>
                <w:szCs w:val="19"/>
                <w:color w:val="auto"/>
              </w:rPr>
            </w:pPr>
          </w:p>
        </w:tc>
        <w:tc>
          <w:tcPr>
            <w:tcW w:w="260" w:type="dxa"/>
            <w:vAlign w:val="bottom"/>
            <w:shd w:val="clear" w:color="auto" w:fill="BFBFBF"/>
          </w:tcPr>
          <w:p>
            <w:pPr>
              <w:spacing w:after="0"/>
              <w:rPr>
                <w:sz w:val="19"/>
                <w:szCs w:val="19"/>
                <w:color w:val="auto"/>
              </w:rPr>
            </w:pPr>
          </w:p>
        </w:tc>
        <w:tc>
          <w:tcPr>
            <w:tcW w:w="400" w:type="dxa"/>
            <w:vAlign w:val="bottom"/>
            <w:shd w:val="clear" w:color="auto" w:fill="BFBFBF"/>
          </w:tcPr>
          <w:p>
            <w:pPr>
              <w:spacing w:after="0"/>
              <w:rPr>
                <w:sz w:val="19"/>
                <w:szCs w:val="19"/>
                <w:color w:val="auto"/>
              </w:rPr>
            </w:pPr>
          </w:p>
        </w:tc>
        <w:tc>
          <w:tcPr>
            <w:tcW w:w="440" w:type="dxa"/>
            <w:vAlign w:val="bottom"/>
            <w:tcBorders>
              <w:right w:val="single" w:sz="8" w:color="auto"/>
            </w:tcBorders>
            <w:shd w:val="clear" w:color="auto" w:fill="BFBFBF"/>
          </w:tcPr>
          <w:p>
            <w:pPr>
              <w:spacing w:after="0"/>
              <w:rPr>
                <w:sz w:val="19"/>
                <w:szCs w:val="19"/>
                <w:color w:val="auto"/>
              </w:rPr>
            </w:pPr>
          </w:p>
        </w:tc>
        <w:tc>
          <w:tcPr>
            <w:tcW w:w="1540" w:type="dxa"/>
            <w:vAlign w:val="bottom"/>
            <w:tcBorders>
              <w:right w:val="single" w:sz="8" w:color="auto"/>
            </w:tcBorders>
            <w:shd w:val="clear" w:color="auto" w:fill="BFBFBF"/>
          </w:tcPr>
          <w:p>
            <w:pPr>
              <w:spacing w:after="0"/>
              <w:rPr>
                <w:sz w:val="19"/>
                <w:szCs w:val="19"/>
                <w:color w:val="auto"/>
              </w:rPr>
            </w:pPr>
          </w:p>
        </w:tc>
        <w:tc>
          <w:tcPr>
            <w:tcW w:w="1520" w:type="dxa"/>
            <w:vAlign w:val="bottom"/>
            <w:tcBorders>
              <w:right w:val="single" w:sz="8" w:color="auto"/>
            </w:tcBorders>
            <w:gridSpan w:val="3"/>
            <w:shd w:val="clear" w:color="auto" w:fill="BFBFBF"/>
          </w:tcPr>
          <w:p>
            <w:pPr>
              <w:jc w:val="center"/>
              <w:ind w:left="162"/>
              <w:spacing w:after="0" w:line="228" w:lineRule="exact"/>
              <w:rPr>
                <w:sz w:val="20"/>
                <w:szCs w:val="20"/>
                <w:color w:val="auto"/>
              </w:rPr>
            </w:pPr>
            <w:r>
              <w:rPr>
                <w:rFonts w:ascii="Arial" w:cs="Arial" w:eastAsia="Arial" w:hAnsi="Arial"/>
                <w:sz w:val="20"/>
                <w:szCs w:val="20"/>
                <w:color w:val="auto"/>
                <w:w w:val="92"/>
              </w:rPr>
              <w:t>Commitment/</w:t>
            </w:r>
          </w:p>
        </w:tc>
        <w:tc>
          <w:tcPr>
            <w:tcW w:w="1480" w:type="dxa"/>
            <w:vAlign w:val="bottom"/>
            <w:tcBorders>
              <w:right w:val="single" w:sz="8" w:color="auto"/>
            </w:tcBorders>
            <w:gridSpan w:val="3"/>
            <w:shd w:val="clear" w:color="auto" w:fill="BFBFBF"/>
          </w:tcPr>
          <w:p>
            <w:pPr>
              <w:ind w:left="360"/>
              <w:spacing w:after="0" w:line="228" w:lineRule="exact"/>
              <w:rPr>
                <w:sz w:val="20"/>
                <w:szCs w:val="20"/>
                <w:color w:val="auto"/>
              </w:rPr>
            </w:pPr>
            <w:r>
              <w:rPr>
                <w:rFonts w:ascii="Arial" w:cs="Arial" w:eastAsia="Arial" w:hAnsi="Arial"/>
                <w:sz w:val="20"/>
                <w:szCs w:val="20"/>
                <w:color w:val="auto"/>
                <w:w w:val="95"/>
              </w:rPr>
              <w:t>Commitment</w:t>
            </w:r>
          </w:p>
        </w:tc>
        <w:tc>
          <w:tcPr>
            <w:tcW w:w="1440" w:type="dxa"/>
            <w:vAlign w:val="bottom"/>
            <w:gridSpan w:val="2"/>
            <w:shd w:val="clear" w:color="auto" w:fill="BFBFBF"/>
          </w:tcPr>
          <w:p>
            <w:pPr>
              <w:jc w:val="center"/>
              <w:ind w:left="242"/>
              <w:spacing w:after="0" w:line="228" w:lineRule="exact"/>
              <w:rPr>
                <w:sz w:val="20"/>
                <w:szCs w:val="20"/>
                <w:color w:val="auto"/>
              </w:rPr>
            </w:pPr>
            <w:r>
              <w:rPr>
                <w:rFonts w:ascii="Arial" w:cs="Arial" w:eastAsia="Arial" w:hAnsi="Arial"/>
                <w:sz w:val="20"/>
                <w:szCs w:val="20"/>
                <w:color w:val="auto"/>
                <w:w w:val="89"/>
              </w:rPr>
              <w:t>Assigned of</w:t>
            </w:r>
          </w:p>
        </w:tc>
        <w:tc>
          <w:tcPr>
            <w:tcW w:w="240" w:type="dxa"/>
            <w:vAlign w:val="bottom"/>
            <w:tcBorders>
              <w:right w:val="single" w:sz="8" w:color="auto"/>
            </w:tcBorders>
            <w:shd w:val="clear" w:color="auto" w:fill="BFBFBF"/>
          </w:tcPr>
          <w:p>
            <w:pPr>
              <w:spacing w:after="0"/>
              <w:rPr>
                <w:sz w:val="19"/>
                <w:szCs w:val="19"/>
                <w:color w:val="auto"/>
              </w:rPr>
            </w:pPr>
          </w:p>
        </w:tc>
        <w:tc>
          <w:tcPr>
            <w:tcW w:w="1280" w:type="dxa"/>
            <w:vAlign w:val="bottom"/>
            <w:tcBorders>
              <w:right w:val="single" w:sz="8" w:color="auto"/>
            </w:tcBorders>
            <w:shd w:val="clear" w:color="auto" w:fill="BFBFBF"/>
          </w:tcPr>
          <w:p>
            <w:pPr>
              <w:spacing w:after="0"/>
              <w:rPr>
                <w:sz w:val="19"/>
                <w:szCs w:val="19"/>
                <w:color w:val="auto"/>
              </w:rPr>
            </w:pPr>
          </w:p>
        </w:tc>
      </w:tr>
      <w:tr>
        <w:trPr>
          <w:trHeight w:val="228"/>
        </w:trPr>
        <w:tc>
          <w:tcPr>
            <w:tcW w:w="380" w:type="dxa"/>
            <w:vAlign w:val="bottom"/>
            <w:tcBorders>
              <w:left w:val="single" w:sz="8" w:color="auto"/>
            </w:tcBorders>
            <w:shd w:val="clear" w:color="auto" w:fill="BFBFBF"/>
          </w:tcPr>
          <w:p>
            <w:pPr>
              <w:spacing w:after="0"/>
              <w:rPr>
                <w:sz w:val="19"/>
                <w:szCs w:val="19"/>
                <w:color w:val="auto"/>
              </w:rPr>
            </w:pPr>
          </w:p>
        </w:tc>
        <w:tc>
          <w:tcPr>
            <w:tcW w:w="500" w:type="dxa"/>
            <w:vAlign w:val="bottom"/>
            <w:shd w:val="clear" w:color="auto" w:fill="BFBFBF"/>
          </w:tcPr>
          <w:p>
            <w:pPr>
              <w:spacing w:after="0"/>
              <w:rPr>
                <w:sz w:val="19"/>
                <w:szCs w:val="19"/>
                <w:color w:val="auto"/>
              </w:rPr>
            </w:pPr>
          </w:p>
        </w:tc>
        <w:tc>
          <w:tcPr>
            <w:tcW w:w="380" w:type="dxa"/>
            <w:vAlign w:val="bottom"/>
            <w:shd w:val="clear" w:color="auto" w:fill="BFBFBF"/>
          </w:tcPr>
          <w:p>
            <w:pPr>
              <w:spacing w:after="0"/>
              <w:rPr>
                <w:sz w:val="19"/>
                <w:szCs w:val="19"/>
                <w:color w:val="auto"/>
              </w:rPr>
            </w:pPr>
          </w:p>
        </w:tc>
        <w:tc>
          <w:tcPr>
            <w:tcW w:w="480" w:type="dxa"/>
            <w:vAlign w:val="bottom"/>
            <w:shd w:val="clear" w:color="auto" w:fill="BFBFBF"/>
          </w:tcPr>
          <w:p>
            <w:pPr>
              <w:spacing w:after="0"/>
              <w:rPr>
                <w:sz w:val="19"/>
                <w:szCs w:val="19"/>
                <w:color w:val="auto"/>
              </w:rPr>
            </w:pPr>
          </w:p>
        </w:tc>
        <w:tc>
          <w:tcPr>
            <w:tcW w:w="180" w:type="dxa"/>
            <w:vAlign w:val="bottom"/>
            <w:tcBorders>
              <w:right w:val="single" w:sz="8" w:color="auto"/>
            </w:tcBorders>
            <w:shd w:val="clear" w:color="auto" w:fill="BFBFBF"/>
          </w:tcPr>
          <w:p>
            <w:pPr>
              <w:spacing w:after="0"/>
              <w:rPr>
                <w:sz w:val="19"/>
                <w:szCs w:val="19"/>
                <w:color w:val="auto"/>
              </w:rPr>
            </w:pPr>
          </w:p>
        </w:tc>
        <w:tc>
          <w:tcPr>
            <w:tcW w:w="140" w:type="dxa"/>
            <w:vAlign w:val="bottom"/>
            <w:tcBorders>
              <w:right w:val="single" w:sz="8" w:color="BFBFBF"/>
            </w:tcBorders>
            <w:shd w:val="clear" w:color="auto" w:fill="BFBFBF"/>
          </w:tcPr>
          <w:p>
            <w:pPr>
              <w:spacing w:after="0"/>
              <w:rPr>
                <w:sz w:val="19"/>
                <w:szCs w:val="19"/>
                <w:color w:val="auto"/>
              </w:rPr>
            </w:pPr>
          </w:p>
        </w:tc>
        <w:tc>
          <w:tcPr>
            <w:tcW w:w="300" w:type="dxa"/>
            <w:vAlign w:val="bottom"/>
            <w:shd w:val="clear" w:color="auto" w:fill="BFBFBF"/>
          </w:tcPr>
          <w:p>
            <w:pPr>
              <w:spacing w:after="0"/>
              <w:rPr>
                <w:sz w:val="19"/>
                <w:szCs w:val="19"/>
                <w:color w:val="auto"/>
              </w:rPr>
            </w:pPr>
          </w:p>
        </w:tc>
        <w:tc>
          <w:tcPr>
            <w:tcW w:w="260" w:type="dxa"/>
            <w:vAlign w:val="bottom"/>
            <w:shd w:val="clear" w:color="auto" w:fill="BFBFBF"/>
          </w:tcPr>
          <w:p>
            <w:pPr>
              <w:spacing w:after="0"/>
              <w:rPr>
                <w:sz w:val="19"/>
                <w:szCs w:val="19"/>
                <w:color w:val="auto"/>
              </w:rPr>
            </w:pPr>
          </w:p>
        </w:tc>
        <w:tc>
          <w:tcPr>
            <w:tcW w:w="400" w:type="dxa"/>
            <w:vAlign w:val="bottom"/>
            <w:shd w:val="clear" w:color="auto" w:fill="BFBFBF"/>
          </w:tcPr>
          <w:p>
            <w:pPr>
              <w:spacing w:after="0"/>
              <w:rPr>
                <w:sz w:val="19"/>
                <w:szCs w:val="19"/>
                <w:color w:val="auto"/>
              </w:rPr>
            </w:pPr>
          </w:p>
        </w:tc>
        <w:tc>
          <w:tcPr>
            <w:tcW w:w="440" w:type="dxa"/>
            <w:vAlign w:val="bottom"/>
            <w:tcBorders>
              <w:right w:val="single" w:sz="8" w:color="auto"/>
            </w:tcBorders>
            <w:shd w:val="clear" w:color="auto" w:fill="BFBFBF"/>
          </w:tcPr>
          <w:p>
            <w:pPr>
              <w:spacing w:after="0"/>
              <w:rPr>
                <w:sz w:val="19"/>
                <w:szCs w:val="19"/>
                <w:color w:val="auto"/>
              </w:rPr>
            </w:pPr>
          </w:p>
        </w:tc>
        <w:tc>
          <w:tcPr>
            <w:tcW w:w="1540" w:type="dxa"/>
            <w:vAlign w:val="bottom"/>
            <w:tcBorders>
              <w:right w:val="single" w:sz="8" w:color="auto"/>
            </w:tcBorders>
            <w:shd w:val="clear" w:color="auto" w:fill="BFBFBF"/>
          </w:tcPr>
          <w:p>
            <w:pPr>
              <w:jc w:val="center"/>
              <w:ind w:left="162"/>
              <w:spacing w:after="0" w:line="228" w:lineRule="exact"/>
              <w:rPr>
                <w:sz w:val="20"/>
                <w:szCs w:val="20"/>
                <w:color w:val="auto"/>
              </w:rPr>
            </w:pPr>
            <w:r>
              <w:rPr>
                <w:rFonts w:ascii="Arial" w:cs="Arial" w:eastAsia="Arial" w:hAnsi="Arial"/>
                <w:sz w:val="20"/>
                <w:szCs w:val="20"/>
                <w:color w:val="auto"/>
                <w:w w:val="96"/>
              </w:rPr>
              <w:t>Facility</w:t>
            </w:r>
          </w:p>
        </w:tc>
        <w:tc>
          <w:tcPr>
            <w:tcW w:w="1520" w:type="dxa"/>
            <w:vAlign w:val="bottom"/>
            <w:tcBorders>
              <w:right w:val="single" w:sz="8" w:color="auto"/>
            </w:tcBorders>
            <w:gridSpan w:val="3"/>
            <w:shd w:val="clear" w:color="auto" w:fill="BFBFBF"/>
          </w:tcPr>
          <w:p>
            <w:pPr>
              <w:jc w:val="center"/>
              <w:ind w:left="182"/>
              <w:spacing w:after="0" w:line="228" w:lineRule="exact"/>
              <w:rPr>
                <w:sz w:val="20"/>
                <w:szCs w:val="20"/>
                <w:color w:val="auto"/>
              </w:rPr>
            </w:pPr>
            <w:r>
              <w:rPr>
                <w:rFonts w:ascii="Arial" w:cs="Arial" w:eastAsia="Arial" w:hAnsi="Arial"/>
                <w:sz w:val="20"/>
                <w:szCs w:val="20"/>
                <w:color w:val="auto"/>
                <w:w w:val="91"/>
              </w:rPr>
              <w:t>Loans for all</w:t>
            </w:r>
          </w:p>
        </w:tc>
        <w:tc>
          <w:tcPr>
            <w:tcW w:w="1480" w:type="dxa"/>
            <w:vAlign w:val="bottom"/>
            <w:tcBorders>
              <w:right w:val="single" w:sz="8" w:color="auto"/>
            </w:tcBorders>
            <w:gridSpan w:val="3"/>
            <w:shd w:val="clear" w:color="auto" w:fill="BFBFBF"/>
          </w:tcPr>
          <w:p>
            <w:pPr>
              <w:jc w:val="center"/>
              <w:ind w:left="162"/>
              <w:spacing w:after="0" w:line="228" w:lineRule="exact"/>
              <w:rPr>
                <w:sz w:val="20"/>
                <w:szCs w:val="20"/>
                <w:color w:val="auto"/>
              </w:rPr>
            </w:pPr>
            <w:r>
              <w:rPr>
                <w:rFonts w:ascii="Arial" w:cs="Arial" w:eastAsia="Arial" w:hAnsi="Arial"/>
                <w:sz w:val="20"/>
                <w:szCs w:val="20"/>
                <w:color w:val="auto"/>
                <w:w w:val="89"/>
              </w:rPr>
              <w:t>/Loans</w:t>
            </w:r>
          </w:p>
        </w:tc>
        <w:tc>
          <w:tcPr>
            <w:tcW w:w="1440" w:type="dxa"/>
            <w:vAlign w:val="bottom"/>
            <w:gridSpan w:val="2"/>
            <w:shd w:val="clear" w:color="auto" w:fill="BFBFBF"/>
          </w:tcPr>
          <w:p>
            <w:pPr>
              <w:jc w:val="center"/>
              <w:ind w:left="242"/>
              <w:spacing w:after="0" w:line="228" w:lineRule="exact"/>
              <w:rPr>
                <w:sz w:val="20"/>
                <w:szCs w:val="20"/>
                <w:color w:val="auto"/>
              </w:rPr>
            </w:pPr>
            <w:r>
              <w:rPr>
                <w:rFonts w:ascii="Arial" w:cs="Arial" w:eastAsia="Arial" w:hAnsi="Arial"/>
                <w:sz w:val="20"/>
                <w:szCs w:val="20"/>
                <w:color w:val="auto"/>
                <w:w w:val="92"/>
              </w:rPr>
              <w:t>Commitment/</w:t>
            </w:r>
          </w:p>
        </w:tc>
        <w:tc>
          <w:tcPr>
            <w:tcW w:w="240" w:type="dxa"/>
            <w:vAlign w:val="bottom"/>
            <w:tcBorders>
              <w:right w:val="single" w:sz="8" w:color="auto"/>
            </w:tcBorders>
            <w:shd w:val="clear" w:color="auto" w:fill="BFBFBF"/>
          </w:tcPr>
          <w:p>
            <w:pPr>
              <w:spacing w:after="0"/>
              <w:rPr>
                <w:sz w:val="19"/>
                <w:szCs w:val="19"/>
                <w:color w:val="auto"/>
              </w:rPr>
            </w:pPr>
          </w:p>
        </w:tc>
        <w:tc>
          <w:tcPr>
            <w:tcW w:w="1280" w:type="dxa"/>
            <w:vAlign w:val="bottom"/>
            <w:tcBorders>
              <w:right w:val="single" w:sz="8" w:color="auto"/>
            </w:tcBorders>
            <w:shd w:val="clear" w:color="auto" w:fill="BFBFBF"/>
          </w:tcPr>
          <w:p>
            <w:pPr>
              <w:jc w:val="center"/>
              <w:ind w:left="82"/>
              <w:spacing w:after="0" w:line="228" w:lineRule="exact"/>
              <w:rPr>
                <w:sz w:val="20"/>
                <w:szCs w:val="20"/>
                <w:color w:val="auto"/>
              </w:rPr>
            </w:pPr>
            <w:r>
              <w:rPr>
                <w:rFonts w:ascii="Arial" w:cs="Arial" w:eastAsia="Arial" w:hAnsi="Arial"/>
                <w:sz w:val="20"/>
                <w:szCs w:val="20"/>
                <w:color w:val="auto"/>
                <w:w w:val="88"/>
              </w:rPr>
              <w:t>CUSIP</w:t>
            </w:r>
          </w:p>
        </w:tc>
      </w:tr>
      <w:tr>
        <w:trPr>
          <w:trHeight w:val="262"/>
        </w:trPr>
        <w:tc>
          <w:tcPr>
            <w:tcW w:w="380" w:type="dxa"/>
            <w:vAlign w:val="bottom"/>
            <w:tcBorders>
              <w:left w:val="single" w:sz="8" w:color="auto"/>
            </w:tcBorders>
            <w:shd w:val="clear" w:color="auto" w:fill="BFBFBF"/>
          </w:tcPr>
          <w:p>
            <w:pPr>
              <w:spacing w:after="0"/>
              <w:rPr>
                <w:sz w:val="22"/>
                <w:szCs w:val="22"/>
                <w:color w:val="auto"/>
              </w:rPr>
            </w:pPr>
          </w:p>
        </w:tc>
        <w:tc>
          <w:tcPr>
            <w:tcW w:w="1540" w:type="dxa"/>
            <w:vAlign w:val="bottom"/>
            <w:tcBorders>
              <w:right w:val="single" w:sz="8" w:color="auto"/>
            </w:tcBorders>
            <w:gridSpan w:val="4"/>
            <w:shd w:val="clear" w:color="auto" w:fill="BFBFBF"/>
          </w:tcPr>
          <w:p>
            <w:pPr>
              <w:ind w:left="180"/>
              <w:spacing w:after="0"/>
              <w:rPr>
                <w:sz w:val="20"/>
                <w:szCs w:val="20"/>
                <w:color w:val="auto"/>
              </w:rPr>
            </w:pPr>
            <w:r>
              <w:rPr>
                <w:rFonts w:ascii="Arial" w:cs="Arial" w:eastAsia="Arial" w:hAnsi="Arial"/>
                <w:sz w:val="20"/>
                <w:szCs w:val="20"/>
                <w:color w:val="auto"/>
              </w:rPr>
              <w:t>Assignor[s]</w:t>
            </w:r>
          </w:p>
        </w:tc>
        <w:tc>
          <w:tcPr>
            <w:tcW w:w="140" w:type="dxa"/>
            <w:vAlign w:val="bottom"/>
            <w:tcBorders>
              <w:right w:val="single" w:sz="8" w:color="BFBFBF"/>
            </w:tcBorders>
            <w:shd w:val="clear" w:color="auto" w:fill="BFBFBF"/>
          </w:tcPr>
          <w:p>
            <w:pPr>
              <w:spacing w:after="0"/>
              <w:rPr>
                <w:sz w:val="22"/>
                <w:szCs w:val="22"/>
                <w:color w:val="auto"/>
              </w:rPr>
            </w:pPr>
          </w:p>
        </w:tc>
        <w:tc>
          <w:tcPr>
            <w:tcW w:w="1400" w:type="dxa"/>
            <w:vAlign w:val="bottom"/>
            <w:tcBorders>
              <w:right w:val="single" w:sz="8" w:color="auto"/>
            </w:tcBorders>
            <w:gridSpan w:val="4"/>
            <w:shd w:val="clear" w:color="auto" w:fill="BFBFBF"/>
          </w:tcPr>
          <w:p>
            <w:pPr>
              <w:jc w:val="right"/>
              <w:ind w:right="180"/>
              <w:spacing w:after="0"/>
              <w:rPr>
                <w:sz w:val="20"/>
                <w:szCs w:val="20"/>
                <w:color w:val="auto"/>
              </w:rPr>
            </w:pPr>
            <w:r>
              <w:rPr>
                <w:rFonts w:ascii="Arial" w:cs="Arial" w:eastAsia="Arial" w:hAnsi="Arial"/>
                <w:sz w:val="20"/>
                <w:szCs w:val="20"/>
                <w:color w:val="auto"/>
              </w:rPr>
              <w:t>Assignee[s]</w:t>
            </w:r>
          </w:p>
        </w:tc>
        <w:tc>
          <w:tcPr>
            <w:tcW w:w="1540" w:type="dxa"/>
            <w:vAlign w:val="bottom"/>
            <w:tcBorders>
              <w:right w:val="single" w:sz="8" w:color="auto"/>
            </w:tcBorders>
            <w:shd w:val="clear" w:color="auto" w:fill="BFBFBF"/>
          </w:tcPr>
          <w:p>
            <w:pPr>
              <w:jc w:val="center"/>
              <w:ind w:left="142"/>
              <w:spacing w:after="0"/>
              <w:rPr>
                <w:sz w:val="20"/>
                <w:szCs w:val="20"/>
                <w:color w:val="auto"/>
              </w:rPr>
            </w:pPr>
            <w:r>
              <w:rPr>
                <w:rFonts w:ascii="Arial" w:cs="Arial" w:eastAsia="Arial" w:hAnsi="Arial"/>
                <w:sz w:val="20"/>
                <w:szCs w:val="20"/>
                <w:color w:val="auto"/>
                <w:w w:val="89"/>
              </w:rPr>
              <w:t>Assigned</w:t>
            </w:r>
          </w:p>
        </w:tc>
        <w:tc>
          <w:tcPr>
            <w:tcW w:w="1520" w:type="dxa"/>
            <w:vAlign w:val="bottom"/>
            <w:tcBorders>
              <w:right w:val="single" w:sz="8" w:color="auto"/>
            </w:tcBorders>
            <w:gridSpan w:val="3"/>
            <w:shd w:val="clear" w:color="auto" w:fill="BFBFBF"/>
          </w:tcPr>
          <w:p>
            <w:pPr>
              <w:jc w:val="center"/>
              <w:ind w:left="162"/>
              <w:spacing w:after="0"/>
              <w:rPr>
                <w:sz w:val="20"/>
                <w:szCs w:val="20"/>
                <w:color w:val="auto"/>
              </w:rPr>
            </w:pPr>
            <w:r>
              <w:rPr>
                <w:rFonts w:ascii="Arial" w:cs="Arial" w:eastAsia="Arial" w:hAnsi="Arial"/>
                <w:sz w:val="20"/>
                <w:szCs w:val="20"/>
                <w:color w:val="auto"/>
                <w:w w:val="85"/>
              </w:rPr>
              <w:t>Lenders</w:t>
            </w:r>
          </w:p>
        </w:tc>
        <w:tc>
          <w:tcPr>
            <w:tcW w:w="1480" w:type="dxa"/>
            <w:vAlign w:val="bottom"/>
            <w:tcBorders>
              <w:right w:val="single" w:sz="8" w:color="auto"/>
            </w:tcBorders>
            <w:gridSpan w:val="3"/>
            <w:shd w:val="clear" w:color="auto" w:fill="BFBFBF"/>
          </w:tcPr>
          <w:p>
            <w:pPr>
              <w:jc w:val="center"/>
              <w:ind w:left="162"/>
              <w:spacing w:after="0"/>
              <w:rPr>
                <w:sz w:val="20"/>
                <w:szCs w:val="20"/>
                <w:color w:val="auto"/>
              </w:rPr>
            </w:pPr>
            <w:r>
              <w:rPr>
                <w:rFonts w:ascii="Arial" w:cs="Arial" w:eastAsia="Arial" w:hAnsi="Arial"/>
                <w:sz w:val="20"/>
                <w:szCs w:val="20"/>
                <w:color w:val="auto"/>
                <w:w w:val="89"/>
              </w:rPr>
              <w:t>Assigned</w:t>
            </w:r>
          </w:p>
        </w:tc>
        <w:tc>
          <w:tcPr>
            <w:tcW w:w="1440" w:type="dxa"/>
            <w:vAlign w:val="bottom"/>
            <w:gridSpan w:val="2"/>
            <w:shd w:val="clear" w:color="auto" w:fill="BFBFBF"/>
          </w:tcPr>
          <w:p>
            <w:pPr>
              <w:jc w:val="center"/>
              <w:ind w:left="262"/>
              <w:spacing w:after="0"/>
              <w:rPr>
                <w:sz w:val="20"/>
                <w:szCs w:val="20"/>
                <w:color w:val="auto"/>
              </w:rPr>
            </w:pPr>
            <w:r>
              <w:rPr>
                <w:rFonts w:ascii="Arial" w:cs="Arial" w:eastAsia="Arial" w:hAnsi="Arial"/>
                <w:sz w:val="20"/>
                <w:szCs w:val="20"/>
                <w:color w:val="auto"/>
                <w:w w:val="88"/>
              </w:rPr>
              <w:t>Loans</w:t>
            </w:r>
          </w:p>
        </w:tc>
        <w:tc>
          <w:tcPr>
            <w:tcW w:w="240" w:type="dxa"/>
            <w:vAlign w:val="bottom"/>
            <w:tcBorders>
              <w:right w:val="single" w:sz="8" w:color="auto"/>
            </w:tcBorders>
            <w:shd w:val="clear" w:color="auto" w:fill="BFBFBF"/>
          </w:tcPr>
          <w:p>
            <w:pPr>
              <w:spacing w:after="0"/>
              <w:rPr>
                <w:sz w:val="22"/>
                <w:szCs w:val="22"/>
                <w:color w:val="auto"/>
              </w:rPr>
            </w:pPr>
          </w:p>
        </w:tc>
        <w:tc>
          <w:tcPr>
            <w:tcW w:w="1280" w:type="dxa"/>
            <w:vAlign w:val="bottom"/>
            <w:tcBorders>
              <w:right w:val="single" w:sz="8" w:color="auto"/>
            </w:tcBorders>
            <w:shd w:val="clear" w:color="auto" w:fill="BFBFBF"/>
          </w:tcPr>
          <w:p>
            <w:pPr>
              <w:jc w:val="center"/>
              <w:ind w:left="82"/>
              <w:spacing w:after="0"/>
              <w:rPr>
                <w:sz w:val="20"/>
                <w:szCs w:val="20"/>
                <w:color w:val="auto"/>
              </w:rPr>
            </w:pPr>
            <w:r>
              <w:rPr>
                <w:rFonts w:ascii="Arial" w:cs="Arial" w:eastAsia="Arial" w:hAnsi="Arial"/>
                <w:sz w:val="20"/>
                <w:szCs w:val="20"/>
                <w:color w:val="auto"/>
                <w:w w:val="92"/>
              </w:rPr>
              <w:t>Number</w:t>
            </w:r>
          </w:p>
        </w:tc>
      </w:tr>
      <w:tr>
        <w:trPr>
          <w:trHeight w:val="63"/>
        </w:trPr>
        <w:tc>
          <w:tcPr>
            <w:tcW w:w="380" w:type="dxa"/>
            <w:vAlign w:val="bottom"/>
            <w:tcBorders>
              <w:left w:val="single" w:sz="8" w:color="auto"/>
              <w:bottom w:val="single" w:sz="8" w:color="auto"/>
            </w:tcBorders>
            <w:shd w:val="clear" w:color="auto" w:fill="BFBFBF"/>
          </w:tcPr>
          <w:p>
            <w:pPr>
              <w:spacing w:after="0"/>
              <w:rPr>
                <w:sz w:val="5"/>
                <w:szCs w:val="5"/>
                <w:color w:val="auto"/>
              </w:rPr>
            </w:pPr>
          </w:p>
        </w:tc>
        <w:tc>
          <w:tcPr>
            <w:tcW w:w="500" w:type="dxa"/>
            <w:vAlign w:val="bottom"/>
            <w:tcBorders>
              <w:bottom w:val="single" w:sz="8" w:color="auto"/>
            </w:tcBorders>
            <w:shd w:val="clear" w:color="auto" w:fill="BFBFBF"/>
          </w:tcPr>
          <w:p>
            <w:pPr>
              <w:spacing w:after="0"/>
              <w:rPr>
                <w:sz w:val="5"/>
                <w:szCs w:val="5"/>
                <w:color w:val="auto"/>
              </w:rPr>
            </w:pPr>
          </w:p>
        </w:tc>
        <w:tc>
          <w:tcPr>
            <w:tcW w:w="380" w:type="dxa"/>
            <w:vAlign w:val="bottom"/>
            <w:tcBorders>
              <w:bottom w:val="single" w:sz="8" w:color="auto"/>
            </w:tcBorders>
            <w:shd w:val="clear" w:color="auto" w:fill="BFBFBF"/>
          </w:tcPr>
          <w:p>
            <w:pPr>
              <w:spacing w:after="0"/>
              <w:rPr>
                <w:sz w:val="5"/>
                <w:szCs w:val="5"/>
                <w:color w:val="auto"/>
              </w:rPr>
            </w:pPr>
          </w:p>
        </w:tc>
        <w:tc>
          <w:tcPr>
            <w:tcW w:w="480" w:type="dxa"/>
            <w:vAlign w:val="bottom"/>
            <w:tcBorders>
              <w:bottom w:val="single" w:sz="8" w:color="auto"/>
            </w:tcBorders>
            <w:shd w:val="clear" w:color="auto" w:fill="BFBFBF"/>
          </w:tcPr>
          <w:p>
            <w:pPr>
              <w:spacing w:after="0"/>
              <w:rPr>
                <w:sz w:val="5"/>
                <w:szCs w:val="5"/>
                <w:color w:val="auto"/>
              </w:rPr>
            </w:pPr>
          </w:p>
        </w:tc>
        <w:tc>
          <w:tcPr>
            <w:tcW w:w="180" w:type="dxa"/>
            <w:vAlign w:val="bottom"/>
            <w:tcBorders>
              <w:bottom w:val="single" w:sz="8" w:color="auto"/>
              <w:right w:val="single" w:sz="8" w:color="auto"/>
            </w:tcBorders>
            <w:shd w:val="clear" w:color="auto" w:fill="BFBFBF"/>
          </w:tcPr>
          <w:p>
            <w:pPr>
              <w:spacing w:after="0"/>
              <w:rPr>
                <w:sz w:val="5"/>
                <w:szCs w:val="5"/>
                <w:color w:val="auto"/>
              </w:rPr>
            </w:pPr>
          </w:p>
        </w:tc>
        <w:tc>
          <w:tcPr>
            <w:tcW w:w="140" w:type="dxa"/>
            <w:vAlign w:val="bottom"/>
            <w:tcBorders>
              <w:bottom w:val="single" w:sz="8" w:color="auto"/>
              <w:right w:val="single" w:sz="8" w:color="BFBFBF"/>
            </w:tcBorders>
            <w:shd w:val="clear" w:color="auto" w:fill="BFBFBF"/>
          </w:tcPr>
          <w:p>
            <w:pPr>
              <w:spacing w:after="0"/>
              <w:rPr>
                <w:sz w:val="5"/>
                <w:szCs w:val="5"/>
                <w:color w:val="auto"/>
              </w:rPr>
            </w:pPr>
          </w:p>
        </w:tc>
        <w:tc>
          <w:tcPr>
            <w:tcW w:w="300" w:type="dxa"/>
            <w:vAlign w:val="bottom"/>
            <w:tcBorders>
              <w:bottom w:val="single" w:sz="8" w:color="auto"/>
            </w:tcBorders>
            <w:shd w:val="clear" w:color="auto" w:fill="BFBFBF"/>
          </w:tcPr>
          <w:p>
            <w:pPr>
              <w:spacing w:after="0"/>
              <w:rPr>
                <w:sz w:val="5"/>
                <w:szCs w:val="5"/>
                <w:color w:val="auto"/>
              </w:rPr>
            </w:pPr>
          </w:p>
        </w:tc>
        <w:tc>
          <w:tcPr>
            <w:tcW w:w="260" w:type="dxa"/>
            <w:vAlign w:val="bottom"/>
            <w:tcBorders>
              <w:bottom w:val="single" w:sz="8" w:color="auto"/>
            </w:tcBorders>
            <w:shd w:val="clear" w:color="auto" w:fill="BFBFBF"/>
          </w:tcPr>
          <w:p>
            <w:pPr>
              <w:spacing w:after="0"/>
              <w:rPr>
                <w:sz w:val="5"/>
                <w:szCs w:val="5"/>
                <w:color w:val="auto"/>
              </w:rPr>
            </w:pPr>
          </w:p>
        </w:tc>
        <w:tc>
          <w:tcPr>
            <w:tcW w:w="400" w:type="dxa"/>
            <w:vAlign w:val="bottom"/>
            <w:tcBorders>
              <w:bottom w:val="single" w:sz="8" w:color="auto"/>
            </w:tcBorders>
            <w:shd w:val="clear" w:color="auto" w:fill="BFBFBF"/>
          </w:tcPr>
          <w:p>
            <w:pPr>
              <w:spacing w:after="0"/>
              <w:rPr>
                <w:sz w:val="5"/>
                <w:szCs w:val="5"/>
                <w:color w:val="auto"/>
              </w:rPr>
            </w:pPr>
          </w:p>
        </w:tc>
        <w:tc>
          <w:tcPr>
            <w:tcW w:w="440" w:type="dxa"/>
            <w:vAlign w:val="bottom"/>
            <w:tcBorders>
              <w:bottom w:val="single" w:sz="8" w:color="auto"/>
              <w:right w:val="single" w:sz="8" w:color="auto"/>
            </w:tcBorders>
            <w:shd w:val="clear" w:color="auto" w:fill="BFBFBF"/>
          </w:tcPr>
          <w:p>
            <w:pPr>
              <w:spacing w:after="0"/>
              <w:rPr>
                <w:sz w:val="5"/>
                <w:szCs w:val="5"/>
                <w:color w:val="auto"/>
              </w:rPr>
            </w:pPr>
          </w:p>
        </w:tc>
        <w:tc>
          <w:tcPr>
            <w:tcW w:w="1540" w:type="dxa"/>
            <w:vAlign w:val="bottom"/>
            <w:tcBorders>
              <w:bottom w:val="single" w:sz="8" w:color="auto"/>
              <w:right w:val="single" w:sz="8" w:color="auto"/>
            </w:tcBorders>
            <w:shd w:val="clear" w:color="auto" w:fill="BFBFBF"/>
          </w:tcPr>
          <w:p>
            <w:pPr>
              <w:spacing w:after="0"/>
              <w:rPr>
                <w:sz w:val="5"/>
                <w:szCs w:val="5"/>
                <w:color w:val="auto"/>
              </w:rPr>
            </w:pPr>
          </w:p>
        </w:tc>
        <w:tc>
          <w:tcPr>
            <w:tcW w:w="800" w:type="dxa"/>
            <w:vAlign w:val="bottom"/>
            <w:tcBorders>
              <w:bottom w:val="single" w:sz="8" w:color="auto"/>
            </w:tcBorders>
            <w:shd w:val="clear" w:color="auto" w:fill="BFBFBF"/>
          </w:tcPr>
          <w:p>
            <w:pPr>
              <w:spacing w:after="0"/>
              <w:rPr>
                <w:sz w:val="5"/>
                <w:szCs w:val="5"/>
                <w:color w:val="auto"/>
              </w:rPr>
            </w:pPr>
          </w:p>
        </w:tc>
        <w:tc>
          <w:tcPr>
            <w:tcW w:w="600" w:type="dxa"/>
            <w:vAlign w:val="bottom"/>
            <w:tcBorders>
              <w:bottom w:val="single" w:sz="8" w:color="auto"/>
            </w:tcBorders>
            <w:shd w:val="clear" w:color="auto" w:fill="BFBFBF"/>
          </w:tcPr>
          <w:p>
            <w:pPr>
              <w:spacing w:after="0"/>
              <w:rPr>
                <w:sz w:val="5"/>
                <w:szCs w:val="5"/>
                <w:color w:val="auto"/>
              </w:rPr>
            </w:pPr>
          </w:p>
        </w:tc>
        <w:tc>
          <w:tcPr>
            <w:tcW w:w="120" w:type="dxa"/>
            <w:vAlign w:val="bottom"/>
            <w:tcBorders>
              <w:bottom w:val="single" w:sz="8" w:color="auto"/>
              <w:right w:val="single" w:sz="8" w:color="auto"/>
            </w:tcBorders>
            <w:shd w:val="clear" w:color="auto" w:fill="BFBFBF"/>
          </w:tcPr>
          <w:p>
            <w:pPr>
              <w:spacing w:after="0"/>
              <w:rPr>
                <w:sz w:val="5"/>
                <w:szCs w:val="5"/>
                <w:color w:val="auto"/>
              </w:rPr>
            </w:pPr>
          </w:p>
        </w:tc>
        <w:tc>
          <w:tcPr>
            <w:tcW w:w="760" w:type="dxa"/>
            <w:vAlign w:val="bottom"/>
            <w:tcBorders>
              <w:bottom w:val="single" w:sz="8" w:color="auto"/>
            </w:tcBorders>
            <w:shd w:val="clear" w:color="auto" w:fill="BFBFBF"/>
          </w:tcPr>
          <w:p>
            <w:pPr>
              <w:spacing w:after="0"/>
              <w:rPr>
                <w:sz w:val="5"/>
                <w:szCs w:val="5"/>
                <w:color w:val="auto"/>
              </w:rPr>
            </w:pPr>
          </w:p>
        </w:tc>
        <w:tc>
          <w:tcPr>
            <w:tcW w:w="580" w:type="dxa"/>
            <w:vAlign w:val="bottom"/>
            <w:tcBorders>
              <w:bottom w:val="single" w:sz="8" w:color="auto"/>
            </w:tcBorders>
            <w:shd w:val="clear" w:color="auto" w:fill="BFBFBF"/>
          </w:tcPr>
          <w:p>
            <w:pPr>
              <w:spacing w:after="0"/>
              <w:rPr>
                <w:sz w:val="5"/>
                <w:szCs w:val="5"/>
                <w:color w:val="auto"/>
              </w:rPr>
            </w:pPr>
          </w:p>
        </w:tc>
        <w:tc>
          <w:tcPr>
            <w:tcW w:w="140" w:type="dxa"/>
            <w:vAlign w:val="bottom"/>
            <w:tcBorders>
              <w:bottom w:val="single" w:sz="8" w:color="auto"/>
              <w:right w:val="single" w:sz="8" w:color="auto"/>
            </w:tcBorders>
            <w:shd w:val="clear" w:color="auto" w:fill="BFBFBF"/>
          </w:tcPr>
          <w:p>
            <w:pPr>
              <w:spacing w:after="0"/>
              <w:rPr>
                <w:sz w:val="5"/>
                <w:szCs w:val="5"/>
                <w:color w:val="auto"/>
              </w:rPr>
            </w:pPr>
          </w:p>
        </w:tc>
        <w:tc>
          <w:tcPr>
            <w:tcW w:w="1240" w:type="dxa"/>
            <w:vAlign w:val="bottom"/>
            <w:tcBorders>
              <w:bottom w:val="single" w:sz="8" w:color="auto"/>
            </w:tcBorders>
            <w:shd w:val="clear" w:color="auto" w:fill="BFBFBF"/>
          </w:tcPr>
          <w:p>
            <w:pPr>
              <w:spacing w:after="0"/>
              <w:rPr>
                <w:sz w:val="5"/>
                <w:szCs w:val="5"/>
                <w:color w:val="auto"/>
              </w:rPr>
            </w:pPr>
          </w:p>
        </w:tc>
        <w:tc>
          <w:tcPr>
            <w:tcW w:w="200" w:type="dxa"/>
            <w:vAlign w:val="bottom"/>
            <w:tcBorders>
              <w:bottom w:val="single" w:sz="8" w:color="auto"/>
            </w:tcBorders>
            <w:shd w:val="clear" w:color="auto" w:fill="BFBFBF"/>
          </w:tcPr>
          <w:p>
            <w:pPr>
              <w:spacing w:after="0"/>
              <w:rPr>
                <w:sz w:val="5"/>
                <w:szCs w:val="5"/>
                <w:color w:val="auto"/>
              </w:rPr>
            </w:pPr>
          </w:p>
        </w:tc>
        <w:tc>
          <w:tcPr>
            <w:tcW w:w="240" w:type="dxa"/>
            <w:vAlign w:val="bottom"/>
            <w:tcBorders>
              <w:bottom w:val="single" w:sz="8" w:color="auto"/>
              <w:right w:val="single" w:sz="8" w:color="auto"/>
            </w:tcBorders>
            <w:shd w:val="clear" w:color="auto" w:fill="BFBFBF"/>
          </w:tcPr>
          <w:p>
            <w:pPr>
              <w:spacing w:after="0"/>
              <w:rPr>
                <w:sz w:val="5"/>
                <w:szCs w:val="5"/>
                <w:color w:val="auto"/>
              </w:rPr>
            </w:pPr>
          </w:p>
        </w:tc>
        <w:tc>
          <w:tcPr>
            <w:tcW w:w="1280" w:type="dxa"/>
            <w:vAlign w:val="bottom"/>
            <w:tcBorders>
              <w:bottom w:val="single" w:sz="8" w:color="auto"/>
              <w:right w:val="single" w:sz="8" w:color="auto"/>
            </w:tcBorders>
            <w:shd w:val="clear" w:color="auto" w:fill="BFBFBF"/>
          </w:tcPr>
          <w:p>
            <w:pPr>
              <w:spacing w:after="0"/>
              <w:rPr>
                <w:sz w:val="5"/>
                <w:szCs w:val="5"/>
                <w:color w:val="auto"/>
              </w:rPr>
            </w:pPr>
          </w:p>
        </w:tc>
      </w:tr>
      <w:tr>
        <w:trPr>
          <w:trHeight w:val="181"/>
        </w:trPr>
        <w:tc>
          <w:tcPr>
            <w:tcW w:w="380" w:type="dxa"/>
            <w:vAlign w:val="bottom"/>
            <w:tcBorders>
              <w:lef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800" w:type="dxa"/>
            <w:vAlign w:val="bottom"/>
          </w:tcPr>
          <w:p>
            <w:pPr>
              <w:jc w:val="right"/>
              <w:ind w:right="262"/>
              <w:spacing w:after="0" w:line="181" w:lineRule="exact"/>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60" w:type="dxa"/>
            <w:vAlign w:val="bottom"/>
          </w:tcPr>
          <w:p>
            <w:pPr>
              <w:ind w:left="340"/>
              <w:spacing w:after="0" w:line="181" w:lineRule="exact"/>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Arial" w:cs="Arial" w:eastAsia="Arial" w:hAnsi="Arial"/>
                <w:sz w:val="20"/>
                <w:szCs w:val="20"/>
                <w:color w:val="auto"/>
                <w:w w:val="78"/>
              </w:rPr>
              <w:t>%</w:t>
            </w:r>
          </w:p>
        </w:tc>
        <w:tc>
          <w:tcPr>
            <w:tcW w:w="1280" w:type="dxa"/>
            <w:vAlign w:val="bottom"/>
            <w:tcBorders>
              <w:right w:val="single" w:sz="8" w:color="auto"/>
            </w:tcBorders>
          </w:tcPr>
          <w:p>
            <w:pPr>
              <w:spacing w:after="0"/>
              <w:rPr>
                <w:sz w:val="15"/>
                <w:szCs w:val="15"/>
                <w:color w:val="auto"/>
              </w:rPr>
            </w:pPr>
          </w:p>
        </w:tc>
      </w:tr>
      <w:tr>
        <w:trPr>
          <w:trHeight w:val="20"/>
        </w:trPr>
        <w:tc>
          <w:tcPr>
            <w:tcW w:w="3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380" w:type="dxa"/>
            <w:vAlign w:val="bottom"/>
            <w:tcBorders>
              <w:lef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800" w:type="dxa"/>
            <w:vAlign w:val="bottom"/>
          </w:tcPr>
          <w:p>
            <w:pPr>
              <w:jc w:val="right"/>
              <w:ind w:right="262"/>
              <w:spacing w:after="0" w:line="181" w:lineRule="exact"/>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60" w:type="dxa"/>
            <w:vAlign w:val="bottom"/>
          </w:tcPr>
          <w:p>
            <w:pPr>
              <w:ind w:left="340"/>
              <w:spacing w:after="0" w:line="181" w:lineRule="exact"/>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Arial" w:cs="Arial" w:eastAsia="Arial" w:hAnsi="Arial"/>
                <w:sz w:val="20"/>
                <w:szCs w:val="20"/>
                <w:color w:val="auto"/>
                <w:w w:val="78"/>
              </w:rPr>
              <w:t>%</w:t>
            </w:r>
          </w:p>
        </w:tc>
        <w:tc>
          <w:tcPr>
            <w:tcW w:w="1280" w:type="dxa"/>
            <w:vAlign w:val="bottom"/>
            <w:tcBorders>
              <w:right w:val="single" w:sz="8" w:color="auto"/>
            </w:tcBorders>
          </w:tcPr>
          <w:p>
            <w:pPr>
              <w:spacing w:after="0"/>
              <w:rPr>
                <w:sz w:val="15"/>
                <w:szCs w:val="15"/>
                <w:color w:val="auto"/>
              </w:rPr>
            </w:pPr>
          </w:p>
        </w:tc>
      </w:tr>
      <w:tr>
        <w:trPr>
          <w:trHeight w:val="20"/>
        </w:trPr>
        <w:tc>
          <w:tcPr>
            <w:tcW w:w="3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380" w:type="dxa"/>
            <w:vAlign w:val="bottom"/>
            <w:tcBorders>
              <w:lef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800" w:type="dxa"/>
            <w:vAlign w:val="bottom"/>
          </w:tcPr>
          <w:p>
            <w:pPr>
              <w:jc w:val="right"/>
              <w:ind w:right="262"/>
              <w:spacing w:after="0" w:line="181" w:lineRule="exact"/>
              <w:rPr>
                <w:sz w:val="20"/>
                <w:szCs w:val="20"/>
                <w:color w:val="auto"/>
              </w:rPr>
            </w:pPr>
            <w:r>
              <w:rPr>
                <w:rFonts w:ascii="Arial" w:cs="Arial" w:eastAsia="Arial" w:hAnsi="Arial"/>
                <w:sz w:val="20"/>
                <w:szCs w:val="20"/>
                <w:color w:val="auto"/>
              </w:rPr>
              <w:t>$</w:t>
            </w:r>
          </w:p>
        </w:tc>
        <w:tc>
          <w:tcPr>
            <w:tcW w:w="6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760" w:type="dxa"/>
            <w:vAlign w:val="bottom"/>
          </w:tcPr>
          <w:p>
            <w:pPr>
              <w:ind w:left="340"/>
              <w:spacing w:after="0" w:line="181" w:lineRule="exact"/>
              <w:rPr>
                <w:sz w:val="20"/>
                <w:szCs w:val="20"/>
                <w:color w:val="auto"/>
              </w:rPr>
            </w:pPr>
            <w:r>
              <w:rPr>
                <w:rFonts w:ascii="Arial" w:cs="Arial" w:eastAsia="Arial" w:hAnsi="Arial"/>
                <w:sz w:val="20"/>
                <w:szCs w:val="20"/>
                <w:color w:val="auto"/>
              </w:rPr>
              <w:t>$</w:t>
            </w:r>
          </w:p>
        </w:tc>
        <w:tc>
          <w:tcPr>
            <w:tcW w:w="580" w:type="dxa"/>
            <w:vAlign w:val="bottom"/>
            <w:tcBorders>
              <w:bottom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right w:val="single" w:sz="8" w:color="auto"/>
            </w:tcBorders>
          </w:tcPr>
          <w:p>
            <w:pPr>
              <w:jc w:val="right"/>
              <w:spacing w:after="0" w:line="181" w:lineRule="exact"/>
              <w:rPr>
                <w:sz w:val="20"/>
                <w:szCs w:val="20"/>
                <w:color w:val="auto"/>
              </w:rPr>
            </w:pPr>
            <w:r>
              <w:rPr>
                <w:rFonts w:ascii="Arial" w:cs="Arial" w:eastAsia="Arial" w:hAnsi="Arial"/>
                <w:sz w:val="20"/>
                <w:szCs w:val="20"/>
                <w:color w:val="auto"/>
                <w:w w:val="78"/>
              </w:rPr>
              <w:t>%</w:t>
            </w:r>
          </w:p>
        </w:tc>
        <w:tc>
          <w:tcPr>
            <w:tcW w:w="1280" w:type="dxa"/>
            <w:vAlign w:val="bottom"/>
            <w:tcBorders>
              <w:right w:val="single" w:sz="8" w:color="auto"/>
            </w:tcBorders>
          </w:tcPr>
          <w:p>
            <w:pPr>
              <w:spacing w:after="0"/>
              <w:rPr>
                <w:sz w:val="15"/>
                <w:szCs w:val="15"/>
                <w:color w:val="auto"/>
              </w:rPr>
            </w:pPr>
          </w:p>
        </w:tc>
      </w:tr>
      <w:tr>
        <w:trPr>
          <w:trHeight w:val="20"/>
        </w:trPr>
        <w:tc>
          <w:tcPr>
            <w:tcW w:w="38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r>
      <w:tr>
        <w:trPr>
          <w:trHeight w:val="422"/>
        </w:trPr>
        <w:tc>
          <w:tcPr>
            <w:tcW w:w="380" w:type="dxa"/>
            <w:vAlign w:val="bottom"/>
          </w:tcPr>
          <w:p>
            <w:pPr>
              <w:spacing w:after="0"/>
              <w:rPr>
                <w:sz w:val="20"/>
                <w:szCs w:val="20"/>
                <w:color w:val="auto"/>
              </w:rPr>
            </w:pPr>
            <w:r>
              <w:rPr>
                <w:rFonts w:ascii="Arial" w:cs="Arial" w:eastAsia="Arial" w:hAnsi="Arial"/>
                <w:sz w:val="20"/>
                <w:szCs w:val="20"/>
                <w:color w:val="auto"/>
              </w:rPr>
              <w:t>[7.</w:t>
            </w:r>
          </w:p>
        </w:tc>
        <w:tc>
          <w:tcPr>
            <w:tcW w:w="50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20"/>
                <w:szCs w:val="20"/>
                <w:color w:val="auto"/>
                <w:w w:val="94"/>
              </w:rPr>
              <w:t>Trade Date:</w:t>
            </w:r>
          </w:p>
        </w:tc>
        <w:tc>
          <w:tcPr>
            <w:tcW w:w="1540" w:type="dxa"/>
            <w:vAlign w:val="bottom"/>
            <w:gridSpan w:val="5"/>
          </w:tcPr>
          <w:p>
            <w:pPr>
              <w:jc w:val="right"/>
              <w:ind w:right="380"/>
              <w:spacing w:after="0"/>
              <w:rPr>
                <w:sz w:val="20"/>
                <w:szCs w:val="20"/>
                <w:color w:val="auto"/>
              </w:rPr>
            </w:pPr>
            <w:r>
              <w:rPr>
                <w:rFonts w:ascii="Arial" w:cs="Arial" w:eastAsia="Arial" w:hAnsi="Arial"/>
                <w:sz w:val="20"/>
                <w:szCs w:val="20"/>
                <w:color w:val="auto"/>
              </w:rPr>
              <w:t>]</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8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940" w:type="dxa"/>
            <w:vAlign w:val="bottom"/>
            <w:gridSpan w:val="12"/>
          </w:tcPr>
          <w:p>
            <w:pPr>
              <w:spacing w:after="0" w:line="20" w:lineRule="exact"/>
              <w:rPr>
                <w:sz w:val="1"/>
                <w:szCs w:val="1"/>
                <w:color w:val="auto"/>
              </w:rPr>
            </w:pPr>
          </w:p>
        </w:tc>
      </w:tr>
      <w:tr>
        <w:trPr>
          <w:trHeight w:val="422"/>
        </w:trPr>
        <w:tc>
          <w:tcPr>
            <w:tcW w:w="1260" w:type="dxa"/>
            <w:vAlign w:val="bottom"/>
            <w:gridSpan w:val="3"/>
          </w:tcPr>
          <w:p>
            <w:pPr>
              <w:spacing w:after="0"/>
              <w:rPr>
                <w:sz w:val="20"/>
                <w:szCs w:val="20"/>
                <w:color w:val="auto"/>
              </w:rPr>
            </w:pPr>
            <w:r>
              <w:rPr>
                <w:rFonts w:ascii="Arial" w:cs="Arial" w:eastAsia="Arial" w:hAnsi="Arial"/>
                <w:sz w:val="20"/>
                <w:szCs w:val="20"/>
                <w:color w:val="auto"/>
                <w:w w:val="95"/>
              </w:rPr>
              <w:t>Effective Date:</w:t>
            </w:r>
          </w:p>
        </w:tc>
        <w:tc>
          <w:tcPr>
            <w:tcW w:w="6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900" w:type="dxa"/>
            <w:vAlign w:val="bottom"/>
            <w:gridSpan w:val="15"/>
          </w:tcPr>
          <w:p>
            <w:pPr>
              <w:spacing w:after="0"/>
              <w:rPr>
                <w:sz w:val="20"/>
                <w:szCs w:val="20"/>
                <w:color w:val="auto"/>
              </w:rPr>
            </w:pPr>
            <w:r>
              <w:rPr>
                <w:rFonts w:ascii="Arial" w:cs="Arial" w:eastAsia="Arial" w:hAnsi="Arial"/>
                <w:sz w:val="20"/>
                <w:szCs w:val="20"/>
                <w:color w:val="auto"/>
                <w:w w:val="99"/>
              </w:rPr>
              <w:t>, 20    [TO BE INSERTED BY ADMINISTRATIVE AGENT AND WHICH SHALL BE THE EFFECTIVE</w:t>
            </w: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DATE OF RECORDATION OF TRANSFER IN THE REGISTER THEREFOR.]</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D-1</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0940"/>
          </w:cols>
          <w:pgMar w:left="480" w:top="270" w:right="479" w:bottom="1440" w:gutter="0" w:footer="0" w:header="0"/>
        </w:sectPr>
      </w:pPr>
    </w:p>
    <w:bookmarkStart w:id="129" w:name="page130"/>
    <w:bookmarkEnd w:id="129"/>
    <w:p>
      <w:pPr>
        <w:jc w:val="right"/>
        <w:ind w:right="305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terms set forth in this Assignment and Assumption are hereby agreed to:</w:t>
      </w:r>
    </w:p>
    <w:p>
      <w:pPr>
        <w:spacing w:after="0" w:line="239" w:lineRule="exact"/>
        <w:rPr>
          <w:sz w:val="20"/>
          <w:szCs w:val="20"/>
          <w:color w:val="auto"/>
        </w:rPr>
      </w:pPr>
    </w:p>
    <w:p>
      <w:pPr>
        <w:ind w:left="4380"/>
        <w:spacing w:after="0"/>
        <w:rPr>
          <w:sz w:val="20"/>
          <w:szCs w:val="20"/>
          <w:color w:val="auto"/>
        </w:rPr>
      </w:pPr>
      <w:r>
        <w:rPr>
          <w:rFonts w:ascii="Arial" w:cs="Arial" w:eastAsia="Arial" w:hAnsi="Arial"/>
          <w:sz w:val="20"/>
          <w:szCs w:val="20"/>
          <w:u w:val="single" w:color="auto"/>
          <w:color w:val="auto"/>
        </w:rPr>
        <w:t>ASSIGNOR</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OF ASSIGNOR]</w:t>
      </w:r>
    </w:p>
    <w:p>
      <w:pPr>
        <w:spacing w:after="0" w:line="212"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-15875</wp:posOffset>
            </wp:positionV>
            <wp:extent cx="23990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39903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20"/>
          <w:szCs w:val="20"/>
          <w:color w:val="auto"/>
        </w:rPr>
        <w:t>Name:</w:t>
      </w:r>
    </w:p>
    <w:p>
      <w:pPr>
        <w:ind w:left="4380"/>
        <w:spacing w:after="0"/>
        <w:rPr>
          <w:sz w:val="20"/>
          <w:szCs w:val="20"/>
          <w:color w:val="auto"/>
        </w:rPr>
      </w:pPr>
      <w:r>
        <w:rPr>
          <w:rFonts w:ascii="Arial" w:cs="Arial" w:eastAsia="Arial" w:hAnsi="Arial"/>
          <w:sz w:val="20"/>
          <w:szCs w:val="20"/>
          <w:color w:val="auto"/>
        </w:rPr>
        <w:t>Title:</w:t>
      </w:r>
    </w:p>
    <w:p>
      <w:pPr>
        <w:spacing w:after="0" w:line="236" w:lineRule="exact"/>
        <w:rPr>
          <w:sz w:val="20"/>
          <w:szCs w:val="20"/>
          <w:color w:val="auto"/>
        </w:rPr>
      </w:pPr>
    </w:p>
    <w:p>
      <w:pPr>
        <w:ind w:left="4380"/>
        <w:spacing w:after="0"/>
        <w:rPr>
          <w:sz w:val="20"/>
          <w:szCs w:val="20"/>
          <w:color w:val="auto"/>
        </w:rPr>
      </w:pPr>
      <w:r>
        <w:rPr>
          <w:rFonts w:ascii="Arial" w:cs="Arial" w:eastAsia="Arial" w:hAnsi="Arial"/>
          <w:sz w:val="20"/>
          <w:szCs w:val="20"/>
          <w:u w:val="single" w:color="auto"/>
          <w:color w:val="auto"/>
        </w:rPr>
        <w:t>ASSIGNEE</w:t>
      </w:r>
    </w:p>
    <w:p>
      <w:pPr>
        <w:spacing w:after="0" w:line="65"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[NAME OF ASSIGNEE]</w:t>
      </w:r>
    </w:p>
    <w:p>
      <w:pPr>
        <w:spacing w:after="0" w:line="212"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-15875</wp:posOffset>
            </wp:positionV>
            <wp:extent cx="23990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9903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20"/>
          <w:szCs w:val="20"/>
          <w:color w:val="auto"/>
        </w:rPr>
        <w:t>Name:</w:t>
      </w:r>
    </w:p>
    <w:p>
      <w:pPr>
        <w:ind w:left="4380"/>
        <w:spacing w:after="0"/>
        <w:rPr>
          <w:sz w:val="20"/>
          <w:szCs w:val="20"/>
          <w:color w:val="auto"/>
        </w:rPr>
      </w:pPr>
      <w:r>
        <w:rPr>
          <w:rFonts w:ascii="Arial" w:cs="Arial" w:eastAsia="Arial" w:hAnsi="Arial"/>
          <w:sz w:val="20"/>
          <w:szCs w:val="20"/>
          <w:color w:val="auto"/>
        </w:rPr>
        <w:t>Title: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[Consented to and] Accepted: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BANK OF AMERICA, N.A., as</w:t>
      </w:r>
    </w:p>
    <w:p>
      <w:pPr>
        <w:ind w:left="80"/>
        <w:spacing w:after="0"/>
        <w:rPr>
          <w:sz w:val="20"/>
          <w:szCs w:val="20"/>
          <w:color w:val="auto"/>
        </w:rPr>
      </w:pPr>
      <w:r>
        <w:rPr>
          <w:rFonts w:ascii="Arial" w:cs="Arial" w:eastAsia="Arial" w:hAnsi="Arial"/>
          <w:sz w:val="20"/>
          <w:szCs w:val="20"/>
          <w:color w:val="auto"/>
        </w:rPr>
        <w:t>Administrative Agent</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-15875</wp:posOffset>
            </wp:positionV>
            <wp:extent cx="22739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2739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[Consented to:]</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REPUBLIC SERVICES, INC.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-15875</wp:posOffset>
            </wp:positionV>
            <wp:extent cx="22739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2739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131"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Exhibit D-1</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Form of Assignment and Assumption</w:t>
      </w:r>
    </w:p>
    <w:p>
      <w:pPr>
        <w:sectPr>
          <w:pgSz w:w="11900" w:h="16838" w:orient="portrait"/>
          <w:cols w:equalWidth="0" w:num="1">
            <w:col w:w="9979"/>
          </w:cols>
          <w:pgMar w:left="480" w:top="270" w:right="1440" w:bottom="1440" w:gutter="0" w:footer="0" w:header="0"/>
        </w:sectPr>
      </w:pPr>
    </w:p>
    <w:bookmarkStart w:id="130" w:name="page131"/>
    <w:bookmarkEnd w:id="130"/>
    <w:p>
      <w:pPr>
        <w:ind w:left="6700"/>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ANNEX 1 TO ASSIGNMENT AND ASSUMPTION</w:t>
      </w:r>
    </w:p>
    <w:p>
      <w:pPr>
        <w:spacing w:after="0" w:line="240" w:lineRule="exact"/>
        <w:rPr>
          <w:sz w:val="20"/>
          <w:szCs w:val="20"/>
          <w:color w:val="auto"/>
        </w:rPr>
      </w:pPr>
    </w:p>
    <w:p>
      <w:pPr>
        <w:jc w:val="center"/>
        <w:ind w:left="500" w:right="40"/>
        <w:spacing w:after="0" w:line="250" w:lineRule="auto"/>
        <w:rPr>
          <w:sz w:val="20"/>
          <w:szCs w:val="20"/>
          <w:color w:val="auto"/>
        </w:rPr>
      </w:pPr>
      <w:r>
        <w:rPr>
          <w:rFonts w:ascii="Arial" w:cs="Arial" w:eastAsia="Arial" w:hAnsi="Arial"/>
          <w:sz w:val="20"/>
          <w:szCs w:val="20"/>
          <w:b w:val="1"/>
          <w:bCs w:val="1"/>
          <w:color w:val="auto"/>
        </w:rPr>
        <w:t>Credit Agreement dated as of August 25, 2020, as amended, restated, extended, supplemented or otherwise modified in writing from time to time, by and among Republic Services, Inc., Bank of America, N.A., as Administrative Agent, and the Lenders party thereto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STANDARD TERMS AND CONDITIONS FOR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AND ASSUMPTION</w:t>
      </w:r>
    </w:p>
    <w:p>
      <w:pPr>
        <w:spacing w:after="0" w:line="196" w:lineRule="exact"/>
        <w:rPr>
          <w:sz w:val="20"/>
          <w:szCs w:val="20"/>
          <w:color w:val="auto"/>
        </w:rPr>
      </w:pPr>
    </w:p>
    <w:p>
      <w:pPr>
        <w:ind w:left="2100" w:hanging="351"/>
        <w:spacing w:after="0"/>
        <w:tabs>
          <w:tab w:leader="none" w:pos="210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06" w:lineRule="exact"/>
        <w:rPr>
          <w:sz w:val="20"/>
          <w:szCs w:val="20"/>
          <w:color w:val="auto"/>
        </w:rPr>
      </w:pPr>
    </w:p>
    <w:p>
      <w:pPr>
        <w:jc w:val="both"/>
        <w:ind w:firstLine="1748"/>
        <w:spacing w:after="0" w:line="29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xml:space="preserve">. </w:t>
      </w:r>
      <w:r>
        <w:rPr>
          <w:rFonts w:ascii="Arial" w:cs="Arial" w:eastAsia="Arial" w:hAnsi="Arial"/>
          <w:sz w:val="17"/>
          <w:szCs w:val="17"/>
          <w:b w:val="1"/>
          <w:bCs w:val="1"/>
          <w:color w:val="auto"/>
        </w:rPr>
        <w:t>[The][Each]</w:t>
      </w:r>
      <w:r>
        <w:rPr>
          <w:rFonts w:ascii="Arial" w:cs="Arial" w:eastAsia="Arial" w:hAnsi="Arial"/>
          <w:sz w:val="17"/>
          <w:szCs w:val="17"/>
          <w:color w:val="auto"/>
        </w:rPr>
        <w:t xml:space="preserve"> Assignor (a) represents and warrants that (i) it is the legal and beneficial owner of </w:t>
      </w:r>
      <w:r>
        <w:rPr>
          <w:rFonts w:ascii="Arial" w:cs="Arial" w:eastAsia="Arial" w:hAnsi="Arial"/>
          <w:sz w:val="17"/>
          <w:szCs w:val="17"/>
          <w:b w:val="1"/>
          <w:bCs w:val="1"/>
          <w:color w:val="auto"/>
        </w:rPr>
        <w:t xml:space="preserve">[the][the relevant] </w:t>
      </w:r>
      <w:r>
        <w:rPr>
          <w:rFonts w:ascii="Arial" w:cs="Arial" w:eastAsia="Arial" w:hAnsi="Arial"/>
          <w:sz w:val="17"/>
          <w:szCs w:val="17"/>
          <w:color w:val="auto"/>
        </w:rPr>
        <w:t>Assigned Interest, (ii)</w:t>
      </w:r>
      <w:r>
        <w:rPr>
          <w:rFonts w:ascii="Arial" w:cs="Arial" w:eastAsia="Arial" w:hAnsi="Arial"/>
          <w:sz w:val="17"/>
          <w:szCs w:val="17"/>
          <w:b w:val="1"/>
          <w:bCs w:val="1"/>
          <w:color w:val="auto"/>
        </w:rPr>
        <w:t xml:space="preserve"> [the][such] </w:t>
      </w:r>
      <w:r>
        <w:rPr>
          <w:rFonts w:ascii="Arial" w:cs="Arial" w:eastAsia="Arial" w:hAnsi="Arial"/>
          <w:sz w:val="17"/>
          <w:szCs w:val="17"/>
          <w:color w:val="auto"/>
        </w:rPr>
        <w:t>Assigned Interest is free and clear of any lien, encumbrance or other adverse claim,</w:t>
      </w:r>
    </w:p>
    <w:p>
      <w:pPr>
        <w:spacing w:after="0" w:line="2" w:lineRule="exact"/>
        <w:rPr>
          <w:sz w:val="20"/>
          <w:szCs w:val="20"/>
          <w:color w:val="auto"/>
        </w:rPr>
      </w:pPr>
    </w:p>
    <w:p>
      <w:pPr>
        <w:jc w:val="both"/>
        <w:ind w:firstLine="1"/>
        <w:spacing w:after="0" w:line="279" w:lineRule="auto"/>
        <w:tabs>
          <w:tab w:leader="none" w:pos="36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it has full power and authority, and has taken all action necessary, to execute and deliver this Assignment and Assumption and to consummate the transactions contemplated hereby and (iv) it is </w:t>
      </w:r>
      <w:r>
        <w:rPr>
          <w:rFonts w:ascii="Arial" w:cs="Arial" w:eastAsia="Arial" w:hAnsi="Arial"/>
          <w:sz w:val="17"/>
          <w:szCs w:val="17"/>
          <w:b w:val="1"/>
          <w:bCs w:val="1"/>
          <w:color w:val="auto"/>
        </w:rPr>
        <w:t>[not</w:t>
      </w:r>
      <w:r>
        <w:rPr>
          <w:rFonts w:ascii="Arial" w:cs="Arial" w:eastAsia="Arial" w:hAnsi="Arial"/>
          <w:sz w:val="17"/>
          <w:szCs w:val="17"/>
          <w:color w:val="auto"/>
        </w:rPr>
        <w:t>] a Defaulting Lender; and (b) assumes no responsibility with respect to (i) any statements, warranties or representations made in or in connection with the Credit Agreement or any other Loan Document,</w:t>
      </w:r>
    </w:p>
    <w:p>
      <w:pPr>
        <w:spacing w:after="0" w:line="1" w:lineRule="exact"/>
        <w:rPr>
          <w:rFonts w:ascii="Arial" w:cs="Arial" w:eastAsia="Arial" w:hAnsi="Arial"/>
          <w:sz w:val="17"/>
          <w:szCs w:val="17"/>
          <w:color w:val="auto"/>
        </w:rPr>
      </w:pPr>
    </w:p>
    <w:p>
      <w:pPr>
        <w:ind w:left="300" w:hanging="299"/>
        <w:spacing w:after="0"/>
        <w:tabs>
          <w:tab w:leader="none" w:pos="3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execution, legality, validity, enforceability, genuineness, sufficiency or value of the Loan Documents or any collateral thereunder,</w:t>
      </w:r>
    </w:p>
    <w:p>
      <w:pPr>
        <w:spacing w:after="0" w:line="32" w:lineRule="exact"/>
        <w:rPr>
          <w:rFonts w:ascii="Arial" w:cs="Arial" w:eastAsia="Arial" w:hAnsi="Arial"/>
          <w:sz w:val="17"/>
          <w:szCs w:val="17"/>
          <w:color w:val="auto"/>
        </w:rPr>
      </w:pPr>
    </w:p>
    <w:p>
      <w:pPr>
        <w:jc w:val="both"/>
        <w:ind w:firstLine="1"/>
        <w:spacing w:after="0" w:line="239" w:lineRule="auto"/>
        <w:tabs>
          <w:tab w:leader="none" w:pos="36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88" w:lineRule="exact"/>
        <w:rPr>
          <w:sz w:val="20"/>
          <w:szCs w:val="20"/>
          <w:color w:val="auto"/>
        </w:rPr>
      </w:pPr>
    </w:p>
    <w:p>
      <w:pPr>
        <w:jc w:val="both"/>
        <w:ind w:firstLine="1748"/>
        <w:spacing w:after="0" w:line="28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w:t>
      </w:r>
      <w:r>
        <w:rPr>
          <w:rFonts w:ascii="Arial" w:cs="Arial" w:eastAsia="Arial" w:hAnsi="Arial"/>
          <w:sz w:val="17"/>
          <w:szCs w:val="17"/>
          <w:color w:val="auto"/>
        </w:rPr>
        <w:t xml:space="preserve">. </w:t>
      </w:r>
      <w:r>
        <w:rPr>
          <w:rFonts w:ascii="Arial" w:cs="Arial" w:eastAsia="Arial" w:hAnsi="Arial"/>
          <w:sz w:val="17"/>
          <w:szCs w:val="17"/>
          <w:b w:val="1"/>
          <w:bCs w:val="1"/>
          <w:color w:val="auto"/>
        </w:rPr>
        <w:t>[The][Each]</w:t>
      </w:r>
      <w:r>
        <w:rPr>
          <w:rFonts w:ascii="Arial" w:cs="Arial" w:eastAsia="Arial" w:hAnsi="Arial"/>
          <w:sz w:val="17"/>
          <w:szCs w:val="17"/>
          <w:color w:val="auto"/>
        </w:rPr>
        <w:t xml:space="preserv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7"/>
          <w:szCs w:val="17"/>
          <w:u w:val="single" w:color="auto"/>
          <w:color w:val="auto"/>
        </w:rPr>
        <w:t>Section 10.06(b)(iii)</w:t>
      </w:r>
      <w:r>
        <w:rPr>
          <w:rFonts w:ascii="Arial" w:cs="Arial" w:eastAsia="Arial" w:hAnsi="Arial"/>
          <w:sz w:val="17"/>
          <w:szCs w:val="17"/>
          <w:color w:val="auto"/>
        </w:rPr>
        <w:t>,</w:t>
      </w:r>
    </w:p>
    <w:p>
      <w:pPr>
        <w:spacing w:after="0" w:line="1" w:lineRule="exact"/>
        <w:rPr>
          <w:sz w:val="20"/>
          <w:szCs w:val="20"/>
          <w:color w:val="auto"/>
        </w:rPr>
      </w:pPr>
    </w:p>
    <w:p>
      <w:pPr>
        <w:jc w:val="both"/>
        <w:ind w:firstLine="1"/>
        <w:spacing w:after="0" w:line="279" w:lineRule="auto"/>
        <w:tabs>
          <w:tab w:leader="none" w:pos="285" w:val="left"/>
        </w:tabs>
        <w:numPr>
          <w:ilvl w:val="0"/>
          <w:numId w:val="133"/>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of the Credit Agreement (subject to receipt of such consents as may be required under the Credit Agreement), (iii) from and after the Effective Date, it shall be bound by the provisions of the Credit Agreement as a Lender thereunder and, to the extent of </w:t>
      </w:r>
      <w:r>
        <w:rPr>
          <w:rFonts w:ascii="Arial" w:cs="Arial" w:eastAsia="Arial" w:hAnsi="Arial"/>
          <w:sz w:val="17"/>
          <w:szCs w:val="17"/>
          <w:b w:val="1"/>
          <w:bCs w:val="1"/>
          <w:color w:val="auto"/>
        </w:rPr>
        <w:t>[the][the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relevant] </w:t>
      </w:r>
      <w:r>
        <w:rPr>
          <w:rFonts w:ascii="Arial" w:cs="Arial" w:eastAsia="Arial" w:hAnsi="Arial"/>
          <w:sz w:val="17"/>
          <w:szCs w:val="17"/>
          <w:color w:val="auto"/>
        </w:rPr>
        <w:t>Assigned Interest, shall have the obligations of a Lender thereunder, (iv) it is sophisticated with respect to decisions to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assets of the type represented by </w:t>
      </w:r>
      <w:r>
        <w:rPr>
          <w:rFonts w:ascii="Arial" w:cs="Arial" w:eastAsia="Arial" w:hAnsi="Arial"/>
          <w:sz w:val="17"/>
          <w:szCs w:val="17"/>
          <w:b w:val="1"/>
          <w:bCs w:val="1"/>
          <w:color w:val="auto"/>
        </w:rPr>
        <w:t>[the][such]</w:t>
      </w:r>
      <w:r>
        <w:rPr>
          <w:rFonts w:ascii="Arial" w:cs="Arial" w:eastAsia="Arial" w:hAnsi="Arial"/>
          <w:sz w:val="17"/>
          <w:szCs w:val="17"/>
          <w:color w:val="auto"/>
        </w:rPr>
        <w:t xml:space="preserve"> Assigned Interest and either it, or the Person exercising discretion in making its decision to acquire </w:t>
      </w:r>
      <w:r>
        <w:rPr>
          <w:rFonts w:ascii="Arial" w:cs="Arial" w:eastAsia="Arial" w:hAnsi="Arial"/>
          <w:sz w:val="17"/>
          <w:szCs w:val="17"/>
          <w:b w:val="1"/>
          <w:bCs w:val="1"/>
          <w:color w:val="auto"/>
        </w:rPr>
        <w:t>[the][such]</w:t>
      </w:r>
      <w:r>
        <w:rPr>
          <w:rFonts w:ascii="Arial" w:cs="Arial" w:eastAsia="Arial" w:hAnsi="Arial"/>
          <w:sz w:val="17"/>
          <w:szCs w:val="17"/>
          <w:color w:val="auto"/>
        </w:rPr>
        <w:t xml:space="preserve"> Assigned Interest, is experienced in acquiring assets of such type, (v) it has received a copy of the Credit Agreement and has received or has been accorded the opportunity to receive copies of the most recent financial statements referred to in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thereof or delivered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thereof, as applicable, and such other documents and information as it deems appropriate to make its own credit analysis and decision to enter into this Assignment and Assumption and to purchase </w:t>
      </w:r>
      <w:r>
        <w:rPr>
          <w:rFonts w:ascii="Arial" w:cs="Arial" w:eastAsia="Arial" w:hAnsi="Arial"/>
          <w:sz w:val="17"/>
          <w:szCs w:val="17"/>
          <w:b w:val="1"/>
          <w:bCs w:val="1"/>
          <w:color w:val="auto"/>
        </w:rPr>
        <w:t>[the][such]</w:t>
      </w:r>
      <w:r>
        <w:rPr>
          <w:rFonts w:ascii="Arial" w:cs="Arial" w:eastAsia="Arial" w:hAnsi="Arial"/>
          <w:sz w:val="17"/>
          <w:szCs w:val="17"/>
          <w:color w:val="auto"/>
        </w:rPr>
        <w:t xml:space="preserve"> Assigned Interest,</w:t>
      </w:r>
    </w:p>
    <w:p>
      <w:pPr>
        <w:spacing w:after="0" w:line="3" w:lineRule="exact"/>
        <w:rPr>
          <w:rFonts w:ascii="Arial" w:cs="Arial" w:eastAsia="Arial" w:hAnsi="Arial"/>
          <w:sz w:val="17"/>
          <w:szCs w:val="17"/>
          <w:u w:val="single" w:color="auto"/>
          <w:color w:val="auto"/>
        </w:rPr>
      </w:pPr>
    </w:p>
    <w:p>
      <w:pPr>
        <w:jc w:val="both"/>
        <w:ind w:firstLine="1"/>
        <w:spacing w:after="0" w:line="279" w:lineRule="auto"/>
        <w:tabs>
          <w:tab w:leader="none" w:pos="33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it has independently and without reliance upon the Administrative Agent, </w:t>
      </w:r>
      <w:r>
        <w:rPr>
          <w:rFonts w:ascii="Arial" w:cs="Arial" w:eastAsia="Arial" w:hAnsi="Arial"/>
          <w:sz w:val="17"/>
          <w:szCs w:val="17"/>
          <w:b w:val="1"/>
          <w:bCs w:val="1"/>
          <w:color w:val="auto"/>
        </w:rPr>
        <w:t>[the][any]</w:t>
      </w:r>
      <w:r>
        <w:rPr>
          <w:rFonts w:ascii="Arial" w:cs="Arial" w:eastAsia="Arial" w:hAnsi="Arial"/>
          <w:sz w:val="17"/>
          <w:szCs w:val="17"/>
          <w:color w:val="auto"/>
        </w:rPr>
        <w:t xml:space="preserve"> Assignor or any other Lender and based on such documents and information as it has deemed appropriate, made its own credit analysis and decision to enter into this Assignment and Assumption and to purchase </w:t>
      </w:r>
      <w:r>
        <w:rPr>
          <w:rFonts w:ascii="Arial" w:cs="Arial" w:eastAsia="Arial" w:hAnsi="Arial"/>
          <w:sz w:val="17"/>
          <w:szCs w:val="17"/>
          <w:b w:val="1"/>
          <w:bCs w:val="1"/>
          <w:color w:val="auto"/>
        </w:rPr>
        <w:t>[the][such]</w:t>
      </w:r>
      <w:r>
        <w:rPr>
          <w:rFonts w:ascii="Arial" w:cs="Arial" w:eastAsia="Arial" w:hAnsi="Arial"/>
          <w:sz w:val="17"/>
          <w:szCs w:val="17"/>
          <w:color w:val="auto"/>
        </w:rPr>
        <w:t xml:space="preserve"> Assigned Interest, and (vii) if it is a Foreign Lender, attached hereto is any documentation required to be delivered by it pursuant to the terms of the Credit Agreement, duly completed and executed by </w:t>
      </w:r>
      <w:r>
        <w:rPr>
          <w:rFonts w:ascii="Arial" w:cs="Arial" w:eastAsia="Arial" w:hAnsi="Arial"/>
          <w:sz w:val="17"/>
          <w:szCs w:val="17"/>
          <w:b w:val="1"/>
          <w:bCs w:val="1"/>
          <w:color w:val="auto"/>
        </w:rPr>
        <w:t>[the][such]</w:t>
      </w:r>
      <w:r>
        <w:rPr>
          <w:rFonts w:ascii="Arial" w:cs="Arial" w:eastAsia="Arial" w:hAnsi="Arial"/>
          <w:sz w:val="17"/>
          <w:szCs w:val="17"/>
          <w:color w:val="auto"/>
        </w:rPr>
        <w:t xml:space="preserve"> Assignee; and</w:t>
      </w:r>
    </w:p>
    <w:p>
      <w:pPr>
        <w:spacing w:after="0" w:line="1" w:lineRule="exact"/>
        <w:rPr>
          <w:rFonts w:ascii="Arial" w:cs="Arial" w:eastAsia="Arial" w:hAnsi="Arial"/>
          <w:sz w:val="17"/>
          <w:szCs w:val="17"/>
          <w:color w:val="auto"/>
        </w:rPr>
      </w:pPr>
    </w:p>
    <w:p>
      <w:pPr>
        <w:jc w:val="both"/>
        <w:spacing w:after="0" w:line="238" w:lineRule="auto"/>
        <w:rPr>
          <w:rFonts w:ascii="Arial" w:cs="Arial" w:eastAsia="Arial" w:hAnsi="Arial"/>
          <w:sz w:val="17"/>
          <w:szCs w:val="17"/>
          <w:color w:val="auto"/>
        </w:rPr>
      </w:pPr>
      <w:r>
        <w:rPr>
          <w:rFonts w:ascii="Arial" w:cs="Arial" w:eastAsia="Arial" w:hAnsi="Arial"/>
          <w:sz w:val="20"/>
          <w:szCs w:val="20"/>
          <w:color w:val="auto"/>
        </w:rPr>
        <w:t xml:space="preserve">(b) agrees that (i) it will, independently and without reliance upon the Administrative Agent, </w:t>
      </w:r>
      <w:r>
        <w:rPr>
          <w:rFonts w:ascii="Arial" w:cs="Arial" w:eastAsia="Arial" w:hAnsi="Arial"/>
          <w:sz w:val="20"/>
          <w:szCs w:val="20"/>
          <w:b w:val="1"/>
          <w:bCs w:val="1"/>
          <w:color w:val="auto"/>
        </w:rPr>
        <w:t>[the][any]</w:t>
      </w:r>
      <w:r>
        <w:rPr>
          <w:rFonts w:ascii="Arial" w:cs="Arial" w:eastAsia="Arial" w:hAnsi="Arial"/>
          <w:sz w:val="20"/>
          <w:szCs w:val="20"/>
          <w:color w:val="auto"/>
        </w:rPr>
        <w:t xml:space="preserv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0920"/>
          </w:cols>
          <w:pgMar w:left="480" w:top="270" w:right="499" w:bottom="1440" w:gutter="0" w:footer="0" w:header="0"/>
        </w:sectPr>
      </w:pPr>
    </w:p>
    <w:bookmarkStart w:id="131" w:name="page132"/>
    <w:bookmarkEnd w:id="131"/>
    <w:p>
      <w:pPr>
        <w:jc w:val="both"/>
        <w:ind w:firstLine="1749"/>
        <w:spacing w:after="0" w:line="295" w:lineRule="auto"/>
        <w:tabs>
          <w:tab w:leader="none" w:pos="2145" w:val="left"/>
        </w:tabs>
        <w:numPr>
          <w:ilvl w:val="1"/>
          <w:numId w:val="13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Payments</w:t>
      </w:r>
      <w:r>
        <w:rPr>
          <w:rFonts w:ascii="Arial" w:cs="Arial" w:eastAsia="Arial" w:hAnsi="Arial"/>
          <w:sz w:val="17"/>
          <w:szCs w:val="17"/>
          <w:color w:val="auto"/>
        </w:rPr>
        <w:t xml:space="preserve">. From and after the Effective Date, the Administrative Agent shall make all payments in respect of </w:t>
      </w:r>
      <w:r>
        <w:rPr>
          <w:rFonts w:ascii="Arial" w:cs="Arial" w:eastAsia="Arial" w:hAnsi="Arial"/>
          <w:sz w:val="17"/>
          <w:szCs w:val="17"/>
          <w:b w:val="1"/>
          <w:bCs w:val="1"/>
          <w:color w:val="auto"/>
        </w:rPr>
        <w:t xml:space="preserve">[the][each] </w:t>
      </w:r>
      <w:r>
        <w:rPr>
          <w:rFonts w:ascii="Arial" w:cs="Arial" w:eastAsia="Arial" w:hAnsi="Arial"/>
          <w:sz w:val="17"/>
          <w:szCs w:val="17"/>
          <w:color w:val="auto"/>
        </w:rPr>
        <w:t>Assigned Interest (including payments of principal, interest, fees and other amounts) to</w:t>
      </w:r>
      <w:r>
        <w:rPr>
          <w:rFonts w:ascii="Arial" w:cs="Arial" w:eastAsia="Arial" w:hAnsi="Arial"/>
          <w:sz w:val="17"/>
          <w:szCs w:val="17"/>
          <w:b w:val="1"/>
          <w:bCs w:val="1"/>
          <w:color w:val="auto"/>
        </w:rPr>
        <w:t xml:space="preserve"> [the][the relevant] </w:t>
      </w:r>
      <w:r>
        <w:rPr>
          <w:rFonts w:ascii="Arial" w:cs="Arial" w:eastAsia="Arial" w:hAnsi="Arial"/>
          <w:sz w:val="17"/>
          <w:szCs w:val="17"/>
          <w:color w:val="auto"/>
        </w:rPr>
        <w:t>Assignor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amounts which have accrued to but excluding the Effective Date and to </w:t>
      </w:r>
      <w:r>
        <w:rPr>
          <w:rFonts w:ascii="Arial" w:cs="Arial" w:eastAsia="Arial" w:hAnsi="Arial"/>
          <w:sz w:val="17"/>
          <w:szCs w:val="17"/>
          <w:b w:val="1"/>
          <w:bCs w:val="1"/>
          <w:color w:val="auto"/>
        </w:rPr>
        <w:t>[the][the relevant]</w:t>
      </w:r>
      <w:r>
        <w:rPr>
          <w:rFonts w:ascii="Arial" w:cs="Arial" w:eastAsia="Arial" w:hAnsi="Arial"/>
          <w:sz w:val="17"/>
          <w:szCs w:val="17"/>
          <w:color w:val="auto"/>
        </w:rPr>
        <w:t xml:space="preserve"> Assignee for amounts which have accrued from and after the Effective Date. Notwithstanding the foregoing, the Administrative Agent shall make all payments of interest, fees or other amounts paid or payable in kind from and after the Effective Date to </w:t>
      </w:r>
      <w:r>
        <w:rPr>
          <w:rFonts w:ascii="Arial" w:cs="Arial" w:eastAsia="Arial" w:hAnsi="Arial"/>
          <w:sz w:val="17"/>
          <w:szCs w:val="17"/>
          <w:b w:val="1"/>
          <w:bCs w:val="1"/>
          <w:color w:val="auto"/>
        </w:rPr>
        <w:t>[the][the relevant]</w:t>
      </w:r>
      <w:r>
        <w:rPr>
          <w:rFonts w:ascii="Arial" w:cs="Arial" w:eastAsia="Arial" w:hAnsi="Arial"/>
          <w:sz w:val="17"/>
          <w:szCs w:val="17"/>
          <w:color w:val="auto"/>
        </w:rPr>
        <w:t xml:space="preserve"> Assignee.</w:t>
      </w:r>
    </w:p>
    <w:p>
      <w:pPr>
        <w:spacing w:after="0" w:line="150" w:lineRule="exact"/>
        <w:rPr>
          <w:rFonts w:ascii="Arial" w:cs="Arial" w:eastAsia="Arial" w:hAnsi="Arial"/>
          <w:sz w:val="17"/>
          <w:szCs w:val="17"/>
          <w:color w:val="auto"/>
        </w:rPr>
      </w:pPr>
    </w:p>
    <w:p>
      <w:pPr>
        <w:jc w:val="both"/>
        <w:ind w:firstLine="875"/>
        <w:spacing w:after="0" w:line="295" w:lineRule="auto"/>
        <w:tabs>
          <w:tab w:leader="none" w:pos="1231"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Assumption</w:t>
      </w:r>
    </w:p>
    <w:p>
      <w:pPr>
        <w:sectPr>
          <w:pgSz w:w="11900" w:h="16838" w:orient="portrait"/>
          <w:cols w:equalWidth="0" w:num="1">
            <w:col w:w="10920"/>
          </w:cols>
          <w:pgMar w:left="480" w:top="270" w:right="49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D-2</w:t>
      </w:r>
    </w:p>
    <w:p>
      <w:pPr>
        <w:spacing w:after="0" w:line="212"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auto"/>
        </w:rPr>
        <w:t>FORM OF ADMINISTRATIVE QUESTIONNAIRE</w:t>
      </w:r>
    </w:p>
    <w:p>
      <w:pPr>
        <w:spacing w:after="0" w:line="325" w:lineRule="exact"/>
        <w:rPr>
          <w:sz w:val="20"/>
          <w:szCs w:val="20"/>
          <w:color w:val="auto"/>
        </w:rPr>
      </w:pPr>
    </w:p>
    <w:p>
      <w:pPr>
        <w:jc w:val="center"/>
        <w:ind w:right="960"/>
        <w:spacing w:after="0"/>
        <w:rPr>
          <w:sz w:val="20"/>
          <w:szCs w:val="20"/>
          <w:color w:val="auto"/>
        </w:rPr>
      </w:pPr>
      <w:r>
        <w:rPr>
          <w:rFonts w:ascii="Arial" w:cs="Arial" w:eastAsia="Arial" w:hAnsi="Arial"/>
          <w:sz w:val="20"/>
          <w:szCs w:val="20"/>
          <w:color w:val="auto"/>
        </w:rPr>
        <w:t>See attached.</w:t>
      </w:r>
    </w:p>
    <w:p>
      <w:pPr>
        <w:spacing w:after="0" w:line="14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Exhibit D-2</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Form of Administrative Questionnaire</w:t>
      </w:r>
    </w:p>
    <w:p>
      <w:pPr>
        <w:sectPr>
          <w:pgSz w:w="11900" w:h="16838" w:orient="portrait"/>
          <w:cols w:equalWidth="0" w:num="1">
            <w:col w:w="9960"/>
          </w:cols>
          <w:pgMar w:left="1440" w:top="264" w:right="49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10115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940"/>
        <w:spacing w:after="0"/>
        <w:rPr>
          <w:sz w:val="20"/>
          <w:szCs w:val="20"/>
          <w:color w:val="auto"/>
        </w:rPr>
      </w:pPr>
      <w:r>
        <w:rPr>
          <w:rFonts w:ascii="Arial" w:cs="Arial" w:eastAsia="Arial" w:hAnsi="Arial"/>
          <w:sz w:val="32"/>
          <w:szCs w:val="32"/>
          <w:b w:val="1"/>
          <w:bCs w:val="1"/>
          <w:color w:val="auto"/>
        </w:rPr>
        <w:t>LSTA/LMA Standard Administrative Details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0" w:right="199"/>
        <w:spacing w:after="0" w:line="262" w:lineRule="auto"/>
        <w:rPr>
          <w:sz w:val="20"/>
          <w:szCs w:val="20"/>
          <w:color w:val="auto"/>
        </w:rPr>
      </w:pPr>
      <w:r>
        <w:rPr>
          <w:rFonts w:ascii="Arial" w:cs="Arial" w:eastAsia="Arial" w:hAnsi="Arial"/>
          <w:sz w:val="18"/>
          <w:szCs w:val="18"/>
          <w:b w:val="1"/>
          <w:bCs w:val="1"/>
          <w:color w:val="auto"/>
        </w:rPr>
        <w:t>The Loan Market Association (“LMA”) and Loan Syndications &amp; Trading Association (“LSTA”) consent to the use and reproduction of this document for the preparation and documentation of agreements relating to transactions or potential transactions in the loan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-426720</wp:posOffset>
            </wp:positionV>
            <wp:extent cx="6384925" cy="8756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84925" cy="875665"/>
                    </a:xfrm>
                    <a:prstGeom prst="rect">
                      <a:avLst/>
                    </a:prstGeom>
                    <a:noFill/>
                  </pic:spPr>
                </pic:pic>
              </a:graphicData>
            </a:graphic>
          </wp:anchor>
        </w:drawing>
      </w:r>
    </w:p>
    <w:p>
      <w:pPr>
        <w:spacing w:after="0" w:line="30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Loan Market Association, Loan Syndications &amp; Trading Association. All rights reserved.</w:t>
      </w:r>
    </w:p>
    <w:p>
      <w:pPr>
        <w:spacing w:after="0" w:line="140" w:lineRule="exact"/>
        <w:rPr>
          <w:sz w:val="20"/>
          <w:szCs w:val="20"/>
          <w:color w:val="auto"/>
        </w:rPr>
      </w:pPr>
    </w:p>
    <w:p>
      <w:pPr>
        <w:ind w:left="2180"/>
        <w:spacing w:after="0"/>
        <w:rPr>
          <w:sz w:val="20"/>
          <w:szCs w:val="20"/>
          <w:color w:val="auto"/>
        </w:rPr>
      </w:pPr>
      <w:r>
        <w:rPr>
          <w:rFonts w:ascii="Arial" w:cs="Arial" w:eastAsia="Arial" w:hAnsi="Arial"/>
          <w:sz w:val="32"/>
          <w:szCs w:val="32"/>
          <w:color w:val="auto"/>
        </w:rPr>
        <w:t>LSTA/LMA Standard Administrative Details Form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LSTA and LMA, Effective May 31, 2018</w:t>
      </w:r>
    </w:p>
    <w:p>
      <w:pPr>
        <w:sectPr>
          <w:pgSz w:w="11900" w:h="16838" w:orient="portrait"/>
          <w:cols w:equalWidth="0" w:num="1">
            <w:col w:w="9979"/>
          </w:cols>
          <w:pgMar w:left="480" w:top="1440" w:right="1440" w:bottom="1440" w:gutter="0" w:footer="0" w:header="0"/>
        </w:sectPr>
      </w:pPr>
    </w:p>
    <w:bookmarkStart w:id="134" w:name="page135"/>
    <w:bookmarkEnd w:id="134"/>
    <w:p>
      <w:pPr>
        <w:ind w:left="16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page">
              <wp:posOffset>309880</wp:posOffset>
            </wp:positionH>
            <wp:positionV relativeFrom="page">
              <wp:posOffset>182245</wp:posOffset>
            </wp:positionV>
            <wp:extent cx="6946265" cy="4762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46265" cy="476250"/>
                    </a:xfrm>
                    <a:prstGeom prst="rect">
                      <a:avLst/>
                    </a:prstGeom>
                    <a:noFill/>
                  </pic:spPr>
                </pic:pic>
              </a:graphicData>
            </a:graphic>
          </wp:anchor>
        </w:drawing>
        <w:t>BORROWER DETAILS</w:t>
      </w:r>
    </w:p>
    <w:p>
      <w:pPr>
        <w:sectPr>
          <w:pgSz w:w="11900" w:h="16838" w:orient="portrait"/>
          <w:cols w:equalWidth="0" w:num="1">
            <w:col w:w="10940"/>
          </w:cols>
          <w:pgMar w:left="480" w:top="335" w:right="479" w:bottom="1440" w:gutter="0" w:footer="0" w:header="0"/>
        </w:sectPr>
      </w:pP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Borrower Name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Republic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-1111885</wp:posOffset>
            </wp:positionH>
            <wp:positionV relativeFrom="paragraph">
              <wp:posOffset>240665</wp:posOffset>
            </wp:positionV>
            <wp:extent cx="6946265" cy="229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46265" cy="229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200"/>
            <w:col w:w="9180"/>
          </w:cols>
          <w:pgMar w:left="480" w:top="335" w:right="479" w:bottom="1440" w:gutter="0" w:footer="0" w:header="0"/>
          <w:type w:val="continuous"/>
        </w:sectPr>
      </w:pPr>
    </w:p>
    <w:p>
      <w:pPr>
        <w:spacing w:after="0" w:line="223"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FFFFFF"/>
        </w:rPr>
        <w:t>ENTITY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6943090</wp:posOffset>
            </wp:positionH>
            <wp:positionV relativeFrom="paragraph">
              <wp:posOffset>55245</wp:posOffset>
            </wp:positionV>
            <wp:extent cx="825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825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720" w:type="dxa"/>
            <w:vAlign w:val="bottom"/>
            <w:tcBorders>
              <w:top w:val="single" w:sz="8" w:color="auto"/>
              <w:left w:val="single" w:sz="8" w:color="auto"/>
              <w:bottom w:val="single" w:sz="8" w:color="auto"/>
              <w:right w:val="single" w:sz="8" w:color="D3D3D3"/>
            </w:tcBorders>
            <w:shd w:val="clear" w:color="auto" w:fill="D3D3D3"/>
          </w:tcPr>
          <w:p>
            <w:pPr>
              <w:spacing w:after="0"/>
              <w:rPr>
                <w:sz w:val="24"/>
                <w:szCs w:val="24"/>
                <w:color w:val="auto"/>
              </w:rPr>
            </w:pPr>
          </w:p>
        </w:tc>
        <w:tc>
          <w:tcPr>
            <w:tcW w:w="720" w:type="dxa"/>
            <w:vAlign w:val="bottom"/>
            <w:tcBorders>
              <w:top w:val="single" w:sz="8" w:color="auto"/>
              <w:bottom w:val="single" w:sz="8" w:color="auto"/>
              <w:right w:val="single" w:sz="8" w:color="D3D3D3"/>
            </w:tcBorders>
            <w:shd w:val="clear" w:color="auto" w:fill="D3D3D3"/>
          </w:tcPr>
          <w:p>
            <w:pPr>
              <w:jc w:val="right"/>
              <w:spacing w:after="0"/>
              <w:rPr>
                <w:sz w:val="20"/>
                <w:szCs w:val="20"/>
                <w:color w:val="auto"/>
              </w:rPr>
            </w:pPr>
            <w:r>
              <w:rPr>
                <w:rFonts w:ascii="Arial" w:cs="Arial" w:eastAsia="Arial" w:hAnsi="Arial"/>
                <w:sz w:val="20"/>
                <w:szCs w:val="20"/>
                <w:b w:val="1"/>
                <w:bCs w:val="1"/>
                <w:color w:val="auto"/>
              </w:rPr>
              <w:t>Name</w:t>
            </w:r>
          </w:p>
        </w:tc>
        <w:tc>
          <w:tcPr>
            <w:tcW w:w="5800" w:type="dxa"/>
            <w:vAlign w:val="bottom"/>
            <w:tcBorders>
              <w:top w:val="single" w:sz="8" w:color="auto"/>
              <w:left w:val="single" w:sz="8" w:color="auto"/>
              <w:bottom w:val="single" w:sz="8" w:color="auto"/>
            </w:tcBorders>
            <w:gridSpan w:val="12"/>
          </w:tcPr>
          <w:p>
            <w:pPr>
              <w:ind w:left="120"/>
              <w:spacing w:after="0"/>
              <w:rPr>
                <w:sz w:val="20"/>
                <w:szCs w:val="20"/>
                <w:color w:val="auto"/>
              </w:rPr>
            </w:pPr>
            <w:r>
              <w:rPr>
                <w:rFonts w:ascii="Arial" w:cs="Arial" w:eastAsia="Arial" w:hAnsi="Arial"/>
                <w:sz w:val="20"/>
                <w:szCs w:val="20"/>
                <w:i w:val="1"/>
                <w:iCs w:val="1"/>
                <w:color w:val="808080"/>
              </w:rPr>
              <w:t>Lender’s name as it appears on tax/registration documentation.</w:t>
            </w:r>
          </w:p>
        </w:tc>
        <w:tc>
          <w:tcPr>
            <w:tcW w:w="2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right w:val="single" w:sz="8" w:color="auto"/>
            </w:tcBorders>
          </w:tcPr>
          <w:p>
            <w:pPr>
              <w:spacing w:after="0"/>
              <w:rPr>
                <w:sz w:val="24"/>
                <w:szCs w:val="24"/>
                <w:color w:val="auto"/>
              </w:rPr>
            </w:pPr>
          </w:p>
        </w:tc>
        <w:tc>
          <w:tcPr>
            <w:tcW w:w="160" w:type="dxa"/>
            <w:vAlign w:val="bottom"/>
            <w:tcBorders>
              <w:top w:val="single" w:sz="8" w:color="auto"/>
              <w:bottom w:val="single" w:sz="8" w:color="auto"/>
              <w:right w:val="single" w:sz="8" w:color="D3D3D3"/>
            </w:tcBorders>
            <w:shd w:val="clear" w:color="auto" w:fill="D3D3D3"/>
          </w:tcPr>
          <w:p>
            <w:pPr>
              <w:spacing w:after="0"/>
              <w:rPr>
                <w:sz w:val="24"/>
                <w:szCs w:val="24"/>
                <w:color w:val="auto"/>
              </w:rPr>
            </w:pPr>
          </w:p>
        </w:tc>
        <w:tc>
          <w:tcPr>
            <w:tcW w:w="500" w:type="dxa"/>
            <w:vAlign w:val="bottom"/>
            <w:tcBorders>
              <w:top w:val="single" w:sz="8" w:color="auto"/>
              <w:bottom w:val="single" w:sz="8" w:color="auto"/>
              <w:right w:val="single" w:sz="8" w:color="auto"/>
            </w:tcBorders>
            <w:gridSpan w:val="2"/>
            <w:shd w:val="clear" w:color="auto" w:fill="D3D3D3"/>
          </w:tcPr>
          <w:p>
            <w:pPr>
              <w:spacing w:after="0"/>
              <w:rPr>
                <w:sz w:val="20"/>
                <w:szCs w:val="20"/>
                <w:color w:val="auto"/>
              </w:rPr>
            </w:pPr>
            <w:r>
              <w:rPr>
                <w:rFonts w:ascii="Arial" w:cs="Arial" w:eastAsia="Arial" w:hAnsi="Arial"/>
                <w:sz w:val="20"/>
                <w:szCs w:val="20"/>
                <w:b w:val="1"/>
                <w:bCs w:val="1"/>
                <w:color w:val="auto"/>
              </w:rPr>
              <w:t>MEI</w:t>
            </w:r>
          </w:p>
        </w:tc>
        <w:tc>
          <w:tcPr>
            <w:tcW w:w="40" w:type="dxa"/>
            <w:vAlign w:val="bottom"/>
            <w:tcBorders>
              <w:top w:val="single" w:sz="8" w:color="auto"/>
              <w:bottom w:val="single" w:sz="8" w:color="auto"/>
            </w:tcBorders>
          </w:tcPr>
          <w:p>
            <w:pPr>
              <w:spacing w:after="0"/>
              <w:rPr>
                <w:sz w:val="24"/>
                <w:szCs w:val="24"/>
                <w:color w:val="auto"/>
              </w:rPr>
            </w:pPr>
          </w:p>
        </w:tc>
        <w:tc>
          <w:tcPr>
            <w:tcW w:w="21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i w:val="1"/>
                <w:iCs w:val="1"/>
                <w:color w:val="808080"/>
              </w:rPr>
              <w:t>Markit Entity ID</w:t>
            </w:r>
          </w:p>
        </w:tc>
        <w:tc>
          <w:tcPr>
            <w:tcW w:w="0" w:type="dxa"/>
            <w:vAlign w:val="bottom"/>
          </w:tcPr>
          <w:p>
            <w:pPr>
              <w:spacing w:after="0"/>
              <w:rPr>
                <w:sz w:val="1"/>
                <w:szCs w:val="1"/>
                <w:color w:val="auto"/>
              </w:rPr>
            </w:pPr>
          </w:p>
        </w:tc>
      </w:tr>
      <w:tr>
        <w:trPr>
          <w:trHeight w:val="211"/>
        </w:trPr>
        <w:tc>
          <w:tcPr>
            <w:tcW w:w="720" w:type="dxa"/>
            <w:vAlign w:val="bottom"/>
            <w:tcBorders>
              <w:left w:val="single" w:sz="8" w:color="auto"/>
              <w:right w:val="single" w:sz="8" w:color="D3D3D3"/>
            </w:tcBorders>
            <w:shd w:val="clear" w:color="auto" w:fill="D3D3D3"/>
          </w:tcPr>
          <w:p>
            <w:pPr>
              <w:spacing w:after="0"/>
              <w:rPr>
                <w:sz w:val="18"/>
                <w:szCs w:val="18"/>
                <w:color w:val="auto"/>
              </w:rPr>
            </w:pPr>
          </w:p>
        </w:tc>
        <w:tc>
          <w:tcPr>
            <w:tcW w:w="720" w:type="dxa"/>
            <w:vAlign w:val="bottom"/>
            <w:tcBorders>
              <w:right w:val="single" w:sz="8" w:color="D3D3D3"/>
            </w:tcBorders>
            <w:vMerge w:val="restart"/>
            <w:shd w:val="clear" w:color="auto" w:fill="D3D3D3"/>
          </w:tcPr>
          <w:p>
            <w:pPr>
              <w:jc w:val="right"/>
              <w:spacing w:after="0"/>
              <w:rPr>
                <w:sz w:val="20"/>
                <w:szCs w:val="20"/>
                <w:color w:val="auto"/>
              </w:rPr>
            </w:pPr>
            <w:r>
              <w:rPr>
                <w:rFonts w:ascii="Arial" w:cs="Arial" w:eastAsia="Arial" w:hAnsi="Arial"/>
                <w:sz w:val="20"/>
                <w:szCs w:val="20"/>
                <w:b w:val="1"/>
                <w:bCs w:val="1"/>
                <w:color w:val="auto"/>
              </w:rPr>
              <w:t>GIIN</w:t>
            </w:r>
          </w:p>
        </w:tc>
        <w:tc>
          <w:tcPr>
            <w:tcW w:w="2660" w:type="dxa"/>
            <w:vAlign w:val="bottom"/>
            <w:tcBorders>
              <w:left w:val="single" w:sz="8" w:color="auto"/>
              <w:right w:val="single" w:sz="8" w:color="auto"/>
            </w:tcBorders>
            <w:gridSpan w:val="5"/>
          </w:tcPr>
          <w:p>
            <w:pPr>
              <w:ind w:left="120"/>
              <w:spacing w:after="0" w:line="210" w:lineRule="exact"/>
              <w:rPr>
                <w:sz w:val="20"/>
                <w:szCs w:val="20"/>
                <w:color w:val="auto"/>
              </w:rPr>
            </w:pPr>
            <w:r>
              <w:rPr>
                <w:rFonts w:ascii="Arial" w:cs="Arial" w:eastAsia="Arial" w:hAnsi="Arial"/>
                <w:sz w:val="20"/>
                <w:szCs w:val="20"/>
                <w:i w:val="1"/>
                <w:iCs w:val="1"/>
                <w:color w:val="808080"/>
              </w:rPr>
              <w:t>FATCA Global Intermediary</w:t>
            </w:r>
          </w:p>
        </w:tc>
        <w:tc>
          <w:tcPr>
            <w:tcW w:w="780" w:type="dxa"/>
            <w:vAlign w:val="bottom"/>
            <w:tcBorders>
              <w:right w:val="single" w:sz="8" w:color="auto"/>
            </w:tcBorders>
            <w:gridSpan w:val="3"/>
            <w:vMerge w:val="restart"/>
            <w:shd w:val="clear" w:color="auto" w:fill="D3D3D3"/>
          </w:tcPr>
          <w:p>
            <w:pPr>
              <w:ind w:left="140"/>
              <w:spacing w:after="0"/>
              <w:rPr>
                <w:sz w:val="20"/>
                <w:szCs w:val="20"/>
                <w:color w:val="auto"/>
              </w:rPr>
            </w:pPr>
            <w:r>
              <w:rPr>
                <w:rFonts w:ascii="Arial" w:cs="Arial" w:eastAsia="Arial" w:hAnsi="Arial"/>
                <w:sz w:val="20"/>
                <w:szCs w:val="20"/>
                <w:b w:val="1"/>
                <w:bCs w:val="1"/>
                <w:color w:val="auto"/>
              </w:rPr>
              <w:t>CRN</w:t>
            </w:r>
          </w:p>
        </w:tc>
        <w:tc>
          <w:tcPr>
            <w:tcW w:w="2360" w:type="dxa"/>
            <w:vAlign w:val="bottom"/>
            <w:gridSpan w:val="4"/>
            <w:vMerge w:val="restart"/>
          </w:tcPr>
          <w:p>
            <w:pPr>
              <w:ind w:left="80"/>
              <w:spacing w:after="0"/>
              <w:rPr>
                <w:sz w:val="20"/>
                <w:szCs w:val="20"/>
                <w:color w:val="auto"/>
              </w:rPr>
            </w:pPr>
            <w:r>
              <w:rPr>
                <w:rFonts w:ascii="Arial" w:cs="Arial" w:eastAsia="Arial" w:hAnsi="Arial"/>
                <w:sz w:val="20"/>
                <w:szCs w:val="20"/>
                <w:i w:val="1"/>
                <w:iCs w:val="1"/>
                <w:color w:val="808080"/>
                <w:w w:val="96"/>
              </w:rPr>
              <w:t>UK Company Registration</w:t>
            </w:r>
          </w:p>
        </w:tc>
        <w:tc>
          <w:tcPr>
            <w:tcW w:w="2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vMerge w:val="restart"/>
            <w:shd w:val="clear" w:color="auto" w:fill="D3D3D3"/>
          </w:tcPr>
          <w:p>
            <w:pPr>
              <w:ind w:left="140"/>
              <w:spacing w:after="0"/>
              <w:rPr>
                <w:sz w:val="20"/>
                <w:szCs w:val="20"/>
                <w:color w:val="auto"/>
              </w:rPr>
            </w:pPr>
            <w:r>
              <w:rPr>
                <w:rFonts w:ascii="Arial" w:cs="Arial" w:eastAsia="Arial" w:hAnsi="Arial"/>
                <w:sz w:val="20"/>
                <w:szCs w:val="20"/>
                <w:b w:val="1"/>
                <w:bCs w:val="1"/>
                <w:color w:val="auto"/>
              </w:rPr>
              <w:t>LEI</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720" w:type="dxa"/>
            <w:vAlign w:val="bottom"/>
            <w:tcBorders>
              <w:left w:val="single" w:sz="8" w:color="auto"/>
              <w:right w:val="single" w:sz="8" w:color="D3D3D3"/>
            </w:tcBorders>
            <w:shd w:val="clear" w:color="auto" w:fill="D3D3D3"/>
          </w:tcPr>
          <w:p>
            <w:pPr>
              <w:spacing w:after="0"/>
              <w:rPr>
                <w:sz w:val="9"/>
                <w:szCs w:val="9"/>
                <w:color w:val="auto"/>
              </w:rPr>
            </w:pPr>
          </w:p>
        </w:tc>
        <w:tc>
          <w:tcPr>
            <w:tcW w:w="720" w:type="dxa"/>
            <w:vAlign w:val="bottom"/>
            <w:tcBorders>
              <w:right w:val="single" w:sz="8" w:color="D3D3D3"/>
            </w:tcBorders>
            <w:vMerge w:val="continue"/>
            <w:shd w:val="clear" w:color="auto" w:fill="D3D3D3"/>
          </w:tcPr>
          <w:p>
            <w:pPr>
              <w:spacing w:after="0"/>
              <w:rPr>
                <w:sz w:val="9"/>
                <w:szCs w:val="9"/>
                <w:color w:val="auto"/>
              </w:rPr>
            </w:pPr>
          </w:p>
        </w:tc>
        <w:tc>
          <w:tcPr>
            <w:tcW w:w="1860" w:type="dxa"/>
            <w:vAlign w:val="bottom"/>
            <w:tcBorders>
              <w:left w:val="single" w:sz="8" w:color="auto"/>
            </w:tcBorders>
            <w:gridSpan w:val="4"/>
            <w:vMerge w:val="restart"/>
          </w:tcPr>
          <w:p>
            <w:pPr>
              <w:ind w:left="120"/>
              <w:spacing w:after="0" w:line="228" w:lineRule="exact"/>
              <w:rPr>
                <w:sz w:val="20"/>
                <w:szCs w:val="20"/>
                <w:color w:val="auto"/>
              </w:rPr>
            </w:pPr>
            <w:r>
              <w:rPr>
                <w:rFonts w:ascii="Arial" w:cs="Arial" w:eastAsia="Arial" w:hAnsi="Arial"/>
                <w:sz w:val="20"/>
                <w:szCs w:val="20"/>
                <w:i w:val="1"/>
                <w:iCs w:val="1"/>
                <w:color w:val="808080"/>
                <w:w w:val="90"/>
              </w:rPr>
              <w:t>Identification Number</w:t>
            </w:r>
          </w:p>
        </w:tc>
        <w:tc>
          <w:tcPr>
            <w:tcW w:w="80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gridSpan w:val="3"/>
            <w:vMerge w:val="continue"/>
            <w:shd w:val="clear" w:color="auto" w:fill="D3D3D3"/>
          </w:tcPr>
          <w:p>
            <w:pPr>
              <w:spacing w:after="0"/>
              <w:rPr>
                <w:sz w:val="9"/>
                <w:szCs w:val="9"/>
                <w:color w:val="auto"/>
              </w:rPr>
            </w:pPr>
          </w:p>
        </w:tc>
        <w:tc>
          <w:tcPr>
            <w:tcW w:w="2360" w:type="dxa"/>
            <w:vAlign w:val="bottom"/>
            <w:gridSpan w:val="4"/>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640" w:type="dxa"/>
            <w:vAlign w:val="bottom"/>
            <w:tcBorders>
              <w:right w:val="single" w:sz="8" w:color="auto"/>
            </w:tcBorders>
            <w:vMerge w:val="continue"/>
            <w:shd w:val="clear" w:color="auto" w:fill="D3D3D3"/>
          </w:tcPr>
          <w:p>
            <w:pPr>
              <w:spacing w:after="0"/>
              <w:rPr>
                <w:sz w:val="9"/>
                <w:szCs w:val="9"/>
                <w:color w:val="auto"/>
              </w:rPr>
            </w:pPr>
          </w:p>
        </w:tc>
        <w:tc>
          <w:tcPr>
            <w:tcW w:w="2820" w:type="dxa"/>
            <w:vAlign w:val="bottom"/>
            <w:tcBorders>
              <w:right w:val="single" w:sz="8" w:color="auto"/>
            </w:tcBorders>
            <w:gridSpan w:val="6"/>
            <w:vMerge w:val="restart"/>
          </w:tcPr>
          <w:p>
            <w:pPr>
              <w:ind w:left="80"/>
              <w:spacing w:after="0" w:line="228" w:lineRule="exact"/>
              <w:rPr>
                <w:sz w:val="20"/>
                <w:szCs w:val="20"/>
                <w:color w:val="auto"/>
              </w:rPr>
            </w:pPr>
            <w:r>
              <w:rPr>
                <w:rFonts w:ascii="Arial" w:cs="Arial" w:eastAsia="Arial" w:hAnsi="Arial"/>
                <w:sz w:val="20"/>
                <w:szCs w:val="20"/>
                <w:i w:val="1"/>
                <w:iCs w:val="1"/>
                <w:color w:val="808080"/>
              </w:rPr>
              <w:t>Legal Entity ID (Optional)</w:t>
            </w:r>
          </w:p>
        </w:tc>
        <w:tc>
          <w:tcPr>
            <w:tcW w:w="0" w:type="dxa"/>
            <w:vAlign w:val="bottom"/>
          </w:tcPr>
          <w:p>
            <w:pPr>
              <w:spacing w:after="0"/>
              <w:rPr>
                <w:sz w:val="1"/>
                <w:szCs w:val="1"/>
                <w:color w:val="auto"/>
              </w:rPr>
            </w:pPr>
          </w:p>
        </w:tc>
      </w:tr>
      <w:tr>
        <w:trPr>
          <w:trHeight w:val="121"/>
        </w:trPr>
        <w:tc>
          <w:tcPr>
            <w:tcW w:w="720" w:type="dxa"/>
            <w:vAlign w:val="bottom"/>
            <w:tcBorders>
              <w:left w:val="single" w:sz="8" w:color="auto"/>
              <w:right w:val="single" w:sz="8" w:color="D3D3D3"/>
            </w:tcBorders>
            <w:shd w:val="clear" w:color="auto" w:fill="D3D3D3"/>
          </w:tcPr>
          <w:p>
            <w:pPr>
              <w:spacing w:after="0"/>
              <w:rPr>
                <w:sz w:val="10"/>
                <w:szCs w:val="10"/>
                <w:color w:val="auto"/>
              </w:rPr>
            </w:pPr>
          </w:p>
        </w:tc>
        <w:tc>
          <w:tcPr>
            <w:tcW w:w="720" w:type="dxa"/>
            <w:vAlign w:val="bottom"/>
            <w:tcBorders>
              <w:right w:val="single" w:sz="8" w:color="D3D3D3"/>
            </w:tcBorders>
            <w:vMerge w:val="continue"/>
            <w:shd w:val="clear" w:color="auto" w:fill="D3D3D3"/>
          </w:tcPr>
          <w:p>
            <w:pPr>
              <w:spacing w:after="0"/>
              <w:rPr>
                <w:sz w:val="10"/>
                <w:szCs w:val="10"/>
                <w:color w:val="auto"/>
              </w:rPr>
            </w:pPr>
          </w:p>
        </w:tc>
        <w:tc>
          <w:tcPr>
            <w:tcW w:w="1860" w:type="dxa"/>
            <w:vAlign w:val="bottom"/>
            <w:tcBorders>
              <w:left w:val="single" w:sz="8" w:color="auto"/>
            </w:tcBorders>
            <w:gridSpan w:val="4"/>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gridSpan w:val="3"/>
            <w:vMerge w:val="continue"/>
            <w:shd w:val="clear" w:color="auto" w:fill="D3D3D3"/>
          </w:tcPr>
          <w:p>
            <w:pPr>
              <w:spacing w:after="0"/>
              <w:rPr>
                <w:sz w:val="10"/>
                <w:szCs w:val="10"/>
                <w:color w:val="auto"/>
              </w:rPr>
            </w:pPr>
          </w:p>
        </w:tc>
        <w:tc>
          <w:tcPr>
            <w:tcW w:w="1600" w:type="dxa"/>
            <w:vAlign w:val="bottom"/>
            <w:gridSpan w:val="3"/>
            <w:vMerge w:val="restart"/>
          </w:tcPr>
          <w:p>
            <w:pPr>
              <w:ind w:left="80"/>
              <w:spacing w:after="0"/>
              <w:rPr>
                <w:sz w:val="20"/>
                <w:szCs w:val="20"/>
                <w:color w:val="auto"/>
              </w:rPr>
            </w:pPr>
            <w:r>
              <w:rPr>
                <w:rFonts w:ascii="Arial" w:cs="Arial" w:eastAsia="Arial" w:hAnsi="Arial"/>
                <w:sz w:val="20"/>
                <w:szCs w:val="20"/>
                <w:i w:val="1"/>
                <w:iCs w:val="1"/>
                <w:color w:val="808080"/>
                <w:w w:val="91"/>
              </w:rPr>
              <w:t>Number (Optional)</w:t>
            </w:r>
          </w:p>
        </w:tc>
        <w:tc>
          <w:tcPr>
            <w:tcW w:w="7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640" w:type="dxa"/>
            <w:vAlign w:val="bottom"/>
            <w:tcBorders>
              <w:right w:val="single" w:sz="8" w:color="auto"/>
            </w:tcBorders>
            <w:vMerge w:val="continue"/>
            <w:shd w:val="clear" w:color="auto" w:fill="D3D3D3"/>
          </w:tcPr>
          <w:p>
            <w:pPr>
              <w:spacing w:after="0"/>
              <w:rPr>
                <w:sz w:val="10"/>
                <w:szCs w:val="10"/>
                <w:color w:val="auto"/>
              </w:rPr>
            </w:pPr>
          </w:p>
        </w:tc>
        <w:tc>
          <w:tcPr>
            <w:tcW w:w="2820" w:type="dxa"/>
            <w:vAlign w:val="bottom"/>
            <w:tcBorders>
              <w:right w:val="single" w:sz="8" w:color="auto"/>
            </w:tcBorders>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720" w:type="dxa"/>
            <w:vAlign w:val="bottom"/>
            <w:tcBorders>
              <w:left w:val="single" w:sz="8" w:color="auto"/>
              <w:right w:val="single" w:sz="8" w:color="D3D3D3"/>
            </w:tcBorders>
            <w:shd w:val="clear" w:color="auto" w:fill="D3D3D3"/>
          </w:tcPr>
          <w:p>
            <w:pPr>
              <w:spacing w:after="0"/>
              <w:rPr>
                <w:sz w:val="11"/>
                <w:szCs w:val="11"/>
                <w:color w:val="auto"/>
              </w:rPr>
            </w:pPr>
          </w:p>
        </w:tc>
        <w:tc>
          <w:tcPr>
            <w:tcW w:w="720" w:type="dxa"/>
            <w:vAlign w:val="bottom"/>
            <w:tcBorders>
              <w:right w:val="single" w:sz="8" w:color="D3D3D3"/>
            </w:tcBorders>
            <w:shd w:val="clear" w:color="auto" w:fill="D3D3D3"/>
          </w:tcPr>
          <w:p>
            <w:pPr>
              <w:spacing w:after="0"/>
              <w:rPr>
                <w:sz w:val="11"/>
                <w:szCs w:val="11"/>
                <w:color w:val="auto"/>
              </w:rPr>
            </w:pPr>
          </w:p>
        </w:tc>
        <w:tc>
          <w:tcPr>
            <w:tcW w:w="1140" w:type="dxa"/>
            <w:vAlign w:val="bottom"/>
            <w:tcBorders>
              <w:left w:val="single" w:sz="8" w:color="auto"/>
            </w:tcBorders>
            <w:gridSpan w:val="2"/>
            <w:vMerge w:val="restart"/>
          </w:tcPr>
          <w:p>
            <w:pPr>
              <w:ind w:left="120"/>
              <w:spacing w:after="0"/>
              <w:rPr>
                <w:sz w:val="20"/>
                <w:szCs w:val="20"/>
                <w:color w:val="auto"/>
              </w:rPr>
            </w:pPr>
            <w:r>
              <w:rPr>
                <w:rFonts w:ascii="Arial" w:cs="Arial" w:eastAsia="Arial" w:hAnsi="Arial"/>
                <w:sz w:val="20"/>
                <w:szCs w:val="20"/>
                <w:i w:val="1"/>
                <w:iCs w:val="1"/>
                <w:color w:val="808080"/>
              </w:rPr>
              <w:t>(Optional)</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500" w:type="dxa"/>
            <w:vAlign w:val="bottom"/>
            <w:tcBorders>
              <w:right w:val="single" w:sz="8" w:color="D3D3D3"/>
            </w:tcBorders>
            <w:shd w:val="clear" w:color="auto" w:fill="D3D3D3"/>
          </w:tcPr>
          <w:p>
            <w:pPr>
              <w:spacing w:after="0"/>
              <w:rPr>
                <w:sz w:val="11"/>
                <w:szCs w:val="11"/>
                <w:color w:val="auto"/>
              </w:rPr>
            </w:pPr>
          </w:p>
        </w:tc>
        <w:tc>
          <w:tcPr>
            <w:tcW w:w="140" w:type="dxa"/>
            <w:vAlign w:val="bottom"/>
            <w:tcBorders>
              <w:right w:val="single" w:sz="8" w:color="D3D3D3"/>
            </w:tcBorders>
            <w:shd w:val="clear" w:color="auto" w:fill="D3D3D3"/>
          </w:tcPr>
          <w:p>
            <w:pPr>
              <w:spacing w:after="0"/>
              <w:rPr>
                <w:sz w:val="11"/>
                <w:szCs w:val="11"/>
                <w:color w:val="auto"/>
              </w:rPr>
            </w:pPr>
          </w:p>
        </w:tc>
        <w:tc>
          <w:tcPr>
            <w:tcW w:w="140" w:type="dxa"/>
            <w:vAlign w:val="bottom"/>
            <w:tcBorders>
              <w:right w:val="single" w:sz="8" w:color="auto"/>
            </w:tcBorders>
            <w:shd w:val="clear" w:color="auto" w:fill="D3D3D3"/>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shd w:val="clear" w:color="auto" w:fill="D3D3D3"/>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tcBorders>
              <w:left w:val="single" w:sz="8" w:color="auto"/>
              <w:bottom w:val="single" w:sz="8" w:color="auto"/>
              <w:right w:val="single" w:sz="8" w:color="D3D3D3"/>
            </w:tcBorders>
            <w:shd w:val="clear" w:color="auto" w:fill="D3D3D3"/>
          </w:tcPr>
          <w:p>
            <w:pPr>
              <w:spacing w:after="0"/>
              <w:rPr>
                <w:sz w:val="10"/>
                <w:szCs w:val="10"/>
                <w:color w:val="auto"/>
              </w:rPr>
            </w:pPr>
          </w:p>
        </w:tc>
        <w:tc>
          <w:tcPr>
            <w:tcW w:w="720" w:type="dxa"/>
            <w:vAlign w:val="bottom"/>
            <w:tcBorders>
              <w:bottom w:val="single" w:sz="8" w:color="auto"/>
              <w:right w:val="single" w:sz="8" w:color="D3D3D3"/>
            </w:tcBorders>
            <w:shd w:val="clear" w:color="auto" w:fill="D3D3D3"/>
          </w:tcPr>
          <w:p>
            <w:pPr>
              <w:spacing w:after="0"/>
              <w:rPr>
                <w:sz w:val="10"/>
                <w:szCs w:val="10"/>
                <w:color w:val="auto"/>
              </w:rPr>
            </w:pPr>
          </w:p>
        </w:tc>
        <w:tc>
          <w:tcPr>
            <w:tcW w:w="1140" w:type="dxa"/>
            <w:vAlign w:val="bottom"/>
            <w:tcBorders>
              <w:left w:val="single" w:sz="8" w:color="auto"/>
              <w:bottom w:val="single" w:sz="8" w:color="auto"/>
            </w:tcBorders>
            <w:gridSpan w:val="2"/>
            <w:vMerge w:val="continue"/>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right w:val="single" w:sz="8" w:color="D3D3D3"/>
            </w:tcBorders>
            <w:shd w:val="clear" w:color="auto" w:fill="D3D3D3"/>
          </w:tcPr>
          <w:p>
            <w:pPr>
              <w:spacing w:after="0"/>
              <w:rPr>
                <w:sz w:val="10"/>
                <w:szCs w:val="10"/>
                <w:color w:val="auto"/>
              </w:rPr>
            </w:pPr>
          </w:p>
        </w:tc>
        <w:tc>
          <w:tcPr>
            <w:tcW w:w="140" w:type="dxa"/>
            <w:vAlign w:val="bottom"/>
            <w:tcBorders>
              <w:bottom w:val="single" w:sz="8" w:color="auto"/>
              <w:right w:val="single" w:sz="8" w:color="D3D3D3"/>
            </w:tcBorders>
            <w:shd w:val="clear" w:color="auto" w:fill="D3D3D3"/>
          </w:tcPr>
          <w:p>
            <w:pPr>
              <w:spacing w:after="0"/>
              <w:rPr>
                <w:sz w:val="10"/>
                <w:szCs w:val="10"/>
                <w:color w:val="auto"/>
              </w:rPr>
            </w:pPr>
          </w:p>
        </w:tc>
        <w:tc>
          <w:tcPr>
            <w:tcW w:w="140" w:type="dxa"/>
            <w:vAlign w:val="bottom"/>
            <w:tcBorders>
              <w:bottom w:val="single" w:sz="8" w:color="auto"/>
              <w:right w:val="single" w:sz="8" w:color="auto"/>
            </w:tcBorders>
            <w:shd w:val="clear" w:color="auto" w:fill="D3D3D3"/>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Borders>
              <w:bottom w:val="single" w:sz="8" w:color="auto"/>
              <w:right w:val="single" w:sz="8" w:color="auto"/>
            </w:tcBorders>
          </w:tcPr>
          <w:p>
            <w:pPr>
              <w:spacing w:after="0"/>
              <w:rPr>
                <w:sz w:val="10"/>
                <w:szCs w:val="10"/>
                <w:color w:val="auto"/>
              </w:rPr>
            </w:pPr>
          </w:p>
        </w:tc>
        <w:tc>
          <w:tcPr>
            <w:tcW w:w="640" w:type="dxa"/>
            <w:vAlign w:val="bottom"/>
            <w:tcBorders>
              <w:bottom w:val="single" w:sz="8" w:color="auto"/>
              <w:right w:val="single" w:sz="8" w:color="auto"/>
            </w:tcBorders>
            <w:shd w:val="clear" w:color="auto" w:fill="D3D3D3"/>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bottom w:val="single" w:sz="8" w:color="auto"/>
              <w:right w:val="single" w:sz="8" w:color="auto"/>
            </w:tcBorders>
            <w:gridSpan w:val="2"/>
            <w:shd w:val="clear" w:color="auto" w:fill="D3D3D3"/>
          </w:tcPr>
          <w:p>
            <w:pPr>
              <w:ind w:left="440"/>
              <w:spacing w:after="0" w:line="221" w:lineRule="exact"/>
              <w:rPr>
                <w:sz w:val="20"/>
                <w:szCs w:val="20"/>
                <w:color w:val="auto"/>
              </w:rPr>
            </w:pPr>
            <w:r>
              <w:rPr>
                <w:rFonts w:ascii="Arial" w:cs="Arial" w:eastAsia="Arial" w:hAnsi="Arial"/>
                <w:sz w:val="20"/>
                <w:szCs w:val="20"/>
                <w:b w:val="1"/>
                <w:bCs w:val="1"/>
                <w:color w:val="auto"/>
                <w:w w:val="89"/>
              </w:rPr>
              <w:t>Entity Type</w:t>
            </w:r>
          </w:p>
        </w:tc>
        <w:tc>
          <w:tcPr>
            <w:tcW w:w="6040" w:type="dxa"/>
            <w:vAlign w:val="bottom"/>
            <w:tcBorders>
              <w:left w:val="single" w:sz="8" w:color="auto"/>
              <w:bottom w:val="single" w:sz="8" w:color="auto"/>
            </w:tcBorders>
            <w:gridSpan w:val="13"/>
          </w:tcPr>
          <w:p>
            <w:pPr>
              <w:ind w:left="120"/>
              <w:spacing w:after="0" w:line="221" w:lineRule="exact"/>
              <w:rPr>
                <w:sz w:val="20"/>
                <w:szCs w:val="20"/>
                <w:color w:val="auto"/>
              </w:rPr>
            </w:pPr>
            <w:r>
              <w:rPr>
                <w:rFonts w:ascii="Arial" w:cs="Arial" w:eastAsia="Arial" w:hAnsi="Arial"/>
                <w:sz w:val="20"/>
                <w:szCs w:val="20"/>
                <w:i w:val="1"/>
                <w:iCs w:val="1"/>
                <w:color w:val="808080"/>
                <w:w w:val="88"/>
              </w:rPr>
              <w:t>Type of lender. If lender/entity type does not appear in list, you may provide</w:t>
            </w:r>
          </w:p>
        </w:tc>
        <w:tc>
          <w:tcPr>
            <w:tcW w:w="1340" w:type="dxa"/>
            <w:vAlign w:val="bottom"/>
            <w:tcBorders>
              <w:bottom w:val="single" w:sz="8" w:color="auto"/>
            </w:tcBorders>
            <w:gridSpan w:val="5"/>
          </w:tcPr>
          <w:p>
            <w:pPr>
              <w:ind w:left="60"/>
              <w:spacing w:after="0" w:line="221" w:lineRule="exact"/>
              <w:rPr>
                <w:sz w:val="20"/>
                <w:szCs w:val="20"/>
                <w:color w:val="auto"/>
              </w:rPr>
            </w:pPr>
            <w:r>
              <w:rPr>
                <w:rFonts w:ascii="Arial" w:cs="Arial" w:eastAsia="Arial" w:hAnsi="Arial"/>
                <w:sz w:val="20"/>
                <w:szCs w:val="20"/>
                <w:i w:val="1"/>
                <w:iCs w:val="1"/>
                <w:color w:val="808080"/>
                <w:w w:val="88"/>
              </w:rPr>
              <w:t>your own value.</w:t>
            </w: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580" w:type="dxa"/>
            <w:vAlign w:val="bottom"/>
            <w:tcBorders>
              <w:left w:val="single" w:sz="8" w:color="auto"/>
            </w:tcBorders>
            <w:gridSpan w:val="4"/>
          </w:tcPr>
          <w:p>
            <w:pPr>
              <w:ind w:left="160"/>
              <w:spacing w:after="0" w:line="205" w:lineRule="exact"/>
              <w:rPr>
                <w:sz w:val="20"/>
                <w:szCs w:val="20"/>
                <w:color w:val="auto"/>
              </w:rPr>
            </w:pPr>
            <w:r>
              <w:rPr>
                <w:rFonts w:ascii="Arial" w:cs="Arial" w:eastAsia="Arial" w:hAnsi="Arial"/>
                <w:sz w:val="20"/>
                <w:szCs w:val="20"/>
                <w:b w:val="1"/>
                <w:bCs w:val="1"/>
                <w:color w:val="auto"/>
                <w:w w:val="88"/>
              </w:rPr>
              <w:t>Address (of Lending Office):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3"/>
          </w:tcPr>
          <w:p>
            <w:pPr>
              <w:spacing w:after="0" w:line="205" w:lineRule="exact"/>
              <w:rPr>
                <w:sz w:val="20"/>
                <w:szCs w:val="20"/>
                <w:color w:val="auto"/>
              </w:rPr>
            </w:pPr>
            <w:r>
              <w:rPr>
                <w:rFonts w:ascii="Arial" w:cs="Arial" w:eastAsia="Arial" w:hAnsi="Arial"/>
                <w:sz w:val="20"/>
                <w:szCs w:val="20"/>
                <w:b w:val="1"/>
                <w:bCs w:val="1"/>
                <w:color w:val="auto"/>
                <w:w w:val="99"/>
              </w:rPr>
              <w:t>Signature Block:</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0" w:type="dxa"/>
            <w:vAlign w:val="bottom"/>
            <w:tcBorders>
              <w:left w:val="single" w:sz="8" w:color="auto"/>
              <w:right w:val="single" w:sz="8" w:color="auto"/>
            </w:tcBorders>
            <w:gridSpan w:val="8"/>
          </w:tcPr>
          <w:p>
            <w:pPr>
              <w:ind w:left="160"/>
              <w:spacing w:after="0" w:line="228" w:lineRule="exact"/>
              <w:rPr>
                <w:sz w:val="20"/>
                <w:szCs w:val="20"/>
                <w:color w:val="auto"/>
              </w:rPr>
            </w:pPr>
            <w:r>
              <w:rPr>
                <w:rFonts w:ascii="Arial" w:cs="Arial" w:eastAsia="Arial" w:hAnsi="Arial"/>
                <w:sz w:val="20"/>
                <w:szCs w:val="20"/>
                <w:b w:val="1"/>
                <w:bCs w:val="1"/>
                <w:i w:val="1"/>
                <w:iCs w:val="1"/>
                <w:color w:val="808080"/>
                <w:w w:val="98"/>
              </w:rPr>
              <w:t>Registered address of lending office, including</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60" w:type="dxa"/>
            <w:vAlign w:val="bottom"/>
            <w:tcBorders>
              <w:right w:val="single" w:sz="8" w:color="auto"/>
            </w:tcBorders>
            <w:gridSpan w:val="12"/>
          </w:tcPr>
          <w:p>
            <w:pPr>
              <w:spacing w:after="0" w:line="228" w:lineRule="exact"/>
              <w:rPr>
                <w:sz w:val="20"/>
                <w:szCs w:val="20"/>
                <w:color w:val="auto"/>
              </w:rPr>
            </w:pPr>
            <w:r>
              <w:rPr>
                <w:rFonts w:ascii="Arial" w:cs="Arial" w:eastAsia="Arial" w:hAnsi="Arial"/>
                <w:sz w:val="20"/>
                <w:szCs w:val="20"/>
                <w:color w:val="808080"/>
                <w:w w:val="92"/>
              </w:rPr>
              <w:t>Signature Block as it would appear on settlement documentation. E.g. (for</w:t>
            </w:r>
          </w:p>
        </w:tc>
        <w:tc>
          <w:tcPr>
            <w:tcW w:w="0" w:type="dxa"/>
            <w:vAlign w:val="bottom"/>
          </w:tcPr>
          <w:p>
            <w:pPr>
              <w:spacing w:after="0"/>
              <w:rPr>
                <w:sz w:val="1"/>
                <w:szCs w:val="1"/>
                <w:color w:val="auto"/>
              </w:rPr>
            </w:pPr>
          </w:p>
        </w:tc>
      </w:tr>
      <w:tr>
        <w:trPr>
          <w:trHeight w:val="228"/>
        </w:trPr>
        <w:tc>
          <w:tcPr>
            <w:tcW w:w="2580" w:type="dxa"/>
            <w:vAlign w:val="bottom"/>
            <w:tcBorders>
              <w:left w:val="single" w:sz="8" w:color="auto"/>
            </w:tcBorders>
            <w:gridSpan w:val="4"/>
          </w:tcPr>
          <w:p>
            <w:pPr>
              <w:ind w:left="160"/>
              <w:spacing w:after="0" w:line="228" w:lineRule="exact"/>
              <w:rPr>
                <w:sz w:val="20"/>
                <w:szCs w:val="20"/>
                <w:color w:val="auto"/>
              </w:rPr>
            </w:pPr>
            <w:r>
              <w:rPr>
                <w:rFonts w:ascii="Arial" w:cs="Arial" w:eastAsia="Arial" w:hAnsi="Arial"/>
                <w:sz w:val="20"/>
                <w:szCs w:val="20"/>
                <w:b w:val="1"/>
                <w:bCs w:val="1"/>
                <w:i w:val="1"/>
                <w:iCs w:val="1"/>
                <w:color w:val="808080"/>
              </w:rPr>
              <w:t>country of domicile.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4"/>
          </w:tcPr>
          <w:p>
            <w:pPr>
              <w:spacing w:after="0" w:line="228" w:lineRule="exact"/>
              <w:rPr>
                <w:sz w:val="20"/>
                <w:szCs w:val="20"/>
                <w:color w:val="auto"/>
              </w:rPr>
            </w:pPr>
            <w:r>
              <w:rPr>
                <w:rFonts w:ascii="Arial" w:cs="Arial" w:eastAsia="Arial" w:hAnsi="Arial"/>
                <w:sz w:val="20"/>
                <w:szCs w:val="20"/>
                <w:color w:val="808080"/>
                <w:w w:val="86"/>
              </w:rPr>
              <w:t>separately managed account):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 w:type="dxa"/>
            <w:vAlign w:val="bottom"/>
            <w:tcBorders>
              <w:lef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spacing w:after="0" w:line="228" w:lineRule="exact"/>
              <w:rPr>
                <w:sz w:val="20"/>
                <w:szCs w:val="20"/>
                <w:color w:val="auto"/>
              </w:rPr>
            </w:pPr>
            <w:r>
              <w:rPr>
                <w:rFonts w:ascii="Arial" w:cs="Arial" w:eastAsia="Arial" w:hAnsi="Arial"/>
                <w:sz w:val="20"/>
                <w:szCs w:val="20"/>
                <w:i w:val="1"/>
                <w:iCs w:val="1"/>
                <w:color w:val="808080"/>
              </w:rPr>
              <w:t>ABC Fund</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720" w:type="dxa"/>
            <w:vAlign w:val="bottom"/>
            <w:tcBorders>
              <w:left w:val="single" w:sz="8" w:color="auto"/>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50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940" w:type="dxa"/>
            <w:vAlign w:val="bottom"/>
            <w:tcBorders>
              <w:bottom w:val="single" w:sz="8" w:color="auto"/>
            </w:tcBorders>
            <w:gridSpan w:val="10"/>
          </w:tcPr>
          <w:p>
            <w:pPr>
              <w:spacing w:after="0"/>
              <w:rPr>
                <w:sz w:val="20"/>
                <w:szCs w:val="20"/>
                <w:color w:val="auto"/>
              </w:rPr>
            </w:pPr>
            <w:r>
              <w:rPr>
                <w:rFonts w:ascii="Arial" w:cs="Arial" w:eastAsia="Arial" w:hAnsi="Arial"/>
                <w:sz w:val="20"/>
                <w:szCs w:val="20"/>
                <w:i w:val="1"/>
                <w:iCs w:val="1"/>
                <w:color w:val="808080"/>
              </w:rPr>
              <w:t>by 123 Asset Management as Advisor</w:t>
            </w:r>
          </w:p>
        </w:tc>
        <w:tc>
          <w:tcPr>
            <w:tcW w:w="1040" w:type="dxa"/>
            <w:vAlign w:val="bottom"/>
            <w:tcBorders>
              <w:bottom w:val="single" w:sz="8" w:color="auto"/>
            </w:tcBorders>
          </w:tcPr>
          <w:p>
            <w:pPr>
              <w:spacing w:after="0"/>
              <w:rPr>
                <w:sz w:val="23"/>
                <w:szCs w:val="23"/>
                <w:color w:val="auto"/>
              </w:rPr>
            </w:pPr>
          </w:p>
        </w:tc>
        <w:tc>
          <w:tcPr>
            <w:tcW w:w="10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1440" w:type="dxa"/>
            <w:vAlign w:val="bottom"/>
            <w:tcBorders>
              <w:left w:val="single" w:sz="8" w:color="auto"/>
              <w:right w:val="single" w:sz="8" w:color="auto"/>
            </w:tcBorders>
            <w:gridSpan w:val="2"/>
            <w:shd w:val="clear" w:color="auto" w:fill="D3D3D3"/>
          </w:tcPr>
          <w:p>
            <w:pPr>
              <w:ind w:left="160"/>
              <w:spacing w:after="0" w:line="205" w:lineRule="exact"/>
              <w:rPr>
                <w:sz w:val="20"/>
                <w:szCs w:val="20"/>
                <w:color w:val="auto"/>
              </w:rPr>
            </w:pPr>
            <w:r>
              <w:rPr>
                <w:rFonts w:ascii="Arial" w:cs="Arial" w:eastAsia="Arial" w:hAnsi="Arial"/>
                <w:sz w:val="20"/>
                <w:szCs w:val="20"/>
                <w:b w:val="1"/>
                <w:bCs w:val="1"/>
                <w:color w:val="auto"/>
                <w:w w:val="90"/>
              </w:rPr>
              <w:t>Fund Manager</w:t>
            </w:r>
          </w:p>
        </w:tc>
        <w:tc>
          <w:tcPr>
            <w:tcW w:w="5800" w:type="dxa"/>
            <w:vAlign w:val="bottom"/>
            <w:gridSpan w:val="12"/>
          </w:tcPr>
          <w:p>
            <w:pPr>
              <w:ind w:left="80"/>
              <w:spacing w:after="0" w:line="205" w:lineRule="exact"/>
              <w:rPr>
                <w:sz w:val="20"/>
                <w:szCs w:val="20"/>
                <w:color w:val="auto"/>
              </w:rPr>
            </w:pPr>
            <w:r>
              <w:rPr>
                <w:rFonts w:ascii="Arial" w:cs="Arial" w:eastAsia="Arial" w:hAnsi="Arial"/>
                <w:sz w:val="20"/>
                <w:szCs w:val="20"/>
                <w:i w:val="1"/>
                <w:iCs w:val="1"/>
                <w:color w:val="808080"/>
                <w:w w:val="90"/>
              </w:rPr>
              <w:t>Name of fund/asset manager, as would be referenced in the sig. block.</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0" w:type="dxa"/>
            <w:vAlign w:val="bottom"/>
            <w:shd w:val="clear" w:color="auto" w:fill="D3D3D3"/>
          </w:tcPr>
          <w:p>
            <w:pPr>
              <w:spacing w:after="0"/>
              <w:rPr>
                <w:sz w:val="17"/>
                <w:szCs w:val="17"/>
                <w:color w:val="auto"/>
              </w:rPr>
            </w:pPr>
          </w:p>
        </w:tc>
        <w:tc>
          <w:tcPr>
            <w:tcW w:w="460" w:type="dxa"/>
            <w:vAlign w:val="bottom"/>
            <w:tcBorders>
              <w:right w:val="single" w:sz="8" w:color="auto"/>
            </w:tcBorders>
            <w:gridSpan w:val="2"/>
            <w:shd w:val="clear" w:color="auto" w:fill="D3D3D3"/>
          </w:tcPr>
          <w:p>
            <w:pPr>
              <w:spacing w:after="0" w:line="205" w:lineRule="exact"/>
              <w:rPr>
                <w:sz w:val="20"/>
                <w:szCs w:val="20"/>
                <w:color w:val="auto"/>
              </w:rPr>
            </w:pPr>
            <w:r>
              <w:rPr>
                <w:rFonts w:ascii="Arial" w:cs="Arial" w:eastAsia="Arial" w:hAnsi="Arial"/>
                <w:sz w:val="20"/>
                <w:szCs w:val="20"/>
                <w:b w:val="1"/>
                <w:bCs w:val="1"/>
                <w:color w:val="auto"/>
              </w:rPr>
              <w:t>MEI</w:t>
            </w:r>
          </w:p>
        </w:tc>
        <w:tc>
          <w:tcPr>
            <w:tcW w:w="2120" w:type="dxa"/>
            <w:vAlign w:val="bottom"/>
            <w:tcBorders>
              <w:right w:val="single" w:sz="8" w:color="auto"/>
            </w:tcBorders>
            <w:gridSpan w:val="2"/>
          </w:tcPr>
          <w:p>
            <w:pPr>
              <w:ind w:left="80"/>
              <w:spacing w:after="0" w:line="205" w:lineRule="exact"/>
              <w:rPr>
                <w:sz w:val="20"/>
                <w:szCs w:val="20"/>
                <w:color w:val="auto"/>
              </w:rPr>
            </w:pPr>
            <w:r>
              <w:rPr>
                <w:rFonts w:ascii="Arial" w:cs="Arial" w:eastAsia="Arial" w:hAnsi="Arial"/>
                <w:sz w:val="20"/>
                <w:szCs w:val="20"/>
                <w:i w:val="1"/>
                <w:iCs w:val="1"/>
                <w:color w:val="808080"/>
              </w:rPr>
              <w:t>Markit Entity ID</w:t>
            </w:r>
          </w:p>
        </w:tc>
        <w:tc>
          <w:tcPr>
            <w:tcW w:w="0" w:type="dxa"/>
            <w:vAlign w:val="bottom"/>
          </w:tcPr>
          <w:p>
            <w:pPr>
              <w:spacing w:after="0"/>
              <w:rPr>
                <w:sz w:val="1"/>
                <w:szCs w:val="1"/>
                <w:color w:val="auto"/>
              </w:rPr>
            </w:pPr>
          </w:p>
        </w:tc>
      </w:tr>
      <w:tr>
        <w:trPr>
          <w:trHeight w:val="23"/>
        </w:trPr>
        <w:tc>
          <w:tcPr>
            <w:tcW w:w="1440" w:type="dxa"/>
            <w:vAlign w:val="bottom"/>
            <w:tcBorders>
              <w:left w:val="single" w:sz="8" w:color="auto"/>
              <w:bottom w:val="single" w:sz="8" w:color="D3D3D3"/>
              <w:right w:val="single" w:sz="8" w:color="auto"/>
            </w:tcBorders>
            <w:gridSpan w:val="2"/>
            <w:vMerge w:val="restart"/>
            <w:shd w:val="clear" w:color="auto" w:fill="D3D3D3"/>
          </w:tcPr>
          <w:p>
            <w:pPr>
              <w:ind w:left="200"/>
              <w:spacing w:after="0"/>
              <w:rPr>
                <w:sz w:val="20"/>
                <w:szCs w:val="20"/>
                <w:color w:val="auto"/>
              </w:rPr>
            </w:pPr>
            <w:r>
              <w:rPr>
                <w:rFonts w:ascii="Arial" w:cs="Arial" w:eastAsia="Arial" w:hAnsi="Arial"/>
                <w:sz w:val="20"/>
                <w:szCs w:val="20"/>
                <w:b w:val="1"/>
                <w:bCs w:val="1"/>
                <w:color w:val="auto"/>
                <w:w w:val="89"/>
              </w:rPr>
              <w:t>Lender Parent</w:t>
            </w: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D3D3D3"/>
            </w:tcBorders>
            <w:shd w:val="clear" w:color="auto" w:fill="D3D3D3"/>
          </w:tcPr>
          <w:p>
            <w:pPr>
              <w:spacing w:after="0" w:line="20" w:lineRule="exact"/>
              <w:rPr>
                <w:sz w:val="1"/>
                <w:szCs w:val="1"/>
                <w:color w:val="auto"/>
              </w:rPr>
            </w:pPr>
          </w:p>
        </w:tc>
        <w:tc>
          <w:tcPr>
            <w:tcW w:w="460" w:type="dxa"/>
            <w:vAlign w:val="bottom"/>
            <w:tcBorders>
              <w:bottom w:val="single" w:sz="8" w:color="D3D3D3"/>
              <w:right w:val="single" w:sz="8" w:color="auto"/>
            </w:tcBorders>
            <w:gridSpan w:val="2"/>
            <w:vMerge w:val="restart"/>
            <w:shd w:val="clear" w:color="auto" w:fill="D3D3D3"/>
          </w:tcPr>
          <w:p>
            <w:pPr>
              <w:spacing w:after="0"/>
              <w:rPr>
                <w:sz w:val="20"/>
                <w:szCs w:val="20"/>
                <w:color w:val="auto"/>
              </w:rPr>
            </w:pPr>
            <w:r>
              <w:rPr>
                <w:rFonts w:ascii="Arial" w:cs="Arial" w:eastAsia="Arial" w:hAnsi="Arial"/>
                <w:sz w:val="20"/>
                <w:szCs w:val="20"/>
                <w:b w:val="1"/>
                <w:bCs w:val="1"/>
                <w:color w:val="auto"/>
                <w:highlight w:val="lightGray"/>
              </w:rPr>
              <w:t>MEI</w:t>
            </w: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bottom w:val="single" w:sz="8" w:color="auto"/>
              <w:right w:val="single" w:sz="8" w:color="auto"/>
            </w:tcBorders>
            <w:gridSpan w:val="2"/>
            <w:vMerge w:val="continue"/>
            <w:shd w:val="clear" w:color="auto" w:fill="D3D3D3"/>
          </w:tcPr>
          <w:p>
            <w:pPr>
              <w:spacing w:after="0"/>
              <w:rPr>
                <w:sz w:val="19"/>
                <w:szCs w:val="19"/>
                <w:color w:val="auto"/>
              </w:rPr>
            </w:pPr>
          </w:p>
        </w:tc>
        <w:tc>
          <w:tcPr>
            <w:tcW w:w="5040" w:type="dxa"/>
            <w:vAlign w:val="bottom"/>
            <w:tcBorders>
              <w:bottom w:val="single" w:sz="8" w:color="auto"/>
            </w:tcBorders>
            <w:gridSpan w:val="11"/>
          </w:tcPr>
          <w:p>
            <w:pPr>
              <w:ind w:left="80"/>
              <w:spacing w:after="0" w:line="221" w:lineRule="exact"/>
              <w:rPr>
                <w:sz w:val="20"/>
                <w:szCs w:val="20"/>
                <w:color w:val="auto"/>
              </w:rPr>
            </w:pPr>
            <w:r>
              <w:rPr>
                <w:rFonts w:ascii="Arial" w:cs="Arial" w:eastAsia="Arial" w:hAnsi="Arial"/>
                <w:sz w:val="20"/>
                <w:szCs w:val="20"/>
                <w:i w:val="1"/>
                <w:iCs w:val="1"/>
                <w:color w:val="808080"/>
                <w:w w:val="91"/>
              </w:rPr>
              <w:t>Name of legal parent if different from lender entity. (Optional)</w:t>
            </w: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shd w:val="clear" w:color="auto" w:fill="D3D3D3"/>
          </w:tcPr>
          <w:p>
            <w:pPr>
              <w:spacing w:after="0"/>
              <w:rPr>
                <w:sz w:val="19"/>
                <w:szCs w:val="19"/>
                <w:color w:val="auto"/>
              </w:rPr>
            </w:pPr>
          </w:p>
        </w:tc>
        <w:tc>
          <w:tcPr>
            <w:tcW w:w="460" w:type="dxa"/>
            <w:vAlign w:val="bottom"/>
            <w:tcBorders>
              <w:bottom w:val="single" w:sz="8" w:color="auto"/>
              <w:right w:val="single" w:sz="8" w:color="auto"/>
            </w:tcBorders>
            <w:gridSpan w:val="2"/>
            <w:vMerge w:val="continue"/>
            <w:shd w:val="clear" w:color="auto" w:fill="D3D3D3"/>
          </w:tcPr>
          <w:p>
            <w:pPr>
              <w:spacing w:after="0"/>
              <w:rPr>
                <w:sz w:val="19"/>
                <w:szCs w:val="19"/>
                <w:color w:val="auto"/>
              </w:rPr>
            </w:pPr>
          </w:p>
        </w:tc>
        <w:tc>
          <w:tcPr>
            <w:tcW w:w="2120" w:type="dxa"/>
            <w:vAlign w:val="bottom"/>
            <w:tcBorders>
              <w:bottom w:val="single" w:sz="8" w:color="auto"/>
              <w:right w:val="single" w:sz="8" w:color="auto"/>
            </w:tcBorders>
            <w:gridSpan w:val="2"/>
          </w:tcPr>
          <w:p>
            <w:pPr>
              <w:ind w:left="80"/>
              <w:spacing w:after="0" w:line="221" w:lineRule="exact"/>
              <w:rPr>
                <w:sz w:val="20"/>
                <w:szCs w:val="20"/>
                <w:color w:val="auto"/>
              </w:rPr>
            </w:pPr>
            <w:r>
              <w:rPr>
                <w:rFonts w:ascii="Arial" w:cs="Arial" w:eastAsia="Arial" w:hAnsi="Arial"/>
                <w:sz w:val="20"/>
                <w:szCs w:val="20"/>
                <w:i w:val="1"/>
                <w:iCs w:val="1"/>
                <w:color w:val="808080"/>
              </w:rPr>
              <w:t>Markit Entity ID</w:t>
            </w:r>
          </w:p>
        </w:tc>
        <w:tc>
          <w:tcPr>
            <w:tcW w:w="0" w:type="dxa"/>
            <w:vAlign w:val="bottom"/>
          </w:tcPr>
          <w:p>
            <w:pPr>
              <w:spacing w:after="0"/>
              <w:rPr>
                <w:sz w:val="1"/>
                <w:szCs w:val="1"/>
                <w:color w:val="auto"/>
              </w:rPr>
            </w:pPr>
          </w:p>
        </w:tc>
      </w:tr>
      <w:tr>
        <w:trPr>
          <w:trHeight w:val="20"/>
        </w:trPr>
        <w:tc>
          <w:tcPr>
            <w:tcW w:w="7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p>
        </w:tc>
        <w:tc>
          <w:tcPr>
            <w:tcW w:w="18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4"/>
          </w:tcPr>
          <w:p>
            <w:pPr>
              <w:spacing w:after="0"/>
              <w:rPr>
                <w:sz w:val="20"/>
                <w:szCs w:val="20"/>
                <w:color w:val="auto"/>
              </w:rPr>
            </w:pPr>
          </w:p>
        </w:tc>
        <w:tc>
          <w:tcPr>
            <w:tcW w:w="880" w:type="dxa"/>
            <w:vAlign w:val="bottom"/>
            <w:gridSpan w:val="2"/>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6480" w:type="dxa"/>
            <w:vAlign w:val="bottom"/>
            <w:tcBorders>
              <w:left w:val="single" w:sz="8" w:color="auto"/>
            </w:tcBorders>
            <w:gridSpan w:val="13"/>
            <w:shd w:val="clear" w:color="auto" w:fill="000000"/>
          </w:tcPr>
          <w:p>
            <w:pPr>
              <w:ind w:left="160"/>
              <w:spacing w:after="0"/>
              <w:rPr>
                <w:sz w:val="20"/>
                <w:szCs w:val="20"/>
                <w:color w:val="auto"/>
              </w:rPr>
            </w:pPr>
            <w:r>
              <w:rPr>
                <w:rFonts w:ascii="Arial" w:cs="Arial" w:eastAsia="Arial" w:hAnsi="Arial"/>
                <w:sz w:val="20"/>
                <w:szCs w:val="20"/>
                <w:b w:val="1"/>
                <w:bCs w:val="1"/>
                <w:color w:val="FFFFFF"/>
              </w:rPr>
              <w:t>NOTICE/SERVICING MESSAGE DELIVERY INSTRUCTIONS</w:t>
            </w:r>
          </w:p>
        </w:tc>
        <w:tc>
          <w:tcPr>
            <w:tcW w:w="760" w:type="dxa"/>
            <w:vAlign w:val="bottom"/>
            <w:tcBorders>
              <w:right w:val="single" w:sz="8" w:color="auto"/>
            </w:tcBorders>
            <w:shd w:val="clear" w:color="auto" w:fill="000000"/>
          </w:tcPr>
          <w:p>
            <w:pPr>
              <w:spacing w:after="0"/>
              <w:rPr>
                <w:sz w:val="24"/>
                <w:szCs w:val="24"/>
                <w:color w:val="auto"/>
              </w:rPr>
            </w:pPr>
          </w:p>
        </w:tc>
        <w:tc>
          <w:tcPr>
            <w:tcW w:w="240" w:type="dxa"/>
            <w:vAlign w:val="bottom"/>
            <w:tcBorders>
              <w:right w:val="single" w:sz="8" w:color="auto"/>
            </w:tcBorders>
            <w:shd w:val="clear" w:color="auto" w:fill="000000"/>
          </w:tcPr>
          <w:p>
            <w:pPr>
              <w:spacing w:after="0"/>
              <w:rPr>
                <w:sz w:val="24"/>
                <w:szCs w:val="24"/>
                <w:color w:val="auto"/>
              </w:rPr>
            </w:pPr>
          </w:p>
        </w:tc>
        <w:tc>
          <w:tcPr>
            <w:tcW w:w="640" w:type="dxa"/>
            <w:vAlign w:val="bottom"/>
            <w:tcBorders>
              <w:right w:val="single" w:sz="8" w:color="auto"/>
            </w:tcBorders>
            <w:shd w:val="clear" w:color="auto" w:fill="000000"/>
          </w:tcPr>
          <w:p>
            <w:pPr>
              <w:spacing w:after="0"/>
              <w:rPr>
                <w:sz w:val="24"/>
                <w:szCs w:val="24"/>
                <w:color w:val="auto"/>
              </w:rPr>
            </w:pPr>
          </w:p>
        </w:tc>
        <w:tc>
          <w:tcPr>
            <w:tcW w:w="16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420" w:type="dxa"/>
            <w:vAlign w:val="bottom"/>
            <w:tcBorders>
              <w:right w:val="single" w:sz="8" w:color="auto"/>
            </w:tcBorders>
            <w:shd w:val="clear" w:color="auto" w:fill="000000"/>
          </w:tcPr>
          <w:p>
            <w:pPr>
              <w:spacing w:after="0"/>
              <w:rPr>
                <w:sz w:val="24"/>
                <w:szCs w:val="24"/>
                <w:color w:val="auto"/>
              </w:rPr>
            </w:pPr>
          </w:p>
        </w:tc>
        <w:tc>
          <w:tcPr>
            <w:tcW w:w="40" w:type="dxa"/>
            <w:vAlign w:val="bottom"/>
            <w:tcBorders>
              <w:right w:val="single" w:sz="8" w:color="auto"/>
            </w:tcBorders>
            <w:shd w:val="clear" w:color="auto" w:fill="000000"/>
          </w:tcPr>
          <w:p>
            <w:pPr>
              <w:spacing w:after="0"/>
              <w:rPr>
                <w:sz w:val="24"/>
                <w:szCs w:val="24"/>
                <w:color w:val="auto"/>
              </w:rPr>
            </w:pPr>
          </w:p>
        </w:tc>
        <w:tc>
          <w:tcPr>
            <w:tcW w:w="1040" w:type="dxa"/>
            <w:vAlign w:val="bottom"/>
            <w:tcBorders>
              <w:right w:val="single" w:sz="8" w:color="auto"/>
            </w:tcBorders>
            <w:shd w:val="clear" w:color="auto" w:fill="000000"/>
          </w:tcPr>
          <w:p>
            <w:pPr>
              <w:spacing w:after="0"/>
              <w:rPr>
                <w:sz w:val="24"/>
                <w:szCs w:val="24"/>
                <w:color w:val="auto"/>
              </w:rPr>
            </w:pPr>
          </w:p>
        </w:tc>
        <w:tc>
          <w:tcPr>
            <w:tcW w:w="108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20" w:type="dxa"/>
            <w:vAlign w:val="bottom"/>
            <w:tcBorders>
              <w:left w:val="single" w:sz="8" w:color="auto"/>
              <w:right w:val="single" w:sz="8" w:color="auto"/>
            </w:tcBorders>
            <w:shd w:val="clear" w:color="auto" w:fill="000000"/>
          </w:tcPr>
          <w:p>
            <w:pPr>
              <w:spacing w:after="0"/>
              <w:rPr>
                <w:sz w:val="6"/>
                <w:szCs w:val="6"/>
                <w:color w:val="auto"/>
              </w:rPr>
            </w:pPr>
          </w:p>
        </w:tc>
        <w:tc>
          <w:tcPr>
            <w:tcW w:w="1820" w:type="dxa"/>
            <w:vAlign w:val="bottom"/>
            <w:tcBorders>
              <w:right w:val="single" w:sz="8" w:color="auto"/>
            </w:tcBorders>
            <w:gridSpan w:val="2"/>
            <w:shd w:val="clear" w:color="auto" w:fill="000000"/>
          </w:tcPr>
          <w:p>
            <w:pPr>
              <w:spacing w:after="0"/>
              <w:rPr>
                <w:sz w:val="6"/>
                <w:szCs w:val="6"/>
                <w:color w:val="auto"/>
              </w:rPr>
            </w:pPr>
          </w:p>
        </w:tc>
        <w:tc>
          <w:tcPr>
            <w:tcW w:w="40" w:type="dxa"/>
            <w:vAlign w:val="bottom"/>
            <w:tcBorders>
              <w:right w:val="single" w:sz="8" w:color="auto"/>
            </w:tcBorders>
            <w:shd w:val="clear" w:color="auto" w:fill="000000"/>
          </w:tcPr>
          <w:p>
            <w:pPr>
              <w:spacing w:after="0"/>
              <w:rPr>
                <w:sz w:val="6"/>
                <w:szCs w:val="6"/>
                <w:color w:val="auto"/>
              </w:rPr>
            </w:pPr>
          </w:p>
        </w:tc>
        <w:tc>
          <w:tcPr>
            <w:tcW w:w="640" w:type="dxa"/>
            <w:vAlign w:val="bottom"/>
            <w:tcBorders>
              <w:right w:val="single" w:sz="8" w:color="auto"/>
            </w:tcBorders>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1440" w:type="dxa"/>
            <w:vAlign w:val="bottom"/>
            <w:tcBorders>
              <w:right w:val="single" w:sz="8" w:color="auto"/>
            </w:tcBorders>
            <w:gridSpan w:val="3"/>
            <w:shd w:val="clear" w:color="auto" w:fill="000000"/>
          </w:tcPr>
          <w:p>
            <w:pPr>
              <w:spacing w:after="0"/>
              <w:rPr>
                <w:sz w:val="6"/>
                <w:szCs w:val="6"/>
                <w:color w:val="auto"/>
              </w:rPr>
            </w:pPr>
          </w:p>
        </w:tc>
        <w:tc>
          <w:tcPr>
            <w:tcW w:w="140" w:type="dxa"/>
            <w:vAlign w:val="bottom"/>
            <w:tcBorders>
              <w:right w:val="single" w:sz="8" w:color="auto"/>
            </w:tcBorders>
            <w:shd w:val="clear" w:color="auto" w:fill="000000"/>
          </w:tcPr>
          <w:p>
            <w:pPr>
              <w:spacing w:after="0"/>
              <w:rPr>
                <w:sz w:val="6"/>
                <w:szCs w:val="6"/>
                <w:color w:val="auto"/>
              </w:rPr>
            </w:pPr>
          </w:p>
        </w:tc>
        <w:tc>
          <w:tcPr>
            <w:tcW w:w="740" w:type="dxa"/>
            <w:vAlign w:val="bottom"/>
            <w:tcBorders>
              <w:right w:val="single" w:sz="8" w:color="auto"/>
            </w:tcBorders>
            <w:shd w:val="clear" w:color="auto" w:fill="000000"/>
          </w:tcPr>
          <w:p>
            <w:pPr>
              <w:spacing w:after="0"/>
              <w:rPr>
                <w:sz w:val="6"/>
                <w:szCs w:val="6"/>
                <w:color w:val="auto"/>
              </w:rPr>
            </w:pPr>
          </w:p>
        </w:tc>
        <w:tc>
          <w:tcPr>
            <w:tcW w:w="760" w:type="dxa"/>
            <w:vAlign w:val="bottom"/>
            <w:tcBorders>
              <w:right w:val="single" w:sz="8" w:color="auto"/>
            </w:tcBorders>
            <w:shd w:val="clear" w:color="auto" w:fill="000000"/>
          </w:tcPr>
          <w:p>
            <w:pPr>
              <w:spacing w:after="0"/>
              <w:rPr>
                <w:sz w:val="6"/>
                <w:szCs w:val="6"/>
                <w:color w:val="auto"/>
              </w:rPr>
            </w:pPr>
          </w:p>
        </w:tc>
        <w:tc>
          <w:tcPr>
            <w:tcW w:w="860" w:type="dxa"/>
            <w:vAlign w:val="bottom"/>
            <w:tcBorders>
              <w:right w:val="single" w:sz="8" w:color="auto"/>
            </w:tcBorders>
            <w:gridSpan w:val="2"/>
            <w:shd w:val="clear" w:color="auto" w:fill="000000"/>
          </w:tcPr>
          <w:p>
            <w:pPr>
              <w:spacing w:after="0"/>
              <w:rPr>
                <w:sz w:val="6"/>
                <w:szCs w:val="6"/>
                <w:color w:val="auto"/>
              </w:rPr>
            </w:pPr>
          </w:p>
        </w:tc>
        <w:tc>
          <w:tcPr>
            <w:tcW w:w="240" w:type="dxa"/>
            <w:vAlign w:val="bottom"/>
            <w:tcBorders>
              <w:right w:val="single" w:sz="8" w:color="auto"/>
            </w:tcBorders>
            <w:shd w:val="clear" w:color="auto" w:fill="000000"/>
          </w:tcPr>
          <w:p>
            <w:pPr>
              <w:spacing w:after="0"/>
              <w:rPr>
                <w:sz w:val="6"/>
                <w:szCs w:val="6"/>
                <w:color w:val="auto"/>
              </w:rPr>
            </w:pPr>
          </w:p>
        </w:tc>
        <w:tc>
          <w:tcPr>
            <w:tcW w:w="640" w:type="dxa"/>
            <w:vAlign w:val="bottom"/>
            <w:tcBorders>
              <w:right w:val="single" w:sz="8" w:color="auto"/>
            </w:tcBorders>
            <w:shd w:val="clear" w:color="auto" w:fill="000000"/>
          </w:tcPr>
          <w:p>
            <w:pPr>
              <w:spacing w:after="0"/>
              <w:rPr>
                <w:sz w:val="6"/>
                <w:szCs w:val="6"/>
                <w:color w:val="auto"/>
              </w:rPr>
            </w:pPr>
          </w:p>
        </w:tc>
        <w:tc>
          <w:tcPr>
            <w:tcW w:w="160" w:type="dxa"/>
            <w:vAlign w:val="bottom"/>
            <w:tcBorders>
              <w:right w:val="single" w:sz="8" w:color="auto"/>
            </w:tcBorders>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20" w:type="dxa"/>
            <w:vAlign w:val="bottom"/>
            <w:tcBorders>
              <w:right w:val="single" w:sz="8" w:color="auto"/>
            </w:tcBorders>
            <w:shd w:val="clear" w:color="auto" w:fill="000000"/>
          </w:tcPr>
          <w:p>
            <w:pPr>
              <w:spacing w:after="0"/>
              <w:rPr>
                <w:sz w:val="6"/>
                <w:szCs w:val="6"/>
                <w:color w:val="auto"/>
              </w:rPr>
            </w:pPr>
          </w:p>
        </w:tc>
        <w:tc>
          <w:tcPr>
            <w:tcW w:w="40" w:type="dxa"/>
            <w:vAlign w:val="bottom"/>
            <w:tcBorders>
              <w:right w:val="single" w:sz="8" w:color="auto"/>
            </w:tcBorders>
            <w:shd w:val="clear" w:color="auto" w:fill="000000"/>
          </w:tcPr>
          <w:p>
            <w:pPr>
              <w:spacing w:after="0"/>
              <w:rPr>
                <w:sz w:val="6"/>
                <w:szCs w:val="6"/>
                <w:color w:val="auto"/>
              </w:rPr>
            </w:pPr>
          </w:p>
        </w:tc>
        <w:tc>
          <w:tcPr>
            <w:tcW w:w="1040" w:type="dxa"/>
            <w:vAlign w:val="bottom"/>
            <w:tcBorders>
              <w:right w:val="single" w:sz="8" w:color="auto"/>
            </w:tcBorders>
            <w:shd w:val="clear" w:color="auto" w:fill="000000"/>
          </w:tcPr>
          <w:p>
            <w:pPr>
              <w:spacing w:after="0"/>
              <w:rPr>
                <w:sz w:val="6"/>
                <w:szCs w:val="6"/>
                <w:color w:val="auto"/>
              </w:rPr>
            </w:pPr>
          </w:p>
        </w:tc>
        <w:tc>
          <w:tcPr>
            <w:tcW w:w="1080" w:type="dxa"/>
            <w:vAlign w:val="bottom"/>
            <w:tcBorders>
              <w:right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720" w:type="dxa"/>
            <w:vAlign w:val="bottom"/>
            <w:tcBorders>
              <w:left w:val="single" w:sz="8" w:color="auto"/>
              <w:bottom w:val="single" w:sz="8" w:color="auto"/>
              <w:right w:val="single" w:sz="8" w:color="auto"/>
            </w:tcBorders>
            <w:shd w:val="clear" w:color="auto" w:fill="D3D3D3"/>
          </w:tcPr>
          <w:p>
            <w:pPr>
              <w:ind w:left="220"/>
              <w:spacing w:after="0" w:line="228" w:lineRule="exact"/>
              <w:rPr>
                <w:sz w:val="20"/>
                <w:szCs w:val="20"/>
                <w:color w:val="auto"/>
              </w:rPr>
            </w:pPr>
            <w:r>
              <w:rPr>
                <w:rFonts w:ascii="Arial" w:cs="Arial" w:eastAsia="Arial" w:hAnsi="Arial"/>
                <w:sz w:val="20"/>
                <w:szCs w:val="20"/>
                <w:b w:val="1"/>
                <w:bCs w:val="1"/>
                <w:color w:val="auto"/>
              </w:rPr>
              <w:t>Firm</w:t>
            </w:r>
          </w:p>
        </w:tc>
        <w:tc>
          <w:tcPr>
            <w:tcW w:w="1860" w:type="dxa"/>
            <w:vAlign w:val="bottom"/>
            <w:tcBorders>
              <w:bottom w:val="single" w:sz="8" w:color="auto"/>
              <w:right w:val="single" w:sz="8" w:color="auto"/>
            </w:tcBorders>
            <w:gridSpan w:val="3"/>
          </w:tcPr>
          <w:p>
            <w:pPr>
              <w:ind w:left="80"/>
              <w:spacing w:after="0" w:line="228" w:lineRule="exact"/>
              <w:rPr>
                <w:sz w:val="20"/>
                <w:szCs w:val="20"/>
                <w:color w:val="auto"/>
              </w:rPr>
            </w:pPr>
            <w:r>
              <w:rPr>
                <w:rFonts w:ascii="Arial" w:cs="Arial" w:eastAsia="Arial" w:hAnsi="Arial"/>
                <w:sz w:val="20"/>
                <w:szCs w:val="20"/>
                <w:i w:val="1"/>
                <w:iCs w:val="1"/>
                <w:color w:val="808080"/>
              </w:rPr>
              <w:t>Name of Company</w:t>
            </w:r>
          </w:p>
        </w:tc>
        <w:tc>
          <w:tcPr>
            <w:tcW w:w="640" w:type="dxa"/>
            <w:vAlign w:val="bottom"/>
            <w:tcBorders>
              <w:bottom w:val="single" w:sz="8" w:color="auto"/>
              <w:right w:val="single" w:sz="8" w:color="auto"/>
            </w:tcBorders>
            <w:shd w:val="clear" w:color="auto" w:fill="D3D3D3"/>
          </w:tcPr>
          <w:p>
            <w:pPr>
              <w:ind w:left="120"/>
              <w:spacing w:after="0" w:line="228" w:lineRule="exact"/>
              <w:rPr>
                <w:sz w:val="20"/>
                <w:szCs w:val="20"/>
                <w:color w:val="auto"/>
              </w:rPr>
            </w:pPr>
            <w:r>
              <w:rPr>
                <w:rFonts w:ascii="Arial" w:cs="Arial" w:eastAsia="Arial" w:hAnsi="Arial"/>
                <w:sz w:val="20"/>
                <w:szCs w:val="20"/>
                <w:b w:val="1"/>
                <w:bCs w:val="1"/>
                <w:color w:val="auto"/>
              </w:rPr>
              <w:t>Fax</w:t>
            </w: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gridSpan w:val="3"/>
          </w:tcPr>
          <w:p>
            <w:pPr>
              <w:spacing w:after="0" w:line="228" w:lineRule="exact"/>
              <w:rPr>
                <w:sz w:val="20"/>
                <w:szCs w:val="20"/>
                <w:color w:val="auto"/>
              </w:rPr>
            </w:pPr>
            <w:r>
              <w:rPr>
                <w:rFonts w:ascii="Arial" w:cs="Arial" w:eastAsia="Arial" w:hAnsi="Arial"/>
                <w:sz w:val="20"/>
                <w:szCs w:val="20"/>
                <w:i w:val="1"/>
                <w:iCs w:val="1"/>
                <w:color w:val="808080"/>
              </w:rPr>
              <w:t>Fax Number</w:t>
            </w:r>
          </w:p>
        </w:tc>
        <w:tc>
          <w:tcPr>
            <w:tcW w:w="140" w:type="dxa"/>
            <w:vAlign w:val="bottom"/>
            <w:tcBorders>
              <w:bottom w:val="single" w:sz="8" w:color="auto"/>
              <w:right w:val="single" w:sz="8" w:color="D3D3D3"/>
            </w:tcBorders>
            <w:shd w:val="clear" w:color="auto" w:fill="D3D3D3"/>
          </w:tcPr>
          <w:p>
            <w:pPr>
              <w:spacing w:after="0"/>
              <w:rPr>
                <w:sz w:val="19"/>
                <w:szCs w:val="19"/>
                <w:color w:val="auto"/>
              </w:rPr>
            </w:pPr>
          </w:p>
        </w:tc>
        <w:tc>
          <w:tcPr>
            <w:tcW w:w="740" w:type="dxa"/>
            <w:vAlign w:val="bottom"/>
            <w:tcBorders>
              <w:bottom w:val="single" w:sz="8" w:color="auto"/>
              <w:right w:val="single" w:sz="8" w:color="auto"/>
            </w:tcBorders>
            <w:shd w:val="clear" w:color="auto" w:fill="D3D3D3"/>
          </w:tcPr>
          <w:p>
            <w:pPr>
              <w:spacing w:after="0" w:line="228" w:lineRule="exact"/>
              <w:rPr>
                <w:sz w:val="20"/>
                <w:szCs w:val="20"/>
                <w:color w:val="auto"/>
              </w:rPr>
            </w:pPr>
            <w:r>
              <w:rPr>
                <w:rFonts w:ascii="Arial" w:cs="Arial" w:eastAsia="Arial" w:hAnsi="Arial"/>
                <w:sz w:val="20"/>
                <w:szCs w:val="20"/>
                <w:b w:val="1"/>
                <w:bCs w:val="1"/>
                <w:color w:val="auto"/>
              </w:rPr>
              <w:t>Email</w:t>
            </w:r>
          </w:p>
        </w:tc>
        <w:tc>
          <w:tcPr>
            <w:tcW w:w="1620" w:type="dxa"/>
            <w:vAlign w:val="bottom"/>
            <w:tcBorders>
              <w:bottom w:val="single" w:sz="8" w:color="auto"/>
            </w:tcBorders>
            <w:gridSpan w:val="3"/>
          </w:tcPr>
          <w:p>
            <w:pPr>
              <w:ind w:left="80"/>
              <w:spacing w:after="0" w:line="228" w:lineRule="exact"/>
              <w:rPr>
                <w:sz w:val="20"/>
                <w:szCs w:val="20"/>
                <w:color w:val="auto"/>
              </w:rPr>
            </w:pPr>
            <w:r>
              <w:rPr>
                <w:rFonts w:ascii="Arial" w:cs="Arial" w:eastAsia="Arial" w:hAnsi="Arial"/>
                <w:sz w:val="20"/>
                <w:szCs w:val="20"/>
                <w:i w:val="1"/>
                <w:iCs w:val="1"/>
                <w:color w:val="808080"/>
              </w:rPr>
              <w:t>Email Address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ind w:left="80"/>
              <w:spacing w:after="0" w:line="228" w:lineRule="exact"/>
              <w:rPr>
                <w:sz w:val="20"/>
                <w:szCs w:val="20"/>
                <w:color w:val="auto"/>
              </w:rPr>
            </w:pPr>
            <w:r>
              <w:rPr>
                <w:rFonts w:ascii="Arial" w:cs="Arial" w:eastAsia="Arial" w:hAnsi="Arial"/>
                <w:sz w:val="20"/>
                <w:szCs w:val="20"/>
                <w:b w:val="1"/>
                <w:bCs w:val="1"/>
                <w:i w:val="1"/>
                <w:iCs w:val="1"/>
                <w:color w:val="808080"/>
                <w:w w:val="99"/>
              </w:rPr>
              <w:t>Email Pfd.</w:t>
            </w:r>
          </w:p>
        </w:tc>
        <w:tc>
          <w:tcPr>
            <w:tcW w:w="0" w:type="dxa"/>
            <w:vAlign w:val="bottom"/>
          </w:tcPr>
          <w:p>
            <w:pPr>
              <w:spacing w:after="0"/>
              <w:rPr>
                <w:sz w:val="1"/>
                <w:szCs w:val="1"/>
                <w:color w:val="auto"/>
              </w:rPr>
            </w:pPr>
          </w:p>
        </w:tc>
      </w:tr>
      <w:tr>
        <w:trPr>
          <w:trHeight w:val="281"/>
        </w:trPr>
        <w:tc>
          <w:tcPr>
            <w:tcW w:w="720" w:type="dxa"/>
            <w:vAlign w:val="bottom"/>
            <w:tcBorders>
              <w:left w:val="single" w:sz="8" w:color="auto"/>
              <w:bottom w:val="single" w:sz="8" w:color="auto"/>
              <w:right w:val="single" w:sz="8" w:color="auto"/>
            </w:tcBorders>
            <w:shd w:val="clear" w:color="auto" w:fill="D3D3D3"/>
          </w:tcPr>
          <w:p>
            <w:pPr>
              <w:ind w:left="220"/>
              <w:spacing w:after="0"/>
              <w:rPr>
                <w:sz w:val="20"/>
                <w:szCs w:val="20"/>
                <w:color w:val="auto"/>
              </w:rPr>
            </w:pPr>
            <w:r>
              <w:rPr>
                <w:rFonts w:ascii="Arial" w:cs="Arial" w:eastAsia="Arial" w:hAnsi="Arial"/>
                <w:sz w:val="20"/>
                <w:szCs w:val="20"/>
                <w:b w:val="1"/>
                <w:bCs w:val="1"/>
                <w:color w:val="auto"/>
              </w:rPr>
              <w:t>Firm</w:t>
            </w:r>
          </w:p>
        </w:tc>
        <w:tc>
          <w:tcPr>
            <w:tcW w:w="186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20"/>
                <w:szCs w:val="20"/>
                <w:i w:val="1"/>
                <w:iCs w:val="1"/>
                <w:color w:val="808080"/>
              </w:rPr>
              <w:t>Name of Company</w:t>
            </w:r>
          </w:p>
        </w:tc>
        <w:tc>
          <w:tcPr>
            <w:tcW w:w="640" w:type="dxa"/>
            <w:vAlign w:val="bottom"/>
            <w:tcBorders>
              <w:bottom w:val="single" w:sz="8" w:color="auto"/>
              <w:right w:val="single" w:sz="8" w:color="auto"/>
            </w:tcBorders>
            <w:shd w:val="clear" w:color="auto" w:fill="D3D3D3"/>
          </w:tcPr>
          <w:p>
            <w:pPr>
              <w:ind w:left="120"/>
              <w:spacing w:after="0"/>
              <w:rPr>
                <w:sz w:val="20"/>
                <w:szCs w:val="20"/>
                <w:color w:val="auto"/>
              </w:rPr>
            </w:pPr>
            <w:r>
              <w:rPr>
                <w:rFonts w:ascii="Arial" w:cs="Arial" w:eastAsia="Arial" w:hAnsi="Arial"/>
                <w:sz w:val="20"/>
                <w:szCs w:val="20"/>
                <w:b w:val="1"/>
                <w:bCs w:val="1"/>
                <w:color w:val="auto"/>
              </w:rPr>
              <w:t>Fax</w:t>
            </w: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0"/>
                <w:szCs w:val="20"/>
                <w:i w:val="1"/>
                <w:iCs w:val="1"/>
                <w:color w:val="808080"/>
              </w:rPr>
              <w:t>Fax Number</w:t>
            </w:r>
          </w:p>
        </w:tc>
        <w:tc>
          <w:tcPr>
            <w:tcW w:w="140" w:type="dxa"/>
            <w:vAlign w:val="bottom"/>
            <w:tcBorders>
              <w:bottom w:val="single" w:sz="8" w:color="auto"/>
              <w:right w:val="single" w:sz="8" w:color="D3D3D3"/>
            </w:tcBorders>
            <w:shd w:val="clear" w:color="auto" w:fill="D3D3D3"/>
          </w:tcPr>
          <w:p>
            <w:pPr>
              <w:spacing w:after="0"/>
              <w:rPr>
                <w:sz w:val="24"/>
                <w:szCs w:val="24"/>
                <w:color w:val="auto"/>
              </w:rPr>
            </w:pPr>
          </w:p>
        </w:tc>
        <w:tc>
          <w:tcPr>
            <w:tcW w:w="740" w:type="dxa"/>
            <w:vAlign w:val="bottom"/>
            <w:tcBorders>
              <w:bottom w:val="single" w:sz="8" w:color="auto"/>
              <w:right w:val="single" w:sz="8" w:color="auto"/>
            </w:tcBorders>
            <w:shd w:val="clear" w:color="auto" w:fill="D3D3D3"/>
          </w:tcPr>
          <w:p>
            <w:pPr>
              <w:spacing w:after="0"/>
              <w:rPr>
                <w:sz w:val="20"/>
                <w:szCs w:val="20"/>
                <w:color w:val="auto"/>
              </w:rPr>
            </w:pPr>
            <w:r>
              <w:rPr>
                <w:rFonts w:ascii="Arial" w:cs="Arial" w:eastAsia="Arial" w:hAnsi="Arial"/>
                <w:sz w:val="20"/>
                <w:szCs w:val="20"/>
                <w:b w:val="1"/>
                <w:bCs w:val="1"/>
                <w:color w:val="auto"/>
              </w:rPr>
              <w:t>Email</w:t>
            </w: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20"/>
                <w:szCs w:val="20"/>
                <w:i w:val="1"/>
                <w:iCs w:val="1"/>
                <w:color w:val="808080"/>
              </w:rPr>
              <w:t>Email Address</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i w:val="1"/>
                <w:iCs w:val="1"/>
                <w:color w:val="808080"/>
                <w:w w:val="99"/>
              </w:rPr>
              <w:t>Email Pfd.</w:t>
            </w:r>
          </w:p>
        </w:tc>
        <w:tc>
          <w:tcPr>
            <w:tcW w:w="0" w:type="dxa"/>
            <w:vAlign w:val="bottom"/>
          </w:tcPr>
          <w:p>
            <w:pPr>
              <w:spacing w:after="0"/>
              <w:rPr>
                <w:sz w:val="1"/>
                <w:szCs w:val="1"/>
                <w:color w:val="auto"/>
              </w:rPr>
            </w:pPr>
          </w:p>
        </w:tc>
      </w:tr>
      <w:tr>
        <w:trPr>
          <w:trHeight w:val="20"/>
        </w:trPr>
        <w:tc>
          <w:tcPr>
            <w:tcW w:w="72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540" w:type="dxa"/>
            <w:vAlign w:val="bottom"/>
            <w:tcBorders>
              <w:bottom w:val="single" w:sz="8" w:color="auto"/>
            </w:tcBorders>
            <w:gridSpan w:val="3"/>
          </w:tcPr>
          <w:p>
            <w:pPr>
              <w:spacing w:after="0"/>
              <w:rPr>
                <w:sz w:val="21"/>
                <w:szCs w:val="21"/>
                <w:color w:val="auto"/>
              </w:rPr>
            </w:pPr>
          </w:p>
        </w:tc>
        <w:tc>
          <w:tcPr>
            <w:tcW w:w="3840" w:type="dxa"/>
            <w:vAlign w:val="bottom"/>
            <w:tcBorders>
              <w:bottom w:val="single" w:sz="8" w:color="auto"/>
            </w:tcBorders>
            <w:gridSpan w:val="9"/>
          </w:tcPr>
          <w:p>
            <w:pPr>
              <w:spacing w:after="0"/>
              <w:rPr>
                <w:sz w:val="21"/>
                <w:szCs w:val="21"/>
                <w:color w:val="auto"/>
              </w:rPr>
            </w:pPr>
          </w:p>
        </w:tc>
        <w:tc>
          <w:tcPr>
            <w:tcW w:w="86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7240" w:type="dxa"/>
            <w:vAlign w:val="bottom"/>
            <w:tcBorders>
              <w:left w:val="single" w:sz="8" w:color="auto"/>
              <w:right w:val="single" w:sz="8" w:color="auto"/>
            </w:tcBorders>
            <w:gridSpan w:val="14"/>
            <w:shd w:val="clear" w:color="auto" w:fill="000000"/>
          </w:tcPr>
          <w:p>
            <w:pPr>
              <w:ind w:left="160"/>
              <w:spacing w:after="0"/>
              <w:rPr>
                <w:sz w:val="20"/>
                <w:szCs w:val="20"/>
                <w:color w:val="auto"/>
              </w:rPr>
            </w:pPr>
            <w:r>
              <w:rPr>
                <w:rFonts w:ascii="Arial" w:cs="Arial" w:eastAsia="Arial" w:hAnsi="Arial"/>
                <w:sz w:val="20"/>
                <w:szCs w:val="20"/>
                <w:b w:val="1"/>
                <w:bCs w:val="1"/>
                <w:color w:val="FFFFFF"/>
              </w:rPr>
              <w:t>STANDARD SETTLEMENT INSTRUCTIONS / WIRING INSTRUCTIONS</w:t>
            </w:r>
          </w:p>
        </w:tc>
        <w:tc>
          <w:tcPr>
            <w:tcW w:w="240" w:type="dxa"/>
            <w:vAlign w:val="bottom"/>
            <w:tcBorders>
              <w:right w:val="single" w:sz="8" w:color="auto"/>
            </w:tcBorders>
            <w:shd w:val="clear" w:color="auto" w:fill="000000"/>
          </w:tcPr>
          <w:p>
            <w:pPr>
              <w:spacing w:after="0"/>
              <w:rPr>
                <w:sz w:val="24"/>
                <w:szCs w:val="24"/>
                <w:color w:val="auto"/>
              </w:rPr>
            </w:pPr>
          </w:p>
        </w:tc>
        <w:tc>
          <w:tcPr>
            <w:tcW w:w="640" w:type="dxa"/>
            <w:vAlign w:val="bottom"/>
            <w:tcBorders>
              <w:right w:val="single" w:sz="8" w:color="auto"/>
            </w:tcBorders>
            <w:shd w:val="clear" w:color="auto" w:fill="000000"/>
          </w:tcPr>
          <w:p>
            <w:pPr>
              <w:spacing w:after="0"/>
              <w:rPr>
                <w:sz w:val="24"/>
                <w:szCs w:val="24"/>
                <w:color w:val="auto"/>
              </w:rPr>
            </w:pPr>
          </w:p>
        </w:tc>
        <w:tc>
          <w:tcPr>
            <w:tcW w:w="16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420" w:type="dxa"/>
            <w:vAlign w:val="bottom"/>
            <w:tcBorders>
              <w:right w:val="single" w:sz="8" w:color="auto"/>
            </w:tcBorders>
            <w:shd w:val="clear" w:color="auto" w:fill="000000"/>
          </w:tcPr>
          <w:p>
            <w:pPr>
              <w:spacing w:after="0"/>
              <w:rPr>
                <w:sz w:val="24"/>
                <w:szCs w:val="24"/>
                <w:color w:val="auto"/>
              </w:rPr>
            </w:pPr>
          </w:p>
        </w:tc>
        <w:tc>
          <w:tcPr>
            <w:tcW w:w="40" w:type="dxa"/>
            <w:vAlign w:val="bottom"/>
            <w:tcBorders>
              <w:right w:val="single" w:sz="8" w:color="auto"/>
            </w:tcBorders>
            <w:shd w:val="clear" w:color="auto" w:fill="000000"/>
          </w:tcPr>
          <w:p>
            <w:pPr>
              <w:spacing w:after="0"/>
              <w:rPr>
                <w:sz w:val="24"/>
                <w:szCs w:val="24"/>
                <w:color w:val="auto"/>
              </w:rPr>
            </w:pPr>
          </w:p>
        </w:tc>
        <w:tc>
          <w:tcPr>
            <w:tcW w:w="1040" w:type="dxa"/>
            <w:vAlign w:val="bottom"/>
            <w:tcBorders>
              <w:right w:val="single" w:sz="8" w:color="auto"/>
            </w:tcBorders>
            <w:shd w:val="clear" w:color="auto" w:fill="000000"/>
          </w:tcPr>
          <w:p>
            <w:pPr>
              <w:spacing w:after="0"/>
              <w:rPr>
                <w:sz w:val="24"/>
                <w:szCs w:val="24"/>
                <w:color w:val="auto"/>
              </w:rPr>
            </w:pPr>
          </w:p>
        </w:tc>
        <w:tc>
          <w:tcPr>
            <w:tcW w:w="108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540" w:type="dxa"/>
            <w:vAlign w:val="bottom"/>
            <w:tcBorders>
              <w:left w:val="single" w:sz="8" w:color="auto"/>
              <w:right w:val="single" w:sz="8" w:color="auto"/>
            </w:tcBorders>
            <w:gridSpan w:val="3"/>
            <w:shd w:val="clear" w:color="auto" w:fill="000000"/>
          </w:tcPr>
          <w:p>
            <w:pPr>
              <w:spacing w:after="0"/>
              <w:rPr>
                <w:sz w:val="5"/>
                <w:szCs w:val="5"/>
                <w:color w:val="auto"/>
              </w:rPr>
            </w:pPr>
          </w:p>
        </w:tc>
        <w:tc>
          <w:tcPr>
            <w:tcW w:w="40" w:type="dxa"/>
            <w:vAlign w:val="bottom"/>
            <w:tcBorders>
              <w:right w:val="single" w:sz="8" w:color="auto"/>
            </w:tcBorders>
            <w:shd w:val="clear" w:color="auto" w:fill="000000"/>
          </w:tcPr>
          <w:p>
            <w:pPr>
              <w:spacing w:after="0"/>
              <w:rPr>
                <w:sz w:val="5"/>
                <w:szCs w:val="5"/>
                <w:color w:val="auto"/>
              </w:rPr>
            </w:pPr>
          </w:p>
        </w:tc>
        <w:tc>
          <w:tcPr>
            <w:tcW w:w="2300" w:type="dxa"/>
            <w:vAlign w:val="bottom"/>
            <w:tcBorders>
              <w:right w:val="single" w:sz="8" w:color="auto"/>
            </w:tcBorders>
            <w:gridSpan w:val="6"/>
            <w:shd w:val="clear" w:color="auto" w:fill="000000"/>
          </w:tcPr>
          <w:p>
            <w:pPr>
              <w:spacing w:after="0"/>
              <w:rPr>
                <w:sz w:val="5"/>
                <w:szCs w:val="5"/>
                <w:color w:val="auto"/>
              </w:rPr>
            </w:pPr>
          </w:p>
        </w:tc>
        <w:tc>
          <w:tcPr>
            <w:tcW w:w="740" w:type="dxa"/>
            <w:vAlign w:val="bottom"/>
            <w:tcBorders>
              <w:right w:val="single" w:sz="8" w:color="auto"/>
            </w:tcBorders>
            <w:shd w:val="clear" w:color="auto" w:fill="000000"/>
          </w:tcPr>
          <w:p>
            <w:pPr>
              <w:spacing w:after="0"/>
              <w:rPr>
                <w:sz w:val="5"/>
                <w:szCs w:val="5"/>
                <w:color w:val="auto"/>
              </w:rPr>
            </w:pPr>
          </w:p>
        </w:tc>
        <w:tc>
          <w:tcPr>
            <w:tcW w:w="7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60" w:type="dxa"/>
            <w:vAlign w:val="bottom"/>
            <w:tcBorders>
              <w:right w:val="single" w:sz="8" w:color="auto"/>
            </w:tcBorders>
            <w:shd w:val="clear" w:color="auto" w:fill="000000"/>
          </w:tcPr>
          <w:p>
            <w:pPr>
              <w:spacing w:after="0"/>
              <w:rPr>
                <w:sz w:val="5"/>
                <w:szCs w:val="5"/>
                <w:color w:val="auto"/>
              </w:rPr>
            </w:pPr>
          </w:p>
        </w:tc>
        <w:tc>
          <w:tcPr>
            <w:tcW w:w="240" w:type="dxa"/>
            <w:vAlign w:val="bottom"/>
            <w:tcBorders>
              <w:right w:val="single" w:sz="8" w:color="auto"/>
            </w:tcBorders>
            <w:shd w:val="clear" w:color="auto" w:fill="000000"/>
          </w:tcPr>
          <w:p>
            <w:pPr>
              <w:spacing w:after="0"/>
              <w:rPr>
                <w:sz w:val="5"/>
                <w:szCs w:val="5"/>
                <w:color w:val="auto"/>
              </w:rPr>
            </w:pPr>
          </w:p>
        </w:tc>
        <w:tc>
          <w:tcPr>
            <w:tcW w:w="640" w:type="dxa"/>
            <w:vAlign w:val="bottom"/>
            <w:tcBorders>
              <w:right w:val="single" w:sz="8" w:color="auto"/>
            </w:tcBorders>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20" w:type="dxa"/>
            <w:vAlign w:val="bottom"/>
            <w:tcBorders>
              <w:right w:val="single" w:sz="8" w:color="auto"/>
            </w:tcBorders>
            <w:shd w:val="clear" w:color="auto" w:fill="000000"/>
          </w:tcPr>
          <w:p>
            <w:pPr>
              <w:spacing w:after="0"/>
              <w:rPr>
                <w:sz w:val="5"/>
                <w:szCs w:val="5"/>
                <w:color w:val="auto"/>
              </w:rPr>
            </w:pPr>
          </w:p>
        </w:tc>
        <w:tc>
          <w:tcPr>
            <w:tcW w:w="40" w:type="dxa"/>
            <w:vAlign w:val="bottom"/>
            <w:tcBorders>
              <w:right w:val="single" w:sz="8" w:color="auto"/>
            </w:tcBorders>
            <w:shd w:val="clear" w:color="auto" w:fill="000000"/>
          </w:tcPr>
          <w:p>
            <w:pPr>
              <w:spacing w:after="0"/>
              <w:rPr>
                <w:sz w:val="5"/>
                <w:szCs w:val="5"/>
                <w:color w:val="auto"/>
              </w:rPr>
            </w:pPr>
          </w:p>
        </w:tc>
        <w:tc>
          <w:tcPr>
            <w:tcW w:w="1040" w:type="dxa"/>
            <w:vAlign w:val="bottom"/>
            <w:tcBorders>
              <w:right w:val="single" w:sz="8" w:color="auto"/>
            </w:tcBorders>
            <w:shd w:val="clear" w:color="auto" w:fill="000000"/>
          </w:tcPr>
          <w:p>
            <w:pPr>
              <w:spacing w:after="0"/>
              <w:rPr>
                <w:sz w:val="5"/>
                <w:szCs w:val="5"/>
                <w:color w:val="auto"/>
              </w:rPr>
            </w:pPr>
          </w:p>
        </w:tc>
        <w:tc>
          <w:tcPr>
            <w:tcW w:w="1080" w:type="dxa"/>
            <w:vAlign w:val="bottom"/>
            <w:tcBorders>
              <w:righ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540" w:type="dxa"/>
            <w:vAlign w:val="bottom"/>
            <w:tcBorders>
              <w:left w:val="single" w:sz="8" w:color="7B7B7B"/>
              <w:bottom w:val="single" w:sz="8" w:color="auto"/>
              <w:right w:val="single" w:sz="8" w:color="auto"/>
            </w:tcBorders>
            <w:gridSpan w:val="3"/>
            <w:shd w:val="clear" w:color="auto" w:fill="7B7B7B"/>
          </w:tcPr>
          <w:p>
            <w:pPr>
              <w:ind w:left="160"/>
              <w:spacing w:after="0" w:line="228" w:lineRule="exact"/>
              <w:rPr>
                <w:sz w:val="20"/>
                <w:szCs w:val="20"/>
                <w:color w:val="auto"/>
              </w:rPr>
            </w:pPr>
            <w:r>
              <w:rPr>
                <w:rFonts w:ascii="Arial" w:cs="Arial" w:eastAsia="Arial" w:hAnsi="Arial"/>
                <w:sz w:val="20"/>
                <w:szCs w:val="20"/>
                <w:b w:val="1"/>
                <w:bCs w:val="1"/>
                <w:color w:val="auto"/>
              </w:rPr>
              <w:t>Currency</w:t>
            </w:r>
          </w:p>
        </w:tc>
        <w:tc>
          <w:tcPr>
            <w:tcW w:w="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ind w:left="60"/>
              <w:spacing w:after="0" w:line="228" w:lineRule="exact"/>
              <w:rPr>
                <w:sz w:val="20"/>
                <w:szCs w:val="20"/>
                <w:color w:val="auto"/>
              </w:rPr>
            </w:pPr>
            <w:r>
              <w:rPr>
                <w:rFonts w:ascii="Arial" w:cs="Arial" w:eastAsia="Arial" w:hAnsi="Arial"/>
                <w:sz w:val="20"/>
                <w:szCs w:val="20"/>
                <w:i w:val="1"/>
                <w:iCs w:val="1"/>
                <w:color w:val="808080"/>
              </w:rPr>
              <w:t>Applicable Currency.</w:t>
            </w: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540" w:type="dxa"/>
            <w:vAlign w:val="bottom"/>
            <w:tcBorders>
              <w:left w:val="single" w:sz="8" w:color="A8A8A8"/>
              <w:bottom w:val="single" w:sz="8" w:color="D3D3D3"/>
              <w:right w:val="single" w:sz="8" w:color="auto"/>
            </w:tcBorders>
            <w:gridSpan w:val="3"/>
            <w:shd w:val="clear" w:color="auto" w:fill="A8A8A8"/>
          </w:tcPr>
          <w:p>
            <w:pPr>
              <w:jc w:val="right"/>
              <w:spacing w:after="0" w:line="228" w:lineRule="exact"/>
              <w:rPr>
                <w:sz w:val="20"/>
                <w:szCs w:val="20"/>
                <w:color w:val="auto"/>
              </w:rPr>
            </w:pPr>
            <w:r>
              <w:rPr>
                <w:rFonts w:ascii="Arial" w:cs="Arial" w:eastAsia="Arial" w:hAnsi="Arial"/>
                <w:sz w:val="20"/>
                <w:szCs w:val="20"/>
                <w:color w:val="auto"/>
              </w:rPr>
              <w:t>Account With Institution</w:t>
            </w:r>
          </w:p>
        </w:tc>
        <w:tc>
          <w:tcPr>
            <w:tcW w:w="4700" w:type="dxa"/>
            <w:vAlign w:val="bottom"/>
            <w:tcBorders>
              <w:bottom w:val="single" w:sz="8" w:color="auto"/>
            </w:tcBorders>
            <w:gridSpan w:val="11"/>
          </w:tcPr>
          <w:p>
            <w:pPr>
              <w:ind w:left="100"/>
              <w:spacing w:after="0" w:line="228" w:lineRule="exact"/>
              <w:rPr>
                <w:sz w:val="20"/>
                <w:szCs w:val="20"/>
                <w:color w:val="auto"/>
              </w:rPr>
            </w:pPr>
            <w:r>
              <w:rPr>
                <w:rFonts w:ascii="Arial" w:cs="Arial" w:eastAsia="Arial" w:hAnsi="Arial"/>
                <w:sz w:val="20"/>
                <w:szCs w:val="20"/>
                <w:i w:val="1"/>
                <w:iCs w:val="1"/>
                <w:color w:val="808080"/>
                <w:w w:val="94"/>
              </w:rPr>
              <w:t>Name of Beneficiary’s Bank (usually custodian/trustee)</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20" w:type="dxa"/>
            <w:vAlign w:val="bottom"/>
            <w:tcBorders>
              <w:left w:val="single" w:sz="8" w:color="D3D3D3"/>
              <w:right w:val="single" w:sz="8" w:color="D3D3D3"/>
            </w:tcBorders>
            <w:shd w:val="clear" w:color="auto" w:fill="D3D3D3"/>
          </w:tcPr>
          <w:p>
            <w:pPr>
              <w:spacing w:after="0"/>
              <w:rPr>
                <w:sz w:val="17"/>
                <w:szCs w:val="17"/>
                <w:color w:val="auto"/>
              </w:rPr>
            </w:pPr>
          </w:p>
        </w:tc>
        <w:tc>
          <w:tcPr>
            <w:tcW w:w="720" w:type="dxa"/>
            <w:vAlign w:val="bottom"/>
            <w:tcBorders>
              <w:right w:val="single" w:sz="8" w:color="D3D3D3"/>
            </w:tcBorders>
            <w:shd w:val="clear" w:color="auto" w:fill="D3D3D3"/>
          </w:tcPr>
          <w:p>
            <w:pPr>
              <w:spacing w:after="0"/>
              <w:rPr>
                <w:sz w:val="17"/>
                <w:szCs w:val="17"/>
                <w:color w:val="auto"/>
              </w:rPr>
            </w:pPr>
          </w:p>
        </w:tc>
        <w:tc>
          <w:tcPr>
            <w:tcW w:w="1100" w:type="dxa"/>
            <w:vAlign w:val="bottom"/>
            <w:tcBorders>
              <w:left w:val="single" w:sz="8" w:color="D3D3D3"/>
              <w:right w:val="single" w:sz="8" w:color="auto"/>
            </w:tcBorders>
            <w:vMerge w:val="restart"/>
            <w:shd w:val="clear" w:color="auto" w:fill="D3D3D3"/>
          </w:tcPr>
          <w:p>
            <w:pPr>
              <w:jc w:val="right"/>
              <w:spacing w:after="0"/>
              <w:rPr>
                <w:sz w:val="20"/>
                <w:szCs w:val="20"/>
                <w:color w:val="auto"/>
              </w:rPr>
            </w:pPr>
            <w:r>
              <w:rPr>
                <w:rFonts w:ascii="Arial" w:cs="Arial" w:eastAsia="Arial" w:hAnsi="Arial"/>
                <w:sz w:val="20"/>
                <w:szCs w:val="20"/>
                <w:color w:val="808080"/>
              </w:rPr>
              <w:t>SWIFT BIC</w:t>
            </w:r>
          </w:p>
        </w:tc>
        <w:tc>
          <w:tcPr>
            <w:tcW w:w="40" w:type="dxa"/>
            <w:vAlign w:val="bottom"/>
          </w:tcPr>
          <w:p>
            <w:pPr>
              <w:spacing w:after="0"/>
              <w:rPr>
                <w:sz w:val="17"/>
                <w:szCs w:val="17"/>
                <w:color w:val="auto"/>
              </w:rPr>
            </w:pPr>
          </w:p>
        </w:tc>
        <w:tc>
          <w:tcPr>
            <w:tcW w:w="3800" w:type="dxa"/>
            <w:vAlign w:val="bottom"/>
            <w:tcBorders>
              <w:right w:val="single" w:sz="8" w:color="auto"/>
            </w:tcBorders>
            <w:gridSpan w:val="8"/>
            <w:vMerge w:val="restart"/>
          </w:tcPr>
          <w:p>
            <w:pPr>
              <w:ind w:left="60"/>
              <w:spacing w:after="0"/>
              <w:rPr>
                <w:sz w:val="20"/>
                <w:szCs w:val="20"/>
                <w:color w:val="auto"/>
              </w:rPr>
            </w:pPr>
            <w:r>
              <w:rPr>
                <w:rFonts w:ascii="Arial" w:cs="Arial" w:eastAsia="Arial" w:hAnsi="Arial"/>
                <w:sz w:val="20"/>
                <w:szCs w:val="20"/>
                <w:i w:val="1"/>
                <w:iCs w:val="1"/>
                <w:color w:val="808080"/>
              </w:rPr>
              <w:t>8/11-Character BIC of Beneficiary’s Bank</w:t>
            </w:r>
          </w:p>
        </w:tc>
        <w:tc>
          <w:tcPr>
            <w:tcW w:w="100" w:type="dxa"/>
            <w:vAlign w:val="bottom"/>
            <w:shd w:val="clear" w:color="auto" w:fill="D3D3D3"/>
          </w:tcPr>
          <w:p>
            <w:pPr>
              <w:spacing w:after="0"/>
              <w:rPr>
                <w:sz w:val="17"/>
                <w:szCs w:val="17"/>
                <w:color w:val="auto"/>
              </w:rPr>
            </w:pPr>
          </w:p>
        </w:tc>
        <w:tc>
          <w:tcPr>
            <w:tcW w:w="760" w:type="dxa"/>
            <w:vAlign w:val="bottom"/>
            <w:tcBorders>
              <w:right w:val="single" w:sz="8" w:color="auto"/>
            </w:tcBorders>
            <w:vMerge w:val="restart"/>
            <w:shd w:val="clear" w:color="auto" w:fill="D3D3D3"/>
          </w:tcPr>
          <w:p>
            <w:pPr>
              <w:ind w:left="20"/>
              <w:spacing w:after="0"/>
              <w:rPr>
                <w:sz w:val="20"/>
                <w:szCs w:val="20"/>
                <w:color w:val="auto"/>
              </w:rPr>
            </w:pPr>
            <w:r>
              <w:rPr>
                <w:rFonts w:ascii="Arial" w:cs="Arial" w:eastAsia="Arial" w:hAnsi="Arial"/>
                <w:sz w:val="20"/>
                <w:szCs w:val="20"/>
                <w:color w:val="auto"/>
              </w:rPr>
              <w:t>ABA #</w:t>
            </w:r>
          </w:p>
        </w:tc>
        <w:tc>
          <w:tcPr>
            <w:tcW w:w="3700" w:type="dxa"/>
            <w:vAlign w:val="bottom"/>
            <w:gridSpan w:val="8"/>
          </w:tcPr>
          <w:p>
            <w:pPr>
              <w:ind w:left="80"/>
              <w:spacing w:after="0" w:line="205" w:lineRule="exact"/>
              <w:rPr>
                <w:sz w:val="20"/>
                <w:szCs w:val="20"/>
                <w:color w:val="auto"/>
              </w:rPr>
            </w:pPr>
            <w:r>
              <w:rPr>
                <w:rFonts w:ascii="Arial" w:cs="Arial" w:eastAsia="Arial" w:hAnsi="Arial"/>
                <w:sz w:val="20"/>
                <w:szCs w:val="20"/>
                <w:i w:val="1"/>
                <w:iCs w:val="1"/>
                <w:color w:val="808080"/>
                <w:w w:val="94"/>
              </w:rPr>
              <w:t>Routing # or UK Sort Code of Beneficiary’s</w:t>
            </w:r>
          </w:p>
        </w:tc>
        <w:tc>
          <w:tcPr>
            <w:tcW w:w="0" w:type="dxa"/>
            <w:vAlign w:val="bottom"/>
          </w:tcPr>
          <w:p>
            <w:pPr>
              <w:spacing w:after="0"/>
              <w:rPr>
                <w:sz w:val="1"/>
                <w:szCs w:val="1"/>
                <w:color w:val="auto"/>
              </w:rPr>
            </w:pPr>
          </w:p>
        </w:tc>
      </w:tr>
      <w:tr>
        <w:trPr>
          <w:trHeight w:val="128"/>
        </w:trPr>
        <w:tc>
          <w:tcPr>
            <w:tcW w:w="720" w:type="dxa"/>
            <w:vAlign w:val="bottom"/>
            <w:tcBorders>
              <w:left w:val="single" w:sz="8" w:color="D3D3D3"/>
              <w:right w:val="single" w:sz="8" w:color="D3D3D3"/>
            </w:tcBorders>
            <w:shd w:val="clear" w:color="auto" w:fill="D3D3D3"/>
          </w:tcPr>
          <w:p>
            <w:pPr>
              <w:spacing w:after="0"/>
              <w:rPr>
                <w:sz w:val="11"/>
                <w:szCs w:val="11"/>
                <w:color w:val="auto"/>
              </w:rPr>
            </w:pPr>
          </w:p>
        </w:tc>
        <w:tc>
          <w:tcPr>
            <w:tcW w:w="720" w:type="dxa"/>
            <w:vAlign w:val="bottom"/>
            <w:tcBorders>
              <w:right w:val="single" w:sz="8" w:color="D3D3D3"/>
            </w:tcBorders>
            <w:shd w:val="clear" w:color="auto" w:fill="D3D3D3"/>
          </w:tcPr>
          <w:p>
            <w:pPr>
              <w:spacing w:after="0"/>
              <w:rPr>
                <w:sz w:val="11"/>
                <w:szCs w:val="11"/>
                <w:color w:val="auto"/>
              </w:rPr>
            </w:pPr>
          </w:p>
        </w:tc>
        <w:tc>
          <w:tcPr>
            <w:tcW w:w="1100" w:type="dxa"/>
            <w:vAlign w:val="bottom"/>
            <w:tcBorders>
              <w:left w:val="single" w:sz="8" w:color="D3D3D3"/>
              <w:right w:val="single" w:sz="8" w:color="auto"/>
            </w:tcBorders>
            <w:vMerge w:val="continue"/>
            <w:shd w:val="clear" w:color="auto" w:fill="D3D3D3"/>
          </w:tcPr>
          <w:p>
            <w:pPr>
              <w:spacing w:after="0"/>
              <w:rPr>
                <w:sz w:val="11"/>
                <w:szCs w:val="11"/>
                <w:color w:val="auto"/>
              </w:rPr>
            </w:pPr>
          </w:p>
        </w:tc>
        <w:tc>
          <w:tcPr>
            <w:tcW w:w="40" w:type="dxa"/>
            <w:vAlign w:val="bottom"/>
          </w:tcPr>
          <w:p>
            <w:pPr>
              <w:spacing w:after="0"/>
              <w:rPr>
                <w:sz w:val="11"/>
                <w:szCs w:val="11"/>
                <w:color w:val="auto"/>
              </w:rPr>
            </w:pPr>
          </w:p>
        </w:tc>
        <w:tc>
          <w:tcPr>
            <w:tcW w:w="3800" w:type="dxa"/>
            <w:vAlign w:val="bottom"/>
            <w:tcBorders>
              <w:right w:val="single" w:sz="8" w:color="auto"/>
            </w:tcBorders>
            <w:gridSpan w:val="8"/>
            <w:vMerge w:val="continue"/>
          </w:tcPr>
          <w:p>
            <w:pPr>
              <w:spacing w:after="0"/>
              <w:rPr>
                <w:sz w:val="11"/>
                <w:szCs w:val="11"/>
                <w:color w:val="auto"/>
              </w:rPr>
            </w:pPr>
          </w:p>
        </w:tc>
        <w:tc>
          <w:tcPr>
            <w:tcW w:w="100" w:type="dxa"/>
            <w:vAlign w:val="bottom"/>
            <w:shd w:val="clear" w:color="auto" w:fill="D3D3D3"/>
          </w:tcPr>
          <w:p>
            <w:pPr>
              <w:spacing w:after="0"/>
              <w:rPr>
                <w:sz w:val="11"/>
                <w:szCs w:val="11"/>
                <w:color w:val="auto"/>
              </w:rPr>
            </w:pPr>
          </w:p>
        </w:tc>
        <w:tc>
          <w:tcPr>
            <w:tcW w:w="760" w:type="dxa"/>
            <w:vAlign w:val="bottom"/>
            <w:tcBorders>
              <w:right w:val="single" w:sz="8" w:color="auto"/>
            </w:tcBorders>
            <w:vMerge w:val="continue"/>
            <w:shd w:val="clear" w:color="auto" w:fill="D3D3D3"/>
          </w:tcPr>
          <w:p>
            <w:pPr>
              <w:spacing w:after="0"/>
              <w:rPr>
                <w:sz w:val="11"/>
                <w:szCs w:val="11"/>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20"/>
                <w:szCs w:val="20"/>
                <w:i w:val="1"/>
                <w:iCs w:val="1"/>
                <w:color w:val="808080"/>
              </w:rPr>
              <w:t>Bank (optional)</w:t>
            </w:r>
          </w:p>
        </w:tc>
        <w:tc>
          <w:tcPr>
            <w:tcW w:w="1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tcBorders>
              <w:left w:val="single" w:sz="8" w:color="D3D3D3"/>
              <w:bottom w:val="single" w:sz="8" w:color="A8A8A8"/>
              <w:right w:val="single" w:sz="8" w:color="D3D3D3"/>
            </w:tcBorders>
            <w:shd w:val="clear" w:color="auto" w:fill="D3D3D3"/>
          </w:tcPr>
          <w:p>
            <w:pPr>
              <w:spacing w:after="0"/>
              <w:rPr>
                <w:sz w:val="10"/>
                <w:szCs w:val="10"/>
                <w:color w:val="auto"/>
              </w:rPr>
            </w:pPr>
          </w:p>
        </w:tc>
        <w:tc>
          <w:tcPr>
            <w:tcW w:w="720" w:type="dxa"/>
            <w:vAlign w:val="bottom"/>
            <w:tcBorders>
              <w:bottom w:val="single" w:sz="8" w:color="A8A8A8"/>
              <w:right w:val="single" w:sz="8" w:color="D3D3D3"/>
            </w:tcBorders>
            <w:shd w:val="clear" w:color="auto" w:fill="D3D3D3"/>
          </w:tcPr>
          <w:p>
            <w:pPr>
              <w:spacing w:after="0"/>
              <w:rPr>
                <w:sz w:val="10"/>
                <w:szCs w:val="10"/>
                <w:color w:val="auto"/>
              </w:rPr>
            </w:pPr>
          </w:p>
        </w:tc>
        <w:tc>
          <w:tcPr>
            <w:tcW w:w="1100" w:type="dxa"/>
            <w:vAlign w:val="bottom"/>
            <w:tcBorders>
              <w:left w:val="single" w:sz="8" w:color="D3D3D3"/>
              <w:bottom w:val="single" w:sz="8" w:color="A8A8A8"/>
              <w:right w:val="single" w:sz="8" w:color="auto"/>
            </w:tcBorders>
            <w:shd w:val="clear" w:color="auto" w:fill="D3D3D3"/>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shd w:val="clear" w:color="auto" w:fill="D3D3D3"/>
          </w:tcPr>
          <w:p>
            <w:pPr>
              <w:spacing w:after="0"/>
              <w:rPr>
                <w:sz w:val="10"/>
                <w:szCs w:val="10"/>
                <w:color w:val="auto"/>
              </w:rPr>
            </w:pPr>
          </w:p>
        </w:tc>
        <w:tc>
          <w:tcPr>
            <w:tcW w:w="760" w:type="dxa"/>
            <w:vAlign w:val="bottom"/>
            <w:tcBorders>
              <w:bottom w:val="single" w:sz="8" w:color="auto"/>
              <w:right w:val="single" w:sz="8" w:color="auto"/>
            </w:tcBorders>
            <w:shd w:val="clear" w:color="auto" w:fill="D3D3D3"/>
          </w:tcPr>
          <w:p>
            <w:pPr>
              <w:spacing w:after="0"/>
              <w:rPr>
                <w:sz w:val="10"/>
                <w:szCs w:val="10"/>
                <w:color w:val="auto"/>
              </w:rPr>
            </w:pPr>
          </w:p>
        </w:tc>
        <w:tc>
          <w:tcPr>
            <w:tcW w:w="1580" w:type="dxa"/>
            <w:vAlign w:val="bottom"/>
            <w:tcBorders>
              <w:bottom w:val="single" w:sz="8" w:color="auto"/>
            </w:tcBorders>
            <w:gridSpan w:val="6"/>
            <w:vMerge w:val="continue"/>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A8A8A8"/>
              <w:bottom w:val="single" w:sz="8" w:color="D3D3D3"/>
              <w:right w:val="single" w:sz="8" w:color="A8A8A8"/>
            </w:tcBorders>
            <w:shd w:val="clear" w:color="auto" w:fill="A8A8A8"/>
          </w:tcPr>
          <w:p>
            <w:pPr>
              <w:spacing w:after="0"/>
              <w:rPr>
                <w:sz w:val="19"/>
                <w:szCs w:val="19"/>
                <w:color w:val="auto"/>
              </w:rPr>
            </w:pPr>
          </w:p>
        </w:tc>
        <w:tc>
          <w:tcPr>
            <w:tcW w:w="1820" w:type="dxa"/>
            <w:vAlign w:val="bottom"/>
            <w:tcBorders>
              <w:bottom w:val="single" w:sz="8" w:color="D3D3D3"/>
              <w:right w:val="single" w:sz="8" w:color="auto"/>
            </w:tcBorders>
            <w:gridSpan w:val="2"/>
            <w:shd w:val="clear" w:color="auto" w:fill="A8A8A8"/>
          </w:tcPr>
          <w:p>
            <w:pPr>
              <w:jc w:val="right"/>
              <w:spacing w:after="0" w:line="221" w:lineRule="exact"/>
              <w:rPr>
                <w:sz w:val="20"/>
                <w:szCs w:val="20"/>
                <w:color w:val="auto"/>
              </w:rPr>
            </w:pPr>
            <w:r>
              <w:rPr>
                <w:rFonts w:ascii="Arial" w:cs="Arial" w:eastAsia="Arial" w:hAnsi="Arial"/>
                <w:sz w:val="20"/>
                <w:szCs w:val="20"/>
                <w:color w:val="auto"/>
                <w:w w:val="92"/>
              </w:rPr>
              <w:t>Beneficiary Customer</w:t>
            </w:r>
          </w:p>
        </w:tc>
        <w:tc>
          <w:tcPr>
            <w:tcW w:w="3840" w:type="dxa"/>
            <w:vAlign w:val="bottom"/>
            <w:tcBorders>
              <w:bottom w:val="single" w:sz="8" w:color="auto"/>
            </w:tcBorders>
            <w:gridSpan w:val="9"/>
          </w:tcPr>
          <w:p>
            <w:pPr>
              <w:ind w:left="100"/>
              <w:spacing w:after="0" w:line="221" w:lineRule="exact"/>
              <w:rPr>
                <w:sz w:val="20"/>
                <w:szCs w:val="20"/>
                <w:color w:val="auto"/>
              </w:rPr>
            </w:pPr>
            <w:r>
              <w:rPr>
                <w:rFonts w:ascii="Arial" w:cs="Arial" w:eastAsia="Arial" w:hAnsi="Arial"/>
                <w:sz w:val="20"/>
                <w:szCs w:val="20"/>
                <w:i w:val="1"/>
                <w:iCs w:val="1"/>
                <w:color w:val="808080"/>
              </w:rPr>
              <w:t>Name of Ultimate Beneficiary (Lender)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20" w:type="dxa"/>
            <w:vAlign w:val="bottom"/>
            <w:tcBorders>
              <w:left w:val="single" w:sz="8" w:color="D3D3D3"/>
              <w:bottom w:val="single" w:sz="8" w:color="A8A8A8"/>
              <w:right w:val="single" w:sz="8" w:color="D3D3D3"/>
            </w:tcBorders>
            <w:shd w:val="clear" w:color="auto" w:fill="D3D3D3"/>
          </w:tcPr>
          <w:p>
            <w:pPr>
              <w:spacing w:after="0"/>
              <w:rPr>
                <w:sz w:val="19"/>
                <w:szCs w:val="19"/>
                <w:color w:val="auto"/>
              </w:rPr>
            </w:pPr>
          </w:p>
        </w:tc>
        <w:tc>
          <w:tcPr>
            <w:tcW w:w="1820" w:type="dxa"/>
            <w:vAlign w:val="bottom"/>
            <w:tcBorders>
              <w:bottom w:val="single" w:sz="8" w:color="A8A8A8"/>
              <w:right w:val="single" w:sz="8" w:color="auto"/>
            </w:tcBorders>
            <w:gridSpan w:val="2"/>
            <w:shd w:val="clear" w:color="auto" w:fill="D3D3D3"/>
          </w:tcPr>
          <w:p>
            <w:pPr>
              <w:jc w:val="right"/>
              <w:spacing w:after="0" w:line="221" w:lineRule="exact"/>
              <w:rPr>
                <w:sz w:val="20"/>
                <w:szCs w:val="20"/>
                <w:color w:val="auto"/>
              </w:rPr>
            </w:pPr>
            <w:r>
              <w:rPr>
                <w:rFonts w:ascii="Arial" w:cs="Arial" w:eastAsia="Arial" w:hAnsi="Arial"/>
                <w:sz w:val="20"/>
                <w:szCs w:val="20"/>
                <w:color w:val="auto"/>
                <w:w w:val="90"/>
              </w:rPr>
              <w:t>Beneficiary Account #</w:t>
            </w:r>
          </w:p>
        </w:tc>
        <w:tc>
          <w:tcPr>
            <w:tcW w:w="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7"/>
          </w:tcPr>
          <w:p>
            <w:pPr>
              <w:ind w:left="60"/>
              <w:spacing w:after="0" w:line="221" w:lineRule="exact"/>
              <w:rPr>
                <w:sz w:val="20"/>
                <w:szCs w:val="20"/>
                <w:color w:val="auto"/>
              </w:rPr>
            </w:pPr>
            <w:r>
              <w:rPr>
                <w:rFonts w:ascii="Arial" w:cs="Arial" w:eastAsia="Arial" w:hAnsi="Arial"/>
                <w:sz w:val="20"/>
                <w:szCs w:val="20"/>
                <w:i w:val="1"/>
                <w:iCs w:val="1"/>
                <w:color w:val="808080"/>
              </w:rPr>
              <w:t>Account # of Ult. Beneficiary</w:t>
            </w:r>
          </w:p>
        </w:tc>
        <w:tc>
          <w:tcPr>
            <w:tcW w:w="76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shd w:val="clear" w:color="auto" w:fill="D3D3D3"/>
          </w:tcPr>
          <w:p>
            <w:pPr>
              <w:spacing w:after="0"/>
              <w:rPr>
                <w:sz w:val="19"/>
                <w:szCs w:val="19"/>
                <w:color w:val="auto"/>
              </w:rPr>
            </w:pPr>
          </w:p>
        </w:tc>
        <w:tc>
          <w:tcPr>
            <w:tcW w:w="760" w:type="dxa"/>
            <w:vAlign w:val="bottom"/>
            <w:tcBorders>
              <w:bottom w:val="single" w:sz="8" w:color="auto"/>
              <w:right w:val="single" w:sz="8" w:color="auto"/>
            </w:tcBorders>
            <w:shd w:val="clear" w:color="auto" w:fill="D3D3D3"/>
          </w:tcPr>
          <w:p>
            <w:pPr>
              <w:ind w:left="20"/>
              <w:spacing w:after="0" w:line="221" w:lineRule="exact"/>
              <w:rPr>
                <w:sz w:val="20"/>
                <w:szCs w:val="20"/>
                <w:color w:val="auto"/>
              </w:rPr>
            </w:pPr>
            <w:r>
              <w:rPr>
                <w:rFonts w:ascii="Arial" w:cs="Arial" w:eastAsia="Arial" w:hAnsi="Arial"/>
                <w:sz w:val="20"/>
                <w:szCs w:val="20"/>
                <w:color w:val="auto"/>
              </w:rPr>
              <w:t>IBAN</w:t>
            </w:r>
          </w:p>
        </w:tc>
        <w:tc>
          <w:tcPr>
            <w:tcW w:w="3700" w:type="dxa"/>
            <w:vAlign w:val="bottom"/>
            <w:tcBorders>
              <w:bottom w:val="single" w:sz="8" w:color="auto"/>
            </w:tcBorders>
            <w:gridSpan w:val="8"/>
          </w:tcPr>
          <w:p>
            <w:pPr>
              <w:ind w:left="80"/>
              <w:spacing w:after="0" w:line="221" w:lineRule="exact"/>
              <w:rPr>
                <w:sz w:val="20"/>
                <w:szCs w:val="20"/>
                <w:color w:val="auto"/>
              </w:rPr>
            </w:pPr>
            <w:r>
              <w:rPr>
                <w:rFonts w:ascii="Arial" w:cs="Arial" w:eastAsia="Arial" w:hAnsi="Arial"/>
                <w:sz w:val="20"/>
                <w:szCs w:val="20"/>
                <w:i w:val="1"/>
                <w:iCs w:val="1"/>
                <w:color w:val="808080"/>
              </w:rPr>
              <w:t>IBAN of Ultimate Beneficiary (opt)</w:t>
            </w:r>
          </w:p>
        </w:tc>
        <w:tc>
          <w:tcPr>
            <w:tcW w:w="0" w:type="dxa"/>
            <w:vAlign w:val="bottom"/>
          </w:tcPr>
          <w:p>
            <w:pPr>
              <w:spacing w:after="0"/>
              <w:rPr>
                <w:sz w:val="1"/>
                <w:szCs w:val="1"/>
                <w:color w:val="auto"/>
              </w:rPr>
            </w:pPr>
          </w:p>
        </w:tc>
      </w:tr>
      <w:tr>
        <w:trPr>
          <w:trHeight w:val="204"/>
        </w:trPr>
        <w:tc>
          <w:tcPr>
            <w:tcW w:w="720" w:type="dxa"/>
            <w:vAlign w:val="bottom"/>
            <w:tcBorders>
              <w:left w:val="single" w:sz="8" w:color="A8A8A8"/>
              <w:right w:val="single" w:sz="8" w:color="A8A8A8"/>
            </w:tcBorders>
            <w:shd w:val="clear" w:color="auto" w:fill="A8A8A8"/>
          </w:tcPr>
          <w:p>
            <w:pPr>
              <w:spacing w:after="0"/>
              <w:rPr>
                <w:sz w:val="17"/>
                <w:szCs w:val="17"/>
                <w:color w:val="auto"/>
              </w:rPr>
            </w:pPr>
          </w:p>
        </w:tc>
        <w:tc>
          <w:tcPr>
            <w:tcW w:w="720" w:type="dxa"/>
            <w:vAlign w:val="bottom"/>
            <w:tcBorders>
              <w:right w:val="single" w:sz="8" w:color="A8A8A8"/>
            </w:tcBorders>
            <w:shd w:val="clear" w:color="auto" w:fill="A8A8A8"/>
          </w:tcPr>
          <w:p>
            <w:pPr>
              <w:spacing w:after="0"/>
              <w:rPr>
                <w:sz w:val="17"/>
                <w:szCs w:val="17"/>
                <w:color w:val="auto"/>
              </w:rPr>
            </w:pPr>
          </w:p>
        </w:tc>
        <w:tc>
          <w:tcPr>
            <w:tcW w:w="1100" w:type="dxa"/>
            <w:vAlign w:val="bottom"/>
            <w:tcBorders>
              <w:left w:val="single" w:sz="8" w:color="A8A8A8"/>
              <w:right w:val="single" w:sz="8" w:color="auto"/>
            </w:tcBorders>
            <w:shd w:val="clear" w:color="auto" w:fill="A8A8A8"/>
          </w:tcPr>
          <w:p>
            <w:pPr>
              <w:spacing w:after="0"/>
              <w:rPr>
                <w:sz w:val="17"/>
                <w:szCs w:val="17"/>
                <w:color w:val="auto"/>
              </w:rPr>
            </w:pPr>
          </w:p>
        </w:tc>
        <w:tc>
          <w:tcPr>
            <w:tcW w:w="40" w:type="dxa"/>
            <w:vAlign w:val="bottom"/>
          </w:tcPr>
          <w:p>
            <w:pPr>
              <w:spacing w:after="0"/>
              <w:rPr>
                <w:sz w:val="17"/>
                <w:szCs w:val="17"/>
                <w:color w:val="auto"/>
              </w:rPr>
            </w:pPr>
          </w:p>
        </w:tc>
        <w:tc>
          <w:tcPr>
            <w:tcW w:w="3800" w:type="dxa"/>
            <w:vAlign w:val="bottom"/>
            <w:gridSpan w:val="8"/>
          </w:tcPr>
          <w:p>
            <w:pPr>
              <w:ind w:left="60"/>
              <w:spacing w:after="0" w:line="205" w:lineRule="exact"/>
              <w:rPr>
                <w:sz w:val="20"/>
                <w:szCs w:val="20"/>
                <w:color w:val="auto"/>
              </w:rPr>
            </w:pPr>
            <w:r>
              <w:rPr>
                <w:rFonts w:ascii="Arial" w:cs="Arial" w:eastAsia="Arial" w:hAnsi="Arial"/>
                <w:sz w:val="20"/>
                <w:szCs w:val="20"/>
                <w:b w:val="1"/>
                <w:bCs w:val="1"/>
                <w:i w:val="1"/>
                <w:iCs w:val="1"/>
                <w:color w:val="auto"/>
              </w:rPr>
              <w:t>Use Standard Wire Reference Format*: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20" w:type="dxa"/>
            <w:vAlign w:val="bottom"/>
            <w:tcBorders>
              <w:left w:val="single" w:sz="8" w:color="A8A8A8"/>
              <w:right w:val="single" w:sz="8" w:color="A8A8A8"/>
            </w:tcBorders>
            <w:shd w:val="clear" w:color="auto" w:fill="A8A8A8"/>
          </w:tcPr>
          <w:p>
            <w:pPr>
              <w:spacing w:after="0"/>
              <w:rPr>
                <w:sz w:val="19"/>
                <w:szCs w:val="19"/>
                <w:color w:val="auto"/>
              </w:rPr>
            </w:pPr>
          </w:p>
        </w:tc>
        <w:tc>
          <w:tcPr>
            <w:tcW w:w="1820" w:type="dxa"/>
            <w:vAlign w:val="bottom"/>
            <w:tcBorders>
              <w:right w:val="single" w:sz="8" w:color="auto"/>
            </w:tcBorders>
            <w:gridSpan w:val="2"/>
            <w:shd w:val="clear" w:color="auto" w:fill="A8A8A8"/>
          </w:tcPr>
          <w:p>
            <w:pPr>
              <w:jc w:val="right"/>
              <w:spacing w:after="0" w:line="228" w:lineRule="exact"/>
              <w:rPr>
                <w:sz w:val="20"/>
                <w:szCs w:val="20"/>
                <w:color w:val="auto"/>
              </w:rPr>
            </w:pPr>
            <w:r>
              <w:rPr>
                <w:rFonts w:ascii="Arial" w:cs="Arial" w:eastAsia="Arial" w:hAnsi="Arial"/>
                <w:sz w:val="20"/>
                <w:szCs w:val="20"/>
                <w:color w:val="auto"/>
                <w:w w:val="99"/>
              </w:rPr>
              <w:t>Payment Reference</w:t>
            </w:r>
          </w:p>
        </w:tc>
        <w:tc>
          <w:tcPr>
            <w:tcW w:w="40" w:type="dxa"/>
            <w:vAlign w:val="bottom"/>
          </w:tcPr>
          <w:p>
            <w:pPr>
              <w:spacing w:after="0"/>
              <w:rPr>
                <w:sz w:val="19"/>
                <w:szCs w:val="19"/>
                <w:color w:val="auto"/>
              </w:rPr>
            </w:pPr>
          </w:p>
        </w:tc>
        <w:tc>
          <w:tcPr>
            <w:tcW w:w="2300" w:type="dxa"/>
            <w:vAlign w:val="bottom"/>
            <w:gridSpan w:val="6"/>
          </w:tcPr>
          <w:p>
            <w:pPr>
              <w:ind w:left="60"/>
              <w:spacing w:after="0" w:line="228" w:lineRule="exact"/>
              <w:rPr>
                <w:sz w:val="20"/>
                <w:szCs w:val="20"/>
                <w:color w:val="auto"/>
              </w:rPr>
            </w:pPr>
            <w:r>
              <w:rPr>
                <w:rFonts w:ascii="Arial" w:cs="Arial" w:eastAsia="Arial" w:hAnsi="Arial"/>
                <w:sz w:val="20"/>
                <w:szCs w:val="20"/>
                <w:color w:val="auto"/>
              </w:rPr>
              <w:t>[Borrower Name]</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0" w:type="dxa"/>
            <w:vAlign w:val="bottom"/>
            <w:tcBorders>
              <w:left w:val="single" w:sz="8" w:color="A8A8A8"/>
              <w:right w:val="single" w:sz="8" w:color="A8A8A8"/>
            </w:tcBorders>
            <w:shd w:val="clear" w:color="auto" w:fill="A8A8A8"/>
          </w:tcPr>
          <w:p>
            <w:pPr>
              <w:spacing w:after="0"/>
              <w:rPr>
                <w:sz w:val="19"/>
                <w:szCs w:val="19"/>
                <w:color w:val="auto"/>
              </w:rPr>
            </w:pPr>
          </w:p>
        </w:tc>
        <w:tc>
          <w:tcPr>
            <w:tcW w:w="1820" w:type="dxa"/>
            <w:vAlign w:val="bottom"/>
            <w:tcBorders>
              <w:right w:val="single" w:sz="8" w:color="auto"/>
            </w:tcBorders>
            <w:gridSpan w:val="2"/>
            <w:shd w:val="clear" w:color="auto" w:fill="A8A8A8"/>
          </w:tcPr>
          <w:p>
            <w:pPr>
              <w:jc w:val="right"/>
              <w:spacing w:after="0" w:line="228" w:lineRule="exact"/>
              <w:rPr>
                <w:sz w:val="20"/>
                <w:szCs w:val="20"/>
                <w:color w:val="auto"/>
              </w:rPr>
            </w:pPr>
            <w:r>
              <w:rPr>
                <w:rFonts w:ascii="Arial" w:cs="Arial" w:eastAsia="Arial" w:hAnsi="Arial"/>
                <w:sz w:val="20"/>
                <w:szCs w:val="20"/>
                <w:color w:val="auto"/>
              </w:rPr>
              <w:t>(Remittance Info)</w:t>
            </w:r>
          </w:p>
        </w:tc>
        <w:tc>
          <w:tcPr>
            <w:tcW w:w="40" w:type="dxa"/>
            <w:vAlign w:val="bottom"/>
          </w:tcPr>
          <w:p>
            <w:pPr>
              <w:spacing w:after="0"/>
              <w:rPr>
                <w:sz w:val="19"/>
                <w:szCs w:val="19"/>
                <w:color w:val="auto"/>
              </w:rPr>
            </w:pPr>
          </w:p>
        </w:tc>
        <w:tc>
          <w:tcPr>
            <w:tcW w:w="4660" w:type="dxa"/>
            <w:vAlign w:val="bottom"/>
            <w:gridSpan w:val="10"/>
          </w:tcPr>
          <w:p>
            <w:pPr>
              <w:ind w:left="60"/>
              <w:spacing w:after="0" w:line="228" w:lineRule="exact"/>
              <w:rPr>
                <w:sz w:val="20"/>
                <w:szCs w:val="20"/>
                <w:color w:val="auto"/>
              </w:rPr>
            </w:pPr>
            <w:r>
              <w:rPr>
                <w:rFonts w:ascii="Arial" w:cs="Arial" w:eastAsia="Arial" w:hAnsi="Arial"/>
                <w:sz w:val="20"/>
                <w:szCs w:val="20"/>
                <w:color w:val="auto"/>
              </w:rPr>
              <w:t>[Facility Name/Abbr.] [Facility/Deal CUSIP/ISIN]</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720" w:type="dxa"/>
            <w:vAlign w:val="bottom"/>
            <w:tcBorders>
              <w:left w:val="single" w:sz="8" w:color="A8A8A8"/>
              <w:bottom w:val="single" w:sz="8" w:color="auto"/>
              <w:right w:val="single" w:sz="8" w:color="A8A8A8"/>
            </w:tcBorders>
            <w:shd w:val="clear" w:color="auto" w:fill="A8A8A8"/>
          </w:tcPr>
          <w:p>
            <w:pPr>
              <w:spacing w:after="0"/>
              <w:rPr>
                <w:sz w:val="23"/>
                <w:szCs w:val="23"/>
                <w:color w:val="auto"/>
              </w:rPr>
            </w:pPr>
          </w:p>
        </w:tc>
        <w:tc>
          <w:tcPr>
            <w:tcW w:w="720" w:type="dxa"/>
            <w:vAlign w:val="bottom"/>
            <w:tcBorders>
              <w:bottom w:val="single" w:sz="8" w:color="auto"/>
              <w:right w:val="single" w:sz="8" w:color="A8A8A8"/>
            </w:tcBorders>
            <w:shd w:val="clear" w:color="auto" w:fill="A8A8A8"/>
          </w:tcPr>
          <w:p>
            <w:pPr>
              <w:spacing w:after="0"/>
              <w:rPr>
                <w:sz w:val="23"/>
                <w:szCs w:val="23"/>
                <w:color w:val="auto"/>
              </w:rPr>
            </w:pPr>
          </w:p>
        </w:tc>
        <w:tc>
          <w:tcPr>
            <w:tcW w:w="1100" w:type="dxa"/>
            <w:vAlign w:val="bottom"/>
            <w:tcBorders>
              <w:left w:val="single" w:sz="8" w:color="A8A8A8"/>
              <w:bottom w:val="single" w:sz="8" w:color="auto"/>
              <w:right w:val="single" w:sz="8" w:color="auto"/>
            </w:tcBorders>
            <w:shd w:val="clear" w:color="auto" w:fill="A8A8A8"/>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60" w:type="dxa"/>
            <w:vAlign w:val="bottom"/>
            <w:tcBorders>
              <w:bottom w:val="single" w:sz="8" w:color="auto"/>
            </w:tcBorders>
            <w:gridSpan w:val="10"/>
          </w:tcPr>
          <w:p>
            <w:pPr>
              <w:ind w:left="60"/>
              <w:spacing w:after="0"/>
              <w:rPr>
                <w:sz w:val="20"/>
                <w:szCs w:val="20"/>
                <w:color w:val="auto"/>
              </w:rPr>
            </w:pPr>
            <w:r>
              <w:rPr>
                <w:rFonts w:ascii="Arial" w:cs="Arial" w:eastAsia="Arial" w:hAnsi="Arial"/>
                <w:sz w:val="20"/>
                <w:szCs w:val="20"/>
                <w:color w:val="auto"/>
              </w:rPr>
              <w:t>[Payment Purpose(s)] [Transaction Reference ID]</w:t>
            </w:r>
          </w:p>
        </w:tc>
        <w:tc>
          <w:tcPr>
            <w:tcW w:w="2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720" w:type="dxa"/>
            <w:vAlign w:val="bottom"/>
            <w:tcBorders>
              <w:left w:val="single" w:sz="8" w:color="D3D3D3"/>
              <w:bottom w:val="single" w:sz="8" w:color="auto"/>
              <w:right w:val="single" w:sz="8" w:color="D3D3D3"/>
            </w:tcBorders>
            <w:shd w:val="clear" w:color="auto" w:fill="D3D3D3"/>
          </w:tcPr>
          <w:p>
            <w:pPr>
              <w:spacing w:after="0"/>
              <w:rPr>
                <w:sz w:val="20"/>
                <w:szCs w:val="20"/>
                <w:color w:val="auto"/>
              </w:rPr>
            </w:pPr>
          </w:p>
        </w:tc>
        <w:tc>
          <w:tcPr>
            <w:tcW w:w="1820" w:type="dxa"/>
            <w:vAlign w:val="bottom"/>
            <w:tcBorders>
              <w:bottom w:val="single" w:sz="8" w:color="auto"/>
              <w:right w:val="single" w:sz="8" w:color="auto"/>
            </w:tcBorders>
            <w:gridSpan w:val="2"/>
            <w:shd w:val="clear" w:color="auto" w:fill="D3D3D3"/>
          </w:tcPr>
          <w:p>
            <w:pPr>
              <w:jc w:val="right"/>
              <w:spacing w:after="0" w:line="228" w:lineRule="exact"/>
              <w:rPr>
                <w:sz w:val="20"/>
                <w:szCs w:val="20"/>
                <w:color w:val="auto"/>
              </w:rPr>
            </w:pPr>
            <w:r>
              <w:rPr>
                <w:rFonts w:ascii="Arial" w:cs="Arial" w:eastAsia="Arial" w:hAnsi="Arial"/>
                <w:sz w:val="20"/>
                <w:szCs w:val="20"/>
                <w:color w:val="auto"/>
              </w:rPr>
              <w:t>Special Instructions</w:t>
            </w: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-1920875</wp:posOffset>
            </wp:positionV>
            <wp:extent cx="6955155" cy="23723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55155" cy="2372360"/>
                    </a:xfrm>
                    <a:prstGeom prst="rect">
                      <a:avLst/>
                    </a:prstGeom>
                    <a:noFill/>
                  </pic:spPr>
                </pic:pic>
              </a:graphicData>
            </a:graphic>
          </wp:anchor>
        </w:drawing>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Template above can be used for wire instructions where receiving bank is custodian/trustee, and lender has dedicated account.</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20"/>
          <w:szCs w:val="20"/>
          <w:b w:val="1"/>
          <w:bCs w:val="1"/>
          <w:i w:val="1"/>
          <w:iCs w:val="1"/>
          <w:color w:val="auto"/>
        </w:rPr>
        <w:t>Additional templates provided at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946265" cy="1045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46265" cy="1045845"/>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FFFFFF"/>
        </w:rPr>
        <w:t>SERVICE PROVIDERS &amp; THIRD-PARTY DATA ACCESS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54"/>
        </w:trPr>
        <w:tc>
          <w:tcPr>
            <w:tcW w:w="560" w:type="dxa"/>
            <w:vAlign w:val="bottom"/>
            <w:tcBorders>
              <w:bottom w:val="single" w:sz="8" w:color="D3D3D3"/>
            </w:tcBorders>
          </w:tcPr>
          <w:p>
            <w:pPr>
              <w:spacing w:after="0"/>
              <w:rPr>
                <w:sz w:val="4"/>
                <w:szCs w:val="4"/>
                <w:color w:val="auto"/>
              </w:rPr>
            </w:pPr>
          </w:p>
        </w:tc>
        <w:tc>
          <w:tcPr>
            <w:tcW w:w="2180" w:type="dxa"/>
            <w:vAlign w:val="bottom"/>
            <w:tcBorders>
              <w:bottom w:val="single" w:sz="8" w:color="D3D3D3"/>
            </w:tcBorders>
          </w:tcPr>
          <w:p>
            <w:pPr>
              <w:spacing w:after="0"/>
              <w:rPr>
                <w:sz w:val="4"/>
                <w:szCs w:val="4"/>
                <w:color w:val="auto"/>
              </w:rPr>
            </w:pPr>
          </w:p>
        </w:tc>
        <w:tc>
          <w:tcPr>
            <w:tcW w:w="640" w:type="dxa"/>
            <w:vAlign w:val="bottom"/>
            <w:tcBorders>
              <w:bottom w:val="single" w:sz="8" w:color="D3D3D3"/>
            </w:tcBorders>
          </w:tcPr>
          <w:p>
            <w:pPr>
              <w:spacing w:after="0"/>
              <w:rPr>
                <w:sz w:val="4"/>
                <w:szCs w:val="4"/>
                <w:color w:val="auto"/>
              </w:rPr>
            </w:pPr>
          </w:p>
        </w:tc>
        <w:tc>
          <w:tcPr>
            <w:tcW w:w="3560" w:type="dxa"/>
            <w:vAlign w:val="bottom"/>
            <w:tcBorders>
              <w:bottom w:val="single" w:sz="8" w:color="D3D3D3"/>
            </w:tcBorders>
          </w:tcPr>
          <w:p>
            <w:pPr>
              <w:spacing w:after="0"/>
              <w:rPr>
                <w:sz w:val="4"/>
                <w:szCs w:val="4"/>
                <w:color w:val="auto"/>
              </w:rPr>
            </w:pPr>
          </w:p>
        </w:tc>
        <w:tc>
          <w:tcPr>
            <w:tcW w:w="540" w:type="dxa"/>
            <w:vAlign w:val="bottom"/>
            <w:tcBorders>
              <w:bottom w:val="single" w:sz="8" w:color="D3D3D3"/>
            </w:tcBorders>
          </w:tcPr>
          <w:p>
            <w:pPr>
              <w:spacing w:after="0"/>
              <w:rPr>
                <w:sz w:val="4"/>
                <w:szCs w:val="4"/>
                <w:color w:val="auto"/>
              </w:rPr>
            </w:pPr>
          </w:p>
        </w:tc>
        <w:tc>
          <w:tcPr>
            <w:tcW w:w="1620" w:type="dxa"/>
            <w:vAlign w:val="bottom"/>
            <w:tcBorders>
              <w:bottom w:val="single" w:sz="8" w:color="D3D3D3"/>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shd w:val="clear" w:color="auto" w:fill="000000"/>
          </w:tcPr>
          <w:p>
            <w:pPr>
              <w:spacing w:after="0"/>
              <w:rPr>
                <w:sz w:val="4"/>
                <w:szCs w:val="4"/>
                <w:color w:val="auto"/>
              </w:rPr>
            </w:pPr>
          </w:p>
        </w:tc>
      </w:tr>
      <w:tr>
        <w:trPr>
          <w:trHeight w:val="204"/>
        </w:trPr>
        <w:tc>
          <w:tcPr>
            <w:tcW w:w="560" w:type="dxa"/>
            <w:vAlign w:val="bottom"/>
            <w:tcBorders>
              <w:left w:val="single" w:sz="8" w:color="D3D3D3"/>
              <w:right w:val="single" w:sz="8" w:color="D3D3D3"/>
            </w:tcBorders>
            <w:shd w:val="clear" w:color="auto" w:fill="D3D3D3"/>
          </w:tcPr>
          <w:p>
            <w:pPr>
              <w:spacing w:after="0"/>
              <w:rPr>
                <w:sz w:val="17"/>
                <w:szCs w:val="17"/>
                <w:color w:val="auto"/>
              </w:rPr>
            </w:pPr>
          </w:p>
        </w:tc>
        <w:tc>
          <w:tcPr>
            <w:tcW w:w="2180" w:type="dxa"/>
            <w:vAlign w:val="bottom"/>
            <w:tcBorders>
              <w:right w:val="single" w:sz="8" w:color="D3D3D3"/>
            </w:tcBorders>
            <w:shd w:val="clear" w:color="auto" w:fill="D3D3D3"/>
          </w:tcPr>
          <w:p>
            <w:pPr>
              <w:spacing w:after="0"/>
              <w:rPr>
                <w:sz w:val="17"/>
                <w:szCs w:val="17"/>
                <w:color w:val="auto"/>
              </w:rPr>
            </w:pPr>
          </w:p>
        </w:tc>
        <w:tc>
          <w:tcPr>
            <w:tcW w:w="640" w:type="dxa"/>
            <w:vAlign w:val="bottom"/>
            <w:tcBorders>
              <w:right w:val="single" w:sz="8" w:color="D3D3D3"/>
            </w:tcBorders>
            <w:shd w:val="clear" w:color="auto" w:fill="D3D3D3"/>
          </w:tcPr>
          <w:p>
            <w:pPr>
              <w:spacing w:after="0"/>
              <w:rPr>
                <w:sz w:val="17"/>
                <w:szCs w:val="17"/>
                <w:color w:val="auto"/>
              </w:rPr>
            </w:pPr>
          </w:p>
        </w:tc>
        <w:tc>
          <w:tcPr>
            <w:tcW w:w="3560" w:type="dxa"/>
            <w:vAlign w:val="bottom"/>
            <w:tcBorders>
              <w:right w:val="single" w:sz="8" w:color="D3D3D3"/>
            </w:tcBorders>
            <w:shd w:val="clear" w:color="auto" w:fill="D3D3D3"/>
          </w:tcPr>
          <w:p>
            <w:pPr>
              <w:spacing w:after="0"/>
              <w:rPr>
                <w:sz w:val="17"/>
                <w:szCs w:val="17"/>
                <w:color w:val="auto"/>
              </w:rPr>
            </w:pPr>
          </w:p>
        </w:tc>
        <w:tc>
          <w:tcPr>
            <w:tcW w:w="540" w:type="dxa"/>
            <w:vAlign w:val="bottom"/>
            <w:tcBorders>
              <w:right w:val="single" w:sz="8" w:color="D3D3D3"/>
            </w:tcBorders>
            <w:shd w:val="clear" w:color="auto" w:fill="D3D3D3"/>
          </w:tcPr>
          <w:p>
            <w:pPr>
              <w:spacing w:after="0"/>
              <w:rPr>
                <w:sz w:val="17"/>
                <w:szCs w:val="17"/>
                <w:color w:val="auto"/>
              </w:rPr>
            </w:pPr>
          </w:p>
        </w:tc>
        <w:tc>
          <w:tcPr>
            <w:tcW w:w="1620" w:type="dxa"/>
            <w:vAlign w:val="bottom"/>
            <w:tcBorders>
              <w:right w:val="single" w:sz="8" w:color="auto"/>
            </w:tcBorders>
            <w:shd w:val="clear" w:color="auto" w:fill="D3D3D3"/>
          </w:tcPr>
          <w:p>
            <w:pPr>
              <w:spacing w:after="0"/>
              <w:rPr>
                <w:sz w:val="17"/>
                <w:szCs w:val="17"/>
                <w:color w:val="auto"/>
              </w:rPr>
            </w:pPr>
          </w:p>
        </w:tc>
        <w:tc>
          <w:tcPr>
            <w:tcW w:w="880" w:type="dxa"/>
            <w:vAlign w:val="bottom"/>
            <w:tcBorders>
              <w:right w:val="single" w:sz="8" w:color="auto"/>
            </w:tcBorders>
            <w:shd w:val="clear" w:color="auto" w:fill="D3D3D3"/>
          </w:tcPr>
          <w:p>
            <w:pPr>
              <w:jc w:val="center"/>
              <w:spacing w:after="0" w:line="205" w:lineRule="exact"/>
              <w:rPr>
                <w:sz w:val="20"/>
                <w:szCs w:val="20"/>
                <w:color w:val="auto"/>
              </w:rPr>
            </w:pPr>
            <w:r>
              <w:rPr>
                <w:rFonts w:ascii="Arial" w:cs="Arial" w:eastAsia="Arial" w:hAnsi="Arial"/>
                <w:sz w:val="20"/>
                <w:szCs w:val="20"/>
                <w:i w:val="1"/>
                <w:iCs w:val="1"/>
                <w:color w:val="auto"/>
                <w:w w:val="92"/>
              </w:rPr>
              <w:t>Doc.</w:t>
            </w:r>
          </w:p>
        </w:tc>
        <w:tc>
          <w:tcPr>
            <w:tcW w:w="960" w:type="dxa"/>
            <w:vAlign w:val="bottom"/>
            <w:shd w:val="clear" w:color="auto" w:fill="D3D3D3"/>
          </w:tcPr>
          <w:p>
            <w:pPr>
              <w:jc w:val="center"/>
              <w:spacing w:after="0" w:line="205" w:lineRule="exact"/>
              <w:rPr>
                <w:sz w:val="20"/>
                <w:szCs w:val="20"/>
                <w:color w:val="auto"/>
              </w:rPr>
            </w:pPr>
            <w:r>
              <w:rPr>
                <w:rFonts w:ascii="Arial" w:cs="Arial" w:eastAsia="Arial" w:hAnsi="Arial"/>
                <w:sz w:val="20"/>
                <w:szCs w:val="20"/>
                <w:i w:val="1"/>
                <w:iCs w:val="1"/>
                <w:color w:val="auto"/>
                <w:w w:val="91"/>
              </w:rPr>
              <w:t>Recon &amp;</w:t>
            </w:r>
          </w:p>
        </w:tc>
        <w:tc>
          <w:tcPr>
            <w:tcW w:w="20" w:type="dxa"/>
            <w:vAlign w:val="bottom"/>
          </w:tcPr>
          <w:p>
            <w:pPr>
              <w:spacing w:after="0"/>
              <w:rPr>
                <w:sz w:val="17"/>
                <w:szCs w:val="17"/>
                <w:color w:val="auto"/>
              </w:rPr>
            </w:pPr>
          </w:p>
        </w:tc>
      </w:tr>
      <w:tr>
        <w:trPr>
          <w:trHeight w:val="253"/>
        </w:trPr>
        <w:tc>
          <w:tcPr>
            <w:tcW w:w="560" w:type="dxa"/>
            <w:vAlign w:val="bottom"/>
            <w:tcBorders>
              <w:left w:val="single" w:sz="8" w:color="D3D3D3"/>
              <w:bottom w:val="single" w:sz="8" w:color="auto"/>
              <w:right w:val="single" w:sz="8" w:color="D3D3D3"/>
            </w:tcBorders>
            <w:shd w:val="clear" w:color="auto" w:fill="D3D3D3"/>
          </w:tcPr>
          <w:p>
            <w:pPr>
              <w:spacing w:after="0"/>
              <w:rPr>
                <w:sz w:val="22"/>
                <w:szCs w:val="22"/>
                <w:color w:val="auto"/>
              </w:rPr>
            </w:pPr>
          </w:p>
        </w:tc>
        <w:tc>
          <w:tcPr>
            <w:tcW w:w="2180" w:type="dxa"/>
            <w:vAlign w:val="bottom"/>
            <w:tcBorders>
              <w:bottom w:val="single" w:sz="8" w:color="auto"/>
              <w:right w:val="single" w:sz="8" w:color="D3D3D3"/>
            </w:tcBorders>
            <w:shd w:val="clear" w:color="auto" w:fill="D3D3D3"/>
          </w:tcPr>
          <w:p>
            <w:pPr>
              <w:spacing w:after="0"/>
              <w:rPr>
                <w:sz w:val="22"/>
                <w:szCs w:val="22"/>
                <w:color w:val="auto"/>
              </w:rPr>
            </w:pPr>
          </w:p>
        </w:tc>
        <w:tc>
          <w:tcPr>
            <w:tcW w:w="640" w:type="dxa"/>
            <w:vAlign w:val="bottom"/>
            <w:tcBorders>
              <w:bottom w:val="single" w:sz="8" w:color="auto"/>
              <w:right w:val="single" w:sz="8" w:color="D3D3D3"/>
            </w:tcBorders>
            <w:shd w:val="clear" w:color="auto" w:fill="D3D3D3"/>
          </w:tcPr>
          <w:p>
            <w:pPr>
              <w:spacing w:after="0"/>
              <w:rPr>
                <w:sz w:val="22"/>
                <w:szCs w:val="22"/>
                <w:color w:val="auto"/>
              </w:rPr>
            </w:pPr>
          </w:p>
        </w:tc>
        <w:tc>
          <w:tcPr>
            <w:tcW w:w="3560" w:type="dxa"/>
            <w:vAlign w:val="bottom"/>
            <w:tcBorders>
              <w:bottom w:val="single" w:sz="8" w:color="auto"/>
              <w:right w:val="single" w:sz="8" w:color="D3D3D3"/>
            </w:tcBorders>
            <w:shd w:val="clear" w:color="auto" w:fill="D3D3D3"/>
          </w:tcPr>
          <w:p>
            <w:pPr>
              <w:spacing w:after="0"/>
              <w:rPr>
                <w:sz w:val="22"/>
                <w:szCs w:val="22"/>
                <w:color w:val="auto"/>
              </w:rPr>
            </w:pPr>
          </w:p>
        </w:tc>
        <w:tc>
          <w:tcPr>
            <w:tcW w:w="540" w:type="dxa"/>
            <w:vAlign w:val="bottom"/>
            <w:tcBorders>
              <w:bottom w:val="single" w:sz="8" w:color="auto"/>
              <w:right w:val="single" w:sz="8" w:color="D3D3D3"/>
            </w:tcBorders>
            <w:shd w:val="clear" w:color="auto" w:fill="D3D3D3"/>
          </w:tcPr>
          <w:p>
            <w:pPr>
              <w:spacing w:after="0"/>
              <w:rPr>
                <w:sz w:val="22"/>
                <w:szCs w:val="22"/>
                <w:color w:val="auto"/>
              </w:rPr>
            </w:pPr>
          </w:p>
        </w:tc>
        <w:tc>
          <w:tcPr>
            <w:tcW w:w="1620" w:type="dxa"/>
            <w:vAlign w:val="bottom"/>
            <w:tcBorders>
              <w:bottom w:val="single" w:sz="8" w:color="auto"/>
              <w:right w:val="single" w:sz="8" w:color="auto"/>
            </w:tcBorders>
            <w:shd w:val="clear" w:color="auto" w:fill="D3D3D3"/>
          </w:tcPr>
          <w:p>
            <w:pPr>
              <w:spacing w:after="0"/>
              <w:rPr>
                <w:sz w:val="22"/>
                <w:szCs w:val="22"/>
                <w:color w:val="auto"/>
              </w:rPr>
            </w:pPr>
          </w:p>
        </w:tc>
        <w:tc>
          <w:tcPr>
            <w:tcW w:w="880" w:type="dxa"/>
            <w:vAlign w:val="bottom"/>
            <w:tcBorders>
              <w:bottom w:val="single" w:sz="8" w:color="auto"/>
              <w:right w:val="single" w:sz="8" w:color="auto"/>
            </w:tcBorders>
            <w:shd w:val="clear" w:color="auto" w:fill="D3D3D3"/>
          </w:tcPr>
          <w:p>
            <w:pPr>
              <w:jc w:val="center"/>
              <w:spacing w:after="0"/>
              <w:rPr>
                <w:sz w:val="20"/>
                <w:szCs w:val="20"/>
                <w:color w:val="auto"/>
              </w:rPr>
            </w:pPr>
            <w:r>
              <w:rPr>
                <w:rFonts w:ascii="Arial" w:cs="Arial" w:eastAsia="Arial" w:hAnsi="Arial"/>
                <w:sz w:val="20"/>
                <w:szCs w:val="20"/>
                <w:i w:val="1"/>
                <w:iCs w:val="1"/>
                <w:color w:val="auto"/>
                <w:w w:val="91"/>
              </w:rPr>
              <w:t>Delivery</w:t>
            </w:r>
          </w:p>
        </w:tc>
        <w:tc>
          <w:tcPr>
            <w:tcW w:w="960" w:type="dxa"/>
            <w:vAlign w:val="bottom"/>
            <w:tcBorders>
              <w:bottom w:val="single" w:sz="8" w:color="auto"/>
            </w:tcBorders>
            <w:shd w:val="clear" w:color="auto" w:fill="D3D3D3"/>
          </w:tcPr>
          <w:p>
            <w:pPr>
              <w:jc w:val="center"/>
              <w:spacing w:after="0"/>
              <w:rPr>
                <w:sz w:val="20"/>
                <w:szCs w:val="20"/>
                <w:color w:val="auto"/>
              </w:rPr>
            </w:pPr>
            <w:r>
              <w:rPr>
                <w:rFonts w:ascii="Arial" w:cs="Arial" w:eastAsia="Arial" w:hAnsi="Arial"/>
                <w:sz w:val="20"/>
                <w:szCs w:val="20"/>
                <w:i w:val="1"/>
                <w:iCs w:val="1"/>
                <w:color w:val="auto"/>
                <w:w w:val="92"/>
              </w:rPr>
              <w:t>Inventory</w:t>
            </w:r>
          </w:p>
        </w:tc>
        <w:tc>
          <w:tcPr>
            <w:tcW w:w="20" w:type="dxa"/>
            <w:vAlign w:val="bottom"/>
            <w:tcBorders>
              <w:bottom w:val="single" w:sz="8" w:color="auto"/>
            </w:tcBorders>
          </w:tcPr>
          <w:p>
            <w:pPr>
              <w:spacing w:after="0"/>
              <w:rPr>
                <w:sz w:val="22"/>
                <w:szCs w:val="22"/>
                <w:color w:val="auto"/>
              </w:rPr>
            </w:pPr>
          </w:p>
        </w:tc>
      </w:tr>
      <w:tr>
        <w:trPr>
          <w:trHeight w:val="292"/>
        </w:trPr>
        <w:tc>
          <w:tcPr>
            <w:tcW w:w="560" w:type="dxa"/>
            <w:vAlign w:val="bottom"/>
            <w:tcBorders>
              <w:left w:val="single" w:sz="8" w:color="auto"/>
              <w:bottom w:val="single" w:sz="8" w:color="auto"/>
              <w:right w:val="single" w:sz="8" w:color="auto"/>
            </w:tcBorders>
            <w:shd w:val="clear" w:color="auto" w:fill="D3D3D3"/>
          </w:tcPr>
          <w:p>
            <w:pPr>
              <w:ind w:left="160"/>
              <w:spacing w:after="0"/>
              <w:rPr>
                <w:sz w:val="20"/>
                <w:szCs w:val="20"/>
                <w:color w:val="auto"/>
              </w:rPr>
            </w:pPr>
            <w:r>
              <w:rPr>
                <w:rFonts w:ascii="Arial" w:cs="Arial" w:eastAsia="Arial" w:hAnsi="Arial"/>
                <w:sz w:val="20"/>
                <w:szCs w:val="20"/>
                <w:color w:val="auto"/>
                <w:w w:val="87"/>
              </w:rPr>
              <w:t>Role</w:t>
            </w: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Custodian/Trustee</w:t>
            </w:r>
          </w:p>
        </w:tc>
        <w:tc>
          <w:tcPr>
            <w:tcW w:w="640" w:type="dxa"/>
            <w:vAlign w:val="bottom"/>
            <w:tcBorders>
              <w:bottom w:val="single" w:sz="8" w:color="auto"/>
              <w:right w:val="single" w:sz="8" w:color="auto"/>
            </w:tcBorders>
            <w:shd w:val="clear" w:color="auto" w:fill="D3D3D3"/>
          </w:tcPr>
          <w:p>
            <w:pPr>
              <w:ind w:left="80"/>
              <w:spacing w:after="0"/>
              <w:rPr>
                <w:sz w:val="20"/>
                <w:szCs w:val="20"/>
                <w:color w:val="auto"/>
              </w:rPr>
            </w:pPr>
            <w:r>
              <w:rPr>
                <w:rFonts w:ascii="Arial" w:cs="Arial" w:eastAsia="Arial" w:hAnsi="Arial"/>
                <w:sz w:val="20"/>
                <w:szCs w:val="20"/>
                <w:b w:val="1"/>
                <w:bCs w:val="1"/>
                <w:color w:val="auto"/>
                <w:w w:val="95"/>
              </w:rPr>
              <w:t>Name</w:t>
            </w: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i w:val="1"/>
                <w:iCs w:val="1"/>
                <w:color w:val="808080"/>
              </w:rPr>
              <w:t>Name of Company</w:t>
            </w:r>
          </w:p>
        </w:tc>
        <w:tc>
          <w:tcPr>
            <w:tcW w:w="540" w:type="dxa"/>
            <w:vAlign w:val="bottom"/>
            <w:tcBorders>
              <w:bottom w:val="single" w:sz="8" w:color="auto"/>
              <w:right w:val="single" w:sz="8" w:color="auto"/>
            </w:tcBorders>
            <w:shd w:val="clear" w:color="auto" w:fill="D3D3D3"/>
          </w:tcPr>
          <w:p>
            <w:pPr>
              <w:ind w:left="80"/>
              <w:spacing w:after="0"/>
              <w:rPr>
                <w:sz w:val="20"/>
                <w:szCs w:val="20"/>
                <w:color w:val="auto"/>
              </w:rPr>
            </w:pPr>
            <w:r>
              <w:rPr>
                <w:rFonts w:ascii="Arial" w:cs="Arial" w:eastAsia="Arial" w:hAnsi="Arial"/>
                <w:sz w:val="20"/>
                <w:szCs w:val="20"/>
                <w:b w:val="1"/>
                <w:bCs w:val="1"/>
                <w:color w:val="auto"/>
              </w:rPr>
              <w:t>MEI</w:t>
            </w:r>
          </w:p>
        </w:tc>
        <w:tc>
          <w:tcPr>
            <w:tcW w:w="1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i w:val="1"/>
                <w:iCs w:val="1"/>
                <w:color w:val="808080"/>
              </w:rPr>
              <w:t>Markit Entity ID</w:t>
            </w:r>
          </w:p>
        </w:tc>
        <w:tc>
          <w:tcPr>
            <w:tcW w:w="880" w:type="dxa"/>
            <w:vAlign w:val="bottom"/>
            <w:tcBorders>
              <w:bottom w:val="single" w:sz="8" w:color="auto"/>
              <w:right w:val="single" w:sz="8" w:color="auto"/>
            </w:tcBorders>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960" w:type="dxa"/>
            <w:vAlign w:val="bottom"/>
            <w:tcBorders>
              <w:bottom w:val="single" w:sz="8" w:color="auto"/>
            </w:tcBorders>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0" w:type="dxa"/>
            <w:vAlign w:val="bottom"/>
            <w:tcBorders>
              <w:bottom w:val="single" w:sz="8" w:color="auto"/>
            </w:tcBorders>
          </w:tcPr>
          <w:p>
            <w:pPr>
              <w:spacing w:after="0"/>
              <w:rPr>
                <w:sz w:val="24"/>
                <w:szCs w:val="24"/>
                <w:color w:val="auto"/>
              </w:rPr>
            </w:pPr>
          </w:p>
        </w:tc>
      </w:tr>
      <w:tr>
        <w:trPr>
          <w:trHeight w:val="288"/>
        </w:trPr>
        <w:tc>
          <w:tcPr>
            <w:tcW w:w="560" w:type="dxa"/>
            <w:vAlign w:val="bottom"/>
            <w:tcBorders>
              <w:left w:val="single" w:sz="8" w:color="auto"/>
              <w:bottom w:val="single" w:sz="8" w:color="auto"/>
              <w:right w:val="single" w:sz="8" w:color="auto"/>
            </w:tcBorders>
            <w:shd w:val="clear" w:color="auto" w:fill="D3D3D3"/>
          </w:tcPr>
          <w:p>
            <w:pPr>
              <w:ind w:left="160"/>
              <w:spacing w:after="0"/>
              <w:rPr>
                <w:sz w:val="20"/>
                <w:szCs w:val="20"/>
                <w:color w:val="auto"/>
              </w:rPr>
            </w:pPr>
            <w:r>
              <w:rPr>
                <w:rFonts w:ascii="Arial" w:cs="Arial" w:eastAsia="Arial" w:hAnsi="Arial"/>
                <w:sz w:val="20"/>
                <w:szCs w:val="20"/>
                <w:color w:val="auto"/>
                <w:w w:val="87"/>
              </w:rPr>
              <w:t>Role</w:t>
            </w: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i w:val="1"/>
                <w:iCs w:val="1"/>
                <w:color w:val="808080"/>
              </w:rPr>
              <w:t>Relationship to lender.</w:t>
            </w:r>
          </w:p>
        </w:tc>
        <w:tc>
          <w:tcPr>
            <w:tcW w:w="640" w:type="dxa"/>
            <w:vAlign w:val="bottom"/>
            <w:tcBorders>
              <w:bottom w:val="single" w:sz="8" w:color="auto"/>
              <w:right w:val="single" w:sz="8" w:color="auto"/>
            </w:tcBorders>
            <w:shd w:val="clear" w:color="auto" w:fill="D3D3D3"/>
          </w:tcPr>
          <w:p>
            <w:pPr>
              <w:ind w:left="80"/>
              <w:spacing w:after="0"/>
              <w:rPr>
                <w:sz w:val="20"/>
                <w:szCs w:val="20"/>
                <w:color w:val="auto"/>
              </w:rPr>
            </w:pPr>
            <w:r>
              <w:rPr>
                <w:rFonts w:ascii="Arial" w:cs="Arial" w:eastAsia="Arial" w:hAnsi="Arial"/>
                <w:sz w:val="20"/>
                <w:szCs w:val="20"/>
                <w:b w:val="1"/>
                <w:bCs w:val="1"/>
                <w:color w:val="auto"/>
                <w:w w:val="95"/>
              </w:rPr>
              <w:t>Name</w:t>
            </w:r>
          </w:p>
        </w:tc>
        <w:tc>
          <w:tcPr>
            <w:tcW w:w="3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i w:val="1"/>
                <w:iCs w:val="1"/>
                <w:color w:val="808080"/>
              </w:rPr>
              <w:t>Name of Company</w:t>
            </w:r>
          </w:p>
        </w:tc>
        <w:tc>
          <w:tcPr>
            <w:tcW w:w="540" w:type="dxa"/>
            <w:vAlign w:val="bottom"/>
            <w:tcBorders>
              <w:bottom w:val="single" w:sz="8" w:color="auto"/>
              <w:right w:val="single" w:sz="8" w:color="auto"/>
            </w:tcBorders>
            <w:shd w:val="clear" w:color="auto" w:fill="D3D3D3"/>
          </w:tcPr>
          <w:p>
            <w:pPr>
              <w:ind w:left="80"/>
              <w:spacing w:after="0"/>
              <w:rPr>
                <w:sz w:val="20"/>
                <w:szCs w:val="20"/>
                <w:color w:val="auto"/>
              </w:rPr>
            </w:pPr>
            <w:r>
              <w:rPr>
                <w:rFonts w:ascii="Arial" w:cs="Arial" w:eastAsia="Arial" w:hAnsi="Arial"/>
                <w:sz w:val="20"/>
                <w:szCs w:val="20"/>
                <w:b w:val="1"/>
                <w:bCs w:val="1"/>
                <w:color w:val="auto"/>
              </w:rPr>
              <w:t>MEI</w:t>
            </w:r>
          </w:p>
        </w:tc>
        <w:tc>
          <w:tcPr>
            <w:tcW w:w="1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i w:val="1"/>
                <w:iCs w:val="1"/>
                <w:color w:val="808080"/>
              </w:rPr>
              <w:t>Markit Entity ID</w:t>
            </w:r>
          </w:p>
        </w:tc>
        <w:tc>
          <w:tcPr>
            <w:tcW w:w="880" w:type="dxa"/>
            <w:vAlign w:val="bottom"/>
            <w:tcBorders>
              <w:bottom w:val="single" w:sz="8" w:color="auto"/>
              <w:right w:val="single" w:sz="8" w:color="auto"/>
            </w:tcBorders>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960" w:type="dxa"/>
            <w:vAlign w:val="bottom"/>
            <w:tcBorders>
              <w:bottom w:val="single" w:sz="8" w:color="auto"/>
            </w:tcBorders>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20" w:type="dxa"/>
            <w:vAlign w:val="bottom"/>
            <w:tcBorders>
              <w:bottom w:val="single" w:sz="8" w:color="auto"/>
            </w:tcBorders>
          </w:tcPr>
          <w:p>
            <w:pPr>
              <w:spacing w:after="0"/>
              <w:rPr>
                <w:sz w:val="24"/>
                <w:szCs w:val="24"/>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940"/>
          </w:cols>
          <w:pgMar w:left="480" w:top="335" w:right="479" w:bottom="1440" w:gutter="0" w:footer="0" w:header="0"/>
          <w:type w:val="continuous"/>
        </w:sectPr>
      </w:pPr>
    </w:p>
    <w:bookmarkStart w:id="135" w:name="page136"/>
    <w:bookmarkEnd w:id="135"/>
    <w:p>
      <w:pPr>
        <w:ind w:left="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0148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014855"/>
                    </a:xfrm>
                    <a:prstGeom prst="rect">
                      <a:avLst/>
                    </a:prstGeom>
                    <a:noFill/>
                  </pic:spPr>
                </pic:pic>
              </a:graphicData>
            </a:graphic>
          </wp:anchor>
        </w:drawing>
        <w:t>CREDIT CONTACTS (LEGAL DOCUMENTATION, AMENDMENTS &amp; WAIVERS)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Borders>
              <w:top w:val="single" w:sz="8" w:color="auto"/>
              <w:right w:val="single" w:sz="8" w:color="auto"/>
            </w:tcBorders>
            <w:vMerge w:val="restart"/>
            <w:shd w:val="clear" w:color="auto" w:fill="D3D3D3"/>
          </w:tcPr>
          <w:p>
            <w:pPr>
              <w:ind w:left="160"/>
              <w:spacing w:after="0"/>
              <w:rPr>
                <w:sz w:val="20"/>
                <w:szCs w:val="20"/>
                <w:color w:val="auto"/>
              </w:rPr>
            </w:pPr>
            <w:r>
              <w:rPr>
                <w:rFonts w:ascii="Arial" w:cs="Arial" w:eastAsia="Arial" w:hAnsi="Arial"/>
                <w:sz w:val="20"/>
                <w:szCs w:val="20"/>
                <w:b w:val="1"/>
                <w:bCs w:val="1"/>
                <w:color w:val="auto"/>
                <w:w w:val="88"/>
              </w:rPr>
              <w:t>Name</w:t>
            </w:r>
          </w:p>
        </w:tc>
        <w:tc>
          <w:tcPr>
            <w:tcW w:w="10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vMerge w:val="restart"/>
          </w:tcPr>
          <w:p>
            <w:pPr>
              <w:spacing w:after="0"/>
              <w:rPr>
                <w:sz w:val="20"/>
                <w:szCs w:val="20"/>
                <w:color w:val="auto"/>
              </w:rPr>
            </w:pPr>
            <w:r>
              <w:rPr>
                <w:rFonts w:ascii="Arial" w:cs="Arial" w:eastAsia="Arial" w:hAnsi="Arial"/>
                <w:sz w:val="20"/>
                <w:szCs w:val="20"/>
                <w:i w:val="1"/>
                <w:iCs w:val="1"/>
                <w:color w:val="808080"/>
                <w:w w:val="93"/>
              </w:rPr>
              <w:t>Name of group or individual.</w:t>
            </w:r>
          </w:p>
        </w:tc>
        <w:tc>
          <w:tcPr>
            <w:tcW w:w="440" w:type="dxa"/>
            <w:vAlign w:val="bottom"/>
            <w:tcBorders>
              <w:top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spacing w:after="0"/>
              <w:rPr>
                <w:sz w:val="20"/>
                <w:szCs w:val="20"/>
                <w:color w:val="auto"/>
              </w:rPr>
            </w:pPr>
          </w:p>
        </w:tc>
        <w:tc>
          <w:tcPr>
            <w:tcW w:w="15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20"/>
                <w:szCs w:val="20"/>
                <w:i w:val="1"/>
                <w:iCs w:val="1"/>
                <w:color w:val="808080"/>
              </w:rPr>
              <w:t>Select group or</w:t>
            </w:r>
          </w:p>
        </w:tc>
        <w:tc>
          <w:tcPr>
            <w:tcW w:w="580" w:type="dxa"/>
            <w:vAlign w:val="bottom"/>
            <w:tcBorders>
              <w:top w:val="single" w:sz="8" w:color="auto"/>
              <w:right w:val="single" w:sz="8" w:color="auto"/>
            </w:tcBorders>
            <w:vMerge w:val="restart"/>
            <w:shd w:val="clear" w:color="auto" w:fill="D3D3D3"/>
          </w:tcPr>
          <w:p>
            <w:pPr>
              <w:ind w:left="100"/>
              <w:spacing w:after="0"/>
              <w:rPr>
                <w:sz w:val="20"/>
                <w:szCs w:val="20"/>
                <w:color w:val="auto"/>
              </w:rPr>
            </w:pPr>
            <w:r>
              <w:rPr>
                <w:rFonts w:ascii="Arial" w:cs="Arial" w:eastAsia="Arial" w:hAnsi="Arial"/>
                <w:sz w:val="20"/>
                <w:szCs w:val="20"/>
                <w:b w:val="1"/>
                <w:bCs w:val="1"/>
                <w:color w:val="auto"/>
              </w:rPr>
              <w:t>Firm</w:t>
            </w:r>
          </w:p>
        </w:tc>
        <w:tc>
          <w:tcPr>
            <w:tcW w:w="3600" w:type="dxa"/>
            <w:vAlign w:val="bottom"/>
            <w:tcBorders>
              <w:top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20"/>
                <w:szCs w:val="20"/>
                <w:i w:val="1"/>
                <w:iCs w:val="1"/>
                <w:color w:val="808080"/>
              </w:rPr>
              <w:t>Firm with which contact is affiliated.</w:t>
            </w:r>
          </w:p>
        </w:tc>
        <w:tc>
          <w:tcPr>
            <w:tcW w:w="0" w:type="dxa"/>
            <w:vAlign w:val="bottom"/>
          </w:tcPr>
          <w:p>
            <w:pPr>
              <w:spacing w:after="0"/>
              <w:rPr>
                <w:sz w:val="1"/>
                <w:szCs w:val="1"/>
                <w:color w:val="auto"/>
              </w:rPr>
            </w:pPr>
          </w:p>
        </w:tc>
      </w:tr>
      <w:tr>
        <w:trPr>
          <w:trHeight w:val="128"/>
        </w:trPr>
        <w:tc>
          <w:tcPr>
            <w:tcW w:w="680" w:type="dxa"/>
            <w:vAlign w:val="bottom"/>
            <w:tcBorders>
              <w:right w:val="single" w:sz="8" w:color="auto"/>
            </w:tcBorders>
            <w:vMerge w:val="continue"/>
            <w:shd w:val="clear" w:color="auto" w:fill="D3D3D3"/>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gridSpan w:val="4"/>
            <w:vMerge w:val="restart"/>
          </w:tcPr>
          <w:p>
            <w:pPr>
              <w:ind w:left="100"/>
              <w:spacing w:after="0"/>
              <w:rPr>
                <w:sz w:val="20"/>
                <w:szCs w:val="20"/>
                <w:color w:val="auto"/>
              </w:rPr>
            </w:pPr>
            <w:r>
              <w:rPr>
                <w:rFonts w:ascii="Arial" w:cs="Arial" w:eastAsia="Arial" w:hAnsi="Arial"/>
                <w:sz w:val="20"/>
                <w:szCs w:val="20"/>
                <w:i w:val="1"/>
                <w:iCs w:val="1"/>
                <w:color w:val="808080"/>
              </w:rPr>
              <w:t>Individual</w:t>
            </w:r>
          </w:p>
        </w:tc>
        <w:tc>
          <w:tcPr>
            <w:tcW w:w="580" w:type="dxa"/>
            <w:vAlign w:val="bottom"/>
            <w:tcBorders>
              <w:right w:val="single" w:sz="8" w:color="auto"/>
            </w:tcBorders>
            <w:vMerge w:val="continue"/>
            <w:shd w:val="clear" w:color="auto" w:fill="D3D3D3"/>
          </w:tcPr>
          <w:p>
            <w:pPr>
              <w:spacing w:after="0"/>
              <w:rPr>
                <w:sz w:val="11"/>
                <w:szCs w:val="11"/>
                <w:color w:val="auto"/>
              </w:rPr>
            </w:pPr>
          </w:p>
        </w:tc>
        <w:tc>
          <w:tcPr>
            <w:tcW w:w="36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80" w:type="dxa"/>
            <w:vAlign w:val="bottom"/>
            <w:tcBorders>
              <w:bottom w:val="single" w:sz="8" w:color="auto"/>
              <w:right w:val="single" w:sz="8" w:color="auto"/>
            </w:tcBorders>
            <w:shd w:val="clear" w:color="auto" w:fill="D3D3D3"/>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4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gridSpan w:val="4"/>
            <w:vMerge w:val="continue"/>
          </w:tcPr>
          <w:p>
            <w:pPr>
              <w:spacing w:after="0"/>
              <w:rPr>
                <w:sz w:val="10"/>
                <w:szCs w:val="10"/>
                <w:color w:val="auto"/>
              </w:rPr>
            </w:pPr>
          </w:p>
        </w:tc>
        <w:tc>
          <w:tcPr>
            <w:tcW w:w="580" w:type="dxa"/>
            <w:vAlign w:val="bottom"/>
            <w:tcBorders>
              <w:bottom w:val="single" w:sz="8" w:color="auto"/>
              <w:right w:val="single" w:sz="8" w:color="auto"/>
            </w:tcBorders>
            <w:shd w:val="clear" w:color="auto" w:fill="D3D3D3"/>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10940" w:type="dxa"/>
            <w:vAlign w:val="bottom"/>
            <w:tcBorders>
              <w:right w:val="single" w:sz="8" w:color="auto"/>
            </w:tcBorders>
            <w:gridSpan w:val="12"/>
          </w:tcPr>
          <w:p>
            <w:pPr>
              <w:ind w:left="160"/>
              <w:spacing w:after="0"/>
              <w:rPr>
                <w:sz w:val="20"/>
                <w:szCs w:val="20"/>
                <w:color w:val="auto"/>
              </w:rPr>
            </w:pPr>
            <w:r>
              <w:rPr>
                <w:rFonts w:ascii="Arial" w:cs="Arial" w:eastAsia="Arial" w:hAnsi="Arial"/>
                <w:sz w:val="20"/>
                <w:szCs w:val="20"/>
                <w:color w:val="auto"/>
                <w:w w:val="99"/>
              </w:rPr>
              <w:t xml:space="preserve">Address: </w:t>
            </w:r>
            <w:r>
              <w:rPr>
                <w:rFonts w:ascii="Arial" w:cs="Arial" w:eastAsia="Arial" w:hAnsi="Arial"/>
                <w:sz w:val="20"/>
                <w:szCs w:val="20"/>
                <w:b w:val="1"/>
                <w:bCs w:val="1"/>
                <w:i w:val="1"/>
                <w:iCs w:val="1"/>
                <w:color w:val="808080"/>
                <w:w w:val="99"/>
              </w:rPr>
              <w:t>Registered address of contact’s office (if different than the lender’s office), including country of domicile.</w:t>
            </w:r>
          </w:p>
        </w:tc>
        <w:tc>
          <w:tcPr>
            <w:tcW w:w="0" w:type="dxa"/>
            <w:vAlign w:val="bottom"/>
          </w:tcPr>
          <w:p>
            <w:pPr>
              <w:spacing w:after="0"/>
              <w:rPr>
                <w:sz w:val="1"/>
                <w:szCs w:val="1"/>
                <w:color w:val="auto"/>
              </w:rPr>
            </w:pPr>
          </w:p>
        </w:tc>
      </w:tr>
      <w:tr>
        <w:trPr>
          <w:trHeight w:val="421"/>
        </w:trPr>
        <w:tc>
          <w:tcPr>
            <w:tcW w:w="780" w:type="dxa"/>
            <w:vAlign w:val="bottom"/>
            <w:tcBorders>
              <w:bottom w:val="single" w:sz="8" w:color="auto"/>
            </w:tcBorders>
            <w:gridSpan w:val="2"/>
          </w:tcPr>
          <w:p>
            <w:pPr>
              <w:spacing w:after="0"/>
              <w:rPr>
                <w:sz w:val="24"/>
                <w:szCs w:val="24"/>
                <w:color w:val="auto"/>
              </w:rPr>
            </w:pPr>
          </w:p>
        </w:tc>
        <w:tc>
          <w:tcPr>
            <w:tcW w:w="2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80" w:type="dxa"/>
            <w:vAlign w:val="bottom"/>
            <w:tcBorders>
              <w:bottom w:val="single" w:sz="8" w:color="auto"/>
              <w:right w:val="single" w:sz="8" w:color="auto"/>
            </w:tcBorders>
            <w:gridSpan w:val="2"/>
            <w:shd w:val="clear" w:color="auto" w:fill="D3D3D3"/>
          </w:tcPr>
          <w:p>
            <w:pPr>
              <w:ind w:left="160"/>
              <w:spacing w:after="0"/>
              <w:rPr>
                <w:sz w:val="20"/>
                <w:szCs w:val="20"/>
                <w:color w:val="auto"/>
              </w:rPr>
            </w:pPr>
            <w:r>
              <w:rPr>
                <w:rFonts w:ascii="Arial" w:cs="Arial" w:eastAsia="Arial" w:hAnsi="Arial"/>
                <w:sz w:val="20"/>
                <w:szCs w:val="20"/>
                <w:b w:val="1"/>
                <w:bCs w:val="1"/>
                <w:color w:val="auto"/>
                <w:w w:val="94"/>
              </w:rPr>
              <w:t>Phone</w:t>
            </w:r>
          </w:p>
        </w:tc>
        <w:tc>
          <w:tcPr>
            <w:tcW w:w="2380" w:type="dxa"/>
            <w:vAlign w:val="bottom"/>
            <w:tcBorders>
              <w:bottom w:val="single" w:sz="8" w:color="auto"/>
              <w:right w:val="single" w:sz="8" w:color="auto"/>
            </w:tcBorders>
          </w:tcPr>
          <w:p>
            <w:pPr>
              <w:spacing w:after="0"/>
              <w:rPr>
                <w:sz w:val="23"/>
                <w:szCs w:val="23"/>
                <w:color w:val="auto"/>
              </w:rPr>
            </w:pPr>
          </w:p>
        </w:tc>
        <w:tc>
          <w:tcPr>
            <w:tcW w:w="440" w:type="dxa"/>
            <w:vAlign w:val="bottom"/>
            <w:tcBorders>
              <w:bottom w:val="single" w:sz="8" w:color="auto"/>
              <w:right w:val="single" w:sz="8" w:color="auto"/>
            </w:tcBorders>
            <w:shd w:val="clear" w:color="auto" w:fill="D3D3D3"/>
          </w:tcPr>
          <w:p>
            <w:pPr>
              <w:ind w:left="80"/>
              <w:spacing w:after="0"/>
              <w:rPr>
                <w:sz w:val="20"/>
                <w:szCs w:val="20"/>
                <w:color w:val="auto"/>
              </w:rPr>
            </w:pPr>
            <w:r>
              <w:rPr>
                <w:rFonts w:ascii="Arial" w:cs="Arial" w:eastAsia="Arial" w:hAnsi="Arial"/>
                <w:sz w:val="20"/>
                <w:szCs w:val="20"/>
                <w:b w:val="1"/>
                <w:bCs w:val="1"/>
                <w:color w:val="auto"/>
                <w:w w:val="92"/>
              </w:rPr>
              <w:t>Fax</w:t>
            </w:r>
          </w:p>
        </w:tc>
        <w:tc>
          <w:tcPr>
            <w:tcW w:w="16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980" w:type="dxa"/>
            <w:vAlign w:val="bottom"/>
            <w:tcBorders>
              <w:bottom w:val="single" w:sz="8" w:color="auto"/>
              <w:right w:val="single" w:sz="8" w:color="auto"/>
            </w:tcBorders>
            <w:gridSpan w:val="2"/>
            <w:shd w:val="clear" w:color="auto" w:fill="D3D3D3"/>
          </w:tcPr>
          <w:p>
            <w:pPr>
              <w:ind w:left="120"/>
              <w:spacing w:after="0"/>
              <w:rPr>
                <w:sz w:val="20"/>
                <w:szCs w:val="20"/>
                <w:color w:val="auto"/>
              </w:rPr>
            </w:pPr>
            <w:r>
              <w:rPr>
                <w:rFonts w:ascii="Arial" w:cs="Arial" w:eastAsia="Arial" w:hAnsi="Arial"/>
                <w:sz w:val="20"/>
                <w:szCs w:val="20"/>
                <w:b w:val="1"/>
                <w:bCs w:val="1"/>
                <w:color w:val="auto"/>
              </w:rPr>
              <w:t>Email</w:t>
            </w:r>
          </w:p>
        </w:tc>
        <w:tc>
          <w:tcPr>
            <w:tcW w:w="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3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88"/>
        </w:trPr>
        <w:tc>
          <w:tcPr>
            <w:tcW w:w="3160" w:type="dxa"/>
            <w:vAlign w:val="bottom"/>
            <w:gridSpan w:val="3"/>
          </w:tcPr>
          <w:p>
            <w:pPr>
              <w:ind w:left="1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Data Room Access</w:t>
            </w: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gridSpan w:val="4"/>
            <w:shd w:val="clear" w:color="auto" w:fill="7B7B7B"/>
          </w:tcPr>
          <w:p>
            <w:pPr>
              <w:ind w:left="100"/>
              <w:spacing w:after="0"/>
              <w:rPr>
                <w:sz w:val="20"/>
                <w:szCs w:val="20"/>
                <w:color w:val="auto"/>
              </w:rPr>
            </w:pPr>
            <w:r>
              <w:rPr>
                <w:rFonts w:ascii="Arial" w:cs="Arial" w:eastAsia="Arial" w:hAnsi="Arial"/>
                <w:sz w:val="20"/>
                <w:szCs w:val="20"/>
                <w:b w:val="1"/>
                <w:bCs w:val="1"/>
                <w:color w:val="auto"/>
                <w:w w:val="89"/>
              </w:rPr>
              <w:t>Pfd. Contact Method</w:t>
            </w:r>
          </w:p>
        </w:tc>
        <w:tc>
          <w:tcPr>
            <w:tcW w:w="3020" w:type="dxa"/>
            <w:vAlign w:val="bottom"/>
          </w:tcPr>
          <w:p>
            <w:pPr>
              <w:ind w:left="100"/>
              <w:spacing w:after="0"/>
              <w:rPr>
                <w:sz w:val="20"/>
                <w:szCs w:val="20"/>
                <w:color w:val="auto"/>
              </w:rPr>
            </w:pPr>
            <w:r>
              <w:rPr>
                <w:rFonts w:ascii="Arial" w:cs="Arial" w:eastAsia="Arial" w:hAnsi="Arial"/>
                <w:sz w:val="20"/>
                <w:szCs w:val="20"/>
                <w:i w:val="1"/>
                <w:iCs w:val="1"/>
                <w:color w:val="808080"/>
              </w:rPr>
              <w:t>Preferred contact method for</w:t>
            </w:r>
          </w:p>
        </w:tc>
        <w:tc>
          <w:tcPr>
            <w:tcW w:w="0" w:type="dxa"/>
            <w:vAlign w:val="bottom"/>
          </w:tcPr>
          <w:p>
            <w:pPr>
              <w:spacing w:after="0"/>
              <w:rPr>
                <w:sz w:val="1"/>
                <w:szCs w:val="1"/>
                <w:color w:val="auto"/>
              </w:rPr>
            </w:pPr>
          </w:p>
        </w:tc>
      </w:tr>
      <w:tr>
        <w:trPr>
          <w:trHeight w:val="167"/>
        </w:trPr>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7B7B7B"/>
            </w:tcBorders>
            <w:shd w:val="clear" w:color="auto" w:fill="7B7B7B"/>
          </w:tcPr>
          <w:p>
            <w:pPr>
              <w:spacing w:after="0"/>
              <w:rPr>
                <w:sz w:val="14"/>
                <w:szCs w:val="14"/>
                <w:color w:val="auto"/>
              </w:rPr>
            </w:pPr>
          </w:p>
        </w:tc>
        <w:tc>
          <w:tcPr>
            <w:tcW w:w="140" w:type="dxa"/>
            <w:vAlign w:val="bottom"/>
            <w:tcBorders>
              <w:bottom w:val="single" w:sz="8" w:color="auto"/>
              <w:right w:val="single" w:sz="8" w:color="7B7B7B"/>
            </w:tcBorders>
            <w:shd w:val="clear" w:color="auto" w:fill="7B7B7B"/>
          </w:tcPr>
          <w:p>
            <w:pPr>
              <w:spacing w:after="0"/>
              <w:rPr>
                <w:sz w:val="14"/>
                <w:szCs w:val="14"/>
                <w:color w:val="auto"/>
              </w:rPr>
            </w:pPr>
          </w:p>
        </w:tc>
        <w:tc>
          <w:tcPr>
            <w:tcW w:w="580" w:type="dxa"/>
            <w:vAlign w:val="bottom"/>
            <w:tcBorders>
              <w:bottom w:val="single" w:sz="8" w:color="auto"/>
              <w:right w:val="single" w:sz="8" w:color="7B7B7B"/>
            </w:tcBorders>
            <w:shd w:val="clear" w:color="auto" w:fill="7B7B7B"/>
          </w:tcPr>
          <w:p>
            <w:pPr>
              <w:spacing w:after="0"/>
              <w:rPr>
                <w:sz w:val="14"/>
                <w:szCs w:val="14"/>
                <w:color w:val="auto"/>
              </w:rPr>
            </w:pPr>
          </w:p>
        </w:tc>
        <w:tc>
          <w:tcPr>
            <w:tcW w:w="580" w:type="dxa"/>
            <w:vAlign w:val="bottom"/>
            <w:tcBorders>
              <w:bottom w:val="single" w:sz="8" w:color="auto"/>
              <w:right w:val="single" w:sz="8" w:color="auto"/>
            </w:tcBorders>
            <w:shd w:val="clear" w:color="auto" w:fill="7B7B7B"/>
          </w:tcPr>
          <w:p>
            <w:pPr>
              <w:spacing w:after="0"/>
              <w:rPr>
                <w:sz w:val="14"/>
                <w:szCs w:val="14"/>
                <w:color w:val="auto"/>
              </w:rPr>
            </w:pPr>
          </w:p>
        </w:tc>
        <w:tc>
          <w:tcPr>
            <w:tcW w:w="3020" w:type="dxa"/>
            <w:vAlign w:val="bottom"/>
            <w:tcBorders>
              <w:bottom w:val="single" w:sz="8" w:color="auto"/>
            </w:tcBorders>
          </w:tcPr>
          <w:p>
            <w:pPr>
              <w:ind w:left="100"/>
              <w:spacing w:after="0" w:line="161" w:lineRule="exact"/>
              <w:rPr>
                <w:sz w:val="20"/>
                <w:szCs w:val="20"/>
                <w:color w:val="auto"/>
              </w:rPr>
            </w:pPr>
            <w:r>
              <w:rPr>
                <w:rFonts w:ascii="Arial" w:cs="Arial" w:eastAsia="Arial" w:hAnsi="Arial"/>
                <w:sz w:val="17"/>
                <w:szCs w:val="17"/>
                <w:i w:val="1"/>
                <w:iCs w:val="1"/>
                <w:color w:val="808080"/>
              </w:rPr>
              <w:t>inquiries.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Copy and paste section above to add any additional contacts. It is recommended that at least one of the contacts be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6938010" cy="2381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38010" cy="2381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OPERATIONS CONTACTS (INQUIRIES ONLY)</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80" w:type="dxa"/>
            <w:vAlign w:val="bottom"/>
            <w:tcBorders>
              <w:top w:val="single" w:sz="8" w:color="auto"/>
              <w:left w:val="single" w:sz="8" w:color="auto"/>
              <w:right w:val="single" w:sz="8" w:color="auto"/>
            </w:tcBorders>
            <w:vMerge w:val="restart"/>
            <w:shd w:val="clear" w:color="auto" w:fill="D3D3D3"/>
          </w:tcPr>
          <w:p>
            <w:pPr>
              <w:ind w:left="160"/>
              <w:spacing w:after="0"/>
              <w:rPr>
                <w:sz w:val="20"/>
                <w:szCs w:val="20"/>
                <w:color w:val="auto"/>
              </w:rPr>
            </w:pPr>
            <w:r>
              <w:rPr>
                <w:rFonts w:ascii="Arial" w:cs="Arial" w:eastAsia="Arial" w:hAnsi="Arial"/>
                <w:sz w:val="20"/>
                <w:szCs w:val="20"/>
                <w:b w:val="1"/>
                <w:bCs w:val="1"/>
                <w:color w:val="auto"/>
                <w:w w:val="88"/>
              </w:rPr>
              <w:t>Name</w:t>
            </w:r>
          </w:p>
        </w:tc>
        <w:tc>
          <w:tcPr>
            <w:tcW w:w="40" w:type="dxa"/>
            <w:vAlign w:val="bottom"/>
            <w:tcBorders>
              <w:top w:val="single" w:sz="8" w:color="auto"/>
            </w:tcBorders>
          </w:tcPr>
          <w:p>
            <w:pPr>
              <w:spacing w:after="0"/>
              <w:rPr>
                <w:sz w:val="19"/>
                <w:szCs w:val="19"/>
                <w:color w:val="auto"/>
              </w:rPr>
            </w:pPr>
          </w:p>
        </w:tc>
        <w:tc>
          <w:tcPr>
            <w:tcW w:w="4540" w:type="dxa"/>
            <w:vAlign w:val="bottom"/>
            <w:tcBorders>
              <w:top w:val="single" w:sz="8" w:color="auto"/>
              <w:right w:val="single" w:sz="8" w:color="auto"/>
            </w:tcBorders>
            <w:gridSpan w:val="3"/>
            <w:vMerge w:val="restart"/>
          </w:tcPr>
          <w:p>
            <w:pPr>
              <w:ind w:left="60"/>
              <w:spacing w:after="0"/>
              <w:rPr>
                <w:sz w:val="20"/>
                <w:szCs w:val="20"/>
                <w:color w:val="auto"/>
              </w:rPr>
            </w:pPr>
            <w:r>
              <w:rPr>
                <w:rFonts w:ascii="Arial" w:cs="Arial" w:eastAsia="Arial" w:hAnsi="Arial"/>
                <w:sz w:val="20"/>
                <w:szCs w:val="20"/>
                <w:i w:val="1"/>
                <w:iCs w:val="1"/>
                <w:color w:val="808080"/>
              </w:rPr>
              <w:t>Name of group or individual.</w:t>
            </w:r>
          </w:p>
        </w:tc>
        <w:tc>
          <w:tcPr>
            <w:tcW w:w="1520" w:type="dxa"/>
            <w:vAlign w:val="bottom"/>
            <w:tcBorders>
              <w:top w:val="single" w:sz="8" w:color="auto"/>
              <w:right w:val="single" w:sz="8" w:color="auto"/>
            </w:tcBorders>
            <w:gridSpan w:val="5"/>
          </w:tcPr>
          <w:p>
            <w:pPr>
              <w:ind w:left="80"/>
              <w:spacing w:after="0" w:line="224" w:lineRule="exact"/>
              <w:rPr>
                <w:sz w:val="20"/>
                <w:szCs w:val="20"/>
                <w:color w:val="auto"/>
              </w:rPr>
            </w:pPr>
            <w:r>
              <w:rPr>
                <w:rFonts w:ascii="Arial" w:cs="Arial" w:eastAsia="Arial" w:hAnsi="Arial"/>
                <w:sz w:val="20"/>
                <w:szCs w:val="20"/>
                <w:i w:val="1"/>
                <w:iCs w:val="1"/>
                <w:color w:val="808080"/>
              </w:rPr>
              <w:t>Select group or</w:t>
            </w:r>
          </w:p>
        </w:tc>
        <w:tc>
          <w:tcPr>
            <w:tcW w:w="560" w:type="dxa"/>
            <w:vAlign w:val="bottom"/>
            <w:tcBorders>
              <w:top w:val="single" w:sz="8" w:color="auto"/>
              <w:right w:val="single" w:sz="8" w:color="auto"/>
            </w:tcBorders>
            <w:vMerge w:val="restart"/>
            <w:shd w:val="clear" w:color="auto" w:fill="D3D3D3"/>
          </w:tcPr>
          <w:p>
            <w:pPr>
              <w:ind w:left="80"/>
              <w:spacing w:after="0"/>
              <w:rPr>
                <w:sz w:val="20"/>
                <w:szCs w:val="20"/>
                <w:color w:val="auto"/>
              </w:rPr>
            </w:pPr>
            <w:r>
              <w:rPr>
                <w:rFonts w:ascii="Arial" w:cs="Arial" w:eastAsia="Arial" w:hAnsi="Arial"/>
                <w:sz w:val="20"/>
                <w:szCs w:val="20"/>
                <w:b w:val="1"/>
                <w:bCs w:val="1"/>
                <w:color w:val="auto"/>
              </w:rPr>
              <w:t>Firm</w:t>
            </w:r>
          </w:p>
        </w:tc>
        <w:tc>
          <w:tcPr>
            <w:tcW w:w="3600" w:type="dxa"/>
            <w:vAlign w:val="bottom"/>
            <w:tcBorders>
              <w:top w:val="single" w:sz="8" w:color="auto"/>
              <w:right w:val="single" w:sz="8" w:color="auto"/>
            </w:tcBorders>
            <w:gridSpan w:val="4"/>
            <w:vMerge w:val="restart"/>
          </w:tcPr>
          <w:p>
            <w:pPr>
              <w:ind w:left="100"/>
              <w:spacing w:after="0"/>
              <w:rPr>
                <w:sz w:val="20"/>
                <w:szCs w:val="20"/>
                <w:color w:val="auto"/>
              </w:rPr>
            </w:pPr>
            <w:r>
              <w:rPr>
                <w:rFonts w:ascii="Arial" w:cs="Arial" w:eastAsia="Arial" w:hAnsi="Arial"/>
                <w:sz w:val="20"/>
                <w:szCs w:val="20"/>
                <w:i w:val="1"/>
                <w:iCs w:val="1"/>
                <w:color w:val="808080"/>
              </w:rPr>
              <w:t>Firm with which contact is affiliated</w:t>
            </w:r>
            <w:r>
              <w:rPr>
                <w:rFonts w:ascii="Arial" w:cs="Arial" w:eastAsia="Arial" w:hAnsi="Arial"/>
                <w:sz w:val="20"/>
                <w:szCs w:val="20"/>
                <w:color w:val="808080"/>
              </w:rPr>
              <w:t>.</w:t>
            </w:r>
          </w:p>
        </w:tc>
        <w:tc>
          <w:tcPr>
            <w:tcW w:w="0" w:type="dxa"/>
            <w:vAlign w:val="bottom"/>
          </w:tcPr>
          <w:p>
            <w:pPr>
              <w:spacing w:after="0"/>
              <w:rPr>
                <w:sz w:val="1"/>
                <w:szCs w:val="1"/>
                <w:color w:val="auto"/>
              </w:rPr>
            </w:pPr>
          </w:p>
        </w:tc>
      </w:tr>
      <w:tr>
        <w:trPr>
          <w:trHeight w:val="128"/>
        </w:trPr>
        <w:tc>
          <w:tcPr>
            <w:tcW w:w="680" w:type="dxa"/>
            <w:vAlign w:val="bottom"/>
            <w:tcBorders>
              <w:left w:val="single" w:sz="8" w:color="auto"/>
              <w:right w:val="single" w:sz="8" w:color="auto"/>
            </w:tcBorders>
            <w:vMerge w:val="continue"/>
            <w:shd w:val="clear" w:color="auto" w:fill="D3D3D3"/>
          </w:tcPr>
          <w:p>
            <w:pPr>
              <w:spacing w:after="0"/>
              <w:rPr>
                <w:sz w:val="11"/>
                <w:szCs w:val="11"/>
                <w:color w:val="auto"/>
              </w:rPr>
            </w:pPr>
          </w:p>
        </w:tc>
        <w:tc>
          <w:tcPr>
            <w:tcW w:w="40" w:type="dxa"/>
            <w:vAlign w:val="bottom"/>
          </w:tcPr>
          <w:p>
            <w:pPr>
              <w:spacing w:after="0"/>
              <w:rPr>
                <w:sz w:val="11"/>
                <w:szCs w:val="11"/>
                <w:color w:val="auto"/>
              </w:rPr>
            </w:pPr>
          </w:p>
        </w:tc>
        <w:tc>
          <w:tcPr>
            <w:tcW w:w="4540" w:type="dxa"/>
            <w:vAlign w:val="bottom"/>
            <w:tcBorders>
              <w:right w:val="single" w:sz="8" w:color="auto"/>
            </w:tcBorders>
            <w:gridSpan w:val="3"/>
            <w:vMerge w:val="continue"/>
          </w:tcPr>
          <w:p>
            <w:pPr>
              <w:spacing w:after="0"/>
              <w:rPr>
                <w:sz w:val="11"/>
                <w:szCs w:val="11"/>
                <w:color w:val="auto"/>
              </w:rPr>
            </w:pPr>
          </w:p>
        </w:tc>
        <w:tc>
          <w:tcPr>
            <w:tcW w:w="1160" w:type="dxa"/>
            <w:vAlign w:val="bottom"/>
            <w:gridSpan w:val="4"/>
            <w:vMerge w:val="restart"/>
          </w:tcPr>
          <w:p>
            <w:pPr>
              <w:ind w:left="80"/>
              <w:spacing w:after="0"/>
              <w:rPr>
                <w:sz w:val="20"/>
                <w:szCs w:val="20"/>
                <w:color w:val="auto"/>
              </w:rPr>
            </w:pPr>
            <w:r>
              <w:rPr>
                <w:rFonts w:ascii="Arial" w:cs="Arial" w:eastAsia="Arial" w:hAnsi="Arial"/>
                <w:sz w:val="20"/>
                <w:szCs w:val="20"/>
                <w:i w:val="1"/>
                <w:iCs w:val="1"/>
                <w:color w:val="808080"/>
              </w:rPr>
              <w:t>Individual</w:t>
            </w:r>
          </w:p>
        </w:tc>
        <w:tc>
          <w:tcPr>
            <w:tcW w:w="360" w:type="dxa"/>
            <w:vAlign w:val="bottom"/>
            <w:tcBorders>
              <w:right w:val="single" w:sz="8" w:color="auto"/>
            </w:tcBorders>
          </w:tcPr>
          <w:p>
            <w:pPr>
              <w:spacing w:after="0"/>
              <w:rPr>
                <w:sz w:val="11"/>
                <w:szCs w:val="11"/>
                <w:color w:val="auto"/>
              </w:rPr>
            </w:pPr>
          </w:p>
        </w:tc>
        <w:tc>
          <w:tcPr>
            <w:tcW w:w="560" w:type="dxa"/>
            <w:vAlign w:val="bottom"/>
            <w:tcBorders>
              <w:right w:val="single" w:sz="8" w:color="auto"/>
            </w:tcBorders>
            <w:vMerge w:val="continue"/>
            <w:shd w:val="clear" w:color="auto" w:fill="D3D3D3"/>
          </w:tcPr>
          <w:p>
            <w:pPr>
              <w:spacing w:after="0"/>
              <w:rPr>
                <w:sz w:val="11"/>
                <w:szCs w:val="11"/>
                <w:color w:val="auto"/>
              </w:rPr>
            </w:pPr>
          </w:p>
        </w:tc>
        <w:tc>
          <w:tcPr>
            <w:tcW w:w="3600" w:type="dxa"/>
            <w:vAlign w:val="bottom"/>
            <w:tcBorders>
              <w:right w:val="single" w:sz="8" w:color="auto"/>
            </w:tcBorders>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80" w:type="dxa"/>
            <w:vAlign w:val="bottom"/>
            <w:tcBorders>
              <w:left w:val="single" w:sz="8" w:color="auto"/>
              <w:bottom w:val="single" w:sz="8" w:color="auto"/>
              <w:right w:val="single" w:sz="8" w:color="auto"/>
            </w:tcBorders>
            <w:shd w:val="clear" w:color="auto" w:fill="D3D3D3"/>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tcBorders>
            <w:gridSpan w:val="4"/>
            <w:vMerge w:val="continue"/>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560" w:type="dxa"/>
            <w:vAlign w:val="bottom"/>
            <w:tcBorders>
              <w:bottom w:val="single" w:sz="8" w:color="auto"/>
              <w:right w:val="single" w:sz="8" w:color="auto"/>
            </w:tcBorders>
            <w:shd w:val="clear" w:color="auto" w:fill="D3D3D3"/>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10940" w:type="dxa"/>
            <w:vAlign w:val="bottom"/>
            <w:tcBorders>
              <w:left w:val="single" w:sz="8" w:color="auto"/>
              <w:right w:val="single" w:sz="8" w:color="auto"/>
            </w:tcBorders>
            <w:gridSpan w:val="15"/>
          </w:tcPr>
          <w:p>
            <w:pPr>
              <w:ind w:left="160"/>
              <w:spacing w:after="0"/>
              <w:rPr>
                <w:sz w:val="20"/>
                <w:szCs w:val="20"/>
                <w:color w:val="auto"/>
              </w:rPr>
            </w:pPr>
            <w:r>
              <w:rPr>
                <w:rFonts w:ascii="Arial" w:cs="Arial" w:eastAsia="Arial" w:hAnsi="Arial"/>
                <w:sz w:val="20"/>
                <w:szCs w:val="20"/>
                <w:color w:val="auto"/>
                <w:w w:val="99"/>
              </w:rPr>
              <w:t xml:space="preserve">Address: </w:t>
            </w:r>
            <w:r>
              <w:rPr>
                <w:rFonts w:ascii="Arial" w:cs="Arial" w:eastAsia="Arial" w:hAnsi="Arial"/>
                <w:sz w:val="20"/>
                <w:szCs w:val="20"/>
                <w:b w:val="1"/>
                <w:bCs w:val="1"/>
                <w:i w:val="1"/>
                <w:iCs w:val="1"/>
                <w:color w:val="808080"/>
                <w:w w:val="99"/>
              </w:rPr>
              <w:t>Registered address of contact’s office (if different than the lender’s office), including country of domicile.</w:t>
            </w:r>
          </w:p>
        </w:tc>
        <w:tc>
          <w:tcPr>
            <w:tcW w:w="0" w:type="dxa"/>
            <w:vAlign w:val="bottom"/>
          </w:tcPr>
          <w:p>
            <w:pPr>
              <w:spacing w:after="0"/>
              <w:rPr>
                <w:sz w:val="1"/>
                <w:szCs w:val="1"/>
                <w:color w:val="auto"/>
              </w:rPr>
            </w:pPr>
          </w:p>
        </w:tc>
      </w:tr>
      <w:tr>
        <w:trPr>
          <w:trHeight w:val="421"/>
        </w:trPr>
        <w:tc>
          <w:tcPr>
            <w:tcW w:w="720" w:type="dxa"/>
            <w:vAlign w:val="bottom"/>
            <w:tcBorders>
              <w:left w:val="single" w:sz="8" w:color="auto"/>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20" w:type="dxa"/>
            <w:vAlign w:val="bottom"/>
            <w:tcBorders>
              <w:left w:val="single" w:sz="8" w:color="auto"/>
              <w:bottom w:val="single" w:sz="8" w:color="auto"/>
              <w:right w:val="single" w:sz="8" w:color="auto"/>
            </w:tcBorders>
            <w:gridSpan w:val="2"/>
            <w:shd w:val="clear" w:color="auto" w:fill="D3D3D3"/>
          </w:tcPr>
          <w:p>
            <w:pPr>
              <w:ind w:left="160"/>
              <w:spacing w:after="0" w:line="221" w:lineRule="exact"/>
              <w:rPr>
                <w:sz w:val="20"/>
                <w:szCs w:val="20"/>
                <w:color w:val="auto"/>
              </w:rPr>
            </w:pPr>
            <w:r>
              <w:rPr>
                <w:rFonts w:ascii="Arial" w:cs="Arial" w:eastAsia="Arial" w:hAnsi="Arial"/>
                <w:sz w:val="20"/>
                <w:szCs w:val="20"/>
                <w:b w:val="1"/>
                <w:bCs w:val="1"/>
                <w:color w:val="auto"/>
                <w:w w:val="84"/>
              </w:rPr>
              <w:t>Phone</w:t>
            </w:r>
          </w:p>
        </w:tc>
        <w:tc>
          <w:tcPr>
            <w:tcW w:w="22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shd w:val="clear" w:color="auto" w:fill="D3D3D3"/>
          </w:tcPr>
          <w:p>
            <w:pPr>
              <w:ind w:left="80"/>
              <w:spacing w:after="0" w:line="221" w:lineRule="exact"/>
              <w:rPr>
                <w:sz w:val="20"/>
                <w:szCs w:val="20"/>
                <w:color w:val="auto"/>
              </w:rPr>
            </w:pPr>
            <w:r>
              <w:rPr>
                <w:rFonts w:ascii="Arial" w:cs="Arial" w:eastAsia="Arial" w:hAnsi="Arial"/>
                <w:sz w:val="20"/>
                <w:szCs w:val="20"/>
                <w:b w:val="1"/>
                <w:bCs w:val="1"/>
                <w:color w:val="auto"/>
                <w:highlight w:val="lightGray"/>
                <w:w w:val="92"/>
              </w:rPr>
              <w:t>Fax</w:t>
            </w:r>
          </w:p>
        </w:tc>
        <w:tc>
          <w:tcPr>
            <w:tcW w:w="18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D3D3D3"/>
            </w:tcBorders>
            <w:gridSpan w:val="3"/>
            <w:shd w:val="clear" w:color="auto" w:fill="D3D3D3"/>
          </w:tcPr>
          <w:p>
            <w:pPr>
              <w:ind w:left="100"/>
              <w:spacing w:after="0" w:line="221" w:lineRule="exact"/>
              <w:rPr>
                <w:sz w:val="20"/>
                <w:szCs w:val="20"/>
                <w:color w:val="auto"/>
              </w:rPr>
            </w:pPr>
            <w:r>
              <w:rPr>
                <w:rFonts w:ascii="Arial" w:cs="Arial" w:eastAsia="Arial" w:hAnsi="Arial"/>
                <w:sz w:val="20"/>
                <w:szCs w:val="20"/>
                <w:b w:val="1"/>
                <w:bCs w:val="1"/>
                <w:color w:val="auto"/>
                <w:highlight w:val="lightGray"/>
                <w:w w:val="97"/>
              </w:rPr>
              <w:t>Email</w:t>
            </w:r>
          </w:p>
        </w:tc>
        <w:tc>
          <w:tcPr>
            <w:tcW w:w="36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5260" w:type="dxa"/>
            <w:vAlign w:val="bottom"/>
            <w:tcBorders>
              <w:left w:val="single" w:sz="8" w:color="auto"/>
            </w:tcBorders>
            <w:gridSpan w:val="5"/>
            <w:vMerge w:val="restart"/>
          </w:tcPr>
          <w:p>
            <w:pPr>
              <w:ind w:left="1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Settlements </w:t>
            </w:r>
            <w:r>
              <w:rPr>
                <w:rFonts w:ascii="MS PGothic" w:cs="MS PGothic" w:eastAsia="MS PGothic" w:hAnsi="MS PGothic"/>
                <w:sz w:val="20"/>
                <w:szCs w:val="20"/>
                <w:color w:val="auto"/>
              </w:rPr>
              <w:t>☐</w:t>
            </w:r>
            <w:r>
              <w:rPr>
                <w:rFonts w:ascii="Arial" w:cs="Arial" w:eastAsia="Arial" w:hAnsi="Arial"/>
                <w:sz w:val="20"/>
                <w:szCs w:val="20"/>
                <w:color w:val="auto"/>
              </w:rPr>
              <w:t xml:space="preserve"> Servicing </w:t>
            </w:r>
            <w:r>
              <w:rPr>
                <w:rFonts w:ascii="MS PGothic" w:cs="MS PGothic" w:eastAsia="MS PGothic" w:hAnsi="MS PGothic"/>
                <w:sz w:val="20"/>
                <w:szCs w:val="20"/>
                <w:color w:val="auto"/>
              </w:rPr>
              <w:t>☐</w:t>
            </w:r>
            <w:r>
              <w:rPr>
                <w:rFonts w:ascii="Arial" w:cs="Arial" w:eastAsia="Arial" w:hAnsi="Arial"/>
                <w:sz w:val="20"/>
                <w:szCs w:val="20"/>
                <w:color w:val="auto"/>
              </w:rPr>
              <w:t xml:space="preserve"> SSI Verification </w:t>
            </w:r>
            <w:r>
              <w:rPr>
                <w:rFonts w:ascii="MS PGothic" w:cs="MS PGothic" w:eastAsia="MS PGothic" w:hAnsi="MS PGothic"/>
                <w:sz w:val="20"/>
                <w:szCs w:val="20"/>
                <w:color w:val="auto"/>
              </w:rPr>
              <w:t>☐</w:t>
            </w:r>
            <w:r>
              <w:rPr>
                <w:rFonts w:ascii="Arial" w:cs="Arial" w:eastAsia="Arial" w:hAnsi="Arial"/>
                <w:sz w:val="20"/>
                <w:szCs w:val="20"/>
                <w:color w:val="auto"/>
              </w:rPr>
              <w:t xml:space="preserve"> KYC</w:t>
            </w:r>
          </w:p>
        </w:tc>
        <w:tc>
          <w:tcPr>
            <w:tcW w:w="5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gridSpan w:val="6"/>
            <w:vMerge w:val="restart"/>
            <w:shd w:val="clear" w:color="auto" w:fill="7B7B7B"/>
          </w:tcPr>
          <w:p>
            <w:pPr>
              <w:jc w:val="center"/>
              <w:spacing w:after="0"/>
              <w:rPr>
                <w:sz w:val="20"/>
                <w:szCs w:val="20"/>
                <w:color w:val="auto"/>
              </w:rPr>
            </w:pPr>
            <w:r>
              <w:rPr>
                <w:rFonts w:ascii="Arial" w:cs="Arial" w:eastAsia="Arial" w:hAnsi="Arial"/>
                <w:sz w:val="20"/>
                <w:szCs w:val="20"/>
                <w:b w:val="1"/>
                <w:bCs w:val="1"/>
                <w:color w:val="auto"/>
                <w:w w:val="90"/>
              </w:rPr>
              <w:t>Pfd. Contact Method</w:t>
            </w:r>
          </w:p>
        </w:tc>
        <w:tc>
          <w:tcPr>
            <w:tcW w:w="2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i w:val="1"/>
                <w:iCs w:val="1"/>
                <w:color w:val="808080"/>
              </w:rPr>
              <w:t>Preferred contact method for</w:t>
            </w:r>
          </w:p>
        </w:tc>
        <w:tc>
          <w:tcPr>
            <w:tcW w:w="0" w:type="dxa"/>
            <w:vAlign w:val="bottom"/>
          </w:tcPr>
          <w:p>
            <w:pPr>
              <w:spacing w:after="0"/>
              <w:rPr>
                <w:sz w:val="1"/>
                <w:szCs w:val="1"/>
                <w:color w:val="auto"/>
              </w:rPr>
            </w:pPr>
          </w:p>
        </w:tc>
      </w:tr>
      <w:tr>
        <w:trPr>
          <w:trHeight w:val="305"/>
        </w:trPr>
        <w:tc>
          <w:tcPr>
            <w:tcW w:w="5260" w:type="dxa"/>
            <w:vAlign w:val="bottom"/>
            <w:tcBorders>
              <w:left w:val="single" w:sz="8" w:color="auto"/>
            </w:tcBorders>
            <w:gridSpan w:val="5"/>
            <w:vMerge w:val="continue"/>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960" w:type="dxa"/>
            <w:vAlign w:val="bottom"/>
            <w:tcBorders>
              <w:bottom w:val="single" w:sz="8" w:color="7B7B7B"/>
              <w:right w:val="single" w:sz="8" w:color="auto"/>
            </w:tcBorders>
            <w:gridSpan w:val="6"/>
            <w:vMerge w:val="continue"/>
            <w:shd w:val="clear" w:color="auto" w:fill="7B7B7B"/>
          </w:tcPr>
          <w:p>
            <w:pPr>
              <w:spacing w:after="0"/>
              <w:rPr>
                <w:sz w:val="24"/>
                <w:szCs w:val="24"/>
                <w:color w:val="auto"/>
              </w:rPr>
            </w:pPr>
          </w:p>
        </w:tc>
        <w:tc>
          <w:tcPr>
            <w:tcW w:w="29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i w:val="1"/>
                <w:iCs w:val="1"/>
                <w:color w:val="808080"/>
              </w:rPr>
              <w:t>inquiries.</w:t>
            </w:r>
          </w:p>
        </w:tc>
        <w:tc>
          <w:tcPr>
            <w:tcW w:w="0" w:type="dxa"/>
            <w:vAlign w:val="bottom"/>
          </w:tcPr>
          <w:p>
            <w:pPr>
              <w:spacing w:after="0"/>
              <w:rPr>
                <w:sz w:val="1"/>
                <w:szCs w:val="1"/>
                <w:color w:val="auto"/>
              </w:rPr>
            </w:pPr>
          </w:p>
        </w:tc>
      </w:tr>
      <w:tr>
        <w:trPr>
          <w:trHeight w:val="462"/>
        </w:trPr>
        <w:tc>
          <w:tcPr>
            <w:tcW w:w="10940" w:type="dxa"/>
            <w:vAlign w:val="bottom"/>
            <w:tcBorders>
              <w:top w:val="single" w:sz="8" w:color="auto"/>
              <w:left w:val="single" w:sz="8" w:color="auto"/>
              <w:bottom w:val="single" w:sz="8" w:color="auto"/>
              <w:right w:val="single" w:sz="8" w:color="auto"/>
            </w:tcBorders>
            <w:gridSpan w:val="15"/>
          </w:tcPr>
          <w:p>
            <w:pPr>
              <w:ind w:left="160"/>
              <w:spacing w:after="0"/>
              <w:rPr>
                <w:sz w:val="20"/>
                <w:szCs w:val="20"/>
                <w:color w:val="auto"/>
              </w:rPr>
            </w:pPr>
            <w:r>
              <w:rPr>
                <w:rFonts w:ascii="Arial" w:cs="Arial" w:eastAsia="Arial" w:hAnsi="Arial"/>
                <w:sz w:val="20"/>
                <w:szCs w:val="20"/>
                <w:b w:val="1"/>
                <w:bCs w:val="1"/>
                <w:i w:val="1"/>
                <w:iCs w:val="1"/>
                <w:color w:val="auto"/>
                <w:w w:val="90"/>
              </w:rPr>
              <w:t>Copy and paste section above to add any additional contacts. It is recommended that at least one of the contacts be a group.</w:t>
            </w:r>
          </w:p>
        </w:tc>
        <w:tc>
          <w:tcPr>
            <w:tcW w:w="0" w:type="dxa"/>
            <w:vAlign w:val="bottom"/>
          </w:tcPr>
          <w:p>
            <w:pPr>
              <w:spacing w:after="0"/>
              <w:rPr>
                <w:sz w:val="1"/>
                <w:szCs w:val="1"/>
                <w:color w:val="auto"/>
              </w:rPr>
            </w:pPr>
          </w:p>
        </w:tc>
      </w:tr>
      <w:tr>
        <w:trPr>
          <w:trHeight w:val="241"/>
        </w:trPr>
        <w:tc>
          <w:tcPr>
            <w:tcW w:w="2960" w:type="dxa"/>
            <w:vAlign w:val="bottom"/>
            <w:gridSpan w:val="3"/>
          </w:tcPr>
          <w:p>
            <w:pPr>
              <w:spacing w:after="0"/>
              <w:rPr>
                <w:sz w:val="20"/>
                <w:szCs w:val="20"/>
                <w:color w:val="auto"/>
              </w:rPr>
            </w:pPr>
          </w:p>
        </w:tc>
        <w:tc>
          <w:tcPr>
            <w:tcW w:w="2300" w:type="dxa"/>
            <w:vAlign w:val="bottom"/>
            <w:gridSpan w:val="2"/>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5260" w:type="dxa"/>
            <w:vAlign w:val="bottom"/>
            <w:tcBorders>
              <w:left w:val="single" w:sz="8" w:color="auto"/>
              <w:right w:val="single" w:sz="8" w:color="auto"/>
            </w:tcBorders>
            <w:gridSpan w:val="5"/>
            <w:shd w:val="clear" w:color="auto" w:fill="000000"/>
          </w:tcPr>
          <w:p>
            <w:pPr>
              <w:ind w:left="160"/>
              <w:spacing w:after="0"/>
              <w:rPr>
                <w:sz w:val="20"/>
                <w:szCs w:val="20"/>
                <w:color w:val="auto"/>
              </w:rPr>
            </w:pPr>
            <w:r>
              <w:rPr>
                <w:rFonts w:ascii="Arial" w:cs="Arial" w:eastAsia="Arial" w:hAnsi="Arial"/>
                <w:sz w:val="20"/>
                <w:szCs w:val="20"/>
                <w:b w:val="1"/>
                <w:bCs w:val="1"/>
                <w:color w:val="FFFFFF"/>
              </w:rPr>
              <w:t>OPERATIONS CLOSER CONTACTS</w:t>
            </w:r>
          </w:p>
        </w:tc>
        <w:tc>
          <w:tcPr>
            <w:tcW w:w="500" w:type="dxa"/>
            <w:vAlign w:val="bottom"/>
            <w:tcBorders>
              <w:right w:val="single" w:sz="8" w:color="auto"/>
            </w:tcBorders>
            <w:shd w:val="clear" w:color="auto" w:fill="000000"/>
          </w:tcPr>
          <w:p>
            <w:pPr>
              <w:spacing w:after="0"/>
              <w:rPr>
                <w:sz w:val="24"/>
                <w:szCs w:val="24"/>
                <w:color w:val="auto"/>
              </w:rPr>
            </w:pPr>
          </w:p>
        </w:tc>
        <w:tc>
          <w:tcPr>
            <w:tcW w:w="320" w:type="dxa"/>
            <w:vAlign w:val="bottom"/>
            <w:tcBorders>
              <w:right w:val="single" w:sz="8" w:color="auto"/>
            </w:tcBorders>
            <w:shd w:val="clear" w:color="auto" w:fill="000000"/>
          </w:tcPr>
          <w:p>
            <w:pPr>
              <w:spacing w:after="0"/>
              <w:rPr>
                <w:sz w:val="24"/>
                <w:szCs w:val="24"/>
                <w:color w:val="auto"/>
              </w:rPr>
            </w:pPr>
          </w:p>
        </w:tc>
        <w:tc>
          <w:tcPr>
            <w:tcW w:w="260" w:type="dxa"/>
            <w:vAlign w:val="bottom"/>
            <w:tcBorders>
              <w:right w:val="single" w:sz="8" w:color="auto"/>
            </w:tcBorders>
            <w:shd w:val="clear" w:color="auto" w:fill="000000"/>
          </w:tcPr>
          <w:p>
            <w:pPr>
              <w:spacing w:after="0"/>
              <w:rPr>
                <w:sz w:val="24"/>
                <w:szCs w:val="24"/>
                <w:color w:val="auto"/>
              </w:rPr>
            </w:pPr>
          </w:p>
        </w:tc>
        <w:tc>
          <w:tcPr>
            <w:tcW w:w="80" w:type="dxa"/>
            <w:vAlign w:val="bottom"/>
            <w:tcBorders>
              <w:right w:val="single" w:sz="8" w:color="auto"/>
            </w:tcBorders>
            <w:shd w:val="clear" w:color="auto" w:fill="000000"/>
          </w:tcPr>
          <w:p>
            <w:pPr>
              <w:spacing w:after="0"/>
              <w:rPr>
                <w:sz w:val="24"/>
                <w:szCs w:val="24"/>
                <w:color w:val="auto"/>
              </w:rPr>
            </w:pPr>
          </w:p>
        </w:tc>
        <w:tc>
          <w:tcPr>
            <w:tcW w:w="360" w:type="dxa"/>
            <w:vAlign w:val="bottom"/>
            <w:tcBorders>
              <w:left w:val="single" w:sz="8" w:color="auto"/>
              <w:right w:val="single" w:sz="8" w:color="auto"/>
            </w:tcBorders>
            <w:shd w:val="clear" w:color="auto" w:fill="000000"/>
          </w:tcPr>
          <w:p>
            <w:pPr>
              <w:spacing w:after="0"/>
              <w:rPr>
                <w:sz w:val="24"/>
                <w:szCs w:val="24"/>
                <w:color w:val="auto"/>
              </w:rPr>
            </w:pPr>
          </w:p>
        </w:tc>
        <w:tc>
          <w:tcPr>
            <w:tcW w:w="56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shd w:val="clear" w:color="auto" w:fill="000000"/>
          </w:tcPr>
          <w:p>
            <w:pPr>
              <w:spacing w:after="0"/>
              <w:rPr>
                <w:sz w:val="24"/>
                <w:szCs w:val="24"/>
                <w:color w:val="auto"/>
              </w:rPr>
            </w:pPr>
          </w:p>
        </w:tc>
        <w:tc>
          <w:tcPr>
            <w:tcW w:w="160" w:type="dxa"/>
            <w:vAlign w:val="bottom"/>
            <w:tcBorders>
              <w:right w:val="single" w:sz="8" w:color="auto"/>
            </w:tcBorders>
            <w:shd w:val="clear" w:color="auto" w:fill="000000"/>
          </w:tcPr>
          <w:p>
            <w:pPr>
              <w:spacing w:after="0"/>
              <w:rPr>
                <w:sz w:val="24"/>
                <w:szCs w:val="24"/>
                <w:color w:val="auto"/>
              </w:rPr>
            </w:pPr>
          </w:p>
        </w:tc>
        <w:tc>
          <w:tcPr>
            <w:tcW w:w="380" w:type="dxa"/>
            <w:vAlign w:val="bottom"/>
            <w:tcBorders>
              <w:right w:val="single" w:sz="8" w:color="auto"/>
            </w:tcBorders>
            <w:shd w:val="clear" w:color="auto" w:fill="000000"/>
          </w:tcPr>
          <w:p>
            <w:pPr>
              <w:spacing w:after="0"/>
              <w:rPr>
                <w:sz w:val="24"/>
                <w:szCs w:val="24"/>
                <w:color w:val="auto"/>
              </w:rPr>
            </w:pPr>
          </w:p>
        </w:tc>
        <w:tc>
          <w:tcPr>
            <w:tcW w:w="252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680" w:type="dxa"/>
            <w:vAlign w:val="bottom"/>
            <w:tcBorders>
              <w:left w:val="single" w:sz="8" w:color="auto"/>
              <w:right w:val="single" w:sz="8" w:color="auto"/>
            </w:tcBorders>
            <w:shd w:val="clear" w:color="auto" w:fill="000000"/>
          </w:tcPr>
          <w:p>
            <w:pPr>
              <w:spacing w:after="0"/>
              <w:rPr>
                <w:sz w:val="7"/>
                <w:szCs w:val="7"/>
                <w:color w:val="auto"/>
              </w:rPr>
            </w:pPr>
          </w:p>
        </w:tc>
        <w:tc>
          <w:tcPr>
            <w:tcW w:w="40" w:type="dxa"/>
            <w:vAlign w:val="bottom"/>
            <w:tcBorders>
              <w:right w:val="single" w:sz="8" w:color="auto"/>
            </w:tcBorders>
            <w:shd w:val="clear" w:color="auto" w:fill="000000"/>
          </w:tcPr>
          <w:p>
            <w:pPr>
              <w:spacing w:after="0"/>
              <w:rPr>
                <w:sz w:val="7"/>
                <w:szCs w:val="7"/>
                <w:color w:val="auto"/>
              </w:rPr>
            </w:pPr>
          </w:p>
        </w:tc>
        <w:tc>
          <w:tcPr>
            <w:tcW w:w="2240" w:type="dxa"/>
            <w:vAlign w:val="bottom"/>
            <w:tcBorders>
              <w:right w:val="single" w:sz="8" w:color="auto"/>
            </w:tcBorders>
            <w:shd w:val="clear" w:color="auto" w:fill="000000"/>
          </w:tcPr>
          <w:p>
            <w:pPr>
              <w:spacing w:after="0"/>
              <w:rPr>
                <w:sz w:val="7"/>
                <w:szCs w:val="7"/>
                <w:color w:val="auto"/>
              </w:rPr>
            </w:pPr>
          </w:p>
        </w:tc>
        <w:tc>
          <w:tcPr>
            <w:tcW w:w="440" w:type="dxa"/>
            <w:vAlign w:val="bottom"/>
            <w:tcBorders>
              <w:right w:val="single" w:sz="8" w:color="auto"/>
            </w:tcBorders>
            <w:shd w:val="clear" w:color="auto" w:fill="000000"/>
          </w:tcPr>
          <w:p>
            <w:pPr>
              <w:spacing w:after="0"/>
              <w:rPr>
                <w:sz w:val="7"/>
                <w:szCs w:val="7"/>
                <w:color w:val="auto"/>
              </w:rPr>
            </w:pPr>
          </w:p>
        </w:tc>
        <w:tc>
          <w:tcPr>
            <w:tcW w:w="1860" w:type="dxa"/>
            <w:vAlign w:val="bottom"/>
            <w:tcBorders>
              <w:right w:val="single" w:sz="8" w:color="auto"/>
            </w:tcBorders>
            <w:shd w:val="clear" w:color="auto" w:fill="000000"/>
          </w:tcPr>
          <w:p>
            <w:pPr>
              <w:spacing w:after="0"/>
              <w:rPr>
                <w:sz w:val="7"/>
                <w:szCs w:val="7"/>
                <w:color w:val="auto"/>
              </w:rPr>
            </w:pPr>
          </w:p>
        </w:tc>
        <w:tc>
          <w:tcPr>
            <w:tcW w:w="500" w:type="dxa"/>
            <w:vAlign w:val="bottom"/>
            <w:tcBorders>
              <w:right w:val="single" w:sz="8" w:color="auto"/>
            </w:tcBorders>
            <w:shd w:val="clear" w:color="auto" w:fill="000000"/>
          </w:tcPr>
          <w:p>
            <w:pPr>
              <w:spacing w:after="0"/>
              <w:rPr>
                <w:sz w:val="7"/>
                <w:szCs w:val="7"/>
                <w:color w:val="auto"/>
              </w:rPr>
            </w:pPr>
          </w:p>
        </w:tc>
        <w:tc>
          <w:tcPr>
            <w:tcW w:w="320" w:type="dxa"/>
            <w:vAlign w:val="bottom"/>
            <w:tcBorders>
              <w:right w:val="single" w:sz="8" w:color="auto"/>
            </w:tcBorders>
            <w:shd w:val="clear" w:color="auto" w:fill="000000"/>
          </w:tcPr>
          <w:p>
            <w:pPr>
              <w:spacing w:after="0"/>
              <w:rPr>
                <w:sz w:val="7"/>
                <w:szCs w:val="7"/>
                <w:color w:val="auto"/>
              </w:rPr>
            </w:pPr>
          </w:p>
        </w:tc>
        <w:tc>
          <w:tcPr>
            <w:tcW w:w="260" w:type="dxa"/>
            <w:vAlign w:val="bottom"/>
            <w:tcBorders>
              <w:right w:val="single" w:sz="8" w:color="auto"/>
            </w:tcBorders>
            <w:shd w:val="clear" w:color="auto" w:fill="000000"/>
          </w:tcPr>
          <w:p>
            <w:pPr>
              <w:spacing w:after="0"/>
              <w:rPr>
                <w:sz w:val="7"/>
                <w:szCs w:val="7"/>
                <w:color w:val="auto"/>
              </w:rPr>
            </w:pPr>
          </w:p>
        </w:tc>
        <w:tc>
          <w:tcPr>
            <w:tcW w:w="80" w:type="dxa"/>
            <w:vAlign w:val="bottom"/>
            <w:tcBorders>
              <w:right w:val="single" w:sz="8" w:color="auto"/>
            </w:tcBorders>
            <w:shd w:val="clear" w:color="auto" w:fill="000000"/>
          </w:tcPr>
          <w:p>
            <w:pPr>
              <w:spacing w:after="0"/>
              <w:rPr>
                <w:sz w:val="7"/>
                <w:szCs w:val="7"/>
                <w:color w:val="auto"/>
              </w:rPr>
            </w:pPr>
          </w:p>
        </w:tc>
        <w:tc>
          <w:tcPr>
            <w:tcW w:w="1460" w:type="dxa"/>
            <w:vAlign w:val="bottom"/>
            <w:tcBorders>
              <w:left w:val="single" w:sz="8" w:color="auto"/>
              <w:right w:val="single" w:sz="8" w:color="auto"/>
            </w:tcBorders>
            <w:gridSpan w:val="3"/>
            <w:shd w:val="clear" w:color="auto" w:fill="000000"/>
          </w:tcPr>
          <w:p>
            <w:pPr>
              <w:spacing w:after="0"/>
              <w:rPr>
                <w:sz w:val="7"/>
                <w:szCs w:val="7"/>
                <w:color w:val="auto"/>
              </w:rPr>
            </w:pPr>
          </w:p>
        </w:tc>
        <w:tc>
          <w:tcPr>
            <w:tcW w:w="160" w:type="dxa"/>
            <w:vAlign w:val="bottom"/>
            <w:tcBorders>
              <w:right w:val="single" w:sz="8" w:color="auto"/>
            </w:tcBorders>
            <w:shd w:val="clear" w:color="auto" w:fill="000000"/>
          </w:tcPr>
          <w:p>
            <w:pPr>
              <w:spacing w:after="0"/>
              <w:rPr>
                <w:sz w:val="7"/>
                <w:szCs w:val="7"/>
                <w:color w:val="auto"/>
              </w:rPr>
            </w:pPr>
          </w:p>
        </w:tc>
        <w:tc>
          <w:tcPr>
            <w:tcW w:w="380" w:type="dxa"/>
            <w:vAlign w:val="bottom"/>
            <w:tcBorders>
              <w:right w:val="single" w:sz="8" w:color="auto"/>
            </w:tcBorders>
            <w:shd w:val="clear" w:color="auto" w:fill="000000"/>
          </w:tcPr>
          <w:p>
            <w:pPr>
              <w:spacing w:after="0"/>
              <w:rPr>
                <w:sz w:val="7"/>
                <w:szCs w:val="7"/>
                <w:color w:val="auto"/>
              </w:rPr>
            </w:pPr>
          </w:p>
        </w:tc>
        <w:tc>
          <w:tcPr>
            <w:tcW w:w="2520" w:type="dxa"/>
            <w:vAlign w:val="bottom"/>
            <w:tcBorders>
              <w:right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680" w:type="dxa"/>
            <w:vAlign w:val="bottom"/>
            <w:tcBorders>
              <w:left w:val="single" w:sz="8" w:color="auto"/>
              <w:right w:val="single" w:sz="8" w:color="auto"/>
            </w:tcBorders>
            <w:vMerge w:val="restart"/>
            <w:shd w:val="clear" w:color="auto" w:fill="D3D3D3"/>
          </w:tcPr>
          <w:p>
            <w:pPr>
              <w:ind w:left="160"/>
              <w:spacing w:after="0"/>
              <w:rPr>
                <w:sz w:val="20"/>
                <w:szCs w:val="20"/>
                <w:color w:val="auto"/>
              </w:rPr>
            </w:pPr>
            <w:r>
              <w:rPr>
                <w:rFonts w:ascii="Arial" w:cs="Arial" w:eastAsia="Arial" w:hAnsi="Arial"/>
                <w:sz w:val="20"/>
                <w:szCs w:val="20"/>
                <w:b w:val="1"/>
                <w:bCs w:val="1"/>
                <w:color w:val="auto"/>
                <w:w w:val="88"/>
              </w:rPr>
              <w:t>Name</w:t>
            </w:r>
          </w:p>
        </w:tc>
        <w:tc>
          <w:tcPr>
            <w:tcW w:w="4580" w:type="dxa"/>
            <w:vAlign w:val="bottom"/>
            <w:gridSpan w:val="4"/>
            <w:vMerge w:val="restart"/>
          </w:tcPr>
          <w:p>
            <w:pPr>
              <w:ind w:left="100"/>
              <w:spacing w:after="0"/>
              <w:rPr>
                <w:sz w:val="20"/>
                <w:szCs w:val="20"/>
                <w:color w:val="auto"/>
              </w:rPr>
            </w:pPr>
            <w:r>
              <w:rPr>
                <w:rFonts w:ascii="Arial" w:cs="Arial" w:eastAsia="Arial" w:hAnsi="Arial"/>
                <w:sz w:val="20"/>
                <w:szCs w:val="20"/>
                <w:i w:val="1"/>
                <w:iCs w:val="1"/>
                <w:color w:val="808080"/>
              </w:rPr>
              <w:t>Name of group or individual.</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right w:val="single" w:sz="8" w:color="auto"/>
            </w:tcBorders>
            <w:gridSpan w:val="3"/>
          </w:tcPr>
          <w:p>
            <w:pPr>
              <w:jc w:val="center"/>
              <w:ind w:right="122"/>
              <w:spacing w:after="0" w:line="210" w:lineRule="exact"/>
              <w:rPr>
                <w:sz w:val="20"/>
                <w:szCs w:val="20"/>
                <w:color w:val="auto"/>
              </w:rPr>
            </w:pPr>
            <w:r>
              <w:rPr>
                <w:rFonts w:ascii="Arial" w:cs="Arial" w:eastAsia="Arial" w:hAnsi="Arial"/>
                <w:sz w:val="20"/>
                <w:szCs w:val="20"/>
                <w:i w:val="1"/>
                <w:iCs w:val="1"/>
                <w:color w:val="808080"/>
                <w:w w:val="88"/>
              </w:rPr>
              <w:t>Select group or</w:t>
            </w:r>
          </w:p>
        </w:tc>
        <w:tc>
          <w:tcPr>
            <w:tcW w:w="160" w:type="dxa"/>
            <w:vAlign w:val="bottom"/>
            <w:tcBorders>
              <w:right w:val="single" w:sz="8" w:color="D3D3D3"/>
            </w:tcBorders>
            <w:shd w:val="clear" w:color="auto" w:fill="D3D3D3"/>
          </w:tcPr>
          <w:p>
            <w:pPr>
              <w:spacing w:after="0"/>
              <w:rPr>
                <w:sz w:val="18"/>
                <w:szCs w:val="18"/>
                <w:color w:val="auto"/>
              </w:rPr>
            </w:pPr>
          </w:p>
        </w:tc>
        <w:tc>
          <w:tcPr>
            <w:tcW w:w="380" w:type="dxa"/>
            <w:vAlign w:val="bottom"/>
            <w:tcBorders>
              <w:right w:val="single" w:sz="8" w:color="auto"/>
            </w:tcBorders>
            <w:vMerge w:val="restart"/>
            <w:shd w:val="clear" w:color="auto" w:fill="D3D3D3"/>
          </w:tcPr>
          <w:p>
            <w:pPr>
              <w:spacing w:after="0"/>
              <w:rPr>
                <w:sz w:val="20"/>
                <w:szCs w:val="20"/>
                <w:color w:val="auto"/>
              </w:rPr>
            </w:pPr>
            <w:r>
              <w:rPr>
                <w:rFonts w:ascii="Arial" w:cs="Arial" w:eastAsia="Arial" w:hAnsi="Arial"/>
                <w:sz w:val="20"/>
                <w:szCs w:val="20"/>
                <w:b w:val="1"/>
                <w:bCs w:val="1"/>
                <w:color w:val="auto"/>
                <w:w w:val="78"/>
              </w:rPr>
              <w:t>Firm</w:t>
            </w:r>
          </w:p>
        </w:tc>
        <w:tc>
          <w:tcPr>
            <w:tcW w:w="252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20"/>
                <w:szCs w:val="20"/>
                <w:i w:val="1"/>
                <w:iCs w:val="1"/>
                <w:color w:val="808080"/>
              </w:rPr>
              <w:t>Firm with which contact is</w:t>
            </w:r>
          </w:p>
        </w:tc>
        <w:tc>
          <w:tcPr>
            <w:tcW w:w="0" w:type="dxa"/>
            <w:vAlign w:val="bottom"/>
          </w:tcPr>
          <w:p>
            <w:pPr>
              <w:spacing w:after="0"/>
              <w:rPr>
                <w:sz w:val="1"/>
                <w:szCs w:val="1"/>
                <w:color w:val="auto"/>
              </w:rPr>
            </w:pPr>
          </w:p>
        </w:tc>
      </w:tr>
      <w:tr>
        <w:trPr>
          <w:trHeight w:val="265"/>
        </w:trPr>
        <w:tc>
          <w:tcPr>
            <w:tcW w:w="680" w:type="dxa"/>
            <w:vAlign w:val="bottom"/>
            <w:tcBorders>
              <w:left w:val="single" w:sz="8" w:color="auto"/>
              <w:bottom w:val="single" w:sz="8" w:color="auto"/>
              <w:right w:val="single" w:sz="8" w:color="auto"/>
            </w:tcBorders>
            <w:vMerge w:val="continue"/>
            <w:shd w:val="clear" w:color="auto" w:fill="D3D3D3"/>
          </w:tcPr>
          <w:p>
            <w:pPr>
              <w:spacing w:after="0"/>
              <w:rPr>
                <w:sz w:val="23"/>
                <w:szCs w:val="23"/>
                <w:color w:val="auto"/>
              </w:rPr>
            </w:pPr>
          </w:p>
        </w:tc>
        <w:tc>
          <w:tcPr>
            <w:tcW w:w="4580" w:type="dxa"/>
            <w:vAlign w:val="bottom"/>
            <w:tcBorders>
              <w:bottom w:val="single" w:sz="8" w:color="auto"/>
            </w:tcBorders>
            <w:gridSpan w:val="4"/>
            <w:vMerge w:val="continue"/>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i w:val="1"/>
                <w:iCs w:val="1"/>
                <w:color w:val="808080"/>
              </w:rPr>
              <w:t>Individual</w:t>
            </w:r>
          </w:p>
        </w:tc>
        <w:tc>
          <w:tcPr>
            <w:tcW w:w="160" w:type="dxa"/>
            <w:vAlign w:val="bottom"/>
            <w:tcBorders>
              <w:bottom w:val="single" w:sz="8" w:color="auto"/>
              <w:right w:val="single" w:sz="8" w:color="D3D3D3"/>
            </w:tcBorders>
            <w:shd w:val="clear" w:color="auto" w:fill="D3D3D3"/>
          </w:tcPr>
          <w:p>
            <w:pPr>
              <w:spacing w:after="0"/>
              <w:rPr>
                <w:sz w:val="23"/>
                <w:szCs w:val="23"/>
                <w:color w:val="auto"/>
              </w:rPr>
            </w:pPr>
          </w:p>
        </w:tc>
        <w:tc>
          <w:tcPr>
            <w:tcW w:w="380" w:type="dxa"/>
            <w:vAlign w:val="bottom"/>
            <w:tcBorders>
              <w:bottom w:val="single" w:sz="8" w:color="auto"/>
              <w:right w:val="single" w:sz="8" w:color="auto"/>
            </w:tcBorders>
            <w:vMerge w:val="continue"/>
            <w:shd w:val="clear" w:color="auto" w:fill="D3D3D3"/>
          </w:tcPr>
          <w:p>
            <w:pPr>
              <w:spacing w:after="0"/>
              <w:rPr>
                <w:sz w:val="23"/>
                <w:szCs w:val="23"/>
                <w:color w:val="auto"/>
              </w:rPr>
            </w:pPr>
          </w:p>
        </w:tc>
        <w:tc>
          <w:tcPr>
            <w:tcW w:w="25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0"/>
                <w:szCs w:val="20"/>
                <w:i w:val="1"/>
                <w:iCs w:val="1"/>
                <w:color w:val="808080"/>
              </w:rPr>
              <w:t>affiliated</w:t>
            </w:r>
            <w:r>
              <w:rPr>
                <w:rFonts w:ascii="Arial" w:cs="Arial" w:eastAsia="Arial" w:hAnsi="Arial"/>
                <w:sz w:val="20"/>
                <w:szCs w:val="20"/>
                <w:color w:val="808080"/>
              </w:rPr>
              <w:t>.</w:t>
            </w:r>
          </w:p>
        </w:tc>
        <w:tc>
          <w:tcPr>
            <w:tcW w:w="0" w:type="dxa"/>
            <w:vAlign w:val="bottom"/>
          </w:tcPr>
          <w:p>
            <w:pPr>
              <w:spacing w:after="0"/>
              <w:rPr>
                <w:sz w:val="1"/>
                <w:szCs w:val="1"/>
                <w:color w:val="auto"/>
              </w:rPr>
            </w:pPr>
          </w:p>
        </w:tc>
      </w:tr>
      <w:tr>
        <w:trPr>
          <w:trHeight w:val="249"/>
        </w:trPr>
        <w:tc>
          <w:tcPr>
            <w:tcW w:w="10940" w:type="dxa"/>
            <w:vAlign w:val="bottom"/>
            <w:tcBorders>
              <w:left w:val="single" w:sz="8" w:color="auto"/>
              <w:right w:val="single" w:sz="8" w:color="auto"/>
            </w:tcBorders>
            <w:gridSpan w:val="15"/>
          </w:tcPr>
          <w:p>
            <w:pPr>
              <w:ind w:left="160"/>
              <w:spacing w:after="0"/>
              <w:rPr>
                <w:sz w:val="20"/>
                <w:szCs w:val="20"/>
                <w:color w:val="auto"/>
              </w:rPr>
            </w:pPr>
            <w:r>
              <w:rPr>
                <w:rFonts w:ascii="Arial" w:cs="Arial" w:eastAsia="Arial" w:hAnsi="Arial"/>
                <w:sz w:val="20"/>
                <w:szCs w:val="20"/>
                <w:color w:val="auto"/>
                <w:w w:val="99"/>
              </w:rPr>
              <w:t xml:space="preserve">Address: </w:t>
            </w:r>
            <w:r>
              <w:rPr>
                <w:rFonts w:ascii="Arial" w:cs="Arial" w:eastAsia="Arial" w:hAnsi="Arial"/>
                <w:sz w:val="20"/>
                <w:szCs w:val="20"/>
                <w:b w:val="1"/>
                <w:bCs w:val="1"/>
                <w:i w:val="1"/>
                <w:iCs w:val="1"/>
                <w:color w:val="808080"/>
                <w:w w:val="99"/>
              </w:rPr>
              <w:t>Registered address of contact’s office (if different than the lender’s office), including country of domicile.</w:t>
            </w:r>
          </w:p>
        </w:tc>
        <w:tc>
          <w:tcPr>
            <w:tcW w:w="0" w:type="dxa"/>
            <w:vAlign w:val="bottom"/>
          </w:tcPr>
          <w:p>
            <w:pPr>
              <w:spacing w:after="0"/>
              <w:rPr>
                <w:sz w:val="1"/>
                <w:szCs w:val="1"/>
                <w:color w:val="auto"/>
              </w:rPr>
            </w:pPr>
          </w:p>
        </w:tc>
      </w:tr>
      <w:tr>
        <w:trPr>
          <w:trHeight w:val="427"/>
        </w:trPr>
        <w:tc>
          <w:tcPr>
            <w:tcW w:w="720" w:type="dxa"/>
            <w:vAlign w:val="bottom"/>
            <w:tcBorders>
              <w:left w:val="single" w:sz="8" w:color="auto"/>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Borders>
              <w:left w:val="single" w:sz="8" w:color="auto"/>
              <w:bottom w:val="single" w:sz="8" w:color="auto"/>
              <w:right w:val="single" w:sz="8" w:color="auto"/>
            </w:tcBorders>
            <w:gridSpan w:val="2"/>
            <w:shd w:val="clear" w:color="auto" w:fill="D3D3D3"/>
          </w:tcPr>
          <w:p>
            <w:pPr>
              <w:ind w:left="160"/>
              <w:spacing w:after="0" w:line="228" w:lineRule="exact"/>
              <w:rPr>
                <w:sz w:val="20"/>
                <w:szCs w:val="20"/>
                <w:color w:val="auto"/>
              </w:rPr>
            </w:pPr>
            <w:r>
              <w:rPr>
                <w:rFonts w:ascii="Arial" w:cs="Arial" w:eastAsia="Arial" w:hAnsi="Arial"/>
                <w:sz w:val="20"/>
                <w:szCs w:val="20"/>
                <w:b w:val="1"/>
                <w:bCs w:val="1"/>
                <w:color w:val="auto"/>
                <w:w w:val="84"/>
              </w:rPr>
              <w:t>Phone</w:t>
            </w:r>
          </w:p>
        </w:tc>
        <w:tc>
          <w:tcPr>
            <w:tcW w:w="22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shd w:val="clear" w:color="auto" w:fill="D3D3D3"/>
          </w:tcPr>
          <w:p>
            <w:pPr>
              <w:ind w:left="80"/>
              <w:spacing w:after="0" w:line="228" w:lineRule="exact"/>
              <w:rPr>
                <w:sz w:val="20"/>
                <w:szCs w:val="20"/>
                <w:color w:val="auto"/>
              </w:rPr>
            </w:pPr>
            <w:r>
              <w:rPr>
                <w:rFonts w:ascii="Arial" w:cs="Arial" w:eastAsia="Arial" w:hAnsi="Arial"/>
                <w:sz w:val="20"/>
                <w:szCs w:val="20"/>
                <w:b w:val="1"/>
                <w:bCs w:val="1"/>
                <w:color w:val="auto"/>
                <w:w w:val="92"/>
              </w:rPr>
              <w:t>Fax</w:t>
            </w:r>
          </w:p>
        </w:tc>
        <w:tc>
          <w:tcPr>
            <w:tcW w:w="1860" w:type="dxa"/>
            <w:vAlign w:val="bottom"/>
            <w:tcBorders>
              <w:bottom w:val="single" w:sz="8" w:color="auto"/>
            </w:tcBorders>
          </w:tcPr>
          <w:p>
            <w:pPr>
              <w:spacing w:after="0"/>
              <w:rPr>
                <w:sz w:val="20"/>
                <w:szCs w:val="20"/>
                <w:color w:val="auto"/>
              </w:rPr>
            </w:pPr>
          </w:p>
        </w:tc>
        <w:tc>
          <w:tcPr>
            <w:tcW w:w="5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gridSpan w:val="3"/>
            <w:shd w:val="clear" w:color="auto" w:fill="D3D3D3"/>
          </w:tcPr>
          <w:p>
            <w:pPr>
              <w:ind w:left="100"/>
              <w:spacing w:after="0" w:line="228" w:lineRule="exact"/>
              <w:rPr>
                <w:sz w:val="20"/>
                <w:szCs w:val="20"/>
                <w:color w:val="auto"/>
              </w:rPr>
            </w:pPr>
            <w:r>
              <w:rPr>
                <w:rFonts w:ascii="Arial" w:cs="Arial" w:eastAsia="Arial" w:hAnsi="Arial"/>
                <w:sz w:val="20"/>
                <w:szCs w:val="20"/>
                <w:b w:val="1"/>
                <w:bCs w:val="1"/>
                <w:color w:val="auto"/>
                <w:w w:val="97"/>
              </w:rPr>
              <w:t>Email</w:t>
            </w: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5260" w:type="dxa"/>
            <w:vAlign w:val="bottom"/>
            <w:tcBorders>
              <w:left w:val="single" w:sz="8" w:color="auto"/>
            </w:tcBorders>
            <w:gridSpan w:val="5"/>
          </w:tcPr>
          <w:p>
            <w:pPr>
              <w:ind w:left="16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Settlements </w:t>
            </w:r>
            <w:r>
              <w:rPr>
                <w:rFonts w:ascii="MS PGothic" w:cs="MS PGothic" w:eastAsia="MS PGothic" w:hAnsi="MS PGothic"/>
                <w:sz w:val="20"/>
                <w:szCs w:val="20"/>
                <w:color w:val="auto"/>
              </w:rPr>
              <w:t>☐</w:t>
            </w:r>
            <w:r>
              <w:rPr>
                <w:rFonts w:ascii="Arial" w:cs="Arial" w:eastAsia="Arial" w:hAnsi="Arial"/>
                <w:sz w:val="20"/>
                <w:szCs w:val="20"/>
                <w:color w:val="auto"/>
              </w:rPr>
              <w:t xml:space="preserve"> Servicing </w:t>
            </w:r>
            <w:r>
              <w:rPr>
                <w:rFonts w:ascii="MS PGothic" w:cs="MS PGothic" w:eastAsia="MS PGothic" w:hAnsi="MS PGothic"/>
                <w:sz w:val="20"/>
                <w:szCs w:val="20"/>
                <w:color w:val="auto"/>
              </w:rPr>
              <w:t>☐</w:t>
            </w:r>
            <w:r>
              <w:rPr>
                <w:rFonts w:ascii="Arial" w:cs="Arial" w:eastAsia="Arial" w:hAnsi="Arial"/>
                <w:sz w:val="20"/>
                <w:szCs w:val="20"/>
                <w:color w:val="auto"/>
              </w:rPr>
              <w:t xml:space="preserve"> SSI Verification </w:t>
            </w:r>
            <w:r>
              <w:rPr>
                <w:rFonts w:ascii="MS PGothic" w:cs="MS PGothic" w:eastAsia="MS PGothic" w:hAnsi="MS PGothic"/>
                <w:sz w:val="20"/>
                <w:szCs w:val="20"/>
                <w:color w:val="auto"/>
              </w:rPr>
              <w:t>☐</w:t>
            </w:r>
            <w:r>
              <w:rPr>
                <w:rFonts w:ascii="Arial" w:cs="Arial" w:eastAsia="Arial" w:hAnsi="Arial"/>
                <w:sz w:val="20"/>
                <w:szCs w:val="20"/>
                <w:color w:val="auto"/>
              </w:rPr>
              <w:t xml:space="preserve"> KYC</w:t>
            </w:r>
          </w:p>
        </w:tc>
        <w:tc>
          <w:tcPr>
            <w:tcW w:w="50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gridSpan w:val="6"/>
            <w:shd w:val="clear" w:color="auto" w:fill="7B7B7B"/>
          </w:tcPr>
          <w:p>
            <w:pPr>
              <w:jc w:val="center"/>
              <w:ind w:right="40"/>
              <w:spacing w:after="0"/>
              <w:rPr>
                <w:sz w:val="20"/>
                <w:szCs w:val="20"/>
                <w:color w:val="auto"/>
              </w:rPr>
            </w:pPr>
            <w:r>
              <w:rPr>
                <w:rFonts w:ascii="Arial" w:cs="Arial" w:eastAsia="Arial" w:hAnsi="Arial"/>
                <w:sz w:val="20"/>
                <w:szCs w:val="20"/>
                <w:b w:val="1"/>
                <w:bCs w:val="1"/>
                <w:color w:val="auto"/>
                <w:w w:val="90"/>
              </w:rPr>
              <w:t>Pfd. Contact Method</w:t>
            </w:r>
          </w:p>
        </w:tc>
        <w:tc>
          <w:tcPr>
            <w:tcW w:w="29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i w:val="1"/>
                <w:iCs w:val="1"/>
                <w:color w:val="808080"/>
              </w:rPr>
              <w:t>Preferred contact method for</w:t>
            </w:r>
          </w:p>
        </w:tc>
        <w:tc>
          <w:tcPr>
            <w:tcW w:w="0" w:type="dxa"/>
            <w:vAlign w:val="bottom"/>
          </w:tcPr>
          <w:p>
            <w:pPr>
              <w:spacing w:after="0"/>
              <w:rPr>
                <w:sz w:val="1"/>
                <w:szCs w:val="1"/>
                <w:color w:val="auto"/>
              </w:rPr>
            </w:pPr>
          </w:p>
        </w:tc>
      </w:tr>
      <w:tr>
        <w:trPr>
          <w:trHeight w:val="181"/>
        </w:trPr>
        <w:tc>
          <w:tcPr>
            <w:tcW w:w="68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right w:val="single" w:sz="8" w:color="7B7B7B"/>
            </w:tcBorders>
            <w:shd w:val="clear" w:color="auto" w:fill="7B7B7B"/>
          </w:tcPr>
          <w:p>
            <w:pPr>
              <w:spacing w:after="0"/>
              <w:rPr>
                <w:sz w:val="15"/>
                <w:szCs w:val="15"/>
                <w:color w:val="auto"/>
              </w:rPr>
            </w:pPr>
          </w:p>
        </w:tc>
        <w:tc>
          <w:tcPr>
            <w:tcW w:w="80" w:type="dxa"/>
            <w:vAlign w:val="bottom"/>
            <w:tcBorders>
              <w:bottom w:val="single" w:sz="8" w:color="auto"/>
              <w:right w:val="single" w:sz="8" w:color="7B7B7B"/>
            </w:tcBorders>
            <w:shd w:val="clear" w:color="auto" w:fill="7B7B7B"/>
          </w:tcPr>
          <w:p>
            <w:pPr>
              <w:spacing w:after="0"/>
              <w:rPr>
                <w:sz w:val="15"/>
                <w:szCs w:val="15"/>
                <w:color w:val="auto"/>
              </w:rPr>
            </w:pPr>
          </w:p>
        </w:tc>
        <w:tc>
          <w:tcPr>
            <w:tcW w:w="360" w:type="dxa"/>
            <w:vAlign w:val="bottom"/>
            <w:tcBorders>
              <w:left w:val="single" w:sz="8" w:color="7B7B7B"/>
              <w:bottom w:val="single" w:sz="8" w:color="auto"/>
              <w:right w:val="single" w:sz="8" w:color="7B7B7B"/>
            </w:tcBorders>
            <w:shd w:val="clear" w:color="auto" w:fill="7B7B7B"/>
          </w:tcPr>
          <w:p>
            <w:pPr>
              <w:spacing w:after="0"/>
              <w:rPr>
                <w:sz w:val="15"/>
                <w:szCs w:val="15"/>
                <w:color w:val="auto"/>
              </w:rPr>
            </w:pPr>
          </w:p>
        </w:tc>
        <w:tc>
          <w:tcPr>
            <w:tcW w:w="560" w:type="dxa"/>
            <w:vAlign w:val="bottom"/>
            <w:tcBorders>
              <w:bottom w:val="single" w:sz="8" w:color="auto"/>
              <w:right w:val="single" w:sz="8" w:color="7B7B7B"/>
            </w:tcBorders>
            <w:shd w:val="clear" w:color="auto" w:fill="7B7B7B"/>
          </w:tcPr>
          <w:p>
            <w:pPr>
              <w:spacing w:after="0"/>
              <w:rPr>
                <w:sz w:val="15"/>
                <w:szCs w:val="15"/>
                <w:color w:val="auto"/>
              </w:rPr>
            </w:pPr>
          </w:p>
        </w:tc>
        <w:tc>
          <w:tcPr>
            <w:tcW w:w="540" w:type="dxa"/>
            <w:vAlign w:val="bottom"/>
            <w:tcBorders>
              <w:bottom w:val="single" w:sz="8" w:color="auto"/>
              <w:right w:val="single" w:sz="8" w:color="7B7B7B"/>
            </w:tcBorders>
            <w:shd w:val="clear" w:color="auto" w:fill="7B7B7B"/>
          </w:tcPr>
          <w:p>
            <w:pPr>
              <w:spacing w:after="0"/>
              <w:rPr>
                <w:sz w:val="15"/>
                <w:szCs w:val="15"/>
                <w:color w:val="auto"/>
              </w:rPr>
            </w:pPr>
          </w:p>
        </w:tc>
        <w:tc>
          <w:tcPr>
            <w:tcW w:w="160" w:type="dxa"/>
            <w:vAlign w:val="bottom"/>
            <w:tcBorders>
              <w:bottom w:val="single" w:sz="8" w:color="auto"/>
              <w:right w:val="single" w:sz="8" w:color="auto"/>
            </w:tcBorders>
            <w:shd w:val="clear" w:color="auto" w:fill="7B7B7B"/>
          </w:tcPr>
          <w:p>
            <w:pPr>
              <w:spacing w:after="0"/>
              <w:rPr>
                <w:sz w:val="15"/>
                <w:szCs w:val="15"/>
                <w:color w:val="auto"/>
              </w:rPr>
            </w:pPr>
          </w:p>
        </w:tc>
        <w:tc>
          <w:tcPr>
            <w:tcW w:w="2900" w:type="dxa"/>
            <w:vAlign w:val="bottom"/>
            <w:tcBorders>
              <w:bottom w:val="single" w:sz="8" w:color="auto"/>
              <w:right w:val="single" w:sz="8" w:color="auto"/>
            </w:tcBorders>
            <w:gridSpan w:val="2"/>
          </w:tcPr>
          <w:p>
            <w:pPr>
              <w:ind w:left="80"/>
              <w:spacing w:after="0" w:line="174" w:lineRule="exact"/>
              <w:rPr>
                <w:sz w:val="20"/>
                <w:szCs w:val="20"/>
                <w:color w:val="auto"/>
              </w:rPr>
            </w:pPr>
            <w:r>
              <w:rPr>
                <w:rFonts w:ascii="Arial" w:cs="Arial" w:eastAsia="Arial" w:hAnsi="Arial"/>
                <w:sz w:val="20"/>
                <w:szCs w:val="20"/>
                <w:i w:val="1"/>
                <w:iCs w:val="1"/>
                <w:color w:val="808080"/>
              </w:rPr>
              <w:t>inquiries.</w:t>
            </w:r>
          </w:p>
        </w:tc>
        <w:tc>
          <w:tcPr>
            <w:tcW w:w="0" w:type="dxa"/>
            <w:vAlign w:val="bottom"/>
          </w:tcPr>
          <w:p>
            <w:pPr>
              <w:spacing w:after="0"/>
              <w:rPr>
                <w:sz w:val="1"/>
                <w:szCs w:val="1"/>
                <w:color w:val="auto"/>
              </w:rPr>
            </w:pPr>
          </w:p>
        </w:tc>
      </w:tr>
      <w:tr>
        <w:trPr>
          <w:trHeight w:val="556"/>
        </w:trPr>
        <w:tc>
          <w:tcPr>
            <w:tcW w:w="10940" w:type="dxa"/>
            <w:vAlign w:val="bottom"/>
            <w:tcBorders>
              <w:left w:val="single" w:sz="8" w:color="auto"/>
              <w:bottom w:val="single" w:sz="8" w:color="auto"/>
              <w:right w:val="single" w:sz="8" w:color="auto"/>
            </w:tcBorders>
            <w:gridSpan w:val="15"/>
          </w:tcPr>
          <w:p>
            <w:pPr>
              <w:ind w:left="160"/>
              <w:spacing w:after="0"/>
              <w:rPr>
                <w:sz w:val="20"/>
                <w:szCs w:val="20"/>
                <w:color w:val="auto"/>
              </w:rPr>
            </w:pPr>
            <w:r>
              <w:rPr>
                <w:rFonts w:ascii="Arial" w:cs="Arial" w:eastAsia="Arial" w:hAnsi="Arial"/>
                <w:sz w:val="20"/>
                <w:szCs w:val="20"/>
                <w:b w:val="1"/>
                <w:bCs w:val="1"/>
                <w:i w:val="1"/>
                <w:iCs w:val="1"/>
                <w:color w:val="auto"/>
                <w:w w:val="90"/>
              </w:rPr>
              <w:t>Copy and paste section above to add any additional contacts. It is recommended that at least one of the contacts be a group.</w:t>
            </w:r>
          </w:p>
        </w:tc>
        <w:tc>
          <w:tcPr>
            <w:tcW w:w="0" w:type="dxa"/>
            <w:vAlign w:val="bottom"/>
          </w:tcPr>
          <w:p>
            <w:pPr>
              <w:spacing w:after="0"/>
              <w:rPr>
                <w:sz w:val="1"/>
                <w:szCs w:val="1"/>
                <w:color w:val="auto"/>
              </w:rPr>
            </w:pPr>
          </w:p>
        </w:tc>
      </w:tr>
    </w:tbl>
    <w:p>
      <w:pPr>
        <w:sectPr>
          <w:pgSz w:w="11900" w:h="16838" w:orient="portrait"/>
          <w:cols w:equalWidth="0" w:num="1">
            <w:col w:w="10940"/>
          </w:cols>
          <w:pgMar w:left="480" w:top="331" w:right="479" w:bottom="1440" w:gutter="0" w:footer="0" w:header="0"/>
        </w:sectPr>
      </w:pPr>
    </w:p>
    <w:bookmarkStart w:id="136" w:name="page137"/>
    <w:bookmarkEnd w:id="136"/>
    <w:p>
      <w:pPr>
        <w:ind w:left="160"/>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207645</wp:posOffset>
            </wp:positionH>
            <wp:positionV relativeFrom="page">
              <wp:posOffset>88900</wp:posOffset>
            </wp:positionV>
            <wp:extent cx="7196455" cy="19894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96455" cy="1989455"/>
                    </a:xfrm>
                    <a:prstGeom prst="rect">
                      <a:avLst/>
                    </a:prstGeom>
                    <a:noFill/>
                  </pic:spPr>
                </pic:pic>
              </a:graphicData>
            </a:graphic>
          </wp:anchor>
        </w:drawing>
        <w:t>LETTER OF CREDIT CONTACTS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820" w:type="dxa"/>
            <w:vAlign w:val="bottom"/>
            <w:tcBorders>
              <w:top w:val="single" w:sz="8" w:color="auto"/>
              <w:right w:val="single" w:sz="8" w:color="auto"/>
            </w:tcBorders>
            <w:shd w:val="clear" w:color="auto" w:fill="D3D3D3"/>
          </w:tcPr>
          <w:p>
            <w:pPr>
              <w:ind w:left="200"/>
              <w:spacing w:after="0"/>
              <w:rPr>
                <w:sz w:val="20"/>
                <w:szCs w:val="20"/>
                <w:color w:val="auto"/>
              </w:rPr>
            </w:pPr>
            <w:r>
              <w:rPr>
                <w:rFonts w:ascii="Arial" w:cs="Arial" w:eastAsia="Arial" w:hAnsi="Arial"/>
                <w:sz w:val="20"/>
                <w:szCs w:val="20"/>
                <w:b w:val="1"/>
                <w:bCs w:val="1"/>
                <w:color w:val="auto"/>
              </w:rPr>
              <w:t>Name</w:t>
            </w:r>
          </w:p>
        </w:tc>
        <w:tc>
          <w:tcPr>
            <w:tcW w:w="2400" w:type="dxa"/>
            <w:vAlign w:val="bottom"/>
            <w:tcBorders>
              <w:top w:val="single" w:sz="8" w:color="auto"/>
            </w:tcBorders>
          </w:tcPr>
          <w:p>
            <w:pPr>
              <w:ind w:left="100"/>
              <w:spacing w:after="0"/>
              <w:rPr>
                <w:sz w:val="20"/>
                <w:szCs w:val="20"/>
                <w:color w:val="auto"/>
              </w:rPr>
            </w:pPr>
            <w:r>
              <w:rPr>
                <w:rFonts w:ascii="Arial" w:cs="Arial" w:eastAsia="Arial" w:hAnsi="Arial"/>
                <w:sz w:val="20"/>
                <w:szCs w:val="20"/>
                <w:i w:val="1"/>
                <w:iCs w:val="1"/>
                <w:color w:val="808080"/>
                <w:w w:val="90"/>
              </w:rPr>
              <w:t>Name of group or individual.</w:t>
            </w:r>
          </w:p>
        </w:tc>
        <w:tc>
          <w:tcPr>
            <w:tcW w:w="5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i w:val="1"/>
                <w:iCs w:val="1"/>
                <w:color w:val="808080"/>
                <w:w w:val="88"/>
              </w:rPr>
              <w:t>Select group or</w:t>
            </w:r>
          </w:p>
        </w:tc>
        <w:tc>
          <w:tcPr>
            <w:tcW w:w="660" w:type="dxa"/>
            <w:vAlign w:val="bottom"/>
            <w:tcBorders>
              <w:top w:val="single" w:sz="8" w:color="auto"/>
              <w:right w:val="single" w:sz="8" w:color="auto"/>
            </w:tcBorders>
            <w:shd w:val="clear" w:color="auto" w:fill="D3D3D3"/>
          </w:tcPr>
          <w:p>
            <w:pPr>
              <w:ind w:left="140"/>
              <w:spacing w:after="0"/>
              <w:rPr>
                <w:sz w:val="20"/>
                <w:szCs w:val="20"/>
                <w:color w:val="auto"/>
              </w:rPr>
            </w:pPr>
            <w:r>
              <w:rPr>
                <w:rFonts w:ascii="Arial" w:cs="Arial" w:eastAsia="Arial" w:hAnsi="Arial"/>
                <w:sz w:val="20"/>
                <w:szCs w:val="20"/>
                <w:b w:val="1"/>
                <w:bCs w:val="1"/>
                <w:color w:val="auto"/>
              </w:rPr>
              <w:t>Firm</w:t>
            </w:r>
          </w:p>
        </w:tc>
        <w:tc>
          <w:tcPr>
            <w:tcW w:w="3300" w:type="dxa"/>
            <w:vAlign w:val="bottom"/>
            <w:tcBorders>
              <w:top w:val="single" w:sz="8" w:color="auto"/>
            </w:tcBorders>
          </w:tcPr>
          <w:p>
            <w:pPr>
              <w:ind w:left="80"/>
              <w:spacing w:after="0"/>
              <w:rPr>
                <w:sz w:val="20"/>
                <w:szCs w:val="20"/>
                <w:color w:val="auto"/>
              </w:rPr>
            </w:pPr>
            <w:r>
              <w:rPr>
                <w:rFonts w:ascii="Arial" w:cs="Arial" w:eastAsia="Arial" w:hAnsi="Arial"/>
                <w:sz w:val="20"/>
                <w:szCs w:val="20"/>
                <w:i w:val="1"/>
                <w:iCs w:val="1"/>
                <w:color w:val="808080"/>
              </w:rPr>
              <w:t>Firm with which contact is affliated.</w:t>
            </w:r>
          </w:p>
        </w:tc>
        <w:tc>
          <w:tcPr>
            <w:tcW w:w="0" w:type="dxa"/>
            <w:vAlign w:val="bottom"/>
          </w:tcPr>
          <w:p>
            <w:pPr>
              <w:spacing w:after="0"/>
              <w:rPr>
                <w:sz w:val="1"/>
                <w:szCs w:val="1"/>
                <w:color w:val="auto"/>
              </w:rPr>
            </w:pPr>
          </w:p>
        </w:tc>
      </w:tr>
      <w:tr>
        <w:trPr>
          <w:trHeight w:val="181"/>
        </w:trPr>
        <w:tc>
          <w:tcPr>
            <w:tcW w:w="820" w:type="dxa"/>
            <w:vAlign w:val="bottom"/>
            <w:tcBorders>
              <w:bottom w:val="single" w:sz="8" w:color="auto"/>
              <w:right w:val="single" w:sz="8" w:color="auto"/>
            </w:tcBorders>
            <w:shd w:val="clear" w:color="auto" w:fill="D3D3D3"/>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ind w:left="80"/>
              <w:spacing w:after="0" w:line="174" w:lineRule="exact"/>
              <w:rPr>
                <w:sz w:val="20"/>
                <w:szCs w:val="20"/>
                <w:color w:val="auto"/>
              </w:rPr>
            </w:pPr>
            <w:r>
              <w:rPr>
                <w:rFonts w:ascii="Arial" w:cs="Arial" w:eastAsia="Arial" w:hAnsi="Arial"/>
                <w:sz w:val="20"/>
                <w:szCs w:val="20"/>
                <w:i w:val="1"/>
                <w:iCs w:val="1"/>
                <w:color w:val="808080"/>
              </w:rPr>
              <w:t>Individual</w:t>
            </w:r>
          </w:p>
        </w:tc>
        <w:tc>
          <w:tcPr>
            <w:tcW w:w="660" w:type="dxa"/>
            <w:vAlign w:val="bottom"/>
            <w:tcBorders>
              <w:bottom w:val="single" w:sz="8" w:color="auto"/>
              <w:right w:val="single" w:sz="8" w:color="auto"/>
            </w:tcBorders>
            <w:shd w:val="clear" w:color="auto" w:fill="D3D3D3"/>
          </w:tcPr>
          <w:p>
            <w:pPr>
              <w:spacing w:after="0"/>
              <w:rPr>
                <w:sz w:val="15"/>
                <w:szCs w:val="15"/>
                <w:color w:val="auto"/>
              </w:rPr>
            </w:pPr>
          </w:p>
        </w:tc>
        <w:tc>
          <w:tcPr>
            <w:tcW w:w="3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20" w:type="dxa"/>
            <w:vAlign w:val="bottom"/>
          </w:tcPr>
          <w:p>
            <w:pPr>
              <w:ind w:left="160"/>
              <w:spacing w:after="0"/>
              <w:rPr>
                <w:sz w:val="20"/>
                <w:szCs w:val="20"/>
                <w:color w:val="auto"/>
              </w:rPr>
            </w:pPr>
            <w:r>
              <w:rPr>
                <w:rFonts w:ascii="Arial" w:cs="Arial" w:eastAsia="Arial" w:hAnsi="Arial"/>
                <w:sz w:val="20"/>
                <w:szCs w:val="20"/>
                <w:b w:val="1"/>
                <w:bCs w:val="1"/>
                <w:color w:val="auto"/>
                <w:w w:val="71"/>
              </w:rPr>
              <w:t>Address:</w:t>
            </w:r>
          </w:p>
        </w:tc>
        <w:tc>
          <w:tcPr>
            <w:tcW w:w="6400" w:type="dxa"/>
            <w:vAlign w:val="bottom"/>
            <w:gridSpan w:val="5"/>
          </w:tcPr>
          <w:p>
            <w:pPr>
              <w:ind w:left="140"/>
              <w:spacing w:after="0"/>
              <w:rPr>
                <w:sz w:val="20"/>
                <w:szCs w:val="20"/>
                <w:color w:val="auto"/>
              </w:rPr>
            </w:pPr>
            <w:r>
              <w:rPr>
                <w:rFonts w:ascii="Arial" w:cs="Arial" w:eastAsia="Arial" w:hAnsi="Arial"/>
                <w:sz w:val="20"/>
                <w:szCs w:val="20"/>
                <w:b w:val="1"/>
                <w:bCs w:val="1"/>
                <w:i w:val="1"/>
                <w:iCs w:val="1"/>
                <w:color w:val="808080"/>
                <w:w w:val="87"/>
              </w:rPr>
              <w:t>Registered address of contact’s office (if different than the lender’s office),</w:t>
            </w:r>
          </w:p>
        </w:tc>
        <w:tc>
          <w:tcPr>
            <w:tcW w:w="660" w:type="dxa"/>
            <w:vAlign w:val="bottom"/>
          </w:tcPr>
          <w:p>
            <w:pPr>
              <w:spacing w:after="0"/>
              <w:rPr>
                <w:sz w:val="20"/>
                <w:szCs w:val="20"/>
                <w:color w:val="auto"/>
              </w:rPr>
            </w:pPr>
            <w:r>
              <w:rPr>
                <w:rFonts w:ascii="Arial" w:cs="Arial" w:eastAsia="Arial" w:hAnsi="Arial"/>
                <w:sz w:val="19"/>
                <w:szCs w:val="19"/>
                <w:b w:val="1"/>
                <w:bCs w:val="1"/>
                <w:i w:val="1"/>
                <w:iCs w:val="1"/>
                <w:color w:val="808080"/>
                <w:w w:val="73"/>
              </w:rPr>
              <w:t>including</w:t>
            </w:r>
          </w:p>
        </w:tc>
        <w:tc>
          <w:tcPr>
            <w:tcW w:w="3300" w:type="dxa"/>
            <w:vAlign w:val="bottom"/>
          </w:tcPr>
          <w:p>
            <w:pPr>
              <w:spacing w:after="0"/>
              <w:rPr>
                <w:sz w:val="20"/>
                <w:szCs w:val="20"/>
                <w:color w:val="auto"/>
              </w:rPr>
            </w:pPr>
            <w:r>
              <w:rPr>
                <w:rFonts w:ascii="Arial" w:cs="Arial" w:eastAsia="Arial" w:hAnsi="Arial"/>
                <w:sz w:val="20"/>
                <w:szCs w:val="20"/>
                <w:b w:val="1"/>
                <w:bCs w:val="1"/>
                <w:i w:val="1"/>
                <w:iCs w:val="1"/>
                <w:color w:val="808080"/>
              </w:rPr>
              <w:t>country of domicile.</w:t>
            </w:r>
          </w:p>
        </w:tc>
        <w:tc>
          <w:tcPr>
            <w:tcW w:w="0" w:type="dxa"/>
            <w:vAlign w:val="bottom"/>
          </w:tcPr>
          <w:p>
            <w:pPr>
              <w:spacing w:after="0"/>
              <w:rPr>
                <w:sz w:val="1"/>
                <w:szCs w:val="1"/>
                <w:color w:val="auto"/>
              </w:rPr>
            </w:pPr>
          </w:p>
        </w:tc>
      </w:tr>
      <w:tr>
        <w:trPr>
          <w:trHeight w:val="401"/>
        </w:trPr>
        <w:tc>
          <w:tcPr>
            <w:tcW w:w="8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820" w:type="dxa"/>
            <w:vAlign w:val="bottom"/>
            <w:tcBorders>
              <w:right w:val="single" w:sz="8" w:color="auto"/>
            </w:tcBorders>
            <w:shd w:val="clear" w:color="auto" w:fill="D3D3D3"/>
          </w:tcPr>
          <w:p>
            <w:pPr>
              <w:ind w:left="200"/>
              <w:spacing w:after="0"/>
              <w:rPr>
                <w:sz w:val="20"/>
                <w:szCs w:val="20"/>
                <w:color w:val="auto"/>
              </w:rPr>
            </w:pPr>
            <w:r>
              <w:rPr>
                <w:rFonts w:ascii="Arial" w:cs="Arial" w:eastAsia="Arial" w:hAnsi="Arial"/>
                <w:sz w:val="20"/>
                <w:szCs w:val="20"/>
                <w:b w:val="1"/>
                <w:bCs w:val="1"/>
                <w:color w:val="auto"/>
                <w:w w:val="94"/>
              </w:rPr>
              <w:t>Phone</w:t>
            </w:r>
          </w:p>
        </w:tc>
        <w:tc>
          <w:tcPr>
            <w:tcW w:w="240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808080"/>
              </w:rPr>
              <w:t>Phone Number (opt. for</w:t>
            </w:r>
          </w:p>
        </w:tc>
        <w:tc>
          <w:tcPr>
            <w:tcW w:w="540" w:type="dxa"/>
            <w:vAlign w:val="bottom"/>
            <w:tcBorders>
              <w:right w:val="single" w:sz="8" w:color="auto"/>
            </w:tcBorders>
            <w:shd w:val="clear" w:color="auto" w:fill="D3D3D3"/>
          </w:tcPr>
          <w:p>
            <w:pPr>
              <w:ind w:left="160"/>
              <w:spacing w:after="0"/>
              <w:rPr>
                <w:sz w:val="20"/>
                <w:szCs w:val="20"/>
                <w:color w:val="auto"/>
              </w:rPr>
            </w:pPr>
            <w:r>
              <w:rPr>
                <w:rFonts w:ascii="Arial" w:cs="Arial" w:eastAsia="Arial" w:hAnsi="Arial"/>
                <w:sz w:val="20"/>
                <w:szCs w:val="20"/>
                <w:b w:val="1"/>
                <w:bCs w:val="1"/>
                <w:color w:val="auto"/>
                <w:w w:val="98"/>
              </w:rPr>
              <w:t>Fax</w:t>
            </w:r>
          </w:p>
        </w:tc>
        <w:tc>
          <w:tcPr>
            <w:tcW w:w="150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808080"/>
              </w:rPr>
              <w:t>Fax Number</w:t>
            </w:r>
          </w:p>
        </w:tc>
        <w:tc>
          <w:tcPr>
            <w:tcW w:w="640" w:type="dxa"/>
            <w:vAlign w:val="bottom"/>
            <w:tcBorders>
              <w:right w:val="single" w:sz="8" w:color="auto"/>
            </w:tcBorders>
            <w:shd w:val="clear" w:color="auto" w:fill="D3D3D3"/>
          </w:tcPr>
          <w:p>
            <w:pPr>
              <w:ind w:left="100"/>
              <w:spacing w:after="0"/>
              <w:rPr>
                <w:sz w:val="20"/>
                <w:szCs w:val="20"/>
                <w:color w:val="auto"/>
              </w:rPr>
            </w:pPr>
            <w:r>
              <w:rPr>
                <w:rFonts w:ascii="Arial" w:cs="Arial" w:eastAsia="Arial" w:hAnsi="Arial"/>
                <w:sz w:val="20"/>
                <w:szCs w:val="20"/>
                <w:b w:val="1"/>
                <w:bCs w:val="1"/>
                <w:color w:val="auto"/>
                <w:w w:val="93"/>
              </w:rPr>
              <w:t>Email</w:t>
            </w:r>
          </w:p>
        </w:tc>
        <w:tc>
          <w:tcPr>
            <w:tcW w:w="1320" w:type="dxa"/>
            <w:vAlign w:val="bottom"/>
          </w:tcPr>
          <w:p>
            <w:pPr>
              <w:ind w:left="80"/>
              <w:spacing w:after="0"/>
              <w:rPr>
                <w:sz w:val="20"/>
                <w:szCs w:val="20"/>
                <w:color w:val="auto"/>
              </w:rPr>
            </w:pPr>
            <w:r>
              <w:rPr>
                <w:rFonts w:ascii="Arial" w:cs="Arial" w:eastAsia="Arial" w:hAnsi="Arial"/>
                <w:sz w:val="20"/>
                <w:szCs w:val="20"/>
                <w:color w:val="808080"/>
                <w:w w:val="93"/>
              </w:rPr>
              <w:t>Email Address</w:t>
            </w:r>
          </w:p>
        </w:tc>
        <w:tc>
          <w:tcPr>
            <w:tcW w:w="6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20" w:type="dxa"/>
            <w:vAlign w:val="bottom"/>
            <w:tcBorders>
              <w:bottom w:val="single" w:sz="8" w:color="auto"/>
              <w:right w:val="single" w:sz="8" w:color="auto"/>
            </w:tcBorders>
            <w:shd w:val="clear" w:color="auto" w:fill="D3D3D3"/>
          </w:tcPr>
          <w:p>
            <w:pPr>
              <w:spacing w:after="0"/>
              <w:rPr>
                <w:sz w:val="21"/>
                <w:szCs w:val="21"/>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i w:val="1"/>
                <w:iCs w:val="1"/>
                <w:color w:val="808080"/>
              </w:rPr>
              <w:t>groups)</w:t>
            </w:r>
          </w:p>
        </w:tc>
        <w:tc>
          <w:tcPr>
            <w:tcW w:w="540" w:type="dxa"/>
            <w:vAlign w:val="bottom"/>
            <w:tcBorders>
              <w:bottom w:val="single" w:sz="8" w:color="auto"/>
              <w:right w:val="single" w:sz="8" w:color="auto"/>
            </w:tcBorders>
            <w:shd w:val="clear" w:color="auto" w:fill="D3D3D3"/>
          </w:tcPr>
          <w:p>
            <w:pPr>
              <w:spacing w:after="0"/>
              <w:rPr>
                <w:sz w:val="21"/>
                <w:szCs w:val="21"/>
                <w:color w:val="auto"/>
              </w:rPr>
            </w:pPr>
          </w:p>
        </w:tc>
        <w:tc>
          <w:tcPr>
            <w:tcW w:w="150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shd w:val="clear" w:color="auto" w:fill="D3D3D3"/>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40" w:type="dxa"/>
            <w:vAlign w:val="bottom"/>
            <w:tcBorders>
              <w:right w:val="single" w:sz="8" w:color="7B7B7B"/>
            </w:tcBorders>
            <w:shd w:val="clear" w:color="auto" w:fill="7B7B7B"/>
          </w:tcPr>
          <w:p>
            <w:pPr>
              <w:ind w:left="100"/>
              <w:spacing w:after="0"/>
              <w:rPr>
                <w:sz w:val="20"/>
                <w:szCs w:val="20"/>
                <w:color w:val="auto"/>
              </w:rPr>
            </w:pPr>
            <w:r>
              <w:rPr>
                <w:rFonts w:ascii="Arial" w:cs="Arial" w:eastAsia="Arial" w:hAnsi="Arial"/>
                <w:sz w:val="20"/>
                <w:szCs w:val="20"/>
                <w:b w:val="1"/>
                <w:bCs w:val="1"/>
                <w:color w:val="auto"/>
              </w:rPr>
              <w:t>Pfd.</w:t>
            </w:r>
          </w:p>
        </w:tc>
        <w:tc>
          <w:tcPr>
            <w:tcW w:w="1320" w:type="dxa"/>
            <w:vAlign w:val="bottom"/>
            <w:tcBorders>
              <w:right w:val="single" w:sz="8" w:color="7B7B7B"/>
            </w:tcBorders>
            <w:shd w:val="clear" w:color="auto" w:fill="7B7B7B"/>
          </w:tcPr>
          <w:p>
            <w:pPr>
              <w:spacing w:after="0"/>
              <w:rPr>
                <w:sz w:val="20"/>
                <w:szCs w:val="20"/>
                <w:color w:val="auto"/>
              </w:rPr>
            </w:pPr>
            <w:r>
              <w:rPr>
                <w:rFonts w:ascii="Arial" w:cs="Arial" w:eastAsia="Arial" w:hAnsi="Arial"/>
                <w:sz w:val="20"/>
                <w:szCs w:val="20"/>
                <w:b w:val="1"/>
                <w:bCs w:val="1"/>
                <w:color w:val="auto"/>
                <w:w w:val="84"/>
              </w:rPr>
              <w:t>Contact Method</w:t>
            </w:r>
          </w:p>
        </w:tc>
        <w:tc>
          <w:tcPr>
            <w:tcW w:w="660" w:type="dxa"/>
            <w:vAlign w:val="bottom"/>
            <w:tcBorders>
              <w:right w:val="single" w:sz="8" w:color="auto"/>
            </w:tcBorders>
            <w:shd w:val="clear" w:color="auto" w:fill="7B7B7B"/>
          </w:tcPr>
          <w:p>
            <w:pPr>
              <w:spacing w:after="0"/>
              <w:rPr>
                <w:sz w:val="20"/>
                <w:szCs w:val="20"/>
                <w:color w:val="auto"/>
              </w:rPr>
            </w:pPr>
          </w:p>
        </w:tc>
        <w:tc>
          <w:tcPr>
            <w:tcW w:w="3300" w:type="dxa"/>
            <w:vAlign w:val="bottom"/>
            <w:vMerge w:val="restart"/>
          </w:tcPr>
          <w:p>
            <w:pPr>
              <w:ind w:left="80"/>
              <w:spacing w:after="0"/>
              <w:rPr>
                <w:sz w:val="20"/>
                <w:szCs w:val="20"/>
                <w:color w:val="auto"/>
              </w:rPr>
            </w:pPr>
            <w:r>
              <w:rPr>
                <w:rFonts w:ascii="Arial" w:cs="Arial" w:eastAsia="Arial" w:hAnsi="Arial"/>
                <w:sz w:val="20"/>
                <w:szCs w:val="20"/>
                <w:i w:val="1"/>
                <w:iCs w:val="1"/>
                <w:color w:val="808080"/>
                <w:w w:val="94"/>
              </w:rPr>
              <w:t>Preferred contact method for inquiries.</w:t>
            </w:r>
          </w:p>
        </w:tc>
        <w:tc>
          <w:tcPr>
            <w:tcW w:w="0" w:type="dxa"/>
            <w:vAlign w:val="bottom"/>
          </w:tcPr>
          <w:p>
            <w:pPr>
              <w:spacing w:after="0"/>
              <w:rPr>
                <w:sz w:val="1"/>
                <w:szCs w:val="1"/>
                <w:color w:val="auto"/>
              </w:rPr>
            </w:pPr>
          </w:p>
        </w:tc>
      </w:tr>
      <w:tr>
        <w:trPr>
          <w:trHeight w:val="74"/>
        </w:trPr>
        <w:tc>
          <w:tcPr>
            <w:tcW w:w="82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640" w:type="dxa"/>
            <w:vAlign w:val="bottom"/>
            <w:tcBorders>
              <w:bottom w:val="single" w:sz="8" w:color="auto"/>
              <w:right w:val="single" w:sz="8" w:color="7B7B7B"/>
            </w:tcBorders>
            <w:shd w:val="clear" w:color="auto" w:fill="7B7B7B"/>
          </w:tcPr>
          <w:p>
            <w:pPr>
              <w:spacing w:after="0"/>
              <w:rPr>
                <w:sz w:val="6"/>
                <w:szCs w:val="6"/>
                <w:color w:val="auto"/>
              </w:rPr>
            </w:pPr>
          </w:p>
        </w:tc>
        <w:tc>
          <w:tcPr>
            <w:tcW w:w="1320" w:type="dxa"/>
            <w:vAlign w:val="bottom"/>
            <w:tcBorders>
              <w:bottom w:val="single" w:sz="8" w:color="auto"/>
              <w:right w:val="single" w:sz="8" w:color="7B7B7B"/>
            </w:tcBorders>
            <w:shd w:val="clear" w:color="auto" w:fill="7B7B7B"/>
          </w:tcPr>
          <w:p>
            <w:pPr>
              <w:spacing w:after="0"/>
              <w:rPr>
                <w:sz w:val="6"/>
                <w:szCs w:val="6"/>
                <w:color w:val="auto"/>
              </w:rPr>
            </w:pPr>
          </w:p>
        </w:tc>
        <w:tc>
          <w:tcPr>
            <w:tcW w:w="660" w:type="dxa"/>
            <w:vAlign w:val="bottom"/>
            <w:tcBorders>
              <w:bottom w:val="single" w:sz="8" w:color="auto"/>
              <w:right w:val="single" w:sz="8" w:color="auto"/>
            </w:tcBorders>
            <w:shd w:val="clear" w:color="auto" w:fill="7B7B7B"/>
          </w:tcPr>
          <w:p>
            <w:pPr>
              <w:spacing w:after="0"/>
              <w:rPr>
                <w:sz w:val="6"/>
                <w:szCs w:val="6"/>
                <w:color w:val="auto"/>
              </w:rPr>
            </w:pPr>
          </w:p>
        </w:tc>
        <w:tc>
          <w:tcPr>
            <w:tcW w:w="3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Copy and paste section above to add any additional contacts. It is recommended that at least one of the contacts be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6955155" cy="13347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55155" cy="1334770"/>
                    </a:xfrm>
                    <a:prstGeom prst="rect">
                      <a:avLst/>
                    </a:prstGeom>
                    <a:noFill/>
                  </pic:spPr>
                </pic:pic>
              </a:graphicData>
            </a:graphic>
          </wp:anchor>
        </w:drawing>
      </w:r>
    </w:p>
    <w:p>
      <w:pPr>
        <w:spacing w:after="0" w:line="3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ADDITIONAL ENTITY DETAILS &amp; KYC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80" w:type="dxa"/>
            <w:vAlign w:val="bottom"/>
            <w:tcBorders>
              <w:top w:val="single" w:sz="8" w:color="auto"/>
              <w:right w:val="single" w:sz="8" w:color="auto"/>
            </w:tcBorders>
            <w:shd w:val="clear" w:color="auto" w:fill="D3D3D3"/>
          </w:tcPr>
          <w:p>
            <w:pPr>
              <w:jc w:val="right"/>
              <w:spacing w:after="0" w:line="218" w:lineRule="exact"/>
              <w:rPr>
                <w:sz w:val="20"/>
                <w:szCs w:val="20"/>
                <w:color w:val="auto"/>
              </w:rPr>
            </w:pPr>
            <w:r>
              <w:rPr>
                <w:rFonts w:ascii="Arial" w:cs="Arial" w:eastAsia="Arial" w:hAnsi="Arial"/>
                <w:sz w:val="20"/>
                <w:szCs w:val="20"/>
                <w:b w:val="1"/>
                <w:bCs w:val="1"/>
                <w:color w:val="auto"/>
              </w:rPr>
              <w:t>Country of</w:t>
            </w:r>
          </w:p>
        </w:tc>
        <w:tc>
          <w:tcPr>
            <w:tcW w:w="362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20"/>
                <w:szCs w:val="20"/>
                <w:i w:val="1"/>
                <w:iCs w:val="1"/>
                <w:color w:val="808080"/>
              </w:rPr>
              <w:t>Country of Incorporation of lender</w:t>
            </w:r>
          </w:p>
        </w:tc>
        <w:tc>
          <w:tcPr>
            <w:tcW w:w="200" w:type="dxa"/>
            <w:vAlign w:val="bottom"/>
            <w:tcBorders>
              <w:top w:val="single" w:sz="8" w:color="auto"/>
            </w:tcBorders>
            <w:shd w:val="clear" w:color="auto" w:fill="D3D3D3"/>
          </w:tcPr>
          <w:p>
            <w:pPr>
              <w:spacing w:after="0"/>
              <w:rPr>
                <w:sz w:val="18"/>
                <w:szCs w:val="18"/>
                <w:color w:val="auto"/>
              </w:rPr>
            </w:pPr>
          </w:p>
        </w:tc>
        <w:tc>
          <w:tcPr>
            <w:tcW w:w="2340" w:type="dxa"/>
            <w:vAlign w:val="bottom"/>
            <w:tcBorders>
              <w:top w:val="single" w:sz="8" w:color="auto"/>
              <w:right w:val="single" w:sz="8" w:color="auto"/>
            </w:tcBorders>
            <w:vMerge w:val="restart"/>
            <w:shd w:val="clear" w:color="auto" w:fill="D3D3D3"/>
          </w:tcPr>
          <w:p>
            <w:pPr>
              <w:jc w:val="right"/>
              <w:spacing w:after="0"/>
              <w:rPr>
                <w:sz w:val="20"/>
                <w:szCs w:val="20"/>
                <w:color w:val="auto"/>
              </w:rPr>
            </w:pPr>
            <w:r>
              <w:rPr>
                <w:rFonts w:ascii="Arial" w:cs="Arial" w:eastAsia="Arial" w:hAnsi="Arial"/>
                <w:sz w:val="20"/>
                <w:szCs w:val="20"/>
                <w:b w:val="1"/>
                <w:bCs w:val="1"/>
                <w:color w:val="auto"/>
                <w:w w:val="93"/>
              </w:rPr>
              <w:t>Country of Tax Residence</w:t>
            </w:r>
          </w:p>
        </w:tc>
        <w:tc>
          <w:tcPr>
            <w:tcW w:w="3220" w:type="dxa"/>
            <w:vAlign w:val="bottom"/>
            <w:tcBorders>
              <w:top w:val="single" w:sz="8" w:color="auto"/>
              <w:right w:val="single" w:sz="8" w:color="auto"/>
            </w:tcBorders>
          </w:tcPr>
          <w:p>
            <w:pPr>
              <w:ind w:left="100"/>
              <w:spacing w:after="0" w:line="218" w:lineRule="exact"/>
              <w:rPr>
                <w:sz w:val="20"/>
                <w:szCs w:val="20"/>
                <w:color w:val="auto"/>
              </w:rPr>
            </w:pPr>
            <w:r>
              <w:rPr>
                <w:rFonts w:ascii="Arial" w:cs="Arial" w:eastAsia="Arial" w:hAnsi="Arial"/>
                <w:sz w:val="20"/>
                <w:szCs w:val="20"/>
                <w:i w:val="1"/>
                <w:iCs w:val="1"/>
                <w:color w:val="808080"/>
                <w:w w:val="91"/>
              </w:rPr>
              <w:t>Country of Residence of lender for tax</w:t>
            </w:r>
          </w:p>
        </w:tc>
        <w:tc>
          <w:tcPr>
            <w:tcW w:w="0" w:type="dxa"/>
            <w:vAlign w:val="bottom"/>
          </w:tcPr>
          <w:p>
            <w:pPr>
              <w:spacing w:after="0"/>
              <w:rPr>
                <w:sz w:val="1"/>
                <w:szCs w:val="1"/>
                <w:color w:val="auto"/>
              </w:rPr>
            </w:pPr>
          </w:p>
        </w:tc>
      </w:tr>
      <w:tr>
        <w:trPr>
          <w:trHeight w:val="259"/>
        </w:trPr>
        <w:tc>
          <w:tcPr>
            <w:tcW w:w="1580" w:type="dxa"/>
            <w:vAlign w:val="bottom"/>
            <w:tcBorders>
              <w:bottom w:val="single" w:sz="8" w:color="auto"/>
              <w:right w:val="single" w:sz="8" w:color="auto"/>
            </w:tcBorders>
            <w:shd w:val="clear" w:color="auto" w:fill="D3D3D3"/>
          </w:tcPr>
          <w:p>
            <w:pPr>
              <w:jc w:val="right"/>
              <w:spacing w:after="0"/>
              <w:rPr>
                <w:sz w:val="20"/>
                <w:szCs w:val="20"/>
                <w:color w:val="auto"/>
              </w:rPr>
            </w:pPr>
            <w:r>
              <w:rPr>
                <w:rFonts w:ascii="Arial" w:cs="Arial" w:eastAsia="Arial" w:hAnsi="Arial"/>
                <w:sz w:val="20"/>
                <w:szCs w:val="20"/>
                <w:b w:val="1"/>
                <w:bCs w:val="1"/>
                <w:color w:val="auto"/>
              </w:rPr>
              <w:t>Incorporation</w:t>
            </w:r>
          </w:p>
        </w:tc>
        <w:tc>
          <w:tcPr>
            <w:tcW w:w="3620" w:type="dxa"/>
            <w:vAlign w:val="bottom"/>
            <w:tcBorders>
              <w:bottom w:val="single" w:sz="8" w:color="auto"/>
              <w:right w:val="single" w:sz="8" w:color="auto"/>
            </w:tcBorders>
            <w:vMerge w:val="continue"/>
          </w:tcPr>
          <w:p>
            <w:pPr>
              <w:spacing w:after="0"/>
              <w:rPr>
                <w:sz w:val="22"/>
                <w:szCs w:val="22"/>
                <w:color w:val="auto"/>
              </w:rPr>
            </w:pPr>
          </w:p>
        </w:tc>
        <w:tc>
          <w:tcPr>
            <w:tcW w:w="200" w:type="dxa"/>
            <w:vAlign w:val="bottom"/>
            <w:tcBorders>
              <w:bottom w:val="single" w:sz="8" w:color="auto"/>
            </w:tcBorders>
            <w:shd w:val="clear" w:color="auto" w:fill="D3D3D3"/>
          </w:tcPr>
          <w:p>
            <w:pPr>
              <w:spacing w:after="0"/>
              <w:rPr>
                <w:sz w:val="22"/>
                <w:szCs w:val="22"/>
                <w:color w:val="auto"/>
              </w:rPr>
            </w:pPr>
          </w:p>
        </w:tc>
        <w:tc>
          <w:tcPr>
            <w:tcW w:w="2340" w:type="dxa"/>
            <w:vAlign w:val="bottom"/>
            <w:tcBorders>
              <w:bottom w:val="single" w:sz="8" w:color="auto"/>
              <w:right w:val="single" w:sz="8" w:color="auto"/>
            </w:tcBorders>
            <w:vMerge w:val="continue"/>
            <w:shd w:val="clear" w:color="auto" w:fill="D3D3D3"/>
          </w:tcPr>
          <w:p>
            <w:pPr>
              <w:spacing w:after="0"/>
              <w:rPr>
                <w:sz w:val="22"/>
                <w:szCs w:val="22"/>
                <w:color w:val="auto"/>
              </w:rPr>
            </w:pPr>
          </w:p>
        </w:tc>
        <w:tc>
          <w:tcPr>
            <w:tcW w:w="3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i w:val="1"/>
                <w:iCs w:val="1"/>
                <w:color w:val="808080"/>
              </w:rPr>
              <w:t>purposes</w:t>
            </w:r>
          </w:p>
        </w:tc>
        <w:tc>
          <w:tcPr>
            <w:tcW w:w="0" w:type="dxa"/>
            <w:vAlign w:val="bottom"/>
          </w:tcPr>
          <w:p>
            <w:pPr>
              <w:spacing w:after="0"/>
              <w:rPr>
                <w:sz w:val="1"/>
                <w:szCs w:val="1"/>
                <w:color w:val="auto"/>
              </w:rPr>
            </w:pPr>
          </w:p>
        </w:tc>
      </w:tr>
      <w:tr>
        <w:trPr>
          <w:trHeight w:val="232"/>
        </w:trPr>
        <w:tc>
          <w:tcPr>
            <w:tcW w:w="1580" w:type="dxa"/>
            <w:vAlign w:val="bottom"/>
            <w:tcBorders>
              <w:bottom w:val="single" w:sz="8" w:color="auto"/>
              <w:right w:val="single" w:sz="8" w:color="auto"/>
            </w:tcBorders>
            <w:shd w:val="clear" w:color="auto" w:fill="D3D3D3"/>
          </w:tcPr>
          <w:p>
            <w:pPr>
              <w:jc w:val="right"/>
              <w:spacing w:after="0" w:line="226" w:lineRule="exact"/>
              <w:rPr>
                <w:sz w:val="20"/>
                <w:szCs w:val="20"/>
                <w:color w:val="auto"/>
              </w:rPr>
            </w:pPr>
            <w:r>
              <w:rPr>
                <w:rFonts w:ascii="Arial" w:cs="Arial" w:eastAsia="Arial" w:hAnsi="Arial"/>
                <w:sz w:val="20"/>
                <w:szCs w:val="20"/>
                <w:b w:val="1"/>
                <w:bCs w:val="1"/>
                <w:color w:val="auto"/>
              </w:rPr>
              <w:t>EIN</w:t>
            </w:r>
          </w:p>
        </w:tc>
        <w:tc>
          <w:tcPr>
            <w:tcW w:w="3620" w:type="dxa"/>
            <w:vAlign w:val="bottom"/>
            <w:tcBorders>
              <w:bottom w:val="single" w:sz="8" w:color="auto"/>
              <w:right w:val="single" w:sz="8" w:color="auto"/>
            </w:tcBorders>
          </w:tcPr>
          <w:p>
            <w:pPr>
              <w:ind w:left="200"/>
              <w:spacing w:after="0" w:line="226" w:lineRule="exact"/>
              <w:rPr>
                <w:sz w:val="20"/>
                <w:szCs w:val="20"/>
                <w:color w:val="auto"/>
              </w:rPr>
            </w:pPr>
            <w:r>
              <w:rPr>
                <w:rFonts w:ascii="Arial" w:cs="Arial" w:eastAsia="Arial" w:hAnsi="Arial"/>
                <w:sz w:val="20"/>
                <w:szCs w:val="20"/>
                <w:i w:val="1"/>
                <w:iCs w:val="1"/>
                <w:color w:val="808080"/>
              </w:rPr>
              <w:t>US Employee ID Number</w:t>
            </w:r>
          </w:p>
        </w:tc>
        <w:tc>
          <w:tcPr>
            <w:tcW w:w="200" w:type="dxa"/>
            <w:vAlign w:val="bottom"/>
            <w:tcBorders>
              <w:bottom w:val="single" w:sz="8" w:color="auto"/>
            </w:tcBorders>
            <w:shd w:val="clear" w:color="auto" w:fill="D3D3D3"/>
          </w:tcPr>
          <w:p>
            <w:pPr>
              <w:spacing w:after="0"/>
              <w:rPr>
                <w:sz w:val="20"/>
                <w:szCs w:val="20"/>
                <w:color w:val="auto"/>
              </w:rPr>
            </w:pPr>
          </w:p>
        </w:tc>
        <w:tc>
          <w:tcPr>
            <w:tcW w:w="2340" w:type="dxa"/>
            <w:vAlign w:val="bottom"/>
            <w:tcBorders>
              <w:bottom w:val="single" w:sz="8" w:color="auto"/>
              <w:right w:val="single" w:sz="8" w:color="auto"/>
            </w:tcBorders>
            <w:shd w:val="clear" w:color="auto" w:fill="D3D3D3"/>
          </w:tcPr>
          <w:p>
            <w:pPr>
              <w:jc w:val="right"/>
              <w:spacing w:after="0" w:line="226" w:lineRule="exact"/>
              <w:rPr>
                <w:sz w:val="20"/>
                <w:szCs w:val="20"/>
                <w:color w:val="auto"/>
              </w:rPr>
            </w:pPr>
            <w:r>
              <w:rPr>
                <w:rFonts w:ascii="Arial" w:cs="Arial" w:eastAsia="Arial" w:hAnsi="Arial"/>
                <w:sz w:val="20"/>
                <w:szCs w:val="20"/>
                <w:b w:val="1"/>
                <w:bCs w:val="1"/>
                <w:color w:val="auto"/>
              </w:rPr>
              <w:t>UK Treaty Passport #</w:t>
            </w:r>
          </w:p>
        </w:tc>
        <w:tc>
          <w:tcPr>
            <w:tcW w:w="3220" w:type="dxa"/>
            <w:vAlign w:val="bottom"/>
            <w:tcBorders>
              <w:bottom w:val="single" w:sz="8" w:color="auto"/>
              <w:right w:val="single" w:sz="8" w:color="auto"/>
            </w:tcBorders>
          </w:tcPr>
          <w:p>
            <w:pPr>
              <w:ind w:left="100"/>
              <w:spacing w:after="0" w:line="226" w:lineRule="exact"/>
              <w:rPr>
                <w:sz w:val="20"/>
                <w:szCs w:val="20"/>
                <w:color w:val="auto"/>
              </w:rPr>
            </w:pPr>
            <w:r>
              <w:rPr>
                <w:rFonts w:ascii="Arial" w:cs="Arial" w:eastAsia="Arial" w:hAnsi="Arial"/>
                <w:sz w:val="20"/>
                <w:szCs w:val="20"/>
                <w:i w:val="1"/>
                <w:iCs w:val="1"/>
                <w:color w:val="808080"/>
              </w:rPr>
              <w:t>UK Treaty Passport #</w:t>
            </w:r>
          </w:p>
        </w:tc>
        <w:tc>
          <w:tcPr>
            <w:tcW w:w="0" w:type="dxa"/>
            <w:vAlign w:val="bottom"/>
          </w:tcPr>
          <w:p>
            <w:pPr>
              <w:spacing w:after="0"/>
              <w:rPr>
                <w:sz w:val="1"/>
                <w:szCs w:val="1"/>
                <w:color w:val="auto"/>
              </w:rPr>
            </w:pPr>
          </w:p>
        </w:tc>
      </w:tr>
      <w:tr>
        <w:trPr>
          <w:trHeight w:val="281"/>
        </w:trPr>
        <w:tc>
          <w:tcPr>
            <w:tcW w:w="1580" w:type="dxa"/>
            <w:vAlign w:val="bottom"/>
            <w:tcBorders>
              <w:right w:val="single" w:sz="8" w:color="auto"/>
            </w:tcBorders>
            <w:shd w:val="clear" w:color="auto" w:fill="D3D3D3"/>
          </w:tcPr>
          <w:p>
            <w:pPr>
              <w:jc w:val="right"/>
              <w:spacing w:after="0"/>
              <w:rPr>
                <w:sz w:val="20"/>
                <w:szCs w:val="20"/>
                <w:color w:val="auto"/>
              </w:rPr>
            </w:pPr>
            <w:r>
              <w:rPr>
                <w:rFonts w:ascii="Arial" w:cs="Arial" w:eastAsia="Arial" w:hAnsi="Arial"/>
                <w:sz w:val="20"/>
                <w:szCs w:val="20"/>
                <w:b w:val="1"/>
                <w:bCs w:val="1"/>
                <w:color w:val="auto"/>
              </w:rPr>
              <w:t>US Tax Form</w:t>
            </w: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20"/>
                <w:szCs w:val="20"/>
                <w:i w:val="1"/>
                <w:iCs w:val="1"/>
                <w:color w:val="808080"/>
              </w:rPr>
              <w:t>Type of tax form used/attached</w:t>
            </w:r>
          </w:p>
        </w:tc>
        <w:tc>
          <w:tcPr>
            <w:tcW w:w="200" w:type="dxa"/>
            <w:vAlign w:val="bottom"/>
            <w:shd w:val="clear" w:color="auto" w:fill="D3D3D3"/>
          </w:tcPr>
          <w:p>
            <w:pPr>
              <w:spacing w:after="0"/>
              <w:rPr>
                <w:sz w:val="24"/>
                <w:szCs w:val="24"/>
                <w:color w:val="auto"/>
              </w:rPr>
            </w:pPr>
          </w:p>
        </w:tc>
        <w:tc>
          <w:tcPr>
            <w:tcW w:w="2340" w:type="dxa"/>
            <w:vAlign w:val="bottom"/>
            <w:tcBorders>
              <w:right w:val="single" w:sz="8" w:color="auto"/>
            </w:tcBorders>
            <w:shd w:val="clear" w:color="auto" w:fill="D3D3D3"/>
          </w:tcPr>
          <w:p>
            <w:pPr>
              <w:jc w:val="right"/>
              <w:spacing w:after="0"/>
              <w:rPr>
                <w:sz w:val="20"/>
                <w:szCs w:val="20"/>
                <w:color w:val="auto"/>
              </w:rPr>
            </w:pPr>
            <w:r>
              <w:rPr>
                <w:rFonts w:ascii="Arial" w:cs="Arial" w:eastAsia="Arial" w:hAnsi="Arial"/>
                <w:sz w:val="20"/>
                <w:szCs w:val="20"/>
                <w:b w:val="1"/>
                <w:bCs w:val="1"/>
                <w:color w:val="auto"/>
                <w:w w:val="91"/>
              </w:rPr>
              <w:t>UK Treaty Passport Expiry</w:t>
            </w:r>
          </w:p>
        </w:tc>
        <w:tc>
          <w:tcPr>
            <w:tcW w:w="322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808080"/>
              </w:rPr>
              <w:t>UK Treaty Passport Expiry Date</w:t>
            </w:r>
          </w:p>
        </w:tc>
        <w:tc>
          <w:tcPr>
            <w:tcW w:w="0" w:type="dxa"/>
            <w:vAlign w:val="bottom"/>
          </w:tcPr>
          <w:p>
            <w:pPr>
              <w:spacing w:after="0"/>
              <w:rPr>
                <w:sz w:val="1"/>
                <w:szCs w:val="1"/>
                <w:color w:val="auto"/>
              </w:rPr>
            </w:pPr>
          </w:p>
        </w:tc>
      </w:tr>
      <w:tr>
        <w:trPr>
          <w:trHeight w:val="174"/>
        </w:trPr>
        <w:tc>
          <w:tcPr>
            <w:tcW w:w="1580" w:type="dxa"/>
            <w:vAlign w:val="bottom"/>
            <w:tcBorders>
              <w:bottom w:val="single" w:sz="8" w:color="D3D3D3"/>
              <w:right w:val="single" w:sz="8" w:color="auto"/>
            </w:tcBorders>
            <w:vMerge w:val="restart"/>
            <w:shd w:val="clear" w:color="auto" w:fill="D3D3D3"/>
          </w:tcPr>
          <w:p>
            <w:pPr>
              <w:jc w:val="right"/>
              <w:spacing w:after="0"/>
              <w:rPr>
                <w:sz w:val="20"/>
                <w:szCs w:val="20"/>
                <w:color w:val="auto"/>
              </w:rPr>
            </w:pPr>
            <w:r>
              <w:rPr>
                <w:rFonts w:ascii="Arial" w:cs="Arial" w:eastAsia="Arial" w:hAnsi="Arial"/>
                <w:sz w:val="20"/>
                <w:szCs w:val="20"/>
                <w:b w:val="1"/>
                <w:bCs w:val="1"/>
                <w:color w:val="auto"/>
              </w:rPr>
              <w:t>Entity</w:t>
            </w:r>
          </w:p>
        </w:tc>
        <w:tc>
          <w:tcPr>
            <w:tcW w:w="362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shd w:val="clear" w:color="auto" w:fill="D3D3D3"/>
          </w:tcPr>
          <w:p>
            <w:pPr>
              <w:spacing w:after="0"/>
              <w:rPr>
                <w:sz w:val="15"/>
                <w:szCs w:val="15"/>
                <w:color w:val="auto"/>
              </w:rPr>
            </w:pPr>
          </w:p>
        </w:tc>
        <w:tc>
          <w:tcPr>
            <w:tcW w:w="2340" w:type="dxa"/>
            <w:vAlign w:val="bottom"/>
            <w:tcBorders>
              <w:bottom w:val="single" w:sz="8" w:color="auto"/>
              <w:right w:val="single" w:sz="8" w:color="auto"/>
            </w:tcBorders>
            <w:shd w:val="clear" w:color="auto" w:fill="D3D3D3"/>
          </w:tcPr>
          <w:p>
            <w:pPr>
              <w:jc w:val="right"/>
              <w:spacing w:after="0" w:line="174" w:lineRule="exact"/>
              <w:rPr>
                <w:sz w:val="20"/>
                <w:szCs w:val="20"/>
                <w:color w:val="auto"/>
              </w:rPr>
            </w:pPr>
            <w:r>
              <w:rPr>
                <w:rFonts w:ascii="Arial" w:cs="Arial" w:eastAsia="Arial" w:hAnsi="Arial"/>
                <w:sz w:val="20"/>
                <w:szCs w:val="20"/>
                <w:b w:val="1"/>
                <w:bCs w:val="1"/>
                <w:color w:val="auto"/>
              </w:rPr>
              <w:t>Date</w:t>
            </w:r>
          </w:p>
        </w:tc>
        <w:tc>
          <w:tcPr>
            <w:tcW w:w="32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580" w:type="dxa"/>
            <w:vAlign w:val="bottom"/>
            <w:tcBorders>
              <w:right w:val="single" w:sz="8" w:color="auto"/>
            </w:tcBorders>
            <w:vMerge w:val="continue"/>
            <w:shd w:val="clear" w:color="auto" w:fill="D3D3D3"/>
          </w:tcPr>
          <w:p>
            <w:pPr>
              <w:spacing w:after="0"/>
              <w:rPr>
                <w:sz w:val="16"/>
                <w:szCs w:val="16"/>
                <w:color w:val="auto"/>
              </w:rPr>
            </w:pPr>
          </w:p>
        </w:tc>
        <w:tc>
          <w:tcPr>
            <w:tcW w:w="3620" w:type="dxa"/>
            <w:vAlign w:val="bottom"/>
            <w:vMerge w:val="restart"/>
          </w:tcPr>
          <w:p>
            <w:pPr>
              <w:ind w:left="200"/>
              <w:spacing w:after="0"/>
              <w:rPr>
                <w:sz w:val="20"/>
                <w:szCs w:val="20"/>
                <w:color w:val="auto"/>
              </w:rPr>
            </w:pPr>
            <w:r>
              <w:rPr>
                <w:rFonts w:ascii="Arial" w:cs="Arial" w:eastAsia="Arial" w:hAnsi="Arial"/>
                <w:sz w:val="20"/>
                <w:szCs w:val="20"/>
                <w:color w:val="auto"/>
              </w:rPr>
              <w:t>Primary Entity</w:t>
            </w:r>
          </w:p>
        </w:tc>
        <w:tc>
          <w:tcPr>
            <w:tcW w:w="2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580" w:type="dxa"/>
            <w:vAlign w:val="bottom"/>
            <w:tcBorders>
              <w:right w:val="single" w:sz="8" w:color="auto"/>
            </w:tcBorders>
            <w:vMerge w:val="restart"/>
            <w:shd w:val="clear" w:color="auto" w:fill="D3D3D3"/>
          </w:tcPr>
          <w:p>
            <w:pPr>
              <w:jc w:val="right"/>
              <w:spacing w:after="0"/>
              <w:rPr>
                <w:sz w:val="20"/>
                <w:szCs w:val="20"/>
                <w:color w:val="auto"/>
              </w:rPr>
            </w:pPr>
            <w:r>
              <w:rPr>
                <w:rFonts w:ascii="Arial" w:cs="Arial" w:eastAsia="Arial" w:hAnsi="Arial"/>
                <w:sz w:val="20"/>
                <w:szCs w:val="20"/>
                <w:b w:val="1"/>
                <w:bCs w:val="1"/>
                <w:color w:val="auto"/>
              </w:rPr>
              <w:t>Referenced As</w:t>
            </w:r>
          </w:p>
        </w:tc>
        <w:tc>
          <w:tcPr>
            <w:tcW w:w="3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1580" w:type="dxa"/>
            <w:vAlign w:val="bottom"/>
            <w:tcBorders>
              <w:bottom w:val="single" w:sz="8" w:color="auto"/>
              <w:right w:val="single" w:sz="8" w:color="auto"/>
            </w:tcBorders>
            <w:vMerge w:val="continue"/>
            <w:shd w:val="clear" w:color="auto" w:fill="D3D3D3"/>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32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6938010" cy="229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38010" cy="22987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FFFFFF"/>
        </w:rPr>
        <w:t>CURRENCIES AND JURISDICTIONS FOR MULTICURRENCY TRANSACTIONS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6955155" cy="229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55155" cy="22987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PLEASE CHECK BOX OF THE </w:t>
      </w:r>
      <w:r>
        <w:rPr>
          <w:rFonts w:ascii="Arial" w:cs="Arial" w:eastAsia="Arial" w:hAnsi="Arial"/>
          <w:sz w:val="18"/>
          <w:szCs w:val="18"/>
          <w:b w:val="1"/>
          <w:bCs w:val="1"/>
          <w:color w:val="FF4338"/>
        </w:rPr>
        <w:t>CURRENCIES</w:t>
      </w:r>
      <w:r>
        <w:rPr>
          <w:rFonts w:ascii="Arial" w:cs="Arial" w:eastAsia="Arial" w:hAnsi="Arial"/>
          <w:sz w:val="18"/>
          <w:szCs w:val="18"/>
          <w:b w:val="1"/>
          <w:bCs w:val="1"/>
          <w:color w:val="auto"/>
        </w:rPr>
        <w:t xml:space="preserve"> YOUR INSTITUTION CAN FUND UNDER THIS TRANSACTION:</w:t>
      </w:r>
    </w:p>
    <w:p>
      <w:pPr>
        <w:sectPr>
          <w:pgSz w:w="11900" w:h="16838" w:orient="portrait"/>
          <w:cols w:equalWidth="0" w:num="1">
            <w:col w:w="11180"/>
          </w:cols>
          <w:pgMar w:left="480" w:top="344" w:right="239" w:bottom="1440" w:gutter="0" w:footer="0" w:header="0"/>
        </w:sectPr>
      </w:pPr>
    </w:p>
    <w:p>
      <w:pPr>
        <w:spacing w:after="0" w:line="213" w:lineRule="exact"/>
        <w:rPr>
          <w:sz w:val="20"/>
          <w:szCs w:val="20"/>
          <w:color w:val="auto"/>
        </w:rPr>
      </w:pPr>
    </w:p>
    <w:p>
      <w:pPr>
        <w:ind w:left="160"/>
        <w:spacing w:after="0" w:line="171" w:lineRule="exact"/>
        <w:rPr>
          <w:sz w:val="20"/>
          <w:szCs w:val="20"/>
          <w:color w:val="auto"/>
        </w:rPr>
      </w:pPr>
      <w:r>
        <w:rPr>
          <w:rFonts w:ascii="MS PGothic" w:cs="MS PGothic" w:eastAsia="MS PGothic" w:hAnsi="MS PGothic"/>
          <w:sz w:val="17"/>
          <w:szCs w:val="17"/>
          <w:color w:val="auto"/>
        </w:rPr>
        <w:t>☐</w:t>
      </w:r>
    </w:p>
    <w:p>
      <w:pPr>
        <w:spacing w:after="0" w:line="138" w:lineRule="exact"/>
        <w:rPr>
          <w:sz w:val="20"/>
          <w:szCs w:val="20"/>
          <w:color w:val="auto"/>
        </w:rPr>
      </w:pPr>
    </w:p>
    <w:p>
      <w:pPr>
        <w:ind w:left="160"/>
        <w:spacing w:after="0" w:line="171" w:lineRule="exact"/>
        <w:rPr>
          <w:sz w:val="20"/>
          <w:szCs w:val="20"/>
          <w:color w:val="auto"/>
        </w:rPr>
      </w:pPr>
      <w:r>
        <w:rPr>
          <w:rFonts w:ascii="MS PGothic" w:cs="MS PGothic" w:eastAsia="MS PGothic" w:hAnsi="MS PGothic"/>
          <w:sz w:val="17"/>
          <w:szCs w:val="17"/>
          <w:color w:val="auto"/>
        </w:rPr>
        <w:t>☐</w:t>
      </w:r>
    </w:p>
    <w:p>
      <w:pPr>
        <w:spacing w:after="0" w:line="98" w:lineRule="exact"/>
        <w:rPr>
          <w:sz w:val="20"/>
          <w:szCs w:val="20"/>
          <w:color w:val="auto"/>
        </w:rPr>
      </w:pPr>
    </w:p>
    <w:p>
      <w:pPr>
        <w:ind w:left="160"/>
        <w:spacing w:after="0" w:line="171" w:lineRule="exact"/>
        <w:rPr>
          <w:sz w:val="20"/>
          <w:szCs w:val="20"/>
          <w:color w:val="auto"/>
        </w:rPr>
      </w:pPr>
      <w:r>
        <w:rPr>
          <w:rFonts w:ascii="MS PGothic" w:cs="MS PGothic" w:eastAsia="MS PGothic" w:hAnsi="MS PGothic"/>
          <w:sz w:val="17"/>
          <w:szCs w:val="17"/>
          <w:color w:val="auto"/>
        </w:rPr>
        <w:t>☐</w:t>
      </w:r>
    </w:p>
    <w:p>
      <w:pPr>
        <w:spacing w:after="0" w:line="98" w:lineRule="exact"/>
        <w:rPr>
          <w:sz w:val="20"/>
          <w:szCs w:val="20"/>
          <w:color w:val="auto"/>
        </w:rPr>
      </w:pPr>
    </w:p>
    <w:p>
      <w:pPr>
        <w:ind w:left="16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3520" w:type="dxa"/>
            <w:vAlign w:val="bottom"/>
            <w:tcBorders>
              <w:right w:val="single" w:sz="8" w:color="auto"/>
            </w:tcBorders>
          </w:tcPr>
          <w:p>
            <w:pPr>
              <w:spacing w:after="0" w:line="201" w:lineRule="exact"/>
              <w:rPr>
                <w:sz w:val="20"/>
                <w:szCs w:val="20"/>
                <w:color w:val="auto"/>
              </w:rPr>
            </w:pPr>
            <w:r>
              <w:rPr>
                <w:rFonts w:ascii="MS PGothic" w:cs="MS PGothic" w:eastAsia="MS PGothic" w:hAnsi="MS PGothic"/>
                <w:sz w:val="20"/>
                <w:szCs w:val="20"/>
                <w:color w:val="auto"/>
              </w:rPr>
              <w:t>☐</w:t>
            </w:r>
          </w:p>
        </w:tc>
        <w:tc>
          <w:tcPr>
            <w:tcW w:w="260" w:type="dxa"/>
            <w:vAlign w:val="bottom"/>
          </w:tcPr>
          <w:p>
            <w:pPr>
              <w:ind w:left="1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268"/>
        </w:trPr>
        <w:tc>
          <w:tcPr>
            <w:tcW w:w="3520" w:type="dxa"/>
            <w:vAlign w:val="bottom"/>
            <w:tcBorders>
              <w:right w:val="single" w:sz="8" w:color="auto"/>
            </w:tcBorders>
          </w:tcPr>
          <w:p>
            <w:pPr>
              <w:spacing w:after="0" w:line="201" w:lineRule="exact"/>
              <w:rPr>
                <w:sz w:val="20"/>
                <w:szCs w:val="20"/>
                <w:color w:val="auto"/>
              </w:rPr>
            </w:pPr>
            <w:r>
              <w:rPr>
                <w:rFonts w:ascii="MS PGothic" w:cs="MS PGothic" w:eastAsia="MS PGothic" w:hAnsi="MS PGothic"/>
                <w:sz w:val="20"/>
                <w:szCs w:val="20"/>
                <w:color w:val="auto"/>
              </w:rPr>
              <w:t>☐</w:t>
            </w:r>
          </w:p>
        </w:tc>
        <w:tc>
          <w:tcPr>
            <w:tcW w:w="260" w:type="dxa"/>
            <w:vAlign w:val="bottom"/>
          </w:tcPr>
          <w:p>
            <w:pPr>
              <w:ind w:left="1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268"/>
        </w:trPr>
        <w:tc>
          <w:tcPr>
            <w:tcW w:w="3520" w:type="dxa"/>
            <w:vAlign w:val="bottom"/>
            <w:tcBorders>
              <w:right w:val="single" w:sz="8" w:color="auto"/>
            </w:tcBorders>
          </w:tcPr>
          <w:p>
            <w:pPr>
              <w:spacing w:after="0" w:line="201" w:lineRule="exact"/>
              <w:rPr>
                <w:sz w:val="20"/>
                <w:szCs w:val="20"/>
                <w:color w:val="auto"/>
              </w:rPr>
            </w:pPr>
            <w:r>
              <w:rPr>
                <w:rFonts w:ascii="MS PGothic" w:cs="MS PGothic" w:eastAsia="MS PGothic" w:hAnsi="MS PGothic"/>
                <w:sz w:val="20"/>
                <w:szCs w:val="20"/>
                <w:color w:val="auto"/>
              </w:rPr>
              <w:t>☐</w:t>
            </w:r>
          </w:p>
        </w:tc>
        <w:tc>
          <w:tcPr>
            <w:tcW w:w="260" w:type="dxa"/>
            <w:vAlign w:val="bottom"/>
          </w:tcPr>
          <w:p>
            <w:pPr>
              <w:ind w:left="1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08"/>
        </w:trPr>
        <w:tc>
          <w:tcPr>
            <w:tcW w:w="3520" w:type="dxa"/>
            <w:vAlign w:val="bottom"/>
            <w:tcBorders>
              <w:right w:val="single" w:sz="8" w:color="auto"/>
            </w:tcBorders>
          </w:tcPr>
          <w:p>
            <w:pPr>
              <w:spacing w:after="0" w:line="201" w:lineRule="exact"/>
              <w:rPr>
                <w:sz w:val="20"/>
                <w:szCs w:val="20"/>
                <w:color w:val="auto"/>
              </w:rPr>
            </w:pPr>
            <w:r>
              <w:rPr>
                <w:rFonts w:ascii="MS PGothic" w:cs="MS PGothic" w:eastAsia="MS PGothic" w:hAnsi="MS PGothic"/>
                <w:sz w:val="20"/>
                <w:szCs w:val="20"/>
                <w:color w:val="auto"/>
              </w:rPr>
              <w:t>☐</w:t>
            </w:r>
          </w:p>
        </w:tc>
        <w:tc>
          <w:tcPr>
            <w:tcW w:w="260" w:type="dxa"/>
            <w:vAlign w:val="bottom"/>
          </w:tcPr>
          <w:p>
            <w:pPr>
              <w:ind w:left="10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-2505075</wp:posOffset>
            </wp:positionH>
            <wp:positionV relativeFrom="paragraph">
              <wp:posOffset>-696595</wp:posOffset>
            </wp:positionV>
            <wp:extent cx="6955155" cy="6972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55155" cy="69723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159385</wp:posOffset>
            </wp:positionV>
            <wp:extent cx="6925310" cy="3784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5310" cy="378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240"/>
          </w:cols>
          <w:pgMar w:left="480" w:top="344" w:right="239" w:bottom="1440" w:gutter="0" w:footer="0" w:header="0"/>
          <w:type w:val="continuous"/>
        </w:sectPr>
      </w:pPr>
    </w:p>
    <w:p>
      <w:pPr>
        <w:spacing w:after="0" w:line="85" w:lineRule="exact"/>
        <w:rPr>
          <w:sz w:val="20"/>
          <w:szCs w:val="20"/>
          <w:color w:val="auto"/>
        </w:rPr>
      </w:pPr>
    </w:p>
    <w:p>
      <w:pPr>
        <w:ind w:left="260" w:right="1060"/>
        <w:spacing w:after="0" w:line="263" w:lineRule="auto"/>
        <w:rPr>
          <w:sz w:val="20"/>
          <w:szCs w:val="20"/>
          <w:color w:val="auto"/>
        </w:rPr>
      </w:pPr>
      <w:r>
        <w:rPr>
          <w:rFonts w:ascii="Arial" w:cs="Arial" w:eastAsia="Arial" w:hAnsi="Arial"/>
          <w:sz w:val="20"/>
          <w:szCs w:val="20"/>
          <w:b w:val="1"/>
          <w:bCs w:val="1"/>
          <w:color w:val="auto"/>
        </w:rPr>
        <w:t xml:space="preserve">PLEASE CHECK BOX IF YOUR INSTITUTION IS LICENSED TO FUND TO BORROWERS LOCATED IN THE FOLLOWING </w:t>
      </w:r>
      <w:r>
        <w:rPr>
          <w:rFonts w:ascii="Arial" w:cs="Arial" w:eastAsia="Arial" w:hAnsi="Arial"/>
          <w:sz w:val="20"/>
          <w:szCs w:val="20"/>
          <w:b w:val="1"/>
          <w:bCs w:val="1"/>
          <w:color w:val="FF4338"/>
        </w:rPr>
        <w:t>COUNTRIES</w:t>
      </w:r>
      <w:r>
        <w:rPr>
          <w:rFonts w:ascii="Arial" w:cs="Arial" w:eastAsia="Arial" w:hAnsi="Arial"/>
          <w:sz w:val="20"/>
          <w:szCs w:val="20"/>
          <w:b w:val="1"/>
          <w:bCs w:val="1"/>
          <w:color w:val="auto"/>
        </w:rPr>
        <w:t>:</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840" w:type="dxa"/>
            <w:vAlign w:val="bottom"/>
            <w:tcBorders>
              <w:top w:val="single" w:sz="8" w:color="auto"/>
              <w:left w:val="single" w:sz="8" w:color="auto"/>
              <w:bottom w:val="single" w:sz="8" w:color="auto"/>
              <w:right w:val="single" w:sz="8" w:color="auto"/>
            </w:tcBorders>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3620" w:type="dxa"/>
            <w:vAlign w:val="bottom"/>
            <w:tcBorders>
              <w:top w:val="single" w:sz="8" w:color="auto"/>
              <w:bottom w:val="single" w:sz="8" w:color="auto"/>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Borders>
              <w:top w:val="single" w:sz="8" w:color="auto"/>
              <w:bottom w:val="single" w:sz="8" w:color="auto"/>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r>
      <w:tr>
        <w:trPr>
          <w:trHeight w:val="248"/>
        </w:trPr>
        <w:tc>
          <w:tcPr>
            <w:tcW w:w="3840" w:type="dxa"/>
            <w:vAlign w:val="bottom"/>
            <w:tcBorders>
              <w:left w:val="single" w:sz="8" w:color="auto"/>
              <w:bottom w:val="single" w:sz="8" w:color="auto"/>
              <w:right w:val="single" w:sz="8" w:color="auto"/>
            </w:tcBorders>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3620" w:type="dxa"/>
            <w:vAlign w:val="bottom"/>
            <w:tcBorders>
              <w:bottom w:val="single" w:sz="8" w:color="auto"/>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Borders>
              <w:bottom w:val="single" w:sz="8" w:color="auto"/>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r>
      <w:tr>
        <w:trPr>
          <w:trHeight w:val="248"/>
        </w:trPr>
        <w:tc>
          <w:tcPr>
            <w:tcW w:w="3840" w:type="dxa"/>
            <w:vAlign w:val="bottom"/>
            <w:tcBorders>
              <w:left w:val="single" w:sz="8" w:color="auto"/>
              <w:bottom w:val="single" w:sz="8" w:color="auto"/>
              <w:right w:val="single" w:sz="8" w:color="auto"/>
            </w:tcBorders>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3620" w:type="dxa"/>
            <w:vAlign w:val="bottom"/>
            <w:tcBorders>
              <w:bottom w:val="single" w:sz="8" w:color="auto"/>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Borders>
              <w:bottom w:val="single" w:sz="8" w:color="auto"/>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r>
      <w:tr>
        <w:trPr>
          <w:trHeight w:val="248"/>
        </w:trPr>
        <w:tc>
          <w:tcPr>
            <w:tcW w:w="3840" w:type="dxa"/>
            <w:vAlign w:val="bottom"/>
            <w:tcBorders>
              <w:left w:val="single" w:sz="8" w:color="auto"/>
              <w:bottom w:val="single" w:sz="8" w:color="auto"/>
              <w:right w:val="single" w:sz="8" w:color="auto"/>
            </w:tcBorders>
          </w:tcPr>
          <w:p>
            <w:pPr>
              <w:ind w:left="160"/>
              <w:spacing w:after="0" w:line="201" w:lineRule="exact"/>
              <w:rPr>
                <w:sz w:val="20"/>
                <w:szCs w:val="20"/>
                <w:color w:val="auto"/>
              </w:rPr>
            </w:pPr>
            <w:r>
              <w:rPr>
                <w:rFonts w:ascii="MS PGothic" w:cs="MS PGothic" w:eastAsia="MS PGothic" w:hAnsi="MS PGothic"/>
                <w:sz w:val="20"/>
                <w:szCs w:val="20"/>
                <w:color w:val="auto"/>
              </w:rPr>
              <w:t>☐</w:t>
            </w:r>
          </w:p>
        </w:tc>
        <w:tc>
          <w:tcPr>
            <w:tcW w:w="3620" w:type="dxa"/>
            <w:vAlign w:val="bottom"/>
            <w:tcBorders>
              <w:bottom w:val="single" w:sz="8" w:color="auto"/>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Borders>
              <w:bottom w:val="single" w:sz="8" w:color="auto"/>
              <w:right w:val="single" w:sz="8" w:color="auto"/>
            </w:tcBorders>
          </w:tcPr>
          <w:p>
            <w:pPr>
              <w:ind w:left="100"/>
              <w:spacing w:after="0" w:line="201" w:lineRule="exact"/>
              <w:rPr>
                <w:sz w:val="20"/>
                <w:szCs w:val="20"/>
                <w:color w:val="auto"/>
              </w:rPr>
            </w:pPr>
            <w:r>
              <w:rPr>
                <w:rFonts w:ascii="MS PGothic" w:cs="MS PGothic" w:eastAsia="MS PGothic" w:hAnsi="MS PGothic"/>
                <w:sz w:val="20"/>
                <w:szCs w:val="20"/>
                <w:color w:val="auto"/>
              </w:rPr>
              <w:t>☐</w:t>
            </w:r>
          </w:p>
        </w:tc>
      </w:tr>
    </w:tbl>
    <w:p>
      <w:pPr>
        <w:sectPr>
          <w:pgSz w:w="11900" w:h="16838" w:orient="portrait"/>
          <w:cols w:equalWidth="0" w:num="1">
            <w:col w:w="11180"/>
          </w:cols>
          <w:pgMar w:left="480" w:top="344" w:right="2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Appendix A: Additional Wire Instruction Templates and Bank of America USD / FX Wire Instructions:</w:t>
      </w:r>
    </w:p>
    <w:p>
      <w:pPr>
        <w:spacing w:after="0" w:line="15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i w:val="1"/>
          <w:iCs w:val="1"/>
          <w:color w:val="auto"/>
        </w:rPr>
        <w:t xml:space="preserve">Template below can be used for wire instructions where recipient is intermediary bank with nostro account for custodian and the Lender does not have a dedicated account. </w:t>
      </w:r>
      <w:r>
        <w:rPr>
          <w:rFonts w:ascii="Arial" w:cs="Arial" w:eastAsia="Arial" w:hAnsi="Arial"/>
          <w:sz w:val="20"/>
          <w:szCs w:val="20"/>
          <w:i w:val="1"/>
          <w:iCs w:val="1"/>
          <w:color w:val="auto"/>
          <w:highlight w:val="yellow"/>
        </w:rPr>
        <w:t>Lender may copy and paste the template below as many times as necessary to capture various currency</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auto"/>
          <w:highlight w:val="yellow"/>
        </w:rPr>
        <w:t>remittance instructions.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520" w:type="dxa"/>
            <w:vAlign w:val="bottom"/>
            <w:tcBorders>
              <w:top w:val="single" w:sz="8" w:color="auto"/>
              <w:bottom w:val="single" w:sz="8" w:color="auto"/>
              <w:right w:val="single" w:sz="8" w:color="auto"/>
            </w:tcBorders>
            <w:shd w:val="clear" w:color="auto" w:fill="7B7B7B"/>
          </w:tcPr>
          <w:p>
            <w:pPr>
              <w:jc w:val="right"/>
              <w:ind w:right="1482"/>
              <w:spacing w:after="0"/>
              <w:rPr>
                <w:sz w:val="20"/>
                <w:szCs w:val="20"/>
                <w:color w:val="auto"/>
              </w:rPr>
            </w:pPr>
            <w:r>
              <w:rPr>
                <w:rFonts w:ascii="Arial" w:cs="Arial" w:eastAsia="Arial" w:hAnsi="Arial"/>
                <w:sz w:val="20"/>
                <w:szCs w:val="20"/>
                <w:b w:val="1"/>
                <w:bCs w:val="1"/>
                <w:color w:val="auto"/>
              </w:rPr>
              <w:t>Currency</w:t>
            </w:r>
          </w:p>
        </w:tc>
        <w:tc>
          <w:tcPr>
            <w:tcW w:w="40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20"/>
                <w:szCs w:val="20"/>
                <w:i w:val="1"/>
                <w:iCs w:val="1"/>
                <w:color w:val="808080"/>
              </w:rPr>
              <w:t>Applicable Currency.</w:t>
            </w:r>
          </w:p>
        </w:tc>
        <w:tc>
          <w:tcPr>
            <w:tcW w:w="780" w:type="dxa"/>
            <w:vAlign w:val="bottom"/>
            <w:tcBorders>
              <w:top w:val="single" w:sz="8" w:color="auto"/>
              <w:bottom w:val="single" w:sz="8" w:color="auto"/>
            </w:tcBorders>
          </w:tcPr>
          <w:p>
            <w:pPr>
              <w:spacing w:after="0"/>
              <w:rPr>
                <w:sz w:val="22"/>
                <w:szCs w:val="22"/>
                <w:color w:val="auto"/>
              </w:rPr>
            </w:pPr>
          </w:p>
        </w:tc>
        <w:tc>
          <w:tcPr>
            <w:tcW w:w="36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520" w:type="dxa"/>
            <w:vAlign w:val="bottom"/>
            <w:tcBorders>
              <w:bottom w:val="single" w:sz="8" w:color="auto"/>
              <w:right w:val="single" w:sz="8" w:color="auto"/>
            </w:tcBorders>
            <w:shd w:val="clear" w:color="auto" w:fill="A8A8A8"/>
          </w:tcPr>
          <w:p>
            <w:pPr>
              <w:jc w:val="right"/>
              <w:spacing w:after="0" w:line="228" w:lineRule="exact"/>
              <w:rPr>
                <w:sz w:val="20"/>
                <w:szCs w:val="20"/>
                <w:color w:val="auto"/>
              </w:rPr>
            </w:pPr>
            <w:r>
              <w:rPr>
                <w:rFonts w:ascii="Arial" w:cs="Arial" w:eastAsia="Arial" w:hAnsi="Arial"/>
                <w:sz w:val="20"/>
                <w:szCs w:val="20"/>
                <w:color w:val="auto"/>
              </w:rPr>
              <w:t>Correspondent Bank</w:t>
            </w:r>
          </w:p>
        </w:tc>
        <w:tc>
          <w:tcPr>
            <w:tcW w:w="4820" w:type="dxa"/>
            <w:vAlign w:val="bottom"/>
            <w:tcBorders>
              <w:bottom w:val="single" w:sz="8" w:color="auto"/>
            </w:tcBorders>
            <w:gridSpan w:val="3"/>
          </w:tcPr>
          <w:p>
            <w:pPr>
              <w:ind w:left="100"/>
              <w:spacing w:after="0" w:line="228" w:lineRule="exact"/>
              <w:rPr>
                <w:sz w:val="20"/>
                <w:szCs w:val="20"/>
                <w:color w:val="auto"/>
              </w:rPr>
            </w:pPr>
            <w:r>
              <w:rPr>
                <w:rFonts w:ascii="Arial" w:cs="Arial" w:eastAsia="Arial" w:hAnsi="Arial"/>
                <w:sz w:val="20"/>
                <w:szCs w:val="20"/>
                <w:i w:val="1"/>
                <w:iCs w:val="1"/>
                <w:color w:val="808080"/>
                <w:w w:val="95"/>
              </w:rPr>
              <w:t xml:space="preserve">Name of </w:t>
            </w:r>
            <w:r>
              <w:rPr>
                <w:rFonts w:ascii="Arial" w:cs="Arial" w:eastAsia="Arial" w:hAnsi="Arial"/>
                <w:sz w:val="20"/>
                <w:szCs w:val="20"/>
                <w:b w:val="1"/>
                <w:bCs w:val="1"/>
                <w:i w:val="1"/>
                <w:iCs w:val="1"/>
                <w:color w:val="808080"/>
                <w:w w:val="95"/>
              </w:rPr>
              <w:t>Receiver’s</w:t>
            </w:r>
            <w:r>
              <w:rPr>
                <w:rFonts w:ascii="Arial" w:cs="Arial" w:eastAsia="Arial" w:hAnsi="Arial"/>
                <w:sz w:val="20"/>
                <w:szCs w:val="20"/>
                <w:i w:val="1"/>
                <w:iCs w:val="1"/>
                <w:color w:val="808080"/>
                <w:w w:val="95"/>
              </w:rPr>
              <w:t xml:space="preserve"> Correspondent Bank (SWIFT 54a)</w:t>
            </w:r>
          </w:p>
        </w:tc>
        <w:tc>
          <w:tcPr>
            <w:tcW w:w="3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520" w:type="dxa"/>
            <w:vAlign w:val="bottom"/>
            <w:tcBorders>
              <w:bottom w:val="single" w:sz="8" w:color="A8A8A8"/>
              <w:right w:val="single" w:sz="8" w:color="auto"/>
            </w:tcBorders>
            <w:shd w:val="clear" w:color="auto" w:fill="D3D3D3"/>
          </w:tcPr>
          <w:p>
            <w:pPr>
              <w:jc w:val="right"/>
              <w:spacing w:after="0" w:line="228" w:lineRule="exact"/>
              <w:rPr>
                <w:sz w:val="20"/>
                <w:szCs w:val="20"/>
                <w:color w:val="auto"/>
              </w:rPr>
            </w:pPr>
            <w:r>
              <w:rPr>
                <w:rFonts w:ascii="Arial" w:cs="Arial" w:eastAsia="Arial" w:hAnsi="Arial"/>
                <w:sz w:val="20"/>
                <w:szCs w:val="20"/>
                <w:color w:val="808080"/>
              </w:rPr>
              <w:t>SWIFT BIC</w:t>
            </w:r>
          </w:p>
        </w:tc>
        <w:tc>
          <w:tcPr>
            <w:tcW w:w="4820" w:type="dxa"/>
            <w:vAlign w:val="bottom"/>
            <w:tcBorders>
              <w:bottom w:val="single" w:sz="8" w:color="auto"/>
            </w:tcBorders>
            <w:gridSpan w:val="3"/>
          </w:tcPr>
          <w:p>
            <w:pPr>
              <w:ind w:left="100"/>
              <w:spacing w:after="0" w:line="228" w:lineRule="exact"/>
              <w:rPr>
                <w:sz w:val="20"/>
                <w:szCs w:val="20"/>
                <w:color w:val="auto"/>
              </w:rPr>
            </w:pPr>
            <w:r>
              <w:rPr>
                <w:rFonts w:ascii="Arial" w:cs="Arial" w:eastAsia="Arial" w:hAnsi="Arial"/>
                <w:sz w:val="20"/>
                <w:szCs w:val="20"/>
                <w:i w:val="1"/>
                <w:iCs w:val="1"/>
                <w:color w:val="808080"/>
              </w:rPr>
              <w:t>8/11-Character SWIFT BIC of Correspondent Bank</w:t>
            </w:r>
          </w:p>
        </w:tc>
        <w:tc>
          <w:tcPr>
            <w:tcW w:w="3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D3D3D3"/>
              <w:right w:val="single" w:sz="8" w:color="auto"/>
            </w:tcBorders>
            <w:shd w:val="clear" w:color="auto" w:fill="A8A8A8"/>
          </w:tcPr>
          <w:p>
            <w:pPr>
              <w:jc w:val="right"/>
              <w:spacing w:after="0" w:line="221" w:lineRule="exact"/>
              <w:rPr>
                <w:sz w:val="20"/>
                <w:szCs w:val="20"/>
                <w:color w:val="auto"/>
              </w:rPr>
            </w:pPr>
            <w:r>
              <w:rPr>
                <w:rFonts w:ascii="Arial" w:cs="Arial" w:eastAsia="Arial" w:hAnsi="Arial"/>
                <w:sz w:val="20"/>
                <w:szCs w:val="20"/>
                <w:color w:val="auto"/>
              </w:rPr>
              <w:t>Intermediary Bank</w:t>
            </w:r>
          </w:p>
        </w:tc>
        <w:tc>
          <w:tcPr>
            <w:tcW w:w="4040" w:type="dxa"/>
            <w:vAlign w:val="bottom"/>
            <w:tcBorders>
              <w:bottom w:val="single" w:sz="8" w:color="auto"/>
            </w:tcBorders>
            <w:gridSpan w:val="2"/>
          </w:tcPr>
          <w:p>
            <w:pPr>
              <w:ind w:left="100"/>
              <w:spacing w:after="0" w:line="221" w:lineRule="exact"/>
              <w:rPr>
                <w:sz w:val="20"/>
                <w:szCs w:val="20"/>
                <w:color w:val="auto"/>
              </w:rPr>
            </w:pPr>
            <w:r>
              <w:rPr>
                <w:rFonts w:ascii="Arial" w:cs="Arial" w:eastAsia="Arial" w:hAnsi="Arial"/>
                <w:sz w:val="20"/>
                <w:szCs w:val="20"/>
                <w:i w:val="1"/>
                <w:iCs w:val="1"/>
                <w:color w:val="808080"/>
              </w:rPr>
              <w:t>Name of Intermediary Bank (SWIFT 56a)</w:t>
            </w:r>
          </w:p>
        </w:tc>
        <w:tc>
          <w:tcPr>
            <w:tcW w:w="7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520" w:type="dxa"/>
            <w:vAlign w:val="bottom"/>
            <w:tcBorders>
              <w:right w:val="single" w:sz="8" w:color="auto"/>
            </w:tcBorders>
            <w:shd w:val="clear" w:color="auto" w:fill="D3D3D3"/>
          </w:tcPr>
          <w:p>
            <w:pPr>
              <w:jc w:val="right"/>
              <w:spacing w:after="0"/>
              <w:rPr>
                <w:sz w:val="20"/>
                <w:szCs w:val="20"/>
                <w:color w:val="auto"/>
              </w:rPr>
            </w:pPr>
            <w:r>
              <w:rPr>
                <w:rFonts w:ascii="Arial" w:cs="Arial" w:eastAsia="Arial" w:hAnsi="Arial"/>
                <w:sz w:val="20"/>
                <w:szCs w:val="20"/>
                <w:color w:val="808080"/>
              </w:rPr>
              <w:t>SWIFT BIC</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808080"/>
              </w:rPr>
              <w:t>8/11-Character SWIFT BIC of Intermediary</w:t>
            </w:r>
          </w:p>
        </w:tc>
        <w:tc>
          <w:tcPr>
            <w:tcW w:w="100" w:type="dxa"/>
            <w:vAlign w:val="bottom"/>
            <w:shd w:val="clear" w:color="auto" w:fill="D3D3D3"/>
          </w:tcPr>
          <w:p>
            <w:pPr>
              <w:spacing w:after="0"/>
              <w:rPr>
                <w:sz w:val="23"/>
                <w:szCs w:val="23"/>
                <w:color w:val="auto"/>
              </w:rPr>
            </w:pPr>
          </w:p>
        </w:tc>
        <w:tc>
          <w:tcPr>
            <w:tcW w:w="780" w:type="dxa"/>
            <w:vAlign w:val="bottom"/>
            <w:tcBorders>
              <w:right w:val="single" w:sz="8" w:color="auto"/>
            </w:tcBorders>
            <w:shd w:val="clear" w:color="auto" w:fill="D3D3D3"/>
          </w:tcPr>
          <w:p>
            <w:pPr>
              <w:ind w:left="20"/>
              <w:spacing w:after="0"/>
              <w:rPr>
                <w:sz w:val="20"/>
                <w:szCs w:val="20"/>
                <w:color w:val="auto"/>
              </w:rPr>
            </w:pPr>
            <w:r>
              <w:rPr>
                <w:rFonts w:ascii="Arial" w:cs="Arial" w:eastAsia="Arial" w:hAnsi="Arial"/>
                <w:sz w:val="20"/>
                <w:szCs w:val="20"/>
                <w:color w:val="auto"/>
              </w:rPr>
              <w:t>ABA #</w:t>
            </w:r>
          </w:p>
        </w:tc>
        <w:tc>
          <w:tcPr>
            <w:tcW w:w="3600" w:type="dxa"/>
            <w:vAlign w:val="bottom"/>
          </w:tcPr>
          <w:p>
            <w:pPr>
              <w:ind w:left="100"/>
              <w:spacing w:after="0"/>
              <w:rPr>
                <w:sz w:val="20"/>
                <w:szCs w:val="20"/>
                <w:color w:val="auto"/>
              </w:rPr>
            </w:pPr>
            <w:r>
              <w:rPr>
                <w:rFonts w:ascii="Arial" w:cs="Arial" w:eastAsia="Arial" w:hAnsi="Arial"/>
                <w:sz w:val="20"/>
                <w:szCs w:val="20"/>
                <w:i w:val="1"/>
                <w:iCs w:val="1"/>
                <w:color w:val="808080"/>
              </w:rPr>
              <w:t>ABA/Routing # or UK Sort Code of</w:t>
            </w:r>
          </w:p>
        </w:tc>
        <w:tc>
          <w:tcPr>
            <w:tcW w:w="0" w:type="dxa"/>
            <w:vAlign w:val="bottom"/>
          </w:tcPr>
          <w:p>
            <w:pPr>
              <w:spacing w:after="0"/>
              <w:rPr>
                <w:sz w:val="1"/>
                <w:szCs w:val="1"/>
                <w:color w:val="auto"/>
              </w:rPr>
            </w:pPr>
          </w:p>
        </w:tc>
      </w:tr>
      <w:tr>
        <w:trPr>
          <w:trHeight w:val="174"/>
        </w:trPr>
        <w:tc>
          <w:tcPr>
            <w:tcW w:w="2520" w:type="dxa"/>
            <w:vAlign w:val="bottom"/>
            <w:tcBorders>
              <w:bottom w:val="single" w:sz="8" w:color="A8A8A8"/>
              <w:right w:val="single" w:sz="8" w:color="auto"/>
            </w:tcBorders>
            <w:shd w:val="clear" w:color="auto" w:fill="D3D3D3"/>
          </w:tcPr>
          <w:p>
            <w:pPr>
              <w:spacing w:after="0"/>
              <w:rPr>
                <w:sz w:val="15"/>
                <w:szCs w:val="15"/>
                <w:color w:val="auto"/>
              </w:rPr>
            </w:pPr>
          </w:p>
        </w:tc>
        <w:tc>
          <w:tcPr>
            <w:tcW w:w="3940" w:type="dxa"/>
            <w:vAlign w:val="bottom"/>
            <w:tcBorders>
              <w:bottom w:val="single" w:sz="8" w:color="auto"/>
              <w:right w:val="single" w:sz="8" w:color="auto"/>
            </w:tcBorders>
          </w:tcPr>
          <w:p>
            <w:pPr>
              <w:ind w:left="100"/>
              <w:spacing w:after="0" w:line="174" w:lineRule="exact"/>
              <w:rPr>
                <w:sz w:val="20"/>
                <w:szCs w:val="20"/>
                <w:color w:val="auto"/>
              </w:rPr>
            </w:pPr>
            <w:r>
              <w:rPr>
                <w:rFonts w:ascii="Arial" w:cs="Arial" w:eastAsia="Arial" w:hAnsi="Arial"/>
                <w:sz w:val="20"/>
                <w:szCs w:val="20"/>
                <w:i w:val="1"/>
                <w:iCs w:val="1"/>
                <w:color w:val="808080"/>
              </w:rPr>
              <w:t>Bank</w:t>
            </w:r>
          </w:p>
        </w:tc>
        <w:tc>
          <w:tcPr>
            <w:tcW w:w="100" w:type="dxa"/>
            <w:vAlign w:val="bottom"/>
            <w:tcBorders>
              <w:bottom w:val="single" w:sz="8" w:color="auto"/>
            </w:tcBorders>
            <w:shd w:val="clear" w:color="auto" w:fill="D3D3D3"/>
          </w:tcPr>
          <w:p>
            <w:pPr>
              <w:spacing w:after="0"/>
              <w:rPr>
                <w:sz w:val="15"/>
                <w:szCs w:val="15"/>
                <w:color w:val="auto"/>
              </w:rPr>
            </w:pPr>
          </w:p>
        </w:tc>
        <w:tc>
          <w:tcPr>
            <w:tcW w:w="780" w:type="dxa"/>
            <w:vAlign w:val="bottom"/>
            <w:tcBorders>
              <w:bottom w:val="single" w:sz="8" w:color="auto"/>
              <w:right w:val="single" w:sz="8" w:color="auto"/>
            </w:tcBorders>
            <w:shd w:val="clear" w:color="auto" w:fill="D3D3D3"/>
          </w:tcPr>
          <w:p>
            <w:pPr>
              <w:spacing w:after="0"/>
              <w:rPr>
                <w:sz w:val="15"/>
                <w:szCs w:val="15"/>
                <w:color w:val="auto"/>
              </w:rPr>
            </w:pPr>
          </w:p>
        </w:tc>
        <w:tc>
          <w:tcPr>
            <w:tcW w:w="3600" w:type="dxa"/>
            <w:vAlign w:val="bottom"/>
            <w:tcBorders>
              <w:bottom w:val="single" w:sz="8" w:color="auto"/>
            </w:tcBorders>
          </w:tcPr>
          <w:p>
            <w:pPr>
              <w:ind w:left="100"/>
              <w:spacing w:after="0" w:line="174" w:lineRule="exact"/>
              <w:rPr>
                <w:sz w:val="20"/>
                <w:szCs w:val="20"/>
                <w:color w:val="auto"/>
              </w:rPr>
            </w:pPr>
            <w:r>
              <w:rPr>
                <w:rFonts w:ascii="Arial" w:cs="Arial" w:eastAsia="Arial" w:hAnsi="Arial"/>
                <w:sz w:val="20"/>
                <w:szCs w:val="20"/>
                <w:i w:val="1"/>
                <w:iCs w:val="1"/>
                <w:color w:val="808080"/>
              </w:rPr>
              <w:t>Intermediary Bank (optional)</w:t>
            </w:r>
          </w:p>
        </w:tc>
        <w:tc>
          <w:tcPr>
            <w:tcW w:w="0" w:type="dxa"/>
            <w:vAlign w:val="bottom"/>
          </w:tcPr>
          <w:p>
            <w:pPr>
              <w:spacing w:after="0"/>
              <w:rPr>
                <w:sz w:val="1"/>
                <w:szCs w:val="1"/>
                <w:color w:val="auto"/>
              </w:rPr>
            </w:pPr>
          </w:p>
        </w:tc>
      </w:tr>
      <w:tr>
        <w:trPr>
          <w:trHeight w:val="191"/>
        </w:trPr>
        <w:tc>
          <w:tcPr>
            <w:tcW w:w="2520" w:type="dxa"/>
            <w:vAlign w:val="bottom"/>
            <w:tcBorders>
              <w:right w:val="single" w:sz="8" w:color="auto"/>
            </w:tcBorders>
            <w:shd w:val="clear" w:color="auto" w:fill="A8A8A8"/>
          </w:tcPr>
          <w:p>
            <w:pPr>
              <w:jc w:val="right"/>
              <w:spacing w:after="0" w:line="191" w:lineRule="exact"/>
              <w:rPr>
                <w:sz w:val="20"/>
                <w:szCs w:val="20"/>
                <w:color w:val="auto"/>
              </w:rPr>
            </w:pPr>
            <w:r>
              <w:rPr>
                <w:rFonts w:ascii="Arial" w:cs="Arial" w:eastAsia="Arial" w:hAnsi="Arial"/>
                <w:sz w:val="20"/>
                <w:szCs w:val="20"/>
                <w:color w:val="auto"/>
              </w:rPr>
              <w:t>Account With</w:t>
            </w:r>
          </w:p>
        </w:tc>
        <w:tc>
          <w:tcPr>
            <w:tcW w:w="8420" w:type="dxa"/>
            <w:vAlign w:val="bottom"/>
            <w:gridSpan w:val="4"/>
            <w:vMerge w:val="restart"/>
          </w:tcPr>
          <w:p>
            <w:pPr>
              <w:ind w:left="100"/>
              <w:spacing w:after="0"/>
              <w:rPr>
                <w:sz w:val="20"/>
                <w:szCs w:val="20"/>
                <w:color w:val="auto"/>
              </w:rPr>
            </w:pPr>
            <w:r>
              <w:rPr>
                <w:rFonts w:ascii="Arial" w:cs="Arial" w:eastAsia="Arial" w:hAnsi="Arial"/>
                <w:sz w:val="20"/>
                <w:szCs w:val="20"/>
                <w:i w:val="1"/>
                <w:iCs w:val="1"/>
                <w:color w:val="808080"/>
              </w:rPr>
              <w:t>Name of Beneficiary’s Bank – usually custodian (SWIFT 57a)</w:t>
            </w:r>
          </w:p>
        </w:tc>
        <w:tc>
          <w:tcPr>
            <w:tcW w:w="0" w:type="dxa"/>
            <w:vAlign w:val="bottom"/>
          </w:tcPr>
          <w:p>
            <w:pPr>
              <w:spacing w:after="0"/>
              <w:rPr>
                <w:sz w:val="1"/>
                <w:szCs w:val="1"/>
                <w:color w:val="auto"/>
              </w:rPr>
            </w:pPr>
          </w:p>
        </w:tc>
      </w:tr>
      <w:tr>
        <w:trPr>
          <w:trHeight w:val="253"/>
        </w:trPr>
        <w:tc>
          <w:tcPr>
            <w:tcW w:w="2520" w:type="dxa"/>
            <w:vAlign w:val="bottom"/>
            <w:tcBorders>
              <w:bottom w:val="single" w:sz="8" w:color="auto"/>
              <w:right w:val="single" w:sz="8" w:color="auto"/>
            </w:tcBorders>
            <w:shd w:val="clear" w:color="auto" w:fill="A8A8A8"/>
          </w:tcPr>
          <w:p>
            <w:pPr>
              <w:jc w:val="right"/>
              <w:spacing w:after="0"/>
              <w:rPr>
                <w:sz w:val="20"/>
                <w:szCs w:val="20"/>
                <w:color w:val="auto"/>
              </w:rPr>
            </w:pPr>
            <w:r>
              <w:rPr>
                <w:rFonts w:ascii="Arial" w:cs="Arial" w:eastAsia="Arial" w:hAnsi="Arial"/>
                <w:sz w:val="20"/>
                <w:szCs w:val="20"/>
                <w:color w:val="auto"/>
              </w:rPr>
              <w:t>Institution</w:t>
            </w:r>
          </w:p>
        </w:tc>
        <w:tc>
          <w:tcPr>
            <w:tcW w:w="8420" w:type="dxa"/>
            <w:vAlign w:val="bottom"/>
            <w:tcBorders>
              <w:bottom w:val="single" w:sz="8" w:color="auto"/>
            </w:tcBorders>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520" w:type="dxa"/>
            <w:vAlign w:val="bottom"/>
            <w:tcBorders>
              <w:right w:val="single" w:sz="8" w:color="auto"/>
            </w:tcBorders>
            <w:shd w:val="clear" w:color="auto" w:fill="D3D3D3"/>
          </w:tcPr>
          <w:p>
            <w:pPr>
              <w:jc w:val="right"/>
              <w:spacing w:after="0"/>
              <w:rPr>
                <w:sz w:val="20"/>
                <w:szCs w:val="20"/>
                <w:color w:val="auto"/>
              </w:rPr>
            </w:pPr>
            <w:r>
              <w:rPr>
                <w:rFonts w:ascii="Arial" w:cs="Arial" w:eastAsia="Arial" w:hAnsi="Arial"/>
                <w:sz w:val="20"/>
                <w:szCs w:val="20"/>
                <w:color w:val="808080"/>
              </w:rPr>
              <w:t>SWIFT BIC</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808080"/>
                <w:w w:val="99"/>
              </w:rPr>
              <w:t>8/11-Character SWIFT BIC of Beneficiary’s</w:t>
            </w:r>
          </w:p>
        </w:tc>
        <w:tc>
          <w:tcPr>
            <w:tcW w:w="100" w:type="dxa"/>
            <w:vAlign w:val="bottom"/>
            <w:shd w:val="clear" w:color="auto" w:fill="D3D3D3"/>
          </w:tcPr>
          <w:p>
            <w:pPr>
              <w:spacing w:after="0"/>
              <w:rPr>
                <w:sz w:val="24"/>
                <w:szCs w:val="24"/>
                <w:color w:val="auto"/>
              </w:rPr>
            </w:pPr>
          </w:p>
        </w:tc>
        <w:tc>
          <w:tcPr>
            <w:tcW w:w="780" w:type="dxa"/>
            <w:vAlign w:val="bottom"/>
            <w:tcBorders>
              <w:right w:val="single" w:sz="8" w:color="auto"/>
            </w:tcBorders>
            <w:shd w:val="clear" w:color="auto" w:fill="D3D3D3"/>
          </w:tcPr>
          <w:p>
            <w:pPr>
              <w:ind w:left="40"/>
              <w:spacing w:after="0"/>
              <w:rPr>
                <w:sz w:val="20"/>
                <w:szCs w:val="20"/>
                <w:color w:val="auto"/>
              </w:rPr>
            </w:pPr>
            <w:r>
              <w:rPr>
                <w:rFonts w:ascii="Arial" w:cs="Arial" w:eastAsia="Arial" w:hAnsi="Arial"/>
                <w:sz w:val="20"/>
                <w:szCs w:val="20"/>
                <w:color w:val="auto"/>
              </w:rPr>
              <w:t>IBAN</w:t>
            </w:r>
          </w:p>
        </w:tc>
        <w:tc>
          <w:tcPr>
            <w:tcW w:w="3600" w:type="dxa"/>
            <w:vAlign w:val="bottom"/>
          </w:tcPr>
          <w:p>
            <w:pPr>
              <w:ind w:left="100"/>
              <w:spacing w:after="0"/>
              <w:rPr>
                <w:sz w:val="20"/>
                <w:szCs w:val="20"/>
                <w:color w:val="auto"/>
              </w:rPr>
            </w:pPr>
            <w:r>
              <w:rPr>
                <w:rFonts w:ascii="Arial" w:cs="Arial" w:eastAsia="Arial" w:hAnsi="Arial"/>
                <w:sz w:val="20"/>
                <w:szCs w:val="20"/>
                <w:i w:val="1"/>
                <w:iCs w:val="1"/>
                <w:color w:val="808080"/>
                <w:w w:val="92"/>
              </w:rPr>
              <w:t>IBAN of Beneficiary’s Bank at Intermediary</w:t>
            </w:r>
          </w:p>
        </w:tc>
        <w:tc>
          <w:tcPr>
            <w:tcW w:w="0" w:type="dxa"/>
            <w:vAlign w:val="bottom"/>
          </w:tcPr>
          <w:p>
            <w:pPr>
              <w:spacing w:after="0"/>
              <w:rPr>
                <w:sz w:val="1"/>
                <w:szCs w:val="1"/>
                <w:color w:val="auto"/>
              </w:rPr>
            </w:pPr>
          </w:p>
        </w:tc>
      </w:tr>
      <w:tr>
        <w:trPr>
          <w:trHeight w:val="174"/>
        </w:trPr>
        <w:tc>
          <w:tcPr>
            <w:tcW w:w="2520" w:type="dxa"/>
            <w:vAlign w:val="bottom"/>
            <w:tcBorders>
              <w:bottom w:val="single" w:sz="8" w:color="A8A8A8"/>
              <w:right w:val="single" w:sz="8" w:color="auto"/>
            </w:tcBorders>
            <w:shd w:val="clear" w:color="auto" w:fill="D3D3D3"/>
          </w:tcPr>
          <w:p>
            <w:pPr>
              <w:spacing w:after="0"/>
              <w:rPr>
                <w:sz w:val="15"/>
                <w:szCs w:val="15"/>
                <w:color w:val="auto"/>
              </w:rPr>
            </w:pPr>
          </w:p>
        </w:tc>
        <w:tc>
          <w:tcPr>
            <w:tcW w:w="3940" w:type="dxa"/>
            <w:vAlign w:val="bottom"/>
            <w:tcBorders>
              <w:bottom w:val="single" w:sz="8" w:color="auto"/>
              <w:right w:val="single" w:sz="8" w:color="auto"/>
            </w:tcBorders>
          </w:tcPr>
          <w:p>
            <w:pPr>
              <w:ind w:left="100"/>
              <w:spacing w:after="0" w:line="174" w:lineRule="exact"/>
              <w:rPr>
                <w:sz w:val="20"/>
                <w:szCs w:val="20"/>
                <w:color w:val="auto"/>
              </w:rPr>
            </w:pPr>
            <w:r>
              <w:rPr>
                <w:rFonts w:ascii="Arial" w:cs="Arial" w:eastAsia="Arial" w:hAnsi="Arial"/>
                <w:sz w:val="20"/>
                <w:szCs w:val="20"/>
                <w:i w:val="1"/>
                <w:iCs w:val="1"/>
                <w:color w:val="808080"/>
              </w:rPr>
              <w:t>Bank</w:t>
            </w:r>
          </w:p>
        </w:tc>
        <w:tc>
          <w:tcPr>
            <w:tcW w:w="100" w:type="dxa"/>
            <w:vAlign w:val="bottom"/>
            <w:tcBorders>
              <w:bottom w:val="single" w:sz="8" w:color="auto"/>
            </w:tcBorders>
            <w:shd w:val="clear" w:color="auto" w:fill="D3D3D3"/>
          </w:tcPr>
          <w:p>
            <w:pPr>
              <w:spacing w:after="0"/>
              <w:rPr>
                <w:sz w:val="15"/>
                <w:szCs w:val="15"/>
                <w:color w:val="auto"/>
              </w:rPr>
            </w:pPr>
          </w:p>
        </w:tc>
        <w:tc>
          <w:tcPr>
            <w:tcW w:w="780" w:type="dxa"/>
            <w:vAlign w:val="bottom"/>
            <w:tcBorders>
              <w:bottom w:val="single" w:sz="8" w:color="auto"/>
              <w:right w:val="single" w:sz="8" w:color="auto"/>
            </w:tcBorders>
            <w:shd w:val="clear" w:color="auto" w:fill="D3D3D3"/>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D3D3D3"/>
              <w:right w:val="single" w:sz="8" w:color="auto"/>
            </w:tcBorders>
            <w:shd w:val="clear" w:color="auto" w:fill="A8A8A8"/>
          </w:tcPr>
          <w:p>
            <w:pPr>
              <w:jc w:val="right"/>
              <w:spacing w:after="0" w:line="221" w:lineRule="exact"/>
              <w:rPr>
                <w:sz w:val="20"/>
                <w:szCs w:val="20"/>
                <w:color w:val="auto"/>
              </w:rPr>
            </w:pPr>
            <w:r>
              <w:rPr>
                <w:rFonts w:ascii="Arial" w:cs="Arial" w:eastAsia="Arial" w:hAnsi="Arial"/>
                <w:sz w:val="20"/>
                <w:szCs w:val="20"/>
                <w:color w:val="auto"/>
              </w:rPr>
              <w:t>Beneficiary Customer</w:t>
            </w:r>
          </w:p>
        </w:tc>
        <w:tc>
          <w:tcPr>
            <w:tcW w:w="3940" w:type="dxa"/>
            <w:vAlign w:val="bottom"/>
            <w:tcBorders>
              <w:bottom w:val="single" w:sz="8" w:color="auto"/>
            </w:tcBorders>
          </w:tcPr>
          <w:p>
            <w:pPr>
              <w:ind w:left="100"/>
              <w:spacing w:after="0" w:line="221" w:lineRule="exact"/>
              <w:rPr>
                <w:sz w:val="20"/>
                <w:szCs w:val="20"/>
                <w:color w:val="auto"/>
              </w:rPr>
            </w:pPr>
            <w:r>
              <w:rPr>
                <w:rFonts w:ascii="Arial" w:cs="Arial" w:eastAsia="Arial" w:hAnsi="Arial"/>
                <w:sz w:val="20"/>
                <w:szCs w:val="20"/>
                <w:i w:val="1"/>
                <w:iCs w:val="1"/>
                <w:color w:val="808080"/>
                <w:w w:val="91"/>
              </w:rPr>
              <w:t>Name of Ultimate Beneficiary (Lender) (SWIFT</w:t>
            </w:r>
          </w:p>
        </w:tc>
        <w:tc>
          <w:tcPr>
            <w:tcW w:w="880" w:type="dxa"/>
            <w:vAlign w:val="bottom"/>
            <w:tcBorders>
              <w:bottom w:val="single" w:sz="8" w:color="auto"/>
            </w:tcBorders>
            <w:gridSpan w:val="2"/>
          </w:tcPr>
          <w:p>
            <w:pPr>
              <w:spacing w:after="0" w:line="221" w:lineRule="exact"/>
              <w:rPr>
                <w:sz w:val="20"/>
                <w:szCs w:val="20"/>
                <w:color w:val="auto"/>
              </w:rPr>
            </w:pPr>
            <w:r>
              <w:rPr>
                <w:rFonts w:ascii="Arial" w:cs="Arial" w:eastAsia="Arial" w:hAnsi="Arial"/>
                <w:sz w:val="20"/>
                <w:szCs w:val="20"/>
                <w:i w:val="1"/>
                <w:iCs w:val="1"/>
                <w:color w:val="808080"/>
              </w:rPr>
              <w:t>59a)</w:t>
            </w:r>
          </w:p>
        </w:tc>
        <w:tc>
          <w:tcPr>
            <w:tcW w:w="3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20" w:type="dxa"/>
            <w:vAlign w:val="bottom"/>
            <w:tcBorders>
              <w:bottom w:val="single" w:sz="8" w:color="7B7B7B"/>
              <w:right w:val="single" w:sz="8" w:color="auto"/>
            </w:tcBorders>
            <w:shd w:val="clear" w:color="auto" w:fill="D3D3D3"/>
          </w:tcPr>
          <w:p>
            <w:pPr>
              <w:jc w:val="right"/>
              <w:spacing w:after="0" w:line="221" w:lineRule="exact"/>
              <w:rPr>
                <w:sz w:val="20"/>
                <w:szCs w:val="20"/>
                <w:color w:val="auto"/>
              </w:rPr>
            </w:pPr>
            <w:r>
              <w:rPr>
                <w:rFonts w:ascii="Arial" w:cs="Arial" w:eastAsia="Arial" w:hAnsi="Arial"/>
                <w:sz w:val="20"/>
                <w:szCs w:val="20"/>
                <w:color w:val="auto"/>
              </w:rPr>
              <w:t>Beneficiary Account #</w:t>
            </w:r>
          </w:p>
        </w:tc>
        <w:tc>
          <w:tcPr>
            <w:tcW w:w="4040" w:type="dxa"/>
            <w:vAlign w:val="bottom"/>
            <w:tcBorders>
              <w:bottom w:val="single" w:sz="8" w:color="auto"/>
            </w:tcBorders>
            <w:gridSpan w:val="2"/>
          </w:tcPr>
          <w:p>
            <w:pPr>
              <w:ind w:left="100"/>
              <w:spacing w:after="0" w:line="221" w:lineRule="exact"/>
              <w:rPr>
                <w:sz w:val="20"/>
                <w:szCs w:val="20"/>
                <w:color w:val="auto"/>
              </w:rPr>
            </w:pPr>
            <w:r>
              <w:rPr>
                <w:rFonts w:ascii="Arial" w:cs="Arial" w:eastAsia="Arial" w:hAnsi="Arial"/>
                <w:sz w:val="20"/>
                <w:szCs w:val="20"/>
                <w:i w:val="1"/>
                <w:iCs w:val="1"/>
                <w:color w:val="808080"/>
              </w:rPr>
              <w:t>Account #/Code of Ult. Beneficiary</w:t>
            </w:r>
          </w:p>
        </w:tc>
        <w:tc>
          <w:tcPr>
            <w:tcW w:w="7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520" w:type="dxa"/>
            <w:vAlign w:val="bottom"/>
            <w:tcBorders>
              <w:right w:val="single" w:sz="8" w:color="auto"/>
            </w:tcBorders>
            <w:vMerge w:val="restart"/>
            <w:shd w:val="clear" w:color="auto" w:fill="7B7B7B"/>
          </w:tcPr>
          <w:p>
            <w:pPr>
              <w:jc w:val="right"/>
              <w:spacing w:after="0"/>
              <w:rPr>
                <w:sz w:val="20"/>
                <w:szCs w:val="20"/>
                <w:color w:val="auto"/>
              </w:rPr>
            </w:pPr>
            <w:r>
              <w:rPr>
                <w:rFonts w:ascii="Arial" w:cs="Arial" w:eastAsia="Arial" w:hAnsi="Arial"/>
                <w:sz w:val="20"/>
                <w:szCs w:val="20"/>
                <w:color w:val="auto"/>
              </w:rPr>
              <w:t>Payment Reference</w:t>
            </w:r>
          </w:p>
        </w:tc>
        <w:tc>
          <w:tcPr>
            <w:tcW w:w="4040" w:type="dxa"/>
            <w:vAlign w:val="bottom"/>
            <w:gridSpan w:val="2"/>
          </w:tcPr>
          <w:p>
            <w:pPr>
              <w:ind w:left="100"/>
              <w:spacing w:after="0" w:line="205" w:lineRule="exact"/>
              <w:rPr>
                <w:sz w:val="20"/>
                <w:szCs w:val="20"/>
                <w:color w:val="auto"/>
              </w:rPr>
            </w:pPr>
            <w:r>
              <w:rPr>
                <w:rFonts w:ascii="Arial" w:cs="Arial" w:eastAsia="Arial" w:hAnsi="Arial"/>
                <w:sz w:val="20"/>
                <w:szCs w:val="20"/>
                <w:b w:val="1"/>
                <w:bCs w:val="1"/>
                <w:i w:val="1"/>
                <w:iCs w:val="1"/>
                <w:color w:val="auto"/>
              </w:rPr>
              <w:t>Use Standard Wire Reference Format*:</w:t>
            </w:r>
          </w:p>
        </w:tc>
        <w:tc>
          <w:tcPr>
            <w:tcW w:w="7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20" w:type="dxa"/>
            <w:vAlign w:val="bottom"/>
            <w:tcBorders>
              <w:right w:val="single" w:sz="8" w:color="auto"/>
            </w:tcBorders>
            <w:vMerge w:val="continue"/>
            <w:shd w:val="clear" w:color="auto" w:fill="7B7B7B"/>
          </w:tcPr>
          <w:p>
            <w:pPr>
              <w:spacing w:after="0"/>
              <w:rPr>
                <w:sz w:val="18"/>
                <w:szCs w:val="18"/>
                <w:color w:val="auto"/>
              </w:rPr>
            </w:pPr>
          </w:p>
        </w:tc>
        <w:tc>
          <w:tcPr>
            <w:tcW w:w="4040" w:type="dxa"/>
            <w:vAlign w:val="bottom"/>
            <w:gridSpan w:val="2"/>
          </w:tcPr>
          <w:p>
            <w:pPr>
              <w:ind w:left="100"/>
              <w:spacing w:after="0" w:line="214" w:lineRule="exact"/>
              <w:rPr>
                <w:sz w:val="20"/>
                <w:szCs w:val="20"/>
                <w:color w:val="auto"/>
              </w:rPr>
            </w:pPr>
            <w:r>
              <w:rPr>
                <w:rFonts w:ascii="Arial" w:cs="Arial" w:eastAsia="Arial" w:hAnsi="Arial"/>
                <w:sz w:val="20"/>
                <w:szCs w:val="20"/>
                <w:color w:val="auto"/>
              </w:rPr>
              <w:t>[Borrower Name]</w:t>
            </w:r>
          </w:p>
        </w:tc>
        <w:tc>
          <w:tcPr>
            <w:tcW w:w="7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20" w:type="dxa"/>
            <w:vAlign w:val="bottom"/>
            <w:tcBorders>
              <w:right w:val="single" w:sz="8" w:color="auto"/>
            </w:tcBorders>
            <w:shd w:val="clear" w:color="auto" w:fill="7B7B7B"/>
          </w:tcPr>
          <w:p>
            <w:pPr>
              <w:jc w:val="right"/>
              <w:spacing w:after="0"/>
              <w:rPr>
                <w:sz w:val="20"/>
                <w:szCs w:val="20"/>
                <w:color w:val="auto"/>
              </w:rPr>
            </w:pPr>
            <w:r>
              <w:rPr>
                <w:rFonts w:ascii="Arial" w:cs="Arial" w:eastAsia="Arial" w:hAnsi="Arial"/>
                <w:sz w:val="20"/>
                <w:szCs w:val="20"/>
                <w:color w:val="auto"/>
              </w:rPr>
              <w:t>(Remittance Info)</w:t>
            </w:r>
          </w:p>
        </w:tc>
        <w:tc>
          <w:tcPr>
            <w:tcW w:w="4820" w:type="dxa"/>
            <w:vAlign w:val="bottom"/>
            <w:gridSpan w:val="3"/>
          </w:tcPr>
          <w:p>
            <w:pPr>
              <w:ind w:left="100"/>
              <w:spacing w:after="0"/>
              <w:rPr>
                <w:sz w:val="20"/>
                <w:szCs w:val="20"/>
                <w:color w:val="auto"/>
              </w:rPr>
            </w:pPr>
            <w:r>
              <w:rPr>
                <w:rFonts w:ascii="Arial" w:cs="Arial" w:eastAsia="Arial" w:hAnsi="Arial"/>
                <w:sz w:val="20"/>
                <w:szCs w:val="20"/>
                <w:color w:val="auto"/>
              </w:rPr>
              <w:t>[Facility Name/Abbr.] [Facility/Deal CUSIP/ISIN]</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520" w:type="dxa"/>
            <w:vAlign w:val="bottom"/>
            <w:tcBorders>
              <w:bottom w:val="single" w:sz="8" w:color="auto"/>
              <w:right w:val="single" w:sz="8" w:color="auto"/>
            </w:tcBorders>
            <w:shd w:val="clear" w:color="auto" w:fill="7B7B7B"/>
          </w:tcPr>
          <w:p>
            <w:pPr>
              <w:spacing w:after="0"/>
              <w:rPr>
                <w:sz w:val="22"/>
                <w:szCs w:val="22"/>
                <w:color w:val="auto"/>
              </w:rPr>
            </w:pPr>
          </w:p>
        </w:tc>
        <w:tc>
          <w:tcPr>
            <w:tcW w:w="4040" w:type="dxa"/>
            <w:vAlign w:val="bottom"/>
            <w:tcBorders>
              <w:bottom w:val="single" w:sz="8" w:color="auto"/>
            </w:tcBorders>
            <w:gridSpan w:val="2"/>
          </w:tcPr>
          <w:p>
            <w:pPr>
              <w:ind w:left="100"/>
              <w:spacing w:after="0"/>
              <w:rPr>
                <w:sz w:val="20"/>
                <w:szCs w:val="20"/>
                <w:color w:val="auto"/>
              </w:rPr>
            </w:pPr>
            <w:r>
              <w:rPr>
                <w:rFonts w:ascii="Arial" w:cs="Arial" w:eastAsia="Arial" w:hAnsi="Arial"/>
                <w:sz w:val="20"/>
                <w:szCs w:val="20"/>
                <w:color w:val="auto"/>
                <w:w w:val="89"/>
              </w:rPr>
              <w:t>[Payment Purpose(s)] [Transaction Reference ID]</w:t>
            </w:r>
          </w:p>
        </w:tc>
        <w:tc>
          <w:tcPr>
            <w:tcW w:w="7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auto"/>
              <w:right w:val="single" w:sz="8" w:color="auto"/>
            </w:tcBorders>
            <w:shd w:val="clear" w:color="auto" w:fill="D3D3D3"/>
          </w:tcPr>
          <w:p>
            <w:pPr>
              <w:jc w:val="right"/>
              <w:spacing w:after="0" w:line="223" w:lineRule="exact"/>
              <w:rPr>
                <w:sz w:val="20"/>
                <w:szCs w:val="20"/>
                <w:color w:val="auto"/>
              </w:rPr>
            </w:pPr>
            <w:r>
              <w:rPr>
                <w:rFonts w:ascii="Arial" w:cs="Arial" w:eastAsia="Arial" w:hAnsi="Arial"/>
                <w:sz w:val="20"/>
                <w:szCs w:val="20"/>
                <w:color w:val="auto"/>
              </w:rPr>
              <w:t>Special Instructions</w:t>
            </w:r>
          </w:p>
        </w:tc>
        <w:tc>
          <w:tcPr>
            <w:tcW w:w="3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6560" w:type="dxa"/>
            <w:vAlign w:val="bottom"/>
            <w:gridSpan w:val="3"/>
          </w:tcPr>
          <w:p>
            <w:pPr>
              <w:spacing w:after="0"/>
              <w:rPr>
                <w:sz w:val="20"/>
                <w:szCs w:val="20"/>
                <w:color w:val="auto"/>
              </w:rPr>
            </w:pPr>
            <w:r>
              <w:rPr>
                <w:rFonts w:ascii="Arial" w:cs="Arial" w:eastAsia="Arial" w:hAnsi="Arial"/>
                <w:sz w:val="20"/>
                <w:szCs w:val="20"/>
                <w:b w:val="1"/>
                <w:bCs w:val="1"/>
                <w:color w:val="auto"/>
              </w:rPr>
              <w:t>Lender’s Payment Instructions:</w:t>
            </w:r>
          </w:p>
        </w:tc>
        <w:tc>
          <w:tcPr>
            <w:tcW w:w="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 xml:space="preserve">Please input payment instructions for each respective currency referenced in </w:t>
      </w:r>
      <w:r>
        <w:rPr>
          <w:rFonts w:ascii="Arial" w:cs="Arial" w:eastAsia="Arial" w:hAnsi="Arial"/>
          <w:sz w:val="20"/>
          <w:szCs w:val="20"/>
          <w:b w:val="1"/>
          <w:bCs w:val="1"/>
          <w:color w:val="auto"/>
        </w:rPr>
        <w:t>CURRENCIES AND JURISDICTIONS FOR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MULTICURRENCY TRANSACTIONS INFORMATION </w:t>
      </w:r>
      <w:r>
        <w:rPr>
          <w:rFonts w:ascii="Arial" w:cs="Arial" w:eastAsia="Arial" w:hAnsi="Arial"/>
          <w:sz w:val="20"/>
          <w:szCs w:val="20"/>
          <w:color w:val="auto"/>
        </w:rPr>
        <w:t>section above. If your respective institution is unable to fund any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currencies noted, please notify Administrative Agent immediately.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Bank of America’s Payment Instructions: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USD Payment Instructions: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Pay to: Bank of America, N.A.</w:t>
      </w:r>
    </w:p>
    <w:p>
      <w:pPr>
        <w:spacing w:after="0" w:line="11"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ABA # 026009593</w:t>
      </w:r>
    </w:p>
    <w:p>
      <w:pPr>
        <w:ind w:left="1680"/>
        <w:spacing w:after="0" w:line="237" w:lineRule="auto"/>
        <w:rPr>
          <w:sz w:val="20"/>
          <w:szCs w:val="20"/>
          <w:color w:val="auto"/>
        </w:rPr>
      </w:pPr>
      <w:r>
        <w:rPr>
          <w:rFonts w:ascii="Arial" w:cs="Arial" w:eastAsia="Arial" w:hAnsi="Arial"/>
          <w:sz w:val="20"/>
          <w:szCs w:val="20"/>
          <w:color w:val="auto"/>
        </w:rPr>
        <w:t>New York, NY</w:t>
      </w:r>
    </w:p>
    <w:p>
      <w:pPr>
        <w:ind w:left="1680"/>
        <w:spacing w:after="0" w:line="238" w:lineRule="auto"/>
        <w:rPr>
          <w:sz w:val="20"/>
          <w:szCs w:val="20"/>
          <w:color w:val="auto"/>
        </w:rPr>
      </w:pPr>
      <w:r>
        <w:rPr>
          <w:rFonts w:ascii="Arial" w:cs="Arial" w:eastAsia="Arial" w:hAnsi="Arial"/>
          <w:sz w:val="20"/>
          <w:szCs w:val="20"/>
          <w:color w:val="auto"/>
        </w:rPr>
        <w:t>Account #: 1366072250600</w:t>
      </w:r>
    </w:p>
    <w:p>
      <w:pPr>
        <w:ind w:left="1680"/>
        <w:spacing w:after="0" w:line="237" w:lineRule="auto"/>
        <w:rPr>
          <w:sz w:val="20"/>
          <w:szCs w:val="20"/>
          <w:color w:val="auto"/>
        </w:rPr>
      </w:pPr>
      <w:r>
        <w:rPr>
          <w:rFonts w:ascii="Arial" w:cs="Arial" w:eastAsia="Arial" w:hAnsi="Arial"/>
          <w:sz w:val="20"/>
          <w:szCs w:val="20"/>
          <w:color w:val="auto"/>
        </w:rPr>
        <w:t>Attn: Wire Clearing Acct for Syn Loans - LIQ</w:t>
      </w:r>
    </w:p>
    <w:p>
      <w:pPr>
        <w:spacing w:after="0" w:line="1" w:lineRule="exact"/>
        <w:rPr>
          <w:sz w:val="20"/>
          <w:szCs w:val="20"/>
          <w:color w:val="auto"/>
        </w:rPr>
      </w:pPr>
    </w:p>
    <w:p>
      <w:pPr>
        <w:ind w:left="1780"/>
        <w:spacing w:after="0"/>
        <w:rPr>
          <w:sz w:val="20"/>
          <w:szCs w:val="20"/>
          <w:color w:val="auto"/>
        </w:rPr>
      </w:pPr>
      <w:r>
        <w:rPr>
          <w:rFonts w:ascii="Arial" w:cs="Arial" w:eastAsia="Arial" w:hAnsi="Arial"/>
          <w:sz w:val="20"/>
          <w:szCs w:val="20"/>
          <w:color w:val="auto"/>
        </w:rPr>
        <w:t xml:space="preserve">Ref: </w:t>
      </w:r>
      <w:r>
        <w:rPr>
          <w:rFonts w:ascii="Arial" w:cs="Arial" w:eastAsia="Arial" w:hAnsi="Arial"/>
          <w:sz w:val="20"/>
          <w:szCs w:val="20"/>
          <w:b w:val="1"/>
          <w:bCs w:val="1"/>
          <w:color w:val="auto"/>
        </w:rPr>
        <w:t>Republic Services, Inc.</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Foreign Currency Payment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24280" cy="688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24280" cy="688975"/>
                    </a:xfrm>
                    <a:prstGeom prst="rect">
                      <a:avLst/>
                    </a:prstGeom>
                    <a:noFill/>
                  </pic:spPr>
                </pic:pic>
              </a:graphicData>
            </a:graphic>
          </wp:anchor>
        </w:drawing>
      </w:r>
    </w:p>
    <w:p>
      <w:pPr>
        <w:sectPr>
          <w:pgSz w:w="11900" w:h="16838" w:orient="portrait"/>
          <w:cols w:equalWidth="0" w:num="1">
            <w:col w:w="10940"/>
          </w:cols>
          <w:pgMar w:left="480" w:top="264" w:right="47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Appendix B: Lender’s Organizational Structure and Tax Status: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Please refer to the enclosed withholding tax instructions below and then complete this section accordingly.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Lender Taxpayer Identification Number (TIN):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Tax Withholding Form Delivered to Bank of America (circle applicable one):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00" w:type="dxa"/>
            <w:vAlign w:val="bottom"/>
          </w:tcPr>
          <w:p>
            <w:pPr>
              <w:spacing w:after="0"/>
              <w:rPr>
                <w:sz w:val="20"/>
                <w:szCs w:val="20"/>
                <w:color w:val="auto"/>
              </w:rPr>
            </w:pPr>
            <w:r>
              <w:rPr>
                <w:rFonts w:ascii="Arial" w:cs="Arial" w:eastAsia="Arial" w:hAnsi="Arial"/>
                <w:sz w:val="20"/>
                <w:szCs w:val="20"/>
                <w:color w:val="auto"/>
              </w:rPr>
              <w:t>W-9</w:t>
            </w:r>
          </w:p>
        </w:tc>
        <w:tc>
          <w:tcPr>
            <w:tcW w:w="1300" w:type="dxa"/>
            <w:vAlign w:val="bottom"/>
            <w:gridSpan w:val="2"/>
          </w:tcPr>
          <w:p>
            <w:pPr>
              <w:ind w:left="20"/>
              <w:spacing w:after="0"/>
              <w:rPr>
                <w:sz w:val="20"/>
                <w:szCs w:val="20"/>
                <w:color w:val="auto"/>
              </w:rPr>
            </w:pPr>
            <w:r>
              <w:rPr>
                <w:rFonts w:ascii="Arial" w:cs="Arial" w:eastAsia="Arial" w:hAnsi="Arial"/>
                <w:sz w:val="20"/>
                <w:szCs w:val="20"/>
                <w:color w:val="auto"/>
              </w:rPr>
              <w:t>W-8BEN</w:t>
            </w:r>
          </w:p>
        </w:tc>
        <w:tc>
          <w:tcPr>
            <w:tcW w:w="1200" w:type="dxa"/>
            <w:vAlign w:val="bottom"/>
          </w:tcPr>
          <w:p>
            <w:pPr>
              <w:ind w:left="80"/>
              <w:spacing w:after="0"/>
              <w:rPr>
                <w:sz w:val="20"/>
                <w:szCs w:val="20"/>
                <w:color w:val="auto"/>
              </w:rPr>
            </w:pPr>
            <w:r>
              <w:rPr>
                <w:rFonts w:ascii="Arial" w:cs="Arial" w:eastAsia="Arial" w:hAnsi="Arial"/>
                <w:sz w:val="20"/>
                <w:szCs w:val="20"/>
                <w:color w:val="auto"/>
              </w:rPr>
              <w:t>W-8BEN-E</w:t>
            </w:r>
          </w:p>
        </w:tc>
        <w:tc>
          <w:tcPr>
            <w:tcW w:w="1280" w:type="dxa"/>
            <w:vAlign w:val="bottom"/>
          </w:tcPr>
          <w:p>
            <w:pPr>
              <w:ind w:left="200"/>
              <w:spacing w:after="0"/>
              <w:rPr>
                <w:sz w:val="20"/>
                <w:szCs w:val="20"/>
                <w:color w:val="auto"/>
              </w:rPr>
            </w:pPr>
            <w:r>
              <w:rPr>
                <w:rFonts w:ascii="Arial" w:cs="Arial" w:eastAsia="Arial" w:hAnsi="Arial"/>
                <w:sz w:val="20"/>
                <w:szCs w:val="20"/>
                <w:color w:val="auto"/>
              </w:rPr>
              <w:t>W-8ECI</w:t>
            </w:r>
          </w:p>
        </w:tc>
        <w:tc>
          <w:tcPr>
            <w:tcW w:w="1060" w:type="dxa"/>
            <w:vAlign w:val="bottom"/>
          </w:tcPr>
          <w:p>
            <w:pPr>
              <w:ind w:left="160"/>
              <w:spacing w:after="0"/>
              <w:rPr>
                <w:sz w:val="20"/>
                <w:szCs w:val="20"/>
                <w:color w:val="auto"/>
              </w:rPr>
            </w:pPr>
            <w:r>
              <w:rPr>
                <w:rFonts w:ascii="Arial" w:cs="Arial" w:eastAsia="Arial" w:hAnsi="Arial"/>
                <w:sz w:val="20"/>
                <w:szCs w:val="20"/>
                <w:color w:val="auto"/>
              </w:rPr>
              <w:t>W-8EXP</w:t>
            </w:r>
          </w:p>
        </w:tc>
        <w:tc>
          <w:tcPr>
            <w:tcW w:w="2080" w:type="dxa"/>
            <w:vAlign w:val="bottom"/>
          </w:tcPr>
          <w:p>
            <w:pPr>
              <w:ind w:left="180"/>
              <w:spacing w:after="0"/>
              <w:rPr>
                <w:sz w:val="20"/>
                <w:szCs w:val="20"/>
                <w:color w:val="auto"/>
              </w:rPr>
            </w:pPr>
            <w:r>
              <w:rPr>
                <w:rFonts w:ascii="Arial" w:cs="Arial" w:eastAsia="Arial" w:hAnsi="Arial"/>
                <w:sz w:val="20"/>
                <w:szCs w:val="20"/>
                <w:color w:val="auto"/>
              </w:rPr>
              <w:t>W-8IMY</w:t>
            </w:r>
          </w:p>
        </w:tc>
      </w:tr>
      <w:tr>
        <w:trPr>
          <w:trHeight w:val="263"/>
        </w:trPr>
        <w:tc>
          <w:tcPr>
            <w:tcW w:w="2200" w:type="dxa"/>
            <w:vAlign w:val="bottom"/>
            <w:gridSpan w:val="3"/>
          </w:tcPr>
          <w:p>
            <w:pPr>
              <w:spacing w:after="0"/>
              <w:rPr>
                <w:sz w:val="20"/>
                <w:szCs w:val="20"/>
                <w:color w:val="auto"/>
              </w:rPr>
            </w:pPr>
            <w:r>
              <w:rPr>
                <w:rFonts w:ascii="Arial" w:cs="Arial" w:eastAsia="Arial" w:hAnsi="Arial"/>
                <w:sz w:val="20"/>
                <w:szCs w:val="20"/>
                <w:color w:val="auto"/>
              </w:rPr>
              <w:t>Tax Contact:</w:t>
            </w: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31"/>
        </w:trPr>
        <w:tc>
          <w:tcPr>
            <w:tcW w:w="9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First:</w:t>
            </w:r>
          </w:p>
        </w:tc>
        <w:tc>
          <w:tcPr>
            <w:tcW w:w="100" w:type="dxa"/>
            <w:vAlign w:val="bottom"/>
            <w:tcBorders>
              <w:top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80" w:type="dxa"/>
            <w:vAlign w:val="bottom"/>
          </w:tcPr>
          <w:p>
            <w:pPr>
              <w:ind w:left="320"/>
              <w:spacing w:after="0"/>
              <w:rPr>
                <w:sz w:val="20"/>
                <w:szCs w:val="20"/>
                <w:color w:val="auto"/>
              </w:rPr>
            </w:pPr>
            <w:r>
              <w:rPr>
                <w:rFonts w:ascii="Arial" w:cs="Arial" w:eastAsia="Arial" w:hAnsi="Arial"/>
                <w:sz w:val="20"/>
                <w:szCs w:val="20"/>
                <w:color w:val="auto"/>
              </w:rPr>
              <w:t>MI:</w:t>
            </w:r>
          </w:p>
        </w:tc>
        <w:tc>
          <w:tcPr>
            <w:tcW w:w="1060" w:type="dxa"/>
            <w:vAlign w:val="bottom"/>
          </w:tcPr>
          <w:p>
            <w:pPr>
              <w:spacing w:after="0"/>
              <w:rPr>
                <w:sz w:val="20"/>
                <w:szCs w:val="20"/>
                <w:color w:val="auto"/>
              </w:rPr>
            </w:pPr>
          </w:p>
        </w:tc>
        <w:tc>
          <w:tcPr>
            <w:tcW w:w="2080" w:type="dxa"/>
            <w:vAlign w:val="bottom"/>
          </w:tcPr>
          <w:p>
            <w:pPr>
              <w:ind w:left="1700"/>
              <w:spacing w:after="0"/>
              <w:rPr>
                <w:sz w:val="20"/>
                <w:szCs w:val="20"/>
                <w:color w:val="auto"/>
              </w:rPr>
            </w:pPr>
            <w:r>
              <w:rPr>
                <w:rFonts w:ascii="Arial" w:cs="Arial" w:eastAsia="Arial" w:hAnsi="Arial"/>
                <w:sz w:val="20"/>
                <w:szCs w:val="20"/>
                <w:color w:val="auto"/>
                <w:w w:val="82"/>
              </w:rPr>
              <w:t>Last:</w:t>
            </w:r>
          </w:p>
        </w:tc>
      </w:tr>
      <w:tr>
        <w:trPr>
          <w:trHeight w:val="228"/>
        </w:trPr>
        <w:tc>
          <w:tcPr>
            <w:tcW w:w="900" w:type="dxa"/>
            <w:vAlign w:val="bottom"/>
          </w:tcPr>
          <w:p>
            <w:pPr>
              <w:spacing w:after="0" w:line="228" w:lineRule="exact"/>
              <w:rPr>
                <w:sz w:val="20"/>
                <w:szCs w:val="20"/>
                <w:color w:val="auto"/>
              </w:rPr>
            </w:pPr>
            <w:r>
              <w:rPr>
                <w:rFonts w:ascii="Arial" w:cs="Arial" w:eastAsia="Arial" w:hAnsi="Arial"/>
                <w:sz w:val="20"/>
                <w:szCs w:val="20"/>
                <w:color w:val="auto"/>
              </w:rPr>
              <w:t>Title:</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8"/>
        </w:trPr>
        <w:tc>
          <w:tcPr>
            <w:tcW w:w="2200" w:type="dxa"/>
            <w:vAlign w:val="bottom"/>
            <w:gridSpan w:val="3"/>
          </w:tcPr>
          <w:p>
            <w:pPr>
              <w:spacing w:after="0" w:line="228" w:lineRule="exact"/>
              <w:rPr>
                <w:sz w:val="20"/>
                <w:szCs w:val="20"/>
                <w:color w:val="auto"/>
              </w:rPr>
            </w:pPr>
            <w:r>
              <w:rPr>
                <w:rFonts w:ascii="Arial" w:cs="Arial" w:eastAsia="Arial" w:hAnsi="Arial"/>
                <w:sz w:val="20"/>
                <w:szCs w:val="20"/>
                <w:color w:val="auto"/>
              </w:rPr>
              <w:t>Street Address:</w:t>
            </w: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8"/>
        </w:trPr>
        <w:tc>
          <w:tcPr>
            <w:tcW w:w="2200" w:type="dxa"/>
            <w:vAlign w:val="bottom"/>
            <w:gridSpan w:val="3"/>
          </w:tcPr>
          <w:p>
            <w:pPr>
              <w:spacing w:after="0" w:line="228" w:lineRule="exact"/>
              <w:rPr>
                <w:sz w:val="20"/>
                <w:szCs w:val="20"/>
                <w:color w:val="auto"/>
              </w:rPr>
            </w:pPr>
            <w:r>
              <w:rPr>
                <w:rFonts w:ascii="Arial" w:cs="Arial" w:eastAsia="Arial" w:hAnsi="Arial"/>
                <w:sz w:val="20"/>
                <w:szCs w:val="20"/>
                <w:color w:val="auto"/>
              </w:rPr>
              <w:t>Suite/ Mail Code:</w:t>
            </w: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8"/>
        </w:trPr>
        <w:tc>
          <w:tcPr>
            <w:tcW w:w="900" w:type="dxa"/>
            <w:vAlign w:val="bottom"/>
          </w:tcPr>
          <w:p>
            <w:pPr>
              <w:spacing w:after="0" w:line="228" w:lineRule="exact"/>
              <w:rPr>
                <w:sz w:val="20"/>
                <w:szCs w:val="20"/>
                <w:color w:val="auto"/>
              </w:rPr>
            </w:pPr>
            <w:r>
              <w:rPr>
                <w:rFonts w:ascii="Arial" w:cs="Arial" w:eastAsia="Arial" w:hAnsi="Arial"/>
                <w:sz w:val="20"/>
                <w:szCs w:val="20"/>
                <w:color w:val="auto"/>
              </w:rPr>
              <w:t>City:</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ind w:left="320"/>
              <w:spacing w:after="0" w:line="228" w:lineRule="exact"/>
              <w:rPr>
                <w:sz w:val="20"/>
                <w:szCs w:val="20"/>
                <w:color w:val="auto"/>
              </w:rPr>
            </w:pPr>
            <w:r>
              <w:rPr>
                <w:rFonts w:ascii="Arial" w:cs="Arial" w:eastAsia="Arial" w:hAnsi="Arial"/>
                <w:sz w:val="20"/>
                <w:szCs w:val="20"/>
                <w:color w:val="auto"/>
              </w:rPr>
              <w:t>State:</w:t>
            </w:r>
          </w:p>
        </w:tc>
        <w:tc>
          <w:tcPr>
            <w:tcW w:w="10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8"/>
        </w:trPr>
        <w:tc>
          <w:tcPr>
            <w:tcW w:w="2200" w:type="dxa"/>
            <w:vAlign w:val="bottom"/>
            <w:gridSpan w:val="3"/>
          </w:tcPr>
          <w:p>
            <w:pPr>
              <w:spacing w:after="0" w:line="228" w:lineRule="exact"/>
              <w:rPr>
                <w:sz w:val="20"/>
                <w:szCs w:val="20"/>
                <w:color w:val="auto"/>
              </w:rPr>
            </w:pPr>
            <w:r>
              <w:rPr>
                <w:rFonts w:ascii="Arial" w:cs="Arial" w:eastAsia="Arial" w:hAnsi="Arial"/>
                <w:sz w:val="20"/>
                <w:szCs w:val="20"/>
                <w:color w:val="auto"/>
              </w:rPr>
              <w:t>Postal Code:</w:t>
            </w:r>
          </w:p>
        </w:tc>
        <w:tc>
          <w:tcPr>
            <w:tcW w:w="1200" w:type="dxa"/>
            <w:vAlign w:val="bottom"/>
          </w:tcPr>
          <w:p>
            <w:pPr>
              <w:spacing w:after="0"/>
              <w:rPr>
                <w:sz w:val="19"/>
                <w:szCs w:val="19"/>
                <w:color w:val="auto"/>
              </w:rPr>
            </w:pPr>
          </w:p>
        </w:tc>
        <w:tc>
          <w:tcPr>
            <w:tcW w:w="1280" w:type="dxa"/>
            <w:vAlign w:val="bottom"/>
          </w:tcPr>
          <w:p>
            <w:pPr>
              <w:ind w:left="320"/>
              <w:spacing w:after="0" w:line="228" w:lineRule="exact"/>
              <w:rPr>
                <w:sz w:val="20"/>
                <w:szCs w:val="20"/>
                <w:color w:val="auto"/>
              </w:rPr>
            </w:pPr>
            <w:r>
              <w:rPr>
                <w:rFonts w:ascii="Arial" w:cs="Arial" w:eastAsia="Arial" w:hAnsi="Arial"/>
                <w:sz w:val="20"/>
                <w:szCs w:val="20"/>
                <w:color w:val="auto"/>
              </w:rPr>
              <w:t>Country:</w:t>
            </w:r>
          </w:p>
        </w:tc>
        <w:tc>
          <w:tcPr>
            <w:tcW w:w="10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8"/>
        </w:trPr>
        <w:tc>
          <w:tcPr>
            <w:tcW w:w="900" w:type="dxa"/>
            <w:vAlign w:val="bottom"/>
          </w:tcPr>
          <w:p>
            <w:pPr>
              <w:spacing w:after="0" w:line="228" w:lineRule="exact"/>
              <w:rPr>
                <w:sz w:val="20"/>
                <w:szCs w:val="20"/>
                <w:color w:val="auto"/>
              </w:rPr>
            </w:pPr>
            <w:r>
              <w:rPr>
                <w:rFonts w:ascii="Arial" w:cs="Arial" w:eastAsia="Arial" w:hAnsi="Arial"/>
                <w:sz w:val="20"/>
                <w:szCs w:val="20"/>
                <w:color w:val="auto"/>
                <w:w w:val="87"/>
              </w:rPr>
              <w:t>Telephone:</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80" w:type="dxa"/>
            <w:vAlign w:val="bottom"/>
          </w:tcPr>
          <w:p>
            <w:pPr>
              <w:ind w:left="320"/>
              <w:spacing w:after="0" w:line="228" w:lineRule="exact"/>
              <w:rPr>
                <w:sz w:val="20"/>
                <w:szCs w:val="20"/>
                <w:color w:val="auto"/>
              </w:rPr>
            </w:pPr>
            <w:r>
              <w:rPr>
                <w:rFonts w:ascii="Arial" w:cs="Arial" w:eastAsia="Arial" w:hAnsi="Arial"/>
                <w:sz w:val="20"/>
                <w:szCs w:val="20"/>
                <w:color w:val="auto"/>
              </w:rPr>
              <w:t>Facsimile:</w:t>
            </w:r>
          </w:p>
        </w:tc>
        <w:tc>
          <w:tcPr>
            <w:tcW w:w="10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8"/>
        </w:trPr>
        <w:tc>
          <w:tcPr>
            <w:tcW w:w="2200" w:type="dxa"/>
            <w:vAlign w:val="bottom"/>
            <w:gridSpan w:val="3"/>
          </w:tcPr>
          <w:p>
            <w:pPr>
              <w:spacing w:after="0" w:line="228" w:lineRule="exact"/>
              <w:rPr>
                <w:sz w:val="20"/>
                <w:szCs w:val="20"/>
                <w:color w:val="auto"/>
              </w:rPr>
            </w:pPr>
            <w:r>
              <w:rPr>
                <w:rFonts w:ascii="Arial" w:cs="Arial" w:eastAsia="Arial" w:hAnsi="Arial"/>
                <w:sz w:val="20"/>
                <w:szCs w:val="20"/>
                <w:color w:val="auto"/>
              </w:rPr>
              <w:t>E-Mail Address:</w:t>
            </w:r>
          </w:p>
        </w:tc>
        <w:tc>
          <w:tcPr>
            <w:tcW w:w="1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49"/>
        </w:trPr>
        <w:tc>
          <w:tcPr>
            <w:tcW w:w="2200" w:type="dxa"/>
            <w:vAlign w:val="bottom"/>
            <w:gridSpan w:val="3"/>
          </w:tcPr>
          <w:p>
            <w:pPr>
              <w:spacing w:after="0"/>
              <w:rPr>
                <w:sz w:val="20"/>
                <w:szCs w:val="20"/>
                <w:color w:val="auto"/>
              </w:rPr>
            </w:pPr>
            <w:r>
              <w:rPr>
                <w:rFonts w:ascii="Arial" w:cs="Arial" w:eastAsia="Arial" w:hAnsi="Arial"/>
                <w:sz w:val="20"/>
                <w:szCs w:val="20"/>
                <w:color w:val="auto"/>
                <w:w w:val="93"/>
              </w:rPr>
              <w:t>SyndTrak E-Mail Address:</w:t>
            </w: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80" w:type="dxa"/>
            <w:vAlign w:val="bottom"/>
          </w:tcPr>
          <w:p>
            <w:pPr>
              <w:spacing w:after="0"/>
              <w:rPr>
                <w:sz w:val="21"/>
                <w:szCs w:val="2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NON–U.S. LENDER INSTITUTIONS</w:t>
      </w:r>
    </w:p>
    <w:p>
      <w:pPr>
        <w:spacing w:after="0" w:line="212" w:lineRule="exact"/>
        <w:rPr>
          <w:sz w:val="20"/>
          <w:szCs w:val="20"/>
          <w:color w:val="auto"/>
        </w:rPr>
      </w:pPr>
    </w:p>
    <w:p>
      <w:pPr>
        <w:ind w:left="860" w:hanging="430"/>
        <w:spacing w:after="0"/>
        <w:tabs>
          <w:tab w:leader="none" w:pos="8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Corporations:</w:t>
      </w:r>
    </w:p>
    <w:p>
      <w:pPr>
        <w:spacing w:after="0" w:line="211" w:lineRule="exact"/>
        <w:rPr>
          <w:rFonts w:ascii="Arial" w:cs="Arial" w:eastAsia="Arial" w:hAnsi="Arial"/>
          <w:sz w:val="20"/>
          <w:szCs w:val="20"/>
          <w:color w:val="auto"/>
        </w:rPr>
      </w:pPr>
    </w:p>
    <w:p>
      <w:pPr>
        <w:ind w:left="880" w:right="60"/>
        <w:spacing w:after="0" w:line="290" w:lineRule="auto"/>
        <w:rPr>
          <w:rFonts w:ascii="Arial" w:cs="Arial" w:eastAsia="Arial" w:hAnsi="Arial"/>
          <w:sz w:val="20"/>
          <w:szCs w:val="20"/>
          <w:color w:val="auto"/>
        </w:rPr>
      </w:pPr>
      <w:r>
        <w:rPr>
          <w:rFonts w:ascii="Arial" w:cs="Arial" w:eastAsia="Arial" w:hAnsi="Arial"/>
          <w:sz w:val="17"/>
          <w:szCs w:val="17"/>
          <w:color w:val="auto"/>
        </w:rPr>
        <w:t>If your institution is organized outside of the United States, is classified as a Corporation or other non-flow through entity for U.S. federal income tax purposes, and is the beneficial owner of the interest and other income it receives, you must complete one of the following three tax forms, as applicable to your institution: a.) Form W-8BEN (Certificate of Foreign Status of Beneficial Owner for United States Tax Withholding and Reporting (and a U.S. Tax Compliance Certificate if applicable)) or Form W-8BEN-E, b.) Form W-8ECI (Certificate of Foreign Person’s Claim that Income is Effectively Connected with the Conduct of a Trade or Business in the United States), or c.) Form W-8EXP (Certificate of Foreign Government or Other Foreign Organization for United States Tax Withholding and Reporting).</w:t>
      </w:r>
    </w:p>
    <w:p>
      <w:pPr>
        <w:spacing w:after="0" w:line="154" w:lineRule="exact"/>
        <w:rPr>
          <w:rFonts w:ascii="Arial" w:cs="Arial" w:eastAsia="Arial" w:hAnsi="Arial"/>
          <w:sz w:val="20"/>
          <w:szCs w:val="20"/>
          <w:color w:val="auto"/>
        </w:rPr>
      </w:pPr>
    </w:p>
    <w:p>
      <w:pPr>
        <w:ind w:left="880" w:right="100"/>
        <w:spacing w:after="0" w:line="247" w:lineRule="auto"/>
        <w:rPr>
          <w:rFonts w:ascii="Arial" w:cs="Arial" w:eastAsia="Arial" w:hAnsi="Arial"/>
          <w:sz w:val="20"/>
          <w:szCs w:val="20"/>
          <w:color w:val="auto"/>
        </w:rPr>
      </w:pPr>
      <w:r>
        <w:rPr>
          <w:rFonts w:ascii="Arial" w:cs="Arial" w:eastAsia="Arial" w:hAnsi="Arial"/>
          <w:sz w:val="20"/>
          <w:szCs w:val="20"/>
          <w:color w:val="auto"/>
        </w:rPr>
        <w:t>A U.S. taxpayer identification number is required for any institution submitting a Form W-8 ECI. It is also required on Form W-8BEN or Form W-8BEN-E for certain institutions claiming the benefits of a tax treaty with the U.S. Please refer to the instructions when completing the form applicable to your institution.</w:t>
      </w:r>
    </w:p>
    <w:p>
      <w:pPr>
        <w:spacing w:after="0" w:line="213" w:lineRule="exact"/>
        <w:rPr>
          <w:rFonts w:ascii="Arial" w:cs="Arial" w:eastAsia="Arial" w:hAnsi="Arial"/>
          <w:sz w:val="20"/>
          <w:szCs w:val="20"/>
          <w:color w:val="auto"/>
        </w:rPr>
      </w:pPr>
    </w:p>
    <w:p>
      <w:pPr>
        <w:ind w:left="860" w:hanging="430"/>
        <w:spacing w:after="0"/>
        <w:tabs>
          <w:tab w:leader="none" w:pos="86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Flow-Through Entities</w:t>
      </w:r>
    </w:p>
    <w:p>
      <w:pPr>
        <w:spacing w:after="0" w:line="212" w:lineRule="exact"/>
        <w:rPr>
          <w:sz w:val="20"/>
          <w:szCs w:val="20"/>
          <w:color w:val="auto"/>
        </w:rPr>
      </w:pPr>
    </w:p>
    <w:p>
      <w:pPr>
        <w:ind w:left="440"/>
        <w:spacing w:after="0" w:line="258" w:lineRule="auto"/>
        <w:rPr>
          <w:sz w:val="20"/>
          <w:szCs w:val="20"/>
          <w:color w:val="auto"/>
        </w:rPr>
      </w:pPr>
      <w:r>
        <w:rPr>
          <w:rFonts w:ascii="Arial" w:cs="Arial" w:eastAsia="Arial" w:hAnsi="Arial"/>
          <w:sz w:val="19"/>
          <w:szCs w:val="19"/>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and Reporting) must be completed by the intermediary together with a withholding statement. Flow-through entities other than Qualified Intermediaries are required to include tax forms for each of the underlying beneficial owners.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Please refer to the instructions when completing this form</w:t>
      </w:r>
    </w:p>
    <w:p>
      <w:pPr>
        <w:sectPr>
          <w:pgSz w:w="11900" w:h="16838" w:orient="portrait"/>
          <w:cols w:equalWidth="0" w:num="1">
            <w:col w:w="10760"/>
          </w:cols>
          <w:pgMar w:left="480" w:top="264" w:right="65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U.S. LENDER INSTITUTIONS:</w:t>
      </w:r>
    </w:p>
    <w:p>
      <w:pPr>
        <w:spacing w:after="0" w:line="172" w:lineRule="exact"/>
        <w:rPr>
          <w:sz w:val="20"/>
          <w:szCs w:val="20"/>
          <w:color w:val="auto"/>
        </w:rPr>
      </w:pPr>
    </w:p>
    <w:p>
      <w:pPr>
        <w:ind w:right="560"/>
        <w:spacing w:after="0" w:line="257" w:lineRule="auto"/>
        <w:rPr>
          <w:sz w:val="20"/>
          <w:szCs w:val="20"/>
          <w:color w:val="auto"/>
        </w:rPr>
      </w:pPr>
      <w:r>
        <w:rPr>
          <w:rFonts w:ascii="Arial" w:cs="Arial" w:eastAsia="Arial" w:hAnsi="Arial"/>
          <w:sz w:val="20"/>
          <w:szCs w:val="20"/>
          <w:color w:val="auto"/>
        </w:rPr>
        <w:t>If your institution is incorporated or organized within the United States, you must complete and return Form W-9 (Request for Taxpayer Identification Number and Certification).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1113790" cy="7397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3790" cy="739775"/>
                    </a:xfrm>
                    <a:prstGeom prst="rect">
                      <a:avLst/>
                    </a:prstGeom>
                    <a:noFill/>
                  </pic:spPr>
                </pic:pic>
              </a:graphicData>
            </a:graphic>
          </wp:anchor>
        </w:drawing>
      </w:r>
    </w:p>
    <w:p>
      <w:pPr>
        <w:sectPr>
          <w:pgSz w:w="11900" w:h="16838" w:orient="portrait"/>
          <w:cols w:equalWidth="0" w:num="1">
            <w:col w:w="10460"/>
          </w:cols>
          <w:pgMar w:left="920" w:top="270" w:right="519" w:bottom="1440" w:gutter="0" w:footer="0" w:header="0"/>
        </w:sectPr>
      </w:pPr>
    </w:p>
    <w:bookmarkStart w:id="140" w:name="page141"/>
    <w:bookmarkEnd w:id="140"/>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E-1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319" w:lineRule="exact"/>
        <w:rPr>
          <w:sz w:val="20"/>
          <w:szCs w:val="20"/>
          <w:color w:val="auto"/>
        </w:rPr>
      </w:pPr>
    </w:p>
    <w:p>
      <w:pPr>
        <w:jc w:val="both"/>
        <w:ind w:firstLine="1748"/>
        <w:spacing w:after="0" w:line="266" w:lineRule="auto"/>
        <w:rPr>
          <w:sz w:val="20"/>
          <w:szCs w:val="20"/>
          <w:color w:val="auto"/>
        </w:rPr>
      </w:pPr>
      <w:r>
        <w:rPr>
          <w:rFonts w:ascii="Arial" w:cs="Arial" w:eastAsia="Arial" w:hAnsi="Arial"/>
          <w:sz w:val="19"/>
          <w:szCs w:val="19"/>
          <w:color w:val="auto"/>
        </w:rPr>
        <w:t>Reference is hereby made to the Credit Agreement dated as of August 25, 2020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Republic Services,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Bank of America, N.A., as Administrative Agent.</w:t>
      </w:r>
    </w:p>
    <w:p>
      <w:pPr>
        <w:spacing w:after="0" w:line="130" w:lineRule="exact"/>
        <w:rPr>
          <w:sz w:val="20"/>
          <w:szCs w:val="20"/>
          <w:color w:val="auto"/>
        </w:rPr>
      </w:pPr>
    </w:p>
    <w:p>
      <w:pPr>
        <w:jc w:val="both"/>
        <w:ind w:firstLine="1748"/>
        <w:spacing w:after="0" w:line="242" w:lineRule="auto"/>
        <w:rPr>
          <w:sz w:val="20"/>
          <w:szCs w:val="20"/>
          <w:color w:val="auto"/>
        </w:rPr>
      </w:pPr>
      <w:r>
        <w:rPr>
          <w:rFonts w:ascii="Arial" w:cs="Arial" w:eastAsia="Arial" w:hAnsi="Arial"/>
          <w:sz w:val="20"/>
          <w:szCs w:val="20"/>
          <w:color w:val="auto"/>
        </w:rPr>
        <w:t xml:space="preserve">Pursuant to the provisions of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66" w:lineRule="exact"/>
        <w:rPr>
          <w:sz w:val="20"/>
          <w:szCs w:val="20"/>
          <w:color w:val="auto"/>
        </w:rPr>
      </w:pPr>
    </w:p>
    <w:p>
      <w:pPr>
        <w:jc w:val="both"/>
        <w:ind w:firstLine="1748"/>
        <w:spacing w:after="0" w:line="295" w:lineRule="auto"/>
        <w:rPr>
          <w:sz w:val="20"/>
          <w:szCs w:val="20"/>
          <w:color w:val="auto"/>
        </w:rPr>
      </w:pPr>
      <w:r>
        <w:rPr>
          <w:rFonts w:ascii="Arial" w:cs="Arial" w:eastAsia="Arial" w:hAnsi="Arial"/>
          <w:sz w:val="17"/>
          <w:szCs w:val="17"/>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11" w:lineRule="exact"/>
        <w:rPr>
          <w:sz w:val="20"/>
          <w:szCs w:val="20"/>
          <w:color w:val="auto"/>
        </w:rPr>
      </w:pPr>
    </w:p>
    <w:p>
      <w:pPr>
        <w:jc w:val="both"/>
        <w:ind w:firstLine="1748"/>
        <w:spacing w:after="0" w:line="257"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LENDER]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-15875</wp:posOffset>
            </wp:positionV>
            <wp:extent cx="17754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75460" cy="8255"/>
                    </a:xfrm>
                    <a:prstGeom prst="rect">
                      <a:avLst/>
                    </a:prstGeom>
                    <a:noFill/>
                  </pic:spPr>
                </pic:pic>
              </a:graphicData>
            </a:graphic>
          </wp:anchor>
        </w:drawing>
      </w:r>
    </w:p>
    <w:p>
      <w:pPr>
        <w:spacing w:after="0" w:line="4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-15875</wp:posOffset>
            </wp:positionV>
            <wp:extent cx="15265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4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-15875</wp:posOffset>
            </wp:positionV>
            <wp:extent cx="15887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line="79" w:lineRule="exact"/>
        <w:rPr>
          <w:sz w:val="20"/>
          <w:szCs w:val="20"/>
          <w:color w:val="auto"/>
        </w:rPr>
      </w:pPr>
    </w:p>
    <w:p>
      <w:pPr>
        <w:spacing w:after="0"/>
        <w:tabs>
          <w:tab w:leader="none" w:pos="1100" w:val="left"/>
          <w:tab w:leader="none" w:pos="16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,20</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-12065</wp:posOffset>
            </wp:positionV>
            <wp:extent cx="4051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5130"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U.S. Tax Compliance Certificate</w:t>
      </w:r>
    </w:p>
    <w:p>
      <w:pPr>
        <w:sectPr>
          <w:pgSz w:w="11900" w:h="16838" w:orient="portrait"/>
          <w:cols w:equalWidth="0" w:num="1">
            <w:col w:w="10920"/>
          </w:cols>
          <w:pgMar w:left="480" w:top="264" w:right="499" w:bottom="1440" w:gutter="0" w:footer="0" w:header="0"/>
        </w:sectPr>
      </w:pPr>
    </w:p>
    <w:bookmarkStart w:id="141" w:name="page142"/>
    <w:bookmarkEnd w:id="141"/>
    <w:p>
      <w:pPr>
        <w:ind w:left="9740"/>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E-2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319" w:lineRule="exact"/>
        <w:rPr>
          <w:sz w:val="20"/>
          <w:szCs w:val="20"/>
          <w:color w:val="auto"/>
        </w:rPr>
      </w:pPr>
    </w:p>
    <w:p>
      <w:pPr>
        <w:jc w:val="both"/>
        <w:ind w:firstLine="1748"/>
        <w:spacing w:after="0" w:line="266" w:lineRule="auto"/>
        <w:rPr>
          <w:sz w:val="20"/>
          <w:szCs w:val="20"/>
          <w:color w:val="auto"/>
        </w:rPr>
      </w:pPr>
      <w:r>
        <w:rPr>
          <w:rFonts w:ascii="Arial" w:cs="Arial" w:eastAsia="Arial" w:hAnsi="Arial"/>
          <w:sz w:val="19"/>
          <w:szCs w:val="19"/>
          <w:color w:val="auto"/>
        </w:rPr>
        <w:t>Reference is hereby made to the Credit Agreement dated as of August 25, 2020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Republic Services,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Bank of America, N.A., as Administrative Agent.</w:t>
      </w:r>
    </w:p>
    <w:p>
      <w:pPr>
        <w:spacing w:after="0" w:line="130" w:lineRule="exact"/>
        <w:rPr>
          <w:sz w:val="20"/>
          <w:szCs w:val="20"/>
          <w:color w:val="auto"/>
        </w:rPr>
      </w:pPr>
    </w:p>
    <w:p>
      <w:pPr>
        <w:jc w:val="both"/>
        <w:ind w:firstLine="1748"/>
        <w:spacing w:after="0" w:line="286"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w:t>
      </w:r>
    </w:p>
    <w:p>
      <w:pPr>
        <w:jc w:val="both"/>
        <w:spacing w:after="0"/>
        <w:rPr>
          <w:sz w:val="20"/>
          <w:szCs w:val="20"/>
          <w:color w:val="auto"/>
        </w:rPr>
      </w:pPr>
      <w:r>
        <w:rPr>
          <w:rFonts w:ascii="Arial" w:cs="Arial" w:eastAsia="Arial" w:hAnsi="Arial"/>
          <w:sz w:val="20"/>
          <w:szCs w:val="20"/>
          <w:color w:val="auto"/>
        </w:rPr>
        <w:t>(3)(B) of the Code, and (iv) it is not a controlled foreign corporation related to the Borrower as described in Section 881(c)(3)(C) of the Code.</w:t>
      </w:r>
    </w:p>
    <w:p>
      <w:pPr>
        <w:spacing w:after="0" w:line="167" w:lineRule="exact"/>
        <w:rPr>
          <w:sz w:val="20"/>
          <w:szCs w:val="20"/>
          <w:color w:val="auto"/>
        </w:rPr>
      </w:pPr>
    </w:p>
    <w:p>
      <w:pPr>
        <w:jc w:val="both"/>
        <w:ind w:firstLine="1748"/>
        <w:spacing w:after="0" w:line="242"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3" w:lineRule="exact"/>
        <w:rPr>
          <w:sz w:val="20"/>
          <w:szCs w:val="20"/>
          <w:color w:val="auto"/>
        </w:rPr>
      </w:pPr>
    </w:p>
    <w:p>
      <w:pPr>
        <w:jc w:val="both"/>
        <w:ind w:firstLine="1748"/>
        <w:spacing w:after="0" w:line="257"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PARTICIPANT]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-15875</wp:posOffset>
            </wp:positionV>
            <wp:extent cx="19627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4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-15875</wp:posOffset>
            </wp:positionV>
            <wp:extent cx="16510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line="45"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-15875</wp:posOffset>
            </wp:positionV>
            <wp:extent cx="17132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9" w:lineRule="exact"/>
        <w:rPr>
          <w:sz w:val="20"/>
          <w:szCs w:val="20"/>
          <w:color w:val="auto"/>
        </w:rPr>
      </w:pPr>
    </w:p>
    <w:p>
      <w:pPr>
        <w:spacing w:after="0"/>
        <w:tabs>
          <w:tab w:leader="none" w:pos="1040" w:val="left"/>
          <w:tab w:leader="none" w:pos="160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,20</w:t>
      </w:r>
      <w:r>
        <w:rPr>
          <w:rFonts w:ascii="Arial" w:cs="Arial" w:eastAsia="Arial" w:hAnsi="Arial"/>
          <w:sz w:val="20"/>
          <w:szCs w:val="20"/>
          <w:b w:val="1"/>
          <w:bCs w:val="1"/>
          <w:color w:val="auto"/>
        </w:rPr>
        <w:t>[</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-12065</wp:posOffset>
            </wp:positionV>
            <wp:extent cx="4051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05130"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U.S. Tax Compliance Certificate</w:t>
      </w:r>
    </w:p>
    <w:p>
      <w:pPr>
        <w:sectPr>
          <w:pgSz w:w="11900" w:h="16838" w:orient="portrait"/>
          <w:cols w:equalWidth="0" w:num="1">
            <w:col w:w="10920"/>
          </w:cols>
          <w:pgMar w:left="480" w:top="264" w:right="49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E-3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319" w:lineRule="exact"/>
        <w:rPr>
          <w:sz w:val="20"/>
          <w:szCs w:val="20"/>
          <w:color w:val="auto"/>
        </w:rPr>
      </w:pPr>
    </w:p>
    <w:p>
      <w:pPr>
        <w:jc w:val="both"/>
        <w:ind w:firstLine="1748"/>
        <w:spacing w:after="0" w:line="266" w:lineRule="auto"/>
        <w:rPr>
          <w:sz w:val="20"/>
          <w:szCs w:val="20"/>
          <w:color w:val="auto"/>
        </w:rPr>
      </w:pPr>
      <w:r>
        <w:rPr>
          <w:rFonts w:ascii="Arial" w:cs="Arial" w:eastAsia="Arial" w:hAnsi="Arial"/>
          <w:sz w:val="19"/>
          <w:szCs w:val="19"/>
          <w:color w:val="auto"/>
        </w:rPr>
        <w:t>Reference is hereby made to the Credit Agreement dated as of August 25, 2020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Republic Services,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Bank of America, N.A., as Administrative Agent.</w:t>
      </w:r>
    </w:p>
    <w:p>
      <w:pPr>
        <w:spacing w:after="0" w:line="130" w:lineRule="exact"/>
        <w:rPr>
          <w:sz w:val="20"/>
          <w:szCs w:val="20"/>
          <w:color w:val="auto"/>
        </w:rPr>
      </w:pPr>
    </w:p>
    <w:p>
      <w:pPr>
        <w:jc w:val="both"/>
        <w:ind w:firstLine="1748"/>
        <w:spacing w:after="0" w:line="290"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27" w:lineRule="exact"/>
        <w:rPr>
          <w:sz w:val="20"/>
          <w:szCs w:val="20"/>
          <w:color w:val="auto"/>
        </w:rPr>
      </w:pPr>
    </w:p>
    <w:p>
      <w:pPr>
        <w:jc w:val="both"/>
        <w:ind w:firstLine="1748"/>
        <w:spacing w:after="0" w:line="255"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42" w:lineRule="exact"/>
        <w:rPr>
          <w:sz w:val="20"/>
          <w:szCs w:val="20"/>
          <w:color w:val="auto"/>
        </w:rPr>
      </w:pPr>
    </w:p>
    <w:p>
      <w:pPr>
        <w:jc w:val="both"/>
        <w:ind w:firstLine="1748"/>
        <w:spacing w:after="0" w:line="257"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PARTICIPANT]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-15875</wp:posOffset>
            </wp:positionV>
            <wp:extent cx="19627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-15875</wp:posOffset>
            </wp:positionV>
            <wp:extent cx="16510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-15875</wp:posOffset>
            </wp:positionV>
            <wp:extent cx="17132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9" w:lineRule="exact"/>
        <w:rPr>
          <w:sz w:val="20"/>
          <w:szCs w:val="20"/>
          <w:color w:val="auto"/>
        </w:rPr>
      </w:pPr>
    </w:p>
    <w:p>
      <w:pPr>
        <w:spacing w:after="0"/>
        <w:tabs>
          <w:tab w:leader="none" w:pos="1100" w:val="left"/>
          <w:tab w:leader="none" w:pos="16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,20</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-12065</wp:posOffset>
            </wp:positionV>
            <wp:extent cx="4051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5130"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U.S. Tax Compliance Certificate</w:t>
      </w:r>
    </w:p>
    <w:p>
      <w:pPr>
        <w:sectPr>
          <w:pgSz w:w="11900" w:h="16838" w:orient="portrait"/>
          <w:cols w:equalWidth="0" w:num="1">
            <w:col w:w="10920"/>
          </w:cols>
          <w:pgMar w:left="480" w:top="264" w:right="49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E-4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U.S. TAX COMPLIANCE CERTIFICATE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319" w:lineRule="exact"/>
        <w:rPr>
          <w:sz w:val="20"/>
          <w:szCs w:val="20"/>
          <w:color w:val="auto"/>
        </w:rPr>
      </w:pPr>
    </w:p>
    <w:p>
      <w:pPr>
        <w:jc w:val="both"/>
        <w:ind w:firstLine="1748"/>
        <w:spacing w:after="0" w:line="266" w:lineRule="auto"/>
        <w:rPr>
          <w:sz w:val="20"/>
          <w:szCs w:val="20"/>
          <w:color w:val="auto"/>
        </w:rPr>
      </w:pPr>
      <w:r>
        <w:rPr>
          <w:rFonts w:ascii="Arial" w:cs="Arial" w:eastAsia="Arial" w:hAnsi="Arial"/>
          <w:sz w:val="19"/>
          <w:szCs w:val="19"/>
          <w:color w:val="auto"/>
        </w:rPr>
        <w:t>Reference is hereby made to the Credit Agreement dated as of August 25, 2020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Republic Services,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and Bank of America, N.A., as Administrative Agent.</w:t>
      </w:r>
    </w:p>
    <w:p>
      <w:pPr>
        <w:spacing w:after="0" w:line="130" w:lineRule="exact"/>
        <w:rPr>
          <w:sz w:val="20"/>
          <w:szCs w:val="20"/>
          <w:color w:val="auto"/>
        </w:rPr>
      </w:pPr>
    </w:p>
    <w:p>
      <w:pPr>
        <w:jc w:val="both"/>
        <w:ind w:firstLine="1748"/>
        <w:spacing w:after="0" w:line="289" w:lineRule="auto"/>
        <w:rPr>
          <w:sz w:val="20"/>
          <w:szCs w:val="20"/>
          <w:color w:val="auto"/>
        </w:rPr>
      </w:pPr>
      <w:r>
        <w:rPr>
          <w:rFonts w:ascii="Arial" w:cs="Arial" w:eastAsia="Arial" w:hAnsi="Arial"/>
          <w:sz w:val="17"/>
          <w:szCs w:val="17"/>
          <w:color w:val="auto"/>
        </w:rPr>
        <w:t xml:space="preserve">Pursuant to the provisions of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of the Credit Agreement, the undersigned hereby certifies that (i) it is the sole record owner of the Loan(s) (as well as any Note(s) evidencing such Loan(s)) in respect of which it is providing this certificate,</w:t>
      </w:r>
    </w:p>
    <w:p>
      <w:pPr>
        <w:ind w:left="300" w:hanging="299"/>
        <w:spacing w:after="0"/>
        <w:tabs>
          <w:tab w:leader="none" w:pos="3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its direct or indirect partners/members are the sole beneficial owners of such Loan(s) (as well as any Note(s) evidencing such Loan(s)),</w:t>
      </w:r>
    </w:p>
    <w:p>
      <w:pPr>
        <w:spacing w:after="0" w:line="32" w:lineRule="exact"/>
        <w:rPr>
          <w:rFonts w:ascii="Arial" w:cs="Arial" w:eastAsia="Arial" w:hAnsi="Arial"/>
          <w:sz w:val="17"/>
          <w:szCs w:val="17"/>
          <w:color w:val="auto"/>
        </w:rPr>
      </w:pPr>
    </w:p>
    <w:p>
      <w:pPr>
        <w:jc w:val="both"/>
        <w:ind w:firstLine="1"/>
        <w:spacing w:after="0" w:line="290" w:lineRule="auto"/>
        <w:tabs>
          <w:tab w:leader="none" w:pos="34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29" w:lineRule="exact"/>
        <w:rPr>
          <w:sz w:val="20"/>
          <w:szCs w:val="20"/>
          <w:color w:val="auto"/>
        </w:rPr>
      </w:pPr>
    </w:p>
    <w:p>
      <w:pPr>
        <w:jc w:val="both"/>
        <w:ind w:firstLine="1748"/>
        <w:spacing w:after="0"/>
        <w:rPr>
          <w:sz w:val="20"/>
          <w:szCs w:val="20"/>
          <w:color w:val="auto"/>
        </w:rPr>
      </w:pPr>
      <w:r>
        <w:rPr>
          <w:rFonts w:ascii="Arial" w:cs="Arial" w:eastAsia="Arial" w:hAnsi="Arial"/>
          <w:sz w:val="20"/>
          <w:szCs w:val="20"/>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55" w:lineRule="exact"/>
        <w:rPr>
          <w:sz w:val="20"/>
          <w:szCs w:val="20"/>
          <w:color w:val="auto"/>
        </w:rPr>
      </w:pPr>
    </w:p>
    <w:p>
      <w:pPr>
        <w:jc w:val="both"/>
        <w:ind w:firstLine="1748"/>
        <w:spacing w:after="0" w:line="257"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LENDER]</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-15875</wp:posOffset>
            </wp:positionV>
            <wp:extent cx="19005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-15875</wp:posOffset>
            </wp:positionV>
            <wp:extent cx="16510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-15875</wp:posOffset>
            </wp:positionV>
            <wp:extent cx="17132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3230" cy="8255"/>
                    </a:xfrm>
                    <a:prstGeom prst="rect">
                      <a:avLst/>
                    </a:prstGeom>
                    <a:noFill/>
                  </pic:spPr>
                </pic:pic>
              </a:graphicData>
            </a:graphic>
          </wp:anchor>
        </w:drawing>
      </w:r>
    </w:p>
    <w:p>
      <w:pPr>
        <w:spacing w:after="0" w:line="79" w:lineRule="exact"/>
        <w:rPr>
          <w:sz w:val="20"/>
          <w:szCs w:val="20"/>
          <w:color w:val="auto"/>
        </w:rPr>
      </w:pPr>
    </w:p>
    <w:p>
      <w:pPr>
        <w:spacing w:after="0"/>
        <w:tabs>
          <w:tab w:leader="none" w:pos="1100" w:val="left"/>
          <w:tab w:leader="none" w:pos="16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,20</w:t>
      </w:r>
      <w:r>
        <w:rPr>
          <w:rFonts w:ascii="Arial" w:cs="Arial" w:eastAsia="Arial" w:hAnsi="Arial"/>
          <w:sz w:val="20"/>
          <w:szCs w:val="20"/>
          <w:b w:val="1"/>
          <w:bCs w:val="1"/>
          <w:color w:val="auto"/>
        </w:rPr>
        <w:t>[</w:t>
      </w:r>
      <w:r>
        <w:rPr>
          <w:sz w:val="20"/>
          <w:szCs w:val="20"/>
          <w:color w:val="auto"/>
        </w:rPr>
        <w:tab/>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-12065</wp:posOffset>
            </wp:positionV>
            <wp:extent cx="4051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05130"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U.S. Tax Compliance Certificate</w:t>
      </w:r>
    </w:p>
    <w:p>
      <w:pPr>
        <w:sectPr>
          <w:pgSz w:w="11900" w:h="16838" w:orient="portrait"/>
          <w:cols w:equalWidth="0" w:num="1">
            <w:col w:w="10920"/>
          </w:cols>
          <w:pgMar w:left="480" w:top="264" w:right="49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4.2</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Conformed Version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3 TO CREDIT AGREEMENT</w:t>
      </w:r>
    </w:p>
    <w:p>
      <w:pPr>
        <w:spacing w:after="0" w:line="212" w:lineRule="exact"/>
        <w:rPr>
          <w:sz w:val="20"/>
          <w:szCs w:val="20"/>
          <w:color w:val="auto"/>
        </w:rPr>
      </w:pPr>
    </w:p>
    <w:p>
      <w:pPr>
        <w:jc w:val="both"/>
        <w:ind w:firstLine="874"/>
        <w:spacing w:after="0" w:line="30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AMENDMENT NO. 3 TO CREDIT AGREEMENT</w:t>
      </w:r>
      <w:r>
        <w:rPr>
          <w:rFonts w:ascii="Arial" w:cs="Arial" w:eastAsia="Arial" w:hAnsi="Arial"/>
          <w:sz w:val="17"/>
          <w:szCs w:val="17"/>
          <w:color w:val="auto"/>
        </w:rPr>
        <w:t xml:space="preserve"> dated as of August 25, 2020 (this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is made among </w:t>
      </w:r>
      <w:r>
        <w:rPr>
          <w:rFonts w:ascii="Arial" w:cs="Arial" w:eastAsia="Arial" w:hAnsi="Arial"/>
          <w:sz w:val="17"/>
          <w:szCs w:val="17"/>
          <w:b w:val="1"/>
          <w:bCs w:val="1"/>
          <w:color w:val="auto"/>
        </w:rPr>
        <w:t>REPUBLIC SERVICES, INC.</w:t>
      </w:r>
      <w:r>
        <w:rPr>
          <w:rFonts w:ascii="Arial" w:cs="Arial" w:eastAsia="Arial" w:hAnsi="Arial"/>
          <w:sz w:val="17"/>
          <w:szCs w:val="17"/>
          <w:color w:val="auto"/>
        </w:rPr>
        <w:t>,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w:t>
      </w:r>
      <w:r>
        <w:rPr>
          <w:rFonts w:ascii="Arial" w:cs="Arial" w:eastAsia="Arial" w:hAnsi="Arial"/>
          <w:sz w:val="17"/>
          <w:szCs w:val="17"/>
          <w:b w:val="1"/>
          <w:bCs w:val="1"/>
          <w:color w:val="auto"/>
        </w:rPr>
        <w:t xml:space="preserve"> BANK OF AMERICA, N.A.</w:t>
      </w:r>
      <w:r>
        <w:rPr>
          <w:rFonts w:ascii="Arial" w:cs="Arial" w:eastAsia="Arial" w:hAnsi="Arial"/>
          <w:sz w:val="17"/>
          <w:szCs w:val="17"/>
          <w:color w:val="auto"/>
        </w:rPr>
        <w:t>, in its capacity as</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for the Lenders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the Lenders party hereto. Capitalized terms used but not otherwise defined herein have the respective meanings ascribed to them in the Credit Agreement described below.</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8" w:lineRule="exact"/>
        <w:rPr>
          <w:sz w:val="20"/>
          <w:szCs w:val="20"/>
          <w:color w:val="auto"/>
        </w:rPr>
      </w:pPr>
    </w:p>
    <w:p>
      <w:pPr>
        <w:jc w:val="both"/>
        <w:ind w:firstLine="875"/>
        <w:spacing w:after="0" w:line="256" w:lineRule="auto"/>
        <w:tabs>
          <w:tab w:leader="none" w:pos="135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Borrower, the Administrative Agent and the Lenders have entered into that certain Credit Agreement dated as of June 8, 2018 (as modified by that certain Limited Consent dated as of August 21, 2019 and as amended by that certain Amendment No. 1 to Credit Agreement dated as of May 18, 2020 and that certain Amendment No. 2 to Credit Agreement dated as of July 14, 2020, and as in effect on the date hereof immediately prior to the effectiveness of this Amendment,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the Existing Credit Agreement as amended by this Amendment,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pursuant to which the Lenders have made available to the Borrower a revolving credit facility with a swing line sublimit and a letter of credit sublimit.</w:t>
      </w:r>
    </w:p>
    <w:p>
      <w:pPr>
        <w:spacing w:after="0" w:line="181" w:lineRule="exact"/>
        <w:rPr>
          <w:rFonts w:ascii="Arial" w:cs="Arial" w:eastAsia="Arial" w:hAnsi="Arial"/>
          <w:sz w:val="19"/>
          <w:szCs w:val="19"/>
          <w:color w:val="auto"/>
        </w:rPr>
      </w:pPr>
    </w:p>
    <w:p>
      <w:pPr>
        <w:jc w:val="both"/>
        <w:ind w:firstLine="875"/>
        <w:spacing w:after="0" w:line="247" w:lineRule="auto"/>
        <w:tabs>
          <w:tab w:leader="none" w:pos="1327"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The Borrower has advised the Administrative Agent and the Lenders that it desires to amend certain provisions of the Existing Credit Agreement, and the Administrative Agent and the Lenders are willing to effect such amendment on the terms and conditions contained in this Amendment.</w:t>
      </w:r>
    </w:p>
    <w:p>
      <w:pPr>
        <w:spacing w:after="0" w:line="187" w:lineRule="exact"/>
        <w:rPr>
          <w:sz w:val="20"/>
          <w:szCs w:val="20"/>
          <w:color w:val="auto"/>
        </w:rPr>
      </w:pPr>
    </w:p>
    <w:p>
      <w:pPr>
        <w:ind w:firstLine="874"/>
        <w:spacing w:after="0" w:line="257" w:lineRule="auto"/>
        <w:rPr>
          <w:sz w:val="20"/>
          <w:szCs w:val="20"/>
          <w:color w:val="auto"/>
        </w:rPr>
      </w:pPr>
      <w:r>
        <w:rPr>
          <w:rFonts w:ascii="Arial" w:cs="Arial" w:eastAsia="Arial" w:hAnsi="Arial"/>
          <w:sz w:val="20"/>
          <w:szCs w:val="20"/>
          <w:color w:val="auto"/>
        </w:rPr>
        <w:t>In consideration of the premises and further valuable consideration, the receipt and sufficiency of which are hereby acknowledged, the parties hereto agree as follows:</w:t>
      </w:r>
    </w:p>
    <w:p>
      <w:pPr>
        <w:spacing w:after="0" w:line="177" w:lineRule="exact"/>
        <w:rPr>
          <w:sz w:val="20"/>
          <w:szCs w:val="20"/>
          <w:color w:val="auto"/>
        </w:rPr>
      </w:pPr>
    </w:p>
    <w:p>
      <w:pPr>
        <w:jc w:val="both"/>
        <w:ind w:firstLine="875"/>
        <w:spacing w:after="0" w:line="247" w:lineRule="auto"/>
        <w:tabs>
          <w:tab w:leader="none" w:pos="1217"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Amendments to the Existing Credit Agreement</w:t>
      </w:r>
      <w:r>
        <w:rPr>
          <w:rFonts w:ascii="Arial" w:cs="Arial" w:eastAsia="Arial" w:hAnsi="Arial"/>
          <w:sz w:val="20"/>
          <w:szCs w:val="20"/>
          <w:color w:val="auto"/>
        </w:rPr>
        <w:t>. Subject to and in accordance with the terms and conditions set forth herein and in reliance upon the representations and warranties set forth herein, the parties hereto hereby agree that as of the date hereof the Existing Credit Agreement is hereby amended as follows:</w:t>
      </w:r>
    </w:p>
    <w:p>
      <w:pPr>
        <w:spacing w:after="0" w:line="187"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7"/>
          <w:szCs w:val="17"/>
          <w:u w:val="single" w:color="auto"/>
          <w:color w:val="auto"/>
        </w:rPr>
        <w:t xml:space="preserve">Section 5.09 </w:t>
      </w:r>
      <w:r>
        <w:rPr>
          <w:rFonts w:ascii="Arial" w:cs="Arial" w:eastAsia="Arial" w:hAnsi="Arial"/>
          <w:sz w:val="17"/>
          <w:szCs w:val="17"/>
          <w:color w:val="auto"/>
        </w:rPr>
        <w:t>of the Existing Credit Agreement is hereby amended and restated in its entirety to read as follows:</w:t>
      </w:r>
    </w:p>
    <w:p>
      <w:pPr>
        <w:spacing w:after="0" w:line="206" w:lineRule="exact"/>
        <w:rPr>
          <w:sz w:val="20"/>
          <w:szCs w:val="20"/>
          <w:color w:val="auto"/>
        </w:rPr>
      </w:pPr>
    </w:p>
    <w:p>
      <w:pPr>
        <w:jc w:val="both"/>
        <w:ind w:left="880" w:firstLine="804"/>
        <w:spacing w:after="0" w:line="297" w:lineRule="auto"/>
        <w:rPr>
          <w:sz w:val="20"/>
          <w:szCs w:val="20"/>
          <w:color w:val="auto"/>
        </w:rPr>
      </w:pPr>
      <w:r>
        <w:rPr>
          <w:rFonts w:ascii="Arial" w:cs="Arial" w:eastAsia="Arial" w:hAnsi="Arial"/>
          <w:sz w:val="17"/>
          <w:szCs w:val="17"/>
          <w:b w:val="1"/>
          <w:bCs w:val="1"/>
          <w:color w:val="auto"/>
        </w:rPr>
        <w:t>5.09 Title to Properties</w:t>
      </w:r>
      <w:r>
        <w:rPr>
          <w:rFonts w:ascii="Arial" w:cs="Arial" w:eastAsia="Arial" w:hAnsi="Arial"/>
          <w:sz w:val="17"/>
          <w:szCs w:val="17"/>
          <w:color w:val="auto"/>
        </w:rPr>
        <w:t>. The Borrower and each Subsidiary have good record and marketable title in fee simple to,</w:t>
      </w:r>
      <w:r>
        <w:rPr>
          <w:rFonts w:ascii="Arial" w:cs="Arial" w:eastAsia="Arial" w:hAnsi="Arial"/>
          <w:sz w:val="17"/>
          <w:szCs w:val="17"/>
          <w:b w:val="1"/>
          <w:bCs w:val="1"/>
          <w:color w:val="auto"/>
        </w:rPr>
        <w:t xml:space="preserve"> </w:t>
      </w:r>
      <w:r>
        <w:rPr>
          <w:rFonts w:ascii="Arial" w:cs="Arial" w:eastAsia="Arial" w:hAnsi="Arial"/>
          <w:sz w:val="17"/>
          <w:szCs w:val="17"/>
          <w:color w:val="auto"/>
        </w:rPr>
        <w:t>or valid leasehold interests in or rights to operate, all real property necessary or used in the ordinary conduct of their respective businesses, except for such defects in title as could not, individually or in the aggregate, have a Material Adverse Effect. As of the Effective Date, the property of the Borrower and its Subsidiaries (other than any Allied Unrestricted Subsidiary, Securitization Subsidiary or any Republic Insurance Entity) is subject to no Liens, other than Permitted Liens.</w:t>
      </w:r>
    </w:p>
    <w:p>
      <w:pPr>
        <w:spacing w:after="0" w:line="149" w:lineRule="exact"/>
        <w:rPr>
          <w:sz w:val="20"/>
          <w:szCs w:val="20"/>
          <w:color w:val="auto"/>
        </w:rPr>
      </w:pPr>
    </w:p>
    <w:p>
      <w:pPr>
        <w:jc w:val="center"/>
        <w:ind w:right="20"/>
        <w:spacing w:after="0"/>
        <w:tabs>
          <w:tab w:leader="none" w:pos="18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7"/>
          <w:szCs w:val="17"/>
          <w:u w:val="single" w:color="auto"/>
          <w:color w:val="auto"/>
        </w:rPr>
        <w:t xml:space="preserve">Section 7.01 </w:t>
      </w:r>
      <w:r>
        <w:rPr>
          <w:rFonts w:ascii="Arial" w:cs="Arial" w:eastAsia="Arial" w:hAnsi="Arial"/>
          <w:sz w:val="17"/>
          <w:szCs w:val="17"/>
          <w:color w:val="auto"/>
        </w:rPr>
        <w:t>of the Existing Credit Agreement is hereby amended and restated in its entirety to read as follows:</w:t>
      </w:r>
    </w:p>
    <w:p>
      <w:pPr>
        <w:spacing w:after="0" w:line="99" w:lineRule="exact"/>
        <w:rPr>
          <w:sz w:val="20"/>
          <w:szCs w:val="20"/>
          <w:color w:val="auto"/>
        </w:rPr>
      </w:pPr>
    </w:p>
    <w:p>
      <w:pPr>
        <w:jc w:val="both"/>
        <w:ind w:left="880" w:firstLine="804"/>
        <w:spacing w:after="0" w:line="263" w:lineRule="auto"/>
        <w:rPr>
          <w:sz w:val="20"/>
          <w:szCs w:val="20"/>
          <w:color w:val="auto"/>
        </w:rPr>
      </w:pPr>
      <w:r>
        <w:rPr>
          <w:rFonts w:ascii="Arial" w:cs="Arial" w:eastAsia="Arial" w:hAnsi="Arial"/>
          <w:sz w:val="19"/>
          <w:szCs w:val="19"/>
          <w:b w:val="1"/>
          <w:bCs w:val="1"/>
          <w:color w:val="auto"/>
        </w:rPr>
        <w:t>7.01 Financial Condition Covenant - Total Debt to EBITDA Ratio</w:t>
      </w:r>
      <w:r>
        <w:rPr>
          <w:rFonts w:ascii="Arial" w:cs="Arial" w:eastAsia="Arial" w:hAnsi="Arial"/>
          <w:sz w:val="19"/>
          <w:szCs w:val="19"/>
          <w:color w:val="auto"/>
        </w:rPr>
        <w:t>. The Borrower shall not permit the Total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Debt to EBITDA Ratio as of the last day of any fiscal quarter to be greater than 3.75 to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one or more Acquisitions permitted hereunder involving aggregate consideration in excess of $200,000,000 occur during a fiscal quarter, the Borrower shall have the right to elect to increase the maximum permitted Total Debt to EBITDA Ratio</w:t>
      </w:r>
    </w:p>
    <w:p>
      <w:pPr>
        <w:sectPr>
          <w:pgSz w:w="11900" w:h="16838" w:orient="portrait"/>
          <w:cols w:equalWidth="0" w:num="1">
            <w:col w:w="10920"/>
          </w:cols>
          <w:pgMar w:left="480" w:top="118" w:right="499" w:bottom="1440" w:gutter="0" w:footer="0" w:header="0"/>
        </w:sectPr>
      </w:pPr>
    </w:p>
    <w:bookmarkStart w:id="145" w:name="page146"/>
    <w:bookmarkEnd w:id="145"/>
    <w:p>
      <w:pPr>
        <w:jc w:val="both"/>
        <w:ind w:left="880"/>
        <w:spacing w:after="0" w:line="25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required to be maintained by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to 4.25 to 1.00 during the fiscal quarter in which such permitted Acquisition or permitted Acquisitions, as the case may be, is consummated (the “</w:t>
      </w:r>
      <w:r>
        <w:rPr>
          <w:rFonts w:ascii="Arial" w:cs="Arial" w:eastAsia="Arial" w:hAnsi="Arial"/>
          <w:sz w:val="19"/>
          <w:szCs w:val="19"/>
          <w:u w:val="single" w:color="auto"/>
          <w:color w:val="auto"/>
        </w:rPr>
        <w:t>Trigger Quarter</w:t>
      </w:r>
      <w:r>
        <w:rPr>
          <w:rFonts w:ascii="Arial" w:cs="Arial" w:eastAsia="Arial" w:hAnsi="Arial"/>
          <w:sz w:val="19"/>
          <w:szCs w:val="19"/>
          <w:color w:val="auto"/>
        </w:rPr>
        <w:t>”) and each of the following three fiscal quarters following the Trigger Quarter (such period, the “</w:t>
      </w:r>
      <w:r>
        <w:rPr>
          <w:rFonts w:ascii="Arial" w:cs="Arial" w:eastAsia="Arial" w:hAnsi="Arial"/>
          <w:sz w:val="19"/>
          <w:szCs w:val="19"/>
          <w:u w:val="single" w:color="auto"/>
          <w:color w:val="auto"/>
        </w:rPr>
        <w:t>Elevated Ratio Period</w:t>
      </w:r>
      <w:r>
        <w:rPr>
          <w:rFonts w:ascii="Arial" w:cs="Arial" w:eastAsia="Arial" w:hAnsi="Arial"/>
          <w:sz w:val="19"/>
          <w:szCs w:val="19"/>
          <w:color w:val="auto"/>
        </w:rPr>
        <w:t xml:space="preserve">”) so long as there is at least one fiscal quarter end after the end of each Elevated Ratio Period at which the Total Debt to EBITDA Ratio is less than or equal to 3.75 to 1.00; provided that there shall be no more than two Elevated Ratio Periods during the term of this Agreement. Such election shall be made by the delivery of a written notice by the Borrower to the Administrative Agent making reference to this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and notifying the Administrative Agent of the Borrower’s exercise of this right on or prior to the date of the actual or required delivery of a Compliance Certificate for the Trigger Quarter.</w:t>
      </w:r>
    </w:p>
    <w:p>
      <w:pPr>
        <w:spacing w:after="0" w:line="185" w:lineRule="exact"/>
        <w:rPr>
          <w:sz w:val="20"/>
          <w:szCs w:val="20"/>
          <w:color w:val="auto"/>
        </w:rPr>
      </w:pPr>
    </w:p>
    <w:p>
      <w:pPr>
        <w:ind w:firstLine="875"/>
        <w:spacing w:after="0" w:line="257" w:lineRule="auto"/>
        <w:tabs>
          <w:tab w:leader="none" w:pos="1405"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The introductory paragraph of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of the Existing Credit Agreement is hereby amended and restated in its entirety to read as follows:</w:t>
      </w:r>
    </w:p>
    <w:p>
      <w:pPr>
        <w:spacing w:after="0" w:line="171" w:lineRule="exact"/>
        <w:rPr>
          <w:sz w:val="20"/>
          <w:szCs w:val="20"/>
          <w:color w:val="auto"/>
        </w:rPr>
      </w:pPr>
    </w:p>
    <w:p>
      <w:pPr>
        <w:jc w:val="both"/>
        <w:ind w:left="880" w:firstLine="804"/>
        <w:spacing w:after="0" w:line="244" w:lineRule="auto"/>
        <w:rPr>
          <w:sz w:val="20"/>
          <w:szCs w:val="20"/>
          <w:color w:val="auto"/>
        </w:rPr>
      </w:pPr>
      <w:r>
        <w:rPr>
          <w:rFonts w:ascii="Arial" w:cs="Arial" w:eastAsia="Arial" w:hAnsi="Arial"/>
          <w:sz w:val="20"/>
          <w:szCs w:val="20"/>
          <w:b w:val="1"/>
          <w:bCs w:val="1"/>
          <w:color w:val="auto"/>
        </w:rPr>
        <w:t>7.03 Disposition of Assets</w:t>
      </w:r>
      <w:r>
        <w:rPr>
          <w:rFonts w:ascii="Arial" w:cs="Arial" w:eastAsia="Arial" w:hAnsi="Arial"/>
          <w:sz w:val="20"/>
          <w:szCs w:val="20"/>
          <w:color w:val="auto"/>
        </w:rPr>
        <w:t>. The Borrower shall not, and shall not permit any Subsidiary (other than any Allied</w:t>
      </w:r>
      <w:r>
        <w:rPr>
          <w:rFonts w:ascii="Arial" w:cs="Arial" w:eastAsia="Arial" w:hAnsi="Arial"/>
          <w:sz w:val="20"/>
          <w:szCs w:val="20"/>
          <w:b w:val="1"/>
          <w:bCs w:val="1"/>
          <w:color w:val="auto"/>
        </w:rPr>
        <w:t xml:space="preserve"> </w:t>
      </w:r>
      <w:r>
        <w:rPr>
          <w:rFonts w:ascii="Arial" w:cs="Arial" w:eastAsia="Arial" w:hAnsi="Arial"/>
          <w:sz w:val="20"/>
          <w:szCs w:val="20"/>
          <w:color w:val="auto"/>
        </w:rPr>
        <w:t>Unrestricted Subsidiary, Securitization Subsidiary or any Republic Insurance Entity) to, directly or indirectly, sell, assign, lease, convey, transfer or otherwise dispose of (whether in one or a series of transactions) any property (including accounts and notes receivable, with or without recourse) or enter into any agreement to do any of the foregoing (including any sale-leaseback), except:</w:t>
      </w:r>
    </w:p>
    <w:p>
      <w:pPr>
        <w:spacing w:after="0" w:line="189" w:lineRule="exact"/>
        <w:rPr>
          <w:sz w:val="20"/>
          <w:szCs w:val="20"/>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7"/>
          <w:szCs w:val="17"/>
          <w:u w:val="single" w:color="auto"/>
          <w:color w:val="auto"/>
        </w:rPr>
        <w:t xml:space="preserve">Section 7.12 </w:t>
      </w:r>
      <w:r>
        <w:rPr>
          <w:rFonts w:ascii="Arial" w:cs="Arial" w:eastAsia="Arial" w:hAnsi="Arial"/>
          <w:sz w:val="17"/>
          <w:szCs w:val="17"/>
          <w:color w:val="auto"/>
        </w:rPr>
        <w:t>of the Existing Credit Agreement is hereby amended and restated in its entirety to read as follows:</w:t>
      </w:r>
    </w:p>
    <w:p>
      <w:pPr>
        <w:spacing w:after="0" w:line="206" w:lineRule="exact"/>
        <w:rPr>
          <w:sz w:val="20"/>
          <w:szCs w:val="20"/>
          <w:color w:val="auto"/>
        </w:rPr>
      </w:pPr>
    </w:p>
    <w:p>
      <w:pPr>
        <w:jc w:val="both"/>
        <w:ind w:left="880" w:firstLine="804"/>
        <w:spacing w:after="0" w:line="292" w:lineRule="auto"/>
        <w:rPr>
          <w:sz w:val="20"/>
          <w:szCs w:val="20"/>
          <w:color w:val="auto"/>
        </w:rPr>
      </w:pPr>
      <w:r>
        <w:rPr>
          <w:rFonts w:ascii="Arial" w:cs="Arial" w:eastAsia="Arial" w:hAnsi="Arial"/>
          <w:sz w:val="17"/>
          <w:szCs w:val="17"/>
          <w:b w:val="1"/>
          <w:bCs w:val="1"/>
          <w:color w:val="auto"/>
        </w:rPr>
        <w:t>7.12 Burdensome Agreements</w:t>
      </w:r>
      <w:r>
        <w:rPr>
          <w:rFonts w:ascii="Arial" w:cs="Arial" w:eastAsia="Arial" w:hAnsi="Arial"/>
          <w:sz w:val="17"/>
          <w:szCs w:val="17"/>
          <w:color w:val="auto"/>
        </w:rPr>
        <w:t>. The Borrower shall not, and shall not permit any Subsidiary (other than any</w:t>
      </w:r>
      <w:r>
        <w:rPr>
          <w:rFonts w:ascii="Arial" w:cs="Arial" w:eastAsia="Arial" w:hAnsi="Arial"/>
          <w:sz w:val="17"/>
          <w:szCs w:val="17"/>
          <w:b w:val="1"/>
          <w:bCs w:val="1"/>
          <w:color w:val="auto"/>
        </w:rPr>
        <w:t xml:space="preserve"> </w:t>
      </w:r>
      <w:r>
        <w:rPr>
          <w:rFonts w:ascii="Arial" w:cs="Arial" w:eastAsia="Arial" w:hAnsi="Arial"/>
          <w:sz w:val="17"/>
          <w:szCs w:val="17"/>
          <w:color w:val="auto"/>
        </w:rPr>
        <w:t>Excluded Subsidiary) to, enter into any Contractual Obligation (other than this Agreement and any other Loan Document) that</w:t>
      </w:r>
    </w:p>
    <w:p>
      <w:pPr>
        <w:spacing w:after="0" w:line="2" w:lineRule="exact"/>
        <w:rPr>
          <w:sz w:val="20"/>
          <w:szCs w:val="20"/>
          <w:color w:val="auto"/>
        </w:rPr>
      </w:pPr>
    </w:p>
    <w:p>
      <w:pPr>
        <w:jc w:val="both"/>
        <w:ind w:left="880" w:hanging="5"/>
        <w:spacing w:after="0" w:line="284" w:lineRule="auto"/>
        <w:tabs>
          <w:tab w:leader="none" w:pos="115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limits the ability (i) of any Subsidiary (other than an Excluded Subsidiary) to make Restricted Payments to the Borrower or to otherwise transfer property to the Borrower, (ii) of any Subsidiary (other than an Excluded Subsidiary) to guarantee the Indebtedness of the Borrower or (iii) of the Borrower or any Subsidiary (other than an Excluded Subsidiary) to create, incur, assume or suffer to exist Liens on property of such Person; or (b) requires the grant of a Lien to secure an obligation of such Person upon a Lien being granted to secure another obligation of such Person; except, in each case, (1) as required under applicable Requirements of Law, (2) as required under the Loan Documents, (3) for Permitted Liens, (4) for restrictions in any other agreement governing other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Indebtedness of the Borrower permitted hereunder (including any Senior Note Indenture and that certain Credit Agreement dated as of August 25, 2020, among the Borrower, the lenders from time to time party thereto and Bank of America, N.A., as administrative agent thereunder (the “</w:t>
      </w:r>
      <w:r>
        <w:rPr>
          <w:rFonts w:ascii="Arial" w:cs="Arial" w:eastAsia="Arial" w:hAnsi="Arial"/>
          <w:sz w:val="17"/>
          <w:szCs w:val="17"/>
          <w:u w:val="single" w:color="auto"/>
          <w:color w:val="auto"/>
        </w:rPr>
        <w:t>364-Day Credit Agreement</w:t>
      </w:r>
      <w:r>
        <w:rPr>
          <w:rFonts w:ascii="Arial" w:cs="Arial" w:eastAsia="Arial" w:hAnsi="Arial"/>
          <w:sz w:val="17"/>
          <w:szCs w:val="17"/>
          <w:color w:val="auto"/>
        </w:rPr>
        <w:t xml:space="preserve">”)) that is substantively similar to, or less restrictive than, the Senior Note Indentures that are in effect on the Effective Date or the 364-Day Credit Agreement that is in effect on the date of such agreement, (5) for prohibitions on assignment or transfer contained in leases and (6) as set forth in </w:t>
      </w:r>
      <w:r>
        <w:rPr>
          <w:rFonts w:ascii="Arial" w:cs="Arial" w:eastAsia="Arial" w:hAnsi="Arial"/>
          <w:sz w:val="17"/>
          <w:szCs w:val="17"/>
          <w:u w:val="single" w:color="auto"/>
          <w:color w:val="auto"/>
        </w:rPr>
        <w:t>Schedule 7.12</w:t>
      </w:r>
      <w:r>
        <w:rPr>
          <w:rFonts w:ascii="Arial" w:cs="Arial" w:eastAsia="Arial" w:hAnsi="Arial"/>
          <w:sz w:val="17"/>
          <w:szCs w:val="17"/>
          <w:color w:val="auto"/>
        </w:rPr>
        <w:t>.</w:t>
      </w:r>
    </w:p>
    <w:p>
      <w:pPr>
        <w:spacing w:after="0" w:line="385" w:lineRule="exact"/>
        <w:rPr>
          <w:sz w:val="20"/>
          <w:szCs w:val="20"/>
          <w:color w:val="auto"/>
        </w:rPr>
      </w:pPr>
    </w:p>
    <w:p>
      <w:pPr>
        <w:jc w:val="both"/>
        <w:ind w:firstLine="875"/>
        <w:spacing w:after="0" w:line="295" w:lineRule="auto"/>
        <w:tabs>
          <w:tab w:leader="none" w:pos="1405"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Conditions Precedent to Amendment</w:t>
      </w:r>
      <w:r>
        <w:rPr>
          <w:rFonts w:ascii="Arial" w:cs="Arial" w:eastAsia="Arial" w:hAnsi="Arial"/>
          <w:sz w:val="17"/>
          <w:szCs w:val="17"/>
          <w:color w:val="auto"/>
        </w:rPr>
        <w:t xml:space="preserve">. The effectiveness of this Amendment is subject to (a) the accuracy of the representations and warranties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 on the date hereof, (b) the Administrative Agent’s receipt of counterparts of this Amendment duly executed and delivered by the Borrower, the Administrative Agent and the Required Lenders, and (c) unless waived by the Administrative Agent, the payment of all fees and expenses of the Administrative Agent and the Lenders (including the reasonable fees and expenses of counsel to the Administrative Agent to the extent invoiced prior to the date hereof) in connection with this Amendment.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920"/>
          </w:cols>
          <w:pgMar w:left="480" w:top="270" w:right="499" w:bottom="1440" w:gutter="0" w:footer="0" w:header="0"/>
        </w:sectPr>
      </w:pPr>
    </w:p>
    <w:bookmarkStart w:id="146" w:name="page147"/>
    <w:bookmarkEnd w:id="146"/>
    <w:p>
      <w:pPr>
        <w:ind w:firstLine="875"/>
        <w:spacing w:after="0" w:line="257" w:lineRule="auto"/>
        <w:tabs>
          <w:tab w:leader="none" w:pos="1418"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Representations and Warranties</w:t>
      </w:r>
      <w:r>
        <w:rPr>
          <w:rFonts w:ascii="Arial" w:cs="Arial" w:eastAsia="Arial" w:hAnsi="Arial"/>
          <w:sz w:val="20"/>
          <w:szCs w:val="20"/>
          <w:color w:val="auto"/>
        </w:rPr>
        <w:t>. In order to induce the Administrative Agent and the Lenders to enter into this Amendment, the Borrower represents and warrants to the Administrative Agent and the Lenders as follows:</w:t>
      </w:r>
    </w:p>
    <w:p>
      <w:pPr>
        <w:spacing w:after="0" w:line="204" w:lineRule="exact"/>
        <w:rPr>
          <w:sz w:val="20"/>
          <w:szCs w:val="20"/>
          <w:color w:val="auto"/>
        </w:rPr>
      </w:pPr>
    </w:p>
    <w:p>
      <w:pPr>
        <w:jc w:val="both"/>
        <w:ind w:left="1740" w:hanging="869"/>
        <w:spacing w:after="0" w:line="288" w:lineRule="auto"/>
        <w:tabs>
          <w:tab w:leader="none" w:pos="17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and in the other Loan Documents are true and correct in all material respects (except, if a qualifier relating to materiality, Material Adverse Effect or a similar concept applies, such representation or warranty is true and correct in all respects) on and as of the date hereof, except to the extent that such representations and warranties specifically refer to an earlier date, in which case they are true and correct in all material respects (except, if a qualifier relating to materiality, Material Adverse Effect or a similar concept applies, such representation or warranty is true and correct in all respects) as of such earlier date and except that the representations and warranties in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85" w:lineRule="exact"/>
        <w:rPr>
          <w:rFonts w:ascii="Arial" w:cs="Arial" w:eastAsia="Arial" w:hAnsi="Arial"/>
          <w:sz w:val="17"/>
          <w:szCs w:val="17"/>
          <w:color w:val="auto"/>
        </w:rPr>
      </w:pPr>
    </w:p>
    <w:p>
      <w:pPr>
        <w:ind w:left="1740" w:hanging="869"/>
        <w:spacing w:after="0" w:line="345" w:lineRule="auto"/>
        <w:tabs>
          <w:tab w:leader="none" w:pos="17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Since the date of the Audited Financial Statements, there has been no event or circumstance, either individually or in the aggregate, that has had or could reasonably be expected to have a Material Adverse Effect.</w:t>
      </w:r>
    </w:p>
    <w:p>
      <w:pPr>
        <w:spacing w:after="0" w:line="134" w:lineRule="exact"/>
        <w:rPr>
          <w:rFonts w:ascii="Arial" w:cs="Arial" w:eastAsia="Arial" w:hAnsi="Arial"/>
          <w:sz w:val="17"/>
          <w:szCs w:val="17"/>
          <w:color w:val="auto"/>
        </w:rPr>
      </w:pPr>
    </w:p>
    <w:p>
      <w:pPr>
        <w:jc w:val="both"/>
        <w:ind w:left="1740" w:hanging="869"/>
        <w:spacing w:after="0" w:line="312" w:lineRule="auto"/>
        <w:tabs>
          <w:tab w:leader="none" w:pos="17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This Amendment has been duly authorized, executed and delivered by, and constitutes a legal, valid and binding obligation of, the Borrower, except as may be limited by general principles of equity or by the effect of any applicable bankruptcy, insolvency, reorganization, moratorium or similar law affecting creditors’ rights generally.</w:t>
      </w:r>
    </w:p>
    <w:p>
      <w:pPr>
        <w:spacing w:after="0" w:line="161" w:lineRule="exact"/>
        <w:rPr>
          <w:rFonts w:ascii="Arial" w:cs="Arial" w:eastAsia="Arial" w:hAnsi="Arial"/>
          <w:sz w:val="17"/>
          <w:szCs w:val="17"/>
          <w:color w:val="auto"/>
        </w:rPr>
      </w:pPr>
    </w:p>
    <w:p>
      <w:pPr>
        <w:ind w:left="1740" w:hanging="869"/>
        <w:spacing w:after="0" w:line="257" w:lineRule="auto"/>
        <w:tabs>
          <w:tab w:leader="none" w:pos="174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as of the date hereof or would result after giving effect to this Amendment and the transactions contemplated hereby.</w:t>
      </w:r>
    </w:p>
    <w:p>
      <w:pPr>
        <w:spacing w:after="0" w:line="176" w:lineRule="exact"/>
        <w:rPr>
          <w:rFonts w:ascii="Arial" w:cs="Arial" w:eastAsia="Arial" w:hAnsi="Arial"/>
          <w:sz w:val="20"/>
          <w:szCs w:val="20"/>
          <w:color w:val="auto"/>
        </w:rPr>
      </w:pPr>
    </w:p>
    <w:p>
      <w:pPr>
        <w:jc w:val="both"/>
        <w:ind w:firstLine="875"/>
        <w:spacing w:after="0" w:line="288" w:lineRule="auto"/>
        <w:tabs>
          <w:tab w:leader="none" w:pos="1298"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together with the Loan Documents (collectively, the “</w:t>
      </w:r>
      <w:r>
        <w:rPr>
          <w:rFonts w:ascii="Arial" w:cs="Arial" w:eastAsia="Arial" w:hAnsi="Arial"/>
          <w:sz w:val="17"/>
          <w:szCs w:val="17"/>
          <w:u w:val="single" w:color="auto"/>
          <w:color w:val="auto"/>
        </w:rPr>
        <w:t>Relevant Documents</w:t>
      </w:r>
      <w:r>
        <w:rPr>
          <w:rFonts w:ascii="Arial" w:cs="Arial" w:eastAsia="Arial" w:hAnsi="Arial"/>
          <w:sz w:val="17"/>
          <w:szCs w:val="17"/>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of the Credit Agreement.</w:t>
      </w:r>
    </w:p>
    <w:p>
      <w:pPr>
        <w:spacing w:after="0" w:line="158" w:lineRule="exact"/>
        <w:rPr>
          <w:rFonts w:ascii="Arial" w:cs="Arial" w:eastAsia="Arial" w:hAnsi="Arial"/>
          <w:sz w:val="17"/>
          <w:szCs w:val="17"/>
          <w:color w:val="auto"/>
        </w:rPr>
      </w:pPr>
    </w:p>
    <w:p>
      <w:pPr>
        <w:jc w:val="both"/>
        <w:ind w:firstLine="875"/>
        <w:spacing w:after="0" w:line="242" w:lineRule="auto"/>
        <w:tabs>
          <w:tab w:leader="none" w:pos="1338"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Full Force and Effect of Amendment</w:t>
      </w:r>
      <w:r>
        <w:rPr>
          <w:rFonts w:ascii="Arial" w:cs="Arial" w:eastAsia="Arial" w:hAnsi="Arial"/>
          <w:sz w:val="20"/>
          <w:szCs w:val="20"/>
          <w:color w:val="auto"/>
        </w:rPr>
        <w:t>. Except as hereby specifically amended, modified or supplemented, the Credit Agreement and all other Loan Documents are hereby confirmed and ratified in all respects and shall be and remain in full force and effect according to their respective terms. The execution, delivery and performance of this Amendment shall not constitute a waiver of any provision of, or operate as a waiver of any right, power or remedy of any Lender under the Credit Agreement or any of the other Loan Documents.</w:t>
      </w:r>
    </w:p>
    <w:p>
      <w:pPr>
        <w:spacing w:after="0" w:line="192" w:lineRule="exact"/>
        <w:rPr>
          <w:rFonts w:ascii="Arial" w:cs="Arial" w:eastAsia="Arial" w:hAnsi="Arial"/>
          <w:sz w:val="20"/>
          <w:szCs w:val="20"/>
          <w:color w:val="auto"/>
        </w:rPr>
      </w:pPr>
    </w:p>
    <w:p>
      <w:pPr>
        <w:jc w:val="both"/>
        <w:ind w:firstLine="875"/>
        <w:spacing w:after="0" w:line="247" w:lineRule="auto"/>
        <w:tabs>
          <w:tab w:leader="none" w:pos="1217"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20"/>
          </w:cols>
          <w:pgMar w:left="480" w:top="270" w:right="499" w:bottom="1440" w:gutter="0" w:footer="0" w:header="0"/>
        </w:sectPr>
      </w:pPr>
    </w:p>
    <w:bookmarkStart w:id="147" w:name="page148"/>
    <w:bookmarkEnd w:id="147"/>
    <w:p>
      <w:pPr>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page of this Amendment by telecopy, facsimile or other electronic transmission (including .PDF) shall be effective as delivery of a manually executed counterpart of this Amendment.</w:t>
      </w:r>
    </w:p>
    <w:p>
      <w:pPr>
        <w:spacing w:after="0" w:line="177" w:lineRule="exact"/>
        <w:rPr>
          <w:sz w:val="20"/>
          <w:szCs w:val="20"/>
          <w:color w:val="auto"/>
        </w:rPr>
      </w:pPr>
    </w:p>
    <w:p>
      <w:pPr>
        <w:ind w:firstLine="875"/>
        <w:spacing w:after="0" w:line="283" w:lineRule="auto"/>
        <w:tabs>
          <w:tab w:leader="none" w:pos="1257"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Governing Law; Jurisdiction, Etc</w:t>
      </w:r>
      <w:r>
        <w:rPr>
          <w:rFonts w:ascii="Arial" w:cs="Arial" w:eastAsia="Arial" w:hAnsi="Arial"/>
          <w:sz w:val="19"/>
          <w:szCs w:val="19"/>
          <w:color w:val="auto"/>
        </w:rPr>
        <w:t xml:space="preserve">. This Amendment shall be governed by, and construed in accordance with, the laws of the State of New York, and shall be further subject to the provisions of </w:t>
      </w:r>
      <w:r>
        <w:rPr>
          <w:rFonts w:ascii="Arial" w:cs="Arial" w:eastAsia="Arial" w:hAnsi="Arial"/>
          <w:sz w:val="19"/>
          <w:szCs w:val="19"/>
          <w:u w:val="single" w:color="auto"/>
          <w:color w:val="auto"/>
        </w:rPr>
        <w:t>Sections 10.14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10.15</w:t>
      </w:r>
      <w:r>
        <w:rPr>
          <w:rFonts w:ascii="Arial" w:cs="Arial" w:eastAsia="Arial" w:hAnsi="Arial"/>
          <w:sz w:val="19"/>
          <w:szCs w:val="19"/>
          <w:color w:val="auto"/>
        </w:rPr>
        <w:t xml:space="preserve"> of the Credit Agreement.</w:t>
      </w:r>
    </w:p>
    <w:p>
      <w:pPr>
        <w:spacing w:after="0" w:line="154" w:lineRule="exact"/>
        <w:rPr>
          <w:rFonts w:ascii="Arial" w:cs="Arial" w:eastAsia="Arial" w:hAnsi="Arial"/>
          <w:sz w:val="19"/>
          <w:szCs w:val="19"/>
          <w:color w:val="auto"/>
        </w:rPr>
      </w:pPr>
    </w:p>
    <w:p>
      <w:pPr>
        <w:ind w:firstLine="875"/>
        <w:spacing w:after="0" w:line="345" w:lineRule="auto"/>
        <w:tabs>
          <w:tab w:leader="none" w:pos="1244" w:val="left"/>
        </w:tabs>
        <w:numPr>
          <w:ilvl w:val="0"/>
          <w:numId w:val="145"/>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07" w:lineRule="exact"/>
        <w:rPr>
          <w:rFonts w:ascii="Arial" w:cs="Arial" w:eastAsia="Arial" w:hAnsi="Arial"/>
          <w:sz w:val="17"/>
          <w:szCs w:val="17"/>
          <w:color w:val="auto"/>
        </w:rPr>
      </w:pPr>
    </w:p>
    <w:p>
      <w:pPr>
        <w:ind w:firstLine="875"/>
        <w:spacing w:after="0" w:line="257" w:lineRule="auto"/>
        <w:tabs>
          <w:tab w:leader="none" w:pos="1244"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References</w:t>
      </w:r>
      <w:r>
        <w:rPr>
          <w:rFonts w:ascii="Arial" w:cs="Arial" w:eastAsia="Arial" w:hAnsi="Arial"/>
          <w:sz w:val="20"/>
          <w:szCs w:val="20"/>
          <w:color w:val="auto"/>
        </w:rPr>
        <w:t>. This Amendment shall constitute a Loan Document and all references in any of the other Loan Documents to the “Credit Agreement” shall mean the Credit Agreement, as amended hereby.</w:t>
      </w:r>
    </w:p>
    <w:p>
      <w:pPr>
        <w:spacing w:after="0" w:line="176" w:lineRule="exact"/>
        <w:rPr>
          <w:rFonts w:ascii="Arial" w:cs="Arial" w:eastAsia="Arial" w:hAnsi="Arial"/>
          <w:sz w:val="20"/>
          <w:szCs w:val="20"/>
          <w:color w:val="auto"/>
        </w:rPr>
      </w:pPr>
    </w:p>
    <w:p>
      <w:pPr>
        <w:jc w:val="both"/>
        <w:ind w:firstLine="875"/>
        <w:spacing w:after="0" w:line="247" w:lineRule="auto"/>
        <w:tabs>
          <w:tab w:leader="none" w:pos="1503"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Amendment shall be binding upon and inure to the benefit of the Borrower, the Administrative Agent, the Lenders and their respective successors and assignees to the extent such assignees are permitted assignees as provided in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of the Credit Agreement.</w:t>
      </w:r>
    </w:p>
    <w:p>
      <w:pPr>
        <w:spacing w:after="0" w:line="187" w:lineRule="exact"/>
        <w:rPr>
          <w:rFonts w:ascii="Arial" w:cs="Arial" w:eastAsia="Arial" w:hAnsi="Arial"/>
          <w:sz w:val="20"/>
          <w:szCs w:val="20"/>
          <w:color w:val="auto"/>
        </w:rPr>
      </w:pPr>
    </w:p>
    <w:p>
      <w:pPr>
        <w:jc w:val="both"/>
        <w:ind w:firstLine="875"/>
        <w:spacing w:after="0" w:line="258" w:lineRule="auto"/>
        <w:tabs>
          <w:tab w:leader="none" w:pos="1348"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Amendment is held to be illegal, invalid or unenforceable, (a) the legality, validity and 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 signature pages follow]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20"/>
          </w:cols>
          <w:pgMar w:left="480" w:top="270" w:right="499" w:bottom="1440" w:gutter="0" w:footer="0" w:header="0"/>
        </w:sectPr>
      </w:pPr>
    </w:p>
    <w:bookmarkStart w:id="148" w:name="page149"/>
    <w:bookmarkEnd w:id="148"/>
    <w:p>
      <w:pPr>
        <w:ind w:firstLine="874"/>
        <w:spacing w:after="0" w:line="263"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w:t>
      </w:r>
      <w:r>
        <w:rPr>
          <w:rFonts w:ascii="Arial" w:cs="Arial" w:eastAsia="Arial" w:hAnsi="Arial"/>
          <w:sz w:val="20"/>
          <w:szCs w:val="20"/>
          <w:color w:val="auto"/>
        </w:rPr>
        <w:t>, the parties hereto have caused this instrument to be made, executed and delivered by their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officers as of the day and year first above written.</w:t>
      </w:r>
    </w:p>
    <w:p>
      <w:pPr>
        <w:spacing w:after="0" w:line="192" w:lineRule="exact"/>
        <w:rPr>
          <w:sz w:val="20"/>
          <w:szCs w:val="20"/>
          <w:color w:val="auto"/>
        </w:rPr>
      </w:pPr>
    </w:p>
    <w:p>
      <w:pPr>
        <w:ind w:left="6460"/>
        <w:spacing w:after="0"/>
        <w:rPr>
          <w:sz w:val="20"/>
          <w:szCs w:val="20"/>
          <w:color w:val="auto"/>
        </w:rPr>
      </w:pPr>
      <w:r>
        <w:rPr>
          <w:rFonts w:ascii="Arial" w:cs="Arial" w:eastAsia="Arial" w:hAnsi="Arial"/>
          <w:sz w:val="20"/>
          <w:szCs w:val="20"/>
          <w:b w:val="1"/>
          <w:bCs w:val="1"/>
          <w:u w:val="single" w:color="auto"/>
          <w:color w:val="auto"/>
        </w:rPr>
        <w:t>BORROWER:</w:t>
      </w:r>
    </w:p>
    <w:p>
      <w:pPr>
        <w:spacing w:after="0" w:line="105" w:lineRule="exact"/>
        <w:rPr>
          <w:sz w:val="20"/>
          <w:szCs w:val="20"/>
          <w:color w:val="auto"/>
        </w:rPr>
      </w:pPr>
    </w:p>
    <w:p>
      <w:pPr>
        <w:ind w:left="6460"/>
        <w:spacing w:after="0"/>
        <w:rPr>
          <w:sz w:val="20"/>
          <w:szCs w:val="20"/>
          <w:color w:val="auto"/>
        </w:rPr>
      </w:pPr>
      <w:r>
        <w:rPr>
          <w:rFonts w:ascii="Arial" w:cs="Arial" w:eastAsia="Arial" w:hAnsi="Arial"/>
          <w:sz w:val="20"/>
          <w:szCs w:val="20"/>
          <w:b w:val="1"/>
          <w:bCs w:val="1"/>
          <w:color w:val="auto"/>
        </w:rPr>
        <w:t>REPUBLIC SERVICES, INC.</w:t>
      </w:r>
    </w:p>
    <w:p>
      <w:pPr>
        <w:spacing w:after="0" w:line="200" w:lineRule="exact"/>
        <w:rPr>
          <w:sz w:val="20"/>
          <w:szCs w:val="20"/>
          <w:color w:val="auto"/>
        </w:rPr>
      </w:pPr>
    </w:p>
    <w:p>
      <w:pPr>
        <w:spacing w:after="0" w:line="232"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By: /s/ Calvin R.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-15875</wp:posOffset>
            </wp:positionV>
            <wp:extent cx="18313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31340" cy="8255"/>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128270</wp:posOffset>
            </wp:positionV>
            <wp:extent cx="4673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205"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Name: Calvin R. Boyd</w:t>
      </w:r>
    </w:p>
    <w:p>
      <w:pPr>
        <w:spacing w:after="0" w:line="14"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Title:  Assistant Treasurer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3 to Credit Agreement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920"/>
          </w:cols>
          <w:pgMar w:left="480" w:top="264" w:right="499" w:bottom="1440" w:gutter="0" w:footer="0" w:header="0"/>
        </w:sectPr>
      </w:pPr>
    </w:p>
    <w:bookmarkStart w:id="149" w:name="page150"/>
    <w:bookmarkEnd w:id="149"/>
    <w:p>
      <w:pPr>
        <w:ind w:left="5380"/>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ADMINISTRATIVE AGENT</w:t>
      </w:r>
      <w:r>
        <w:rPr>
          <w:rFonts w:ascii="Arial" w:cs="Arial" w:eastAsia="Arial" w:hAnsi="Arial"/>
          <w:sz w:val="20"/>
          <w:szCs w:val="20"/>
          <w:color w:val="auto"/>
        </w:rPr>
        <w:t>:</w:t>
      </w:r>
    </w:p>
    <w:p>
      <w:pPr>
        <w:spacing w:after="0" w:line="172" w:lineRule="exact"/>
        <w:rPr>
          <w:sz w:val="20"/>
          <w:szCs w:val="20"/>
          <w:color w:val="auto"/>
        </w:rPr>
      </w:pPr>
    </w:p>
    <w:p>
      <w:pPr>
        <w:ind w:left="5380"/>
        <w:spacing w:after="0"/>
        <w:rPr>
          <w:sz w:val="20"/>
          <w:szCs w:val="20"/>
          <w:color w:val="auto"/>
        </w:rPr>
      </w:pPr>
      <w:r>
        <w:rPr>
          <w:rFonts w:ascii="Arial" w:cs="Arial" w:eastAsia="Arial" w:hAnsi="Arial"/>
          <w:sz w:val="19"/>
          <w:szCs w:val="19"/>
          <w:b w:val="1"/>
          <w:bCs w:val="1"/>
          <w:color w:val="auto"/>
        </w:rPr>
        <w:t xml:space="preserve">BANK OF AMERICA, N.A., </w:t>
      </w:r>
      <w:r>
        <w:rPr>
          <w:rFonts w:ascii="Arial" w:cs="Arial" w:eastAsia="Arial" w:hAnsi="Arial"/>
          <w:sz w:val="19"/>
          <w:szCs w:val="19"/>
          <w:color w:val="auto"/>
        </w:rPr>
        <w:t>as</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Administrative Agent</w:t>
      </w:r>
    </w:p>
    <w:p>
      <w:pPr>
        <w:spacing w:after="0" w:line="30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Mollie S. Canup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2466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4663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Mollie S. Canup</w:t>
      </w:r>
    </w:p>
    <w:p>
      <w:pPr>
        <w:ind w:left="5380"/>
        <w:spacing w:after="0"/>
        <w:rPr>
          <w:sz w:val="20"/>
          <w:szCs w:val="20"/>
          <w:color w:val="auto"/>
        </w:rPr>
      </w:pPr>
      <w:r>
        <w:rPr>
          <w:rFonts w:ascii="Arial" w:cs="Arial" w:eastAsia="Arial" w:hAnsi="Arial"/>
          <w:sz w:val="20"/>
          <w:szCs w:val="20"/>
          <w:color w:val="auto"/>
        </w:rPr>
        <w:t>Title:  Vice President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150" w:name="page151"/>
    <w:bookmarkEnd w:id="150"/>
    <w:p>
      <w:pPr>
        <w:ind w:left="5380"/>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LENDERS</w:t>
      </w:r>
      <w:r>
        <w:rPr>
          <w:rFonts w:ascii="Arial" w:cs="Arial" w:eastAsia="Arial" w:hAnsi="Arial"/>
          <w:sz w:val="20"/>
          <w:szCs w:val="20"/>
          <w:color w:val="auto"/>
        </w:rPr>
        <w:t>:</w:t>
      </w:r>
    </w:p>
    <w:p>
      <w:pPr>
        <w:spacing w:after="0" w:line="172"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 a Lender, L/C</w:t>
      </w:r>
    </w:p>
    <w:p>
      <w:pPr>
        <w:spacing w:after="0" w:line="5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Issuer and Swing Line Lender</w:t>
      </w:r>
    </w:p>
    <w:p>
      <w:pPr>
        <w:spacing w:after="0" w:line="30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Michael Contreras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0694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6946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Michael Contreras</w:t>
      </w:r>
    </w:p>
    <w:p>
      <w:pPr>
        <w:ind w:left="5380"/>
        <w:spacing w:after="0"/>
        <w:rPr>
          <w:sz w:val="20"/>
          <w:szCs w:val="20"/>
          <w:color w:val="auto"/>
        </w:rPr>
      </w:pPr>
      <w:r>
        <w:rPr>
          <w:rFonts w:ascii="Arial" w:cs="Arial" w:eastAsia="Arial" w:hAnsi="Arial"/>
          <w:sz w:val="20"/>
          <w:szCs w:val="20"/>
          <w:color w:val="auto"/>
        </w:rPr>
        <w:t>Title:  Director</w:t>
      </w:r>
    </w:p>
    <w:p>
      <w:pPr>
        <w:spacing w:after="0" w:line="13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140"/>
          </w:cols>
          <w:pgMar w:left="1440" w:top="264" w:right="1319" w:bottom="1440" w:gutter="0" w:footer="0" w:header="0"/>
        </w:sectPr>
      </w:pPr>
    </w:p>
    <w:bookmarkStart w:id="151" w:name="page152"/>
    <w:bookmarkEnd w:id="151"/>
    <w:p>
      <w:pPr>
        <w:ind w:left="53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JPMORGAN CHASE BANK, N.A., </w:t>
      </w:r>
      <w:r>
        <w:rPr>
          <w:rFonts w:ascii="Arial" w:cs="Arial" w:eastAsia="Arial" w:hAnsi="Arial"/>
          <w:sz w:val="17"/>
          <w:szCs w:val="17"/>
          <w:color w:val="auto"/>
        </w:rPr>
        <w:t>as a Lender</w:t>
      </w:r>
    </w:p>
    <w:p>
      <w:pPr>
        <w:spacing w:after="0" w:line="5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and L/C Issuer</w:t>
      </w:r>
    </w:p>
    <w:p>
      <w:pPr>
        <w:spacing w:after="0" w:line="30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Peter S. Predun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17932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Peter S. Predun</w:t>
      </w:r>
    </w:p>
    <w:p>
      <w:pPr>
        <w:ind w:left="5380"/>
        <w:spacing w:after="0"/>
        <w:rPr>
          <w:sz w:val="20"/>
          <w:szCs w:val="20"/>
          <w:color w:val="auto"/>
        </w:rPr>
      </w:pPr>
      <w:r>
        <w:rPr>
          <w:rFonts w:ascii="Arial" w:cs="Arial" w:eastAsia="Arial" w:hAnsi="Arial"/>
          <w:sz w:val="20"/>
          <w:szCs w:val="20"/>
          <w:color w:val="auto"/>
        </w:rPr>
        <w:t>Title:  Executive Director</w:t>
      </w:r>
    </w:p>
    <w:p>
      <w:pPr>
        <w:spacing w:after="0" w:line="13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340"/>
          </w:cols>
          <w:pgMar w:left="1440" w:top="264" w:right="1119" w:bottom="1440" w:gutter="0" w:footer="0" w:header="0"/>
        </w:sectPr>
      </w:pPr>
    </w:p>
    <w:bookmarkStart w:id="152" w:name="page153"/>
    <w:bookmarkEnd w:id="152"/>
    <w:p>
      <w:pPr>
        <w:ind w:left="538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WELLS FARGO BANK, NATIONAL</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 xml:space="preserve">ASSOCIATION, </w:t>
      </w:r>
      <w:r>
        <w:rPr>
          <w:rFonts w:ascii="Arial" w:cs="Arial" w:eastAsia="Arial" w:hAnsi="Arial"/>
          <w:sz w:val="17"/>
          <w:szCs w:val="17"/>
          <w:color w:val="auto"/>
        </w:rPr>
        <w:t>as a Lender and L/C Issuer</w:t>
      </w:r>
    </w:p>
    <w:p>
      <w:pPr>
        <w:spacing w:after="0" w:line="337"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Kara Treiber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17811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8117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Kara Treiber</w:t>
      </w:r>
    </w:p>
    <w:p>
      <w:pPr>
        <w:ind w:left="5380"/>
        <w:spacing w:after="0"/>
        <w:rPr>
          <w:sz w:val="20"/>
          <w:szCs w:val="20"/>
          <w:color w:val="auto"/>
        </w:rPr>
      </w:pPr>
      <w:r>
        <w:rPr>
          <w:rFonts w:ascii="Arial" w:cs="Arial" w:eastAsia="Arial" w:hAnsi="Arial"/>
          <w:sz w:val="20"/>
          <w:szCs w:val="20"/>
          <w:color w:val="auto"/>
        </w:rPr>
        <w:t>Title:  Director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153" w:name="page154"/>
    <w:bookmarkEnd w:id="153"/>
    <w:p>
      <w:pPr>
        <w:jc w:val="right"/>
        <w:ind w:right="5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BARCLAYS BANK PLC, </w:t>
      </w:r>
      <w:r>
        <w:rPr>
          <w:rFonts w:ascii="Arial" w:cs="Arial" w:eastAsia="Arial" w:hAnsi="Arial"/>
          <w:sz w:val="20"/>
          <w:szCs w:val="20"/>
          <w:color w:val="auto"/>
        </w:rPr>
        <w:t>as a Lender</w:t>
      </w:r>
    </w:p>
    <w:p>
      <w:pPr>
        <w:spacing w:after="0" w:line="32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Jake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17513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75133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Jake Lam</w:t>
      </w:r>
    </w:p>
    <w:p>
      <w:pPr>
        <w:ind w:left="5380"/>
        <w:spacing w:after="0"/>
        <w:rPr>
          <w:sz w:val="20"/>
          <w:szCs w:val="20"/>
          <w:color w:val="auto"/>
        </w:rPr>
      </w:pPr>
      <w:r>
        <w:rPr>
          <w:rFonts w:ascii="Arial" w:cs="Arial" w:eastAsia="Arial" w:hAnsi="Arial"/>
          <w:sz w:val="20"/>
          <w:szCs w:val="20"/>
          <w:color w:val="auto"/>
        </w:rPr>
        <w:t>Title:  Assistant Vice President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154" w:name="page155"/>
    <w:bookmarkEnd w:id="154"/>
    <w:p>
      <w:pPr>
        <w:jc w:val="right"/>
        <w:ind w:right="1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BNP PARIBAS, </w:t>
      </w:r>
      <w:r>
        <w:rPr>
          <w:rFonts w:ascii="Arial" w:cs="Arial" w:eastAsia="Arial" w:hAnsi="Arial"/>
          <w:sz w:val="20"/>
          <w:szCs w:val="20"/>
          <w:color w:val="auto"/>
        </w:rPr>
        <w:t>as a Lender and L/C Issuer</w:t>
      </w:r>
    </w:p>
    <w:p>
      <w:pPr>
        <w:spacing w:after="0" w:line="32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Mike Shryock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1043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0439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Mike Shryock</w:t>
      </w:r>
    </w:p>
    <w:p>
      <w:pPr>
        <w:ind w:left="5380"/>
        <w:spacing w:after="0"/>
        <w:rPr>
          <w:sz w:val="20"/>
          <w:szCs w:val="20"/>
          <w:color w:val="auto"/>
        </w:rPr>
      </w:pPr>
      <w:r>
        <w:rPr>
          <w:rFonts w:ascii="Arial" w:cs="Arial" w:eastAsia="Arial" w:hAnsi="Arial"/>
          <w:sz w:val="20"/>
          <w:szCs w:val="20"/>
          <w:color w:val="auto"/>
        </w:rPr>
        <w:t>Title:  Managing Director</w:t>
      </w:r>
    </w:p>
    <w:p>
      <w:pPr>
        <w:spacing w:after="0" w:line="30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Claudia Zarate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1316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3169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Claudia Zarate</w:t>
      </w:r>
    </w:p>
    <w:p>
      <w:pPr>
        <w:ind w:left="5380"/>
        <w:spacing w:after="0"/>
        <w:rPr>
          <w:sz w:val="20"/>
          <w:szCs w:val="20"/>
          <w:color w:val="auto"/>
        </w:rPr>
      </w:pPr>
      <w:r>
        <w:rPr>
          <w:rFonts w:ascii="Arial" w:cs="Arial" w:eastAsia="Arial" w:hAnsi="Arial"/>
          <w:sz w:val="20"/>
          <w:szCs w:val="20"/>
          <w:color w:val="auto"/>
        </w:rPr>
        <w:t>Title:  Managing Director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155" w:name="page156"/>
    <w:bookmarkEnd w:id="155"/>
    <w:p>
      <w:pPr>
        <w:ind w:left="53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MIZUHO BANK, LTD., </w:t>
      </w:r>
      <w:r>
        <w:rPr>
          <w:rFonts w:ascii="Arial" w:cs="Arial" w:eastAsia="Arial" w:hAnsi="Arial"/>
          <w:sz w:val="17"/>
          <w:szCs w:val="17"/>
          <w:color w:val="auto"/>
        </w:rPr>
        <w:t>as a Lender and L/C</w:t>
      </w:r>
    </w:p>
    <w:p>
      <w:pPr>
        <w:spacing w:after="0" w:line="5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Issuer</w:t>
      </w:r>
    </w:p>
    <w:p>
      <w:pPr>
        <w:spacing w:after="0" w:line="30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1253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2534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Donna DeMagistris</w:t>
      </w:r>
    </w:p>
    <w:p>
      <w:pPr>
        <w:ind w:left="5380"/>
        <w:spacing w:after="0"/>
        <w:rPr>
          <w:sz w:val="20"/>
          <w:szCs w:val="20"/>
          <w:color w:val="auto"/>
        </w:rPr>
      </w:pPr>
      <w:r>
        <w:rPr>
          <w:rFonts w:ascii="Arial" w:cs="Arial" w:eastAsia="Arial" w:hAnsi="Arial"/>
          <w:sz w:val="20"/>
          <w:szCs w:val="20"/>
          <w:color w:val="auto"/>
        </w:rPr>
        <w:t>Title:  Authorized Signatory</w:t>
      </w:r>
    </w:p>
    <w:p>
      <w:pPr>
        <w:spacing w:after="0" w:line="1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60"/>
          </w:cols>
          <w:pgMar w:left="1440" w:top="264" w:right="139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MUFG BANK, LTD., </w:t>
      </w:r>
      <w:r>
        <w:rPr>
          <w:rFonts w:ascii="Arial" w:cs="Arial" w:eastAsia="Arial" w:hAnsi="Arial"/>
          <w:sz w:val="20"/>
          <w:szCs w:val="20"/>
          <w:color w:val="auto"/>
        </w:rPr>
        <w:t>as a Lender and L/C Issuer</w:t>
      </w:r>
    </w:p>
    <w:p>
      <w:pPr>
        <w:spacing w:after="0" w:line="32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Meng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0351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Meng Zhang</w:t>
      </w:r>
    </w:p>
    <w:p>
      <w:pPr>
        <w:ind w:left="5380"/>
        <w:spacing w:after="0"/>
        <w:rPr>
          <w:sz w:val="20"/>
          <w:szCs w:val="20"/>
          <w:color w:val="auto"/>
        </w:rPr>
      </w:pPr>
      <w:r>
        <w:rPr>
          <w:rFonts w:ascii="Arial" w:cs="Arial" w:eastAsia="Arial" w:hAnsi="Arial"/>
          <w:sz w:val="20"/>
          <w:szCs w:val="20"/>
          <w:color w:val="auto"/>
        </w:rPr>
        <w:t>Title:  Vice President</w:t>
      </w:r>
    </w:p>
    <w:p>
      <w:pPr>
        <w:spacing w:after="0" w:line="13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320"/>
          </w:cols>
          <w:pgMar w:left="1440" w:top="264" w:right="1139" w:bottom="1440" w:gutter="0" w:footer="0" w:header="0"/>
        </w:sectPr>
      </w:pPr>
    </w:p>
    <w:bookmarkStart w:id="157" w:name="page158"/>
    <w:bookmarkEnd w:id="157"/>
    <w:p>
      <w:pPr>
        <w:ind w:left="538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SUMITOMO MITSUI BANKING</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 xml:space="preserve">CORPORATION, </w:t>
      </w:r>
      <w:r>
        <w:rPr>
          <w:rFonts w:ascii="Arial" w:cs="Arial" w:eastAsia="Arial" w:hAnsi="Arial"/>
          <w:sz w:val="17"/>
          <w:szCs w:val="17"/>
          <w:color w:val="auto"/>
        </w:rPr>
        <w:t>as a Lender and L/C Issuer</w:t>
      </w:r>
    </w:p>
    <w:p>
      <w:pPr>
        <w:spacing w:after="0" w:line="337"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0072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00723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Michael Maguire</w:t>
      </w:r>
    </w:p>
    <w:p>
      <w:pPr>
        <w:ind w:left="5380"/>
        <w:spacing w:after="0"/>
        <w:rPr>
          <w:sz w:val="20"/>
          <w:szCs w:val="20"/>
          <w:color w:val="auto"/>
        </w:rPr>
      </w:pPr>
      <w:r>
        <w:rPr>
          <w:rFonts w:ascii="Arial" w:cs="Arial" w:eastAsia="Arial" w:hAnsi="Arial"/>
          <w:sz w:val="20"/>
          <w:szCs w:val="20"/>
          <w:color w:val="auto"/>
        </w:rPr>
        <w:t>Title:  Managing Director</w:t>
      </w:r>
    </w:p>
    <w:p>
      <w:pPr>
        <w:spacing w:after="0" w:line="1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60"/>
          </w:cols>
          <w:pgMar w:left="1440" w:top="264" w:right="1399" w:bottom="1440" w:gutter="0" w:footer="0" w:header="0"/>
        </w:sectPr>
      </w:pPr>
    </w:p>
    <w:bookmarkStart w:id="158" w:name="page159"/>
    <w:bookmarkEnd w:id="158"/>
    <w:p>
      <w:pPr>
        <w:ind w:left="538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TRUIST BANK, </w:t>
      </w:r>
      <w:r>
        <w:rPr>
          <w:rFonts w:ascii="Arial" w:cs="Arial" w:eastAsia="Arial" w:hAnsi="Arial"/>
          <w:sz w:val="20"/>
          <w:szCs w:val="20"/>
          <w:color w:val="auto"/>
        </w:rPr>
        <w:t>formerly known as Branch</w:t>
      </w:r>
    </w:p>
    <w:p>
      <w:pPr>
        <w:spacing w:after="0" w:line="20"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Banking and Trust Company and as successor by</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merger to SunTrust Bank, as a Lender and L/C</w:t>
      </w:r>
    </w:p>
    <w:p>
      <w:pPr>
        <w:spacing w:after="0" w:line="32"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Issuer</w:t>
      </w:r>
    </w:p>
    <w:p>
      <w:pPr>
        <w:spacing w:after="0" w:line="30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Brett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0732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07327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Brett Ross</w:t>
      </w:r>
    </w:p>
    <w:p>
      <w:pPr>
        <w:ind w:left="5380"/>
        <w:spacing w:after="0"/>
        <w:rPr>
          <w:sz w:val="20"/>
          <w:szCs w:val="20"/>
          <w:color w:val="auto"/>
        </w:rPr>
      </w:pPr>
      <w:r>
        <w:rPr>
          <w:rFonts w:ascii="Arial" w:cs="Arial" w:eastAsia="Arial" w:hAnsi="Arial"/>
          <w:sz w:val="20"/>
          <w:szCs w:val="20"/>
          <w:color w:val="auto"/>
        </w:rPr>
        <w:t>Title:  Senior Vice President</w:t>
      </w:r>
    </w:p>
    <w:p>
      <w:pPr>
        <w:spacing w:after="0" w:line="13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240"/>
          </w:cols>
          <w:pgMar w:left="1440" w:top="264" w:right="1219" w:bottom="1440" w:gutter="0" w:footer="0" w:header="0"/>
        </w:sectPr>
      </w:pPr>
    </w:p>
    <w:bookmarkStart w:id="159" w:name="page160"/>
    <w:bookmarkEnd w:id="159"/>
    <w:p>
      <w:pPr>
        <w:ind w:left="53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BANK OF NOVA SCOTIA, </w:t>
      </w:r>
      <w:r>
        <w:rPr>
          <w:rFonts w:ascii="Arial" w:cs="Arial" w:eastAsia="Arial" w:hAnsi="Arial"/>
          <w:sz w:val="17"/>
          <w:szCs w:val="17"/>
          <w:color w:val="auto"/>
        </w:rPr>
        <w:t>as a Lender</w:t>
      </w:r>
    </w:p>
    <w:p>
      <w:pPr>
        <w:spacing w:after="0" w:line="54"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and L/C Issuer</w:t>
      </w:r>
    </w:p>
    <w:p>
      <w:pPr>
        <w:spacing w:after="0" w:line="30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Robb Gass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0942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09423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Robb Gass</w:t>
      </w:r>
    </w:p>
    <w:p>
      <w:pPr>
        <w:ind w:left="5380"/>
        <w:spacing w:after="0"/>
        <w:rPr>
          <w:sz w:val="20"/>
          <w:szCs w:val="20"/>
          <w:color w:val="auto"/>
        </w:rPr>
      </w:pPr>
      <w:r>
        <w:rPr>
          <w:rFonts w:ascii="Arial" w:cs="Arial" w:eastAsia="Arial" w:hAnsi="Arial"/>
          <w:sz w:val="20"/>
          <w:szCs w:val="20"/>
          <w:color w:val="auto"/>
        </w:rPr>
        <w:t>Title:  Managing Director</w:t>
      </w:r>
    </w:p>
    <w:p>
      <w:pPr>
        <w:spacing w:after="0" w:line="13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140"/>
          </w:cols>
          <w:pgMar w:left="1440" w:top="264" w:right="1319" w:bottom="1440" w:gutter="0" w:footer="0" w:header="0"/>
        </w:sectPr>
      </w:pPr>
    </w:p>
    <w:bookmarkStart w:id="160" w:name="page161"/>
    <w:bookmarkEnd w:id="160"/>
    <w:p>
      <w:pPr>
        <w:ind w:left="53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U.S. BANK NATIONAL ASSOCIATION, </w:t>
      </w:r>
      <w:r>
        <w:rPr>
          <w:rFonts w:ascii="Arial" w:cs="Arial" w:eastAsia="Arial" w:hAnsi="Arial"/>
          <w:sz w:val="19"/>
          <w:szCs w:val="19"/>
          <w:color w:val="auto"/>
        </w:rPr>
        <w:t>as a</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Lender and L/C Issuer</w:t>
      </w:r>
    </w:p>
    <w:p>
      <w:pPr>
        <w:spacing w:after="0" w:line="30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Marty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1386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3868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Marty McDonald</w:t>
      </w:r>
    </w:p>
    <w:p>
      <w:pPr>
        <w:ind w:left="5380"/>
        <w:spacing w:after="0"/>
        <w:rPr>
          <w:sz w:val="20"/>
          <w:szCs w:val="20"/>
          <w:color w:val="auto"/>
        </w:rPr>
      </w:pPr>
      <w:r>
        <w:rPr>
          <w:rFonts w:ascii="Arial" w:cs="Arial" w:eastAsia="Arial" w:hAnsi="Arial"/>
          <w:sz w:val="20"/>
          <w:szCs w:val="20"/>
          <w:color w:val="auto"/>
        </w:rPr>
        <w:t>Title:  Vice President</w:t>
      </w:r>
    </w:p>
    <w:p>
      <w:pPr>
        <w:spacing w:after="0" w:line="13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240"/>
          </w:cols>
          <w:pgMar w:left="1440" w:top="264" w:right="1219" w:bottom="1440" w:gutter="0" w:footer="0" w:header="0"/>
        </w:sectPr>
      </w:pPr>
    </w:p>
    <w:bookmarkStart w:id="161" w:name="page162"/>
    <w:bookmarkEnd w:id="161"/>
    <w:p>
      <w:pPr>
        <w:jc w:val="right"/>
        <w:ind w:right="12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COBANK, ACB, </w:t>
      </w:r>
      <w:r>
        <w:rPr>
          <w:rFonts w:ascii="Arial" w:cs="Arial" w:eastAsia="Arial" w:hAnsi="Arial"/>
          <w:sz w:val="20"/>
          <w:szCs w:val="20"/>
          <w:color w:val="auto"/>
        </w:rPr>
        <w:t>as a Lender</w:t>
      </w:r>
    </w:p>
    <w:p>
      <w:pPr>
        <w:spacing w:after="0" w:line="32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Bryan Ervin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1634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6344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Bryan Ervin</w:t>
      </w:r>
    </w:p>
    <w:p>
      <w:pPr>
        <w:ind w:left="5380"/>
        <w:spacing w:after="0"/>
        <w:rPr>
          <w:sz w:val="20"/>
          <w:szCs w:val="20"/>
          <w:color w:val="auto"/>
        </w:rPr>
      </w:pPr>
      <w:r>
        <w:rPr>
          <w:rFonts w:ascii="Arial" w:cs="Arial" w:eastAsia="Arial" w:hAnsi="Arial"/>
          <w:sz w:val="20"/>
          <w:szCs w:val="20"/>
          <w:color w:val="auto"/>
        </w:rPr>
        <w:t>Title:  Vice President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64" w:right="1440" w:bottom="1440" w:gutter="0" w:footer="0" w:header="0"/>
        </w:sectPr>
      </w:pPr>
    </w:p>
    <w:bookmarkStart w:id="162" w:name="page163"/>
    <w:bookmarkEnd w:id="162"/>
    <w:p>
      <w:pPr>
        <w:ind w:left="57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KEYBANK NATIONAL ASSOCIATION, </w:t>
      </w:r>
      <w:r>
        <w:rPr>
          <w:rFonts w:ascii="Arial" w:cs="Arial" w:eastAsia="Arial" w:hAnsi="Arial"/>
          <w:sz w:val="19"/>
          <w:szCs w:val="19"/>
          <w:color w:val="auto"/>
        </w:rPr>
        <w:t>as a</w:t>
      </w:r>
    </w:p>
    <w:p>
      <w:pPr>
        <w:spacing w:after="0" w:line="31"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Lender</w:t>
      </w:r>
    </w:p>
    <w:p>
      <w:pPr>
        <w:spacing w:after="0" w:line="303"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By: /s/ Thomas A. Crandell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-15875</wp:posOffset>
            </wp:positionV>
            <wp:extent cx="21596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20"/>
          <w:szCs w:val="20"/>
          <w:color w:val="auto"/>
        </w:rPr>
        <w:t>Name: Thomas A. Crandell</w:t>
      </w:r>
    </w:p>
    <w:p>
      <w:pPr>
        <w:ind w:left="5700"/>
        <w:spacing w:after="0"/>
        <w:rPr>
          <w:sz w:val="20"/>
          <w:szCs w:val="20"/>
          <w:color w:val="auto"/>
        </w:rPr>
      </w:pPr>
      <w:r>
        <w:rPr>
          <w:rFonts w:ascii="Arial" w:cs="Arial" w:eastAsia="Arial" w:hAnsi="Arial"/>
          <w:sz w:val="20"/>
          <w:szCs w:val="20"/>
          <w:color w:val="auto"/>
        </w:rPr>
        <w:t>Title:  Senior Vice President</w:t>
      </w:r>
    </w:p>
    <w:p>
      <w:pPr>
        <w:spacing w:after="0" w:line="131"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600"/>
          </w:cols>
          <w:pgMar w:left="1440" w:top="264" w:right="859" w:bottom="1440" w:gutter="0" w:footer="0" w:header="0"/>
        </w:sectPr>
      </w:pPr>
    </w:p>
    <w:bookmarkStart w:id="163" w:name="page164"/>
    <w:bookmarkEnd w:id="163"/>
    <w:p>
      <w:pPr>
        <w:ind w:left="53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PNC BANK, NATIONAL ASSOCIATION, </w:t>
      </w:r>
      <w:r>
        <w:rPr>
          <w:rFonts w:ascii="Arial" w:cs="Arial" w:eastAsia="Arial" w:hAnsi="Arial"/>
          <w:sz w:val="19"/>
          <w:szCs w:val="19"/>
          <w:color w:val="auto"/>
        </w:rPr>
        <w:t>as a</w:t>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Lender and L/C Issuer</w:t>
      </w:r>
    </w:p>
    <w:p>
      <w:pPr>
        <w:spacing w:after="0" w:line="30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Karl Thomasma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1990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99005"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Karl Thomasma</w:t>
      </w:r>
    </w:p>
    <w:p>
      <w:pPr>
        <w:ind w:left="5380"/>
        <w:spacing w:after="0"/>
        <w:rPr>
          <w:sz w:val="20"/>
          <w:szCs w:val="20"/>
          <w:color w:val="auto"/>
        </w:rPr>
      </w:pPr>
      <w:r>
        <w:rPr>
          <w:rFonts w:ascii="Arial" w:cs="Arial" w:eastAsia="Arial" w:hAnsi="Arial"/>
          <w:sz w:val="20"/>
          <w:szCs w:val="20"/>
          <w:color w:val="auto"/>
        </w:rPr>
        <w:t>Title:  Senior Vice President</w:t>
      </w:r>
    </w:p>
    <w:p>
      <w:pPr>
        <w:spacing w:after="0" w:line="13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340"/>
          </w:cols>
          <w:pgMar w:left="1440" w:top="264" w:right="1119" w:bottom="1440" w:gutter="0" w:footer="0" w:header="0"/>
        </w:sectPr>
      </w:pPr>
    </w:p>
    <w:bookmarkStart w:id="164" w:name="page165"/>
    <w:bookmarkEnd w:id="164"/>
    <w:p>
      <w:pPr>
        <w:jc w:val="right"/>
        <w:ind w:right="1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ROYAL BANK OF CANADA, </w:t>
      </w:r>
      <w:r>
        <w:rPr>
          <w:rFonts w:ascii="Arial" w:cs="Arial" w:eastAsia="Arial" w:hAnsi="Arial"/>
          <w:sz w:val="20"/>
          <w:szCs w:val="20"/>
          <w:color w:val="auto"/>
        </w:rPr>
        <w:t>as a Lender</w:t>
      </w:r>
    </w:p>
    <w:p>
      <w:pPr>
        <w:spacing w:after="0" w:line="32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/s/ Benjamin Lennon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-15875</wp:posOffset>
            </wp:positionV>
            <wp:extent cx="2042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042160" cy="8255"/>
                    </a:xfrm>
                    <a:prstGeom prst="rect">
                      <a:avLst/>
                    </a:prstGeom>
                    <a:noFill/>
                  </pic:spPr>
                </pic:pic>
              </a:graphicData>
            </a:graphic>
          </wp:anchor>
        </w:drawing>
      </w:r>
    </w:p>
    <w:p>
      <w:pPr>
        <w:ind w:left="5380"/>
        <w:spacing w:after="0"/>
        <w:rPr>
          <w:sz w:val="20"/>
          <w:szCs w:val="20"/>
          <w:color w:val="auto"/>
        </w:rPr>
      </w:pPr>
      <w:r>
        <w:rPr>
          <w:rFonts w:ascii="Arial" w:cs="Arial" w:eastAsia="Arial" w:hAnsi="Arial"/>
          <w:sz w:val="20"/>
          <w:szCs w:val="20"/>
          <w:color w:val="auto"/>
        </w:rPr>
        <w:t>Name: Benjamin Lennon</w:t>
      </w:r>
    </w:p>
    <w:p>
      <w:pPr>
        <w:ind w:left="5380"/>
        <w:spacing w:after="0"/>
        <w:rPr>
          <w:sz w:val="20"/>
          <w:szCs w:val="20"/>
          <w:color w:val="auto"/>
        </w:rPr>
      </w:pPr>
      <w:r>
        <w:rPr>
          <w:rFonts w:ascii="Arial" w:cs="Arial" w:eastAsia="Arial" w:hAnsi="Arial"/>
          <w:sz w:val="20"/>
          <w:szCs w:val="20"/>
          <w:color w:val="auto"/>
        </w:rPr>
        <w:t>Title:  Authorized Signatory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Republic Services,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 No. 3 to Credit Agreement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sectPr>
      <w:pgSz w:w="11900" w:h="16838" w:orient="portrait"/>
      <w:cols w:equalWidth="0" w:num="1">
        <w:col w:w="9019"/>
      </w:cols>
      <w:pgMar w:left="1440" w:top="2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decimal"/>
      <w:start w:val="104"/>
    </w:lvl>
  </w:abstractNum>
  <w:abstractNum w:abstractNumId="2">
    <w:nsid w:val="5DC79EA8"/>
    <w:multiLevelType w:val="hybridMultilevel"/>
    <w:lvl w:ilvl="0">
      <w:lvlJc w:val="left"/>
      <w:lvlText w:val="A"/>
      <w:numFmt w:val="bullet"/>
      <w:start w:val="1"/>
    </w:lvl>
  </w:abstractNum>
  <w:abstractNum w:abstractNumId="3">
    <w:nsid w:val="540A471C"/>
    <w:multiLevelType w:val="hybridMultilevel"/>
    <w:lvl w:ilvl="0">
      <w:lvlJc w:val="left"/>
      <w:lvlText w:val="B"/>
      <w:numFmt w:val="bullet"/>
      <w:start w:val="1"/>
    </w:lvl>
  </w:abstractNum>
  <w:abstractNum w:abstractNumId="4">
    <w:nsid w:val="7BD3EE7B"/>
    <w:multiLevelType w:val="hybridMultilevel"/>
    <w:lvl w:ilvl="0">
      <w:lvlJc w:val="left"/>
      <w:lvlText w:val="C"/>
      <w:numFmt w:val="bullet"/>
      <w:start w:val="1"/>
    </w:lvl>
  </w:abstractNum>
  <w:abstractNum w:abstractNumId="5">
    <w:nsid w:val="51D9C564"/>
    <w:multiLevelType w:val="hybridMultilevel"/>
    <w:lvl w:ilvl="0">
      <w:lvlJc w:val="left"/>
      <w:lvlText w:val="E"/>
      <w:numFmt w:val="bullet"/>
      <w:start w:val="1"/>
    </w:lvl>
  </w:abstractNum>
  <w:abstractNum w:abstractNumId="6">
    <w:nsid w:val="613EFDC5"/>
    <w:multiLevelType w:val="hybridMultilevel"/>
    <w:lvl w:ilvl="0">
      <w:lvlJc w:val="left"/>
      <w:lvlText w:val="(%1)"/>
      <w:numFmt w:val="lowerLetter"/>
      <w:start w:val="1"/>
    </w:lvl>
  </w:abstractNum>
  <w:abstractNum w:abstractNumId="7">
    <w:nsid w:val="BF72B14"/>
    <w:multiLevelType w:val="hybridMultilevel"/>
    <w:lvl w:ilvl="0">
      <w:lvlJc w:val="left"/>
      <w:lvlText w:val="(%1)"/>
      <w:numFmt w:val="lowerLetter"/>
      <w:start w:val="2"/>
    </w:lvl>
  </w:abstractNum>
  <w:abstractNum w:abstractNumId="8">
    <w:nsid w:val="11447B73"/>
    <w:multiLevelType w:val="hybridMultilevel"/>
    <w:lvl w:ilvl="0">
      <w:lvlJc w:val="left"/>
      <w:lvlText w:val="(%1)"/>
      <w:numFmt w:val="lowerLetter"/>
      <w:start w:val="1"/>
    </w:lvl>
  </w:abstractNum>
  <w:abstractNum w:abstractNumId="9">
    <w:nsid w:val="42963E5A"/>
    <w:multiLevelType w:val="hybridMultilevel"/>
    <w:lvl w:ilvl="0">
      <w:lvlJc w:val="left"/>
      <w:lvlText w:val="(%1)"/>
      <w:numFmt w:val="lowerRoman"/>
      <w:start w:val="3"/>
    </w:lvl>
  </w:abstractNum>
  <w:abstractNum w:abstractNumId="10">
    <w:nsid w:val="A0382C5"/>
    <w:multiLevelType w:val="hybridMultilevel"/>
    <w:lvl w:ilvl="0">
      <w:lvlJc w:val="left"/>
      <w:lvlText w:val="(%1)"/>
      <w:numFmt w:val="lowerLetter"/>
      <w:start w:val="1"/>
    </w:lvl>
  </w:abstractNum>
  <w:abstractNum w:abstractNumId="11">
    <w:nsid w:val="8F2B15E"/>
    <w:multiLevelType w:val="hybridMultilevel"/>
    <w:lvl w:ilvl="0">
      <w:lvlJc w:val="left"/>
      <w:lvlText w:val="(%1)"/>
      <w:numFmt w:val="lowerLetter"/>
      <w:start w:val="1"/>
    </w:lvl>
  </w:abstractNum>
  <w:abstractNum w:abstractNumId="12">
    <w:nsid w:val="1A32234B"/>
    <w:multiLevelType w:val="hybridMultilevel"/>
    <w:lvl w:ilvl="0">
      <w:lvlJc w:val="left"/>
      <w:lvlText w:val="(%1)"/>
      <w:numFmt w:val="lowerRoman"/>
      <w:start w:val="1"/>
    </w:lvl>
  </w:abstractNum>
  <w:abstractNum w:abstractNumId="13">
    <w:nsid w:val="3B0FD379"/>
    <w:multiLevelType w:val="hybridMultilevel"/>
    <w:lvl w:ilvl="0">
      <w:lvlJc w:val="left"/>
      <w:lvlText w:val="(%1)"/>
      <w:numFmt w:val="lowerLetter"/>
      <w:start w:val="1"/>
    </w:lvl>
  </w:abstractNum>
  <w:abstractNum w:abstractNumId="14">
    <w:nsid w:val="68EB2F63"/>
    <w:multiLevelType w:val="hybridMultilevel"/>
    <w:lvl w:ilvl="0">
      <w:lvlJc w:val="left"/>
      <w:lvlText w:val="(%1)"/>
      <w:numFmt w:val="lowerLetter"/>
      <w:start w:val="1"/>
    </w:lvl>
  </w:abstractNum>
  <w:abstractNum w:abstractNumId="15">
    <w:nsid w:val="4962813B"/>
    <w:multiLevelType w:val="hybridMultilevel"/>
    <w:lvl w:ilvl="0">
      <w:lvlJc w:val="left"/>
      <w:lvlText w:val="%1"/>
      <w:numFmt w:val="lowerRoman"/>
      <w:start w:val="1"/>
    </w:lvl>
    <w:lvl w:ilvl="1">
      <w:lvlJc w:val="left"/>
      <w:lvlText w:val="(%2)"/>
      <w:numFmt w:val="lowerLetter"/>
      <w:start w:val="1"/>
    </w:lvl>
  </w:abstractNum>
  <w:abstractNum w:abstractNumId="16">
    <w:nsid w:val="60B6DF70"/>
    <w:multiLevelType w:val="hybridMultilevel"/>
    <w:lvl w:ilvl="0">
      <w:lvlJc w:val="left"/>
      <w:lvlText w:val="(%1)"/>
      <w:numFmt w:val="lowerRoman"/>
      <w:start w:val="4"/>
    </w:lvl>
    <w:lvl w:ilvl="1">
      <w:lvlJc w:val="left"/>
      <w:lvlText w:val="(%2)"/>
      <w:numFmt w:val="lowerLetter"/>
      <w:start w:val="2"/>
    </w:lvl>
  </w:abstractNum>
  <w:abstractNum w:abstractNumId="17">
    <w:nsid w:val="6A5EE64"/>
    <w:multiLevelType w:val="hybridMultilevel"/>
    <w:lvl w:ilvl="0">
      <w:lvlJc w:val="left"/>
      <w:lvlText w:val="(%1)"/>
      <w:numFmt w:val="lowerLetter"/>
      <w:start w:val="2"/>
    </w:lvl>
  </w:abstractNum>
  <w:abstractNum w:abstractNumId="18">
    <w:nsid w:val="14330624"/>
    <w:multiLevelType w:val="hybridMultilevel"/>
    <w:lvl w:ilvl="0">
      <w:lvlJc w:val="left"/>
      <w:lvlText w:val="%1"/>
      <w:numFmt w:val="upperLetter"/>
      <w:start w:val="1"/>
    </w:lvl>
    <w:lvl w:ilvl="1">
      <w:lvlJc w:val="left"/>
      <w:lvlText w:val="(%2)"/>
      <w:numFmt w:val="lowerLetter"/>
      <w:start w:val="1"/>
    </w:lvl>
  </w:abstractNum>
  <w:abstractNum w:abstractNumId="19">
    <w:nsid w:val="7FFFCA11"/>
    <w:multiLevelType w:val="hybridMultilevel"/>
    <w:lvl w:ilvl="0">
      <w:lvlJc w:val="left"/>
      <w:lvlText w:val="(%1)"/>
      <w:numFmt w:val="upperLetter"/>
      <w:start w:val="1"/>
    </w:lvl>
    <w:lvl w:ilvl="1">
      <w:lvlJc w:val="left"/>
      <w:lvlText w:val="%2"/>
      <w:numFmt w:val="lowerLetter"/>
      <w:start w:val="1"/>
    </w:lvl>
  </w:abstractNum>
  <w:abstractNum w:abstractNumId="20">
    <w:nsid w:val="1A27709E"/>
    <w:multiLevelType w:val="hybridMultilevel"/>
    <w:lvl w:ilvl="0">
      <w:lvlJc w:val="left"/>
      <w:lvlText w:val="(%1)"/>
      <w:numFmt w:val="lowerLetter"/>
      <w:start w:val="2"/>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1)"/>
      <w:numFmt w:val="lowerLetter"/>
      <w:start w:val="2"/>
    </w:lvl>
    <w:lvl w:ilvl="1">
      <w:lvlJc w:val="left"/>
      <w:lvlText w:val="(%2)"/>
      <w:numFmt w:val="lowerRoman"/>
      <w:start w:val="1"/>
    </w:lvl>
  </w:abstractNum>
  <w:abstractNum w:abstractNumId="23">
    <w:nsid w:val="7FB7E0AA"/>
    <w:multiLevelType w:val="hybridMultilevel"/>
    <w:lvl w:ilvl="0">
      <w:lvlJc w:val="left"/>
      <w:lvlText w:val="(%1)"/>
      <w:numFmt w:val="lowerLetter"/>
      <w:start w:val="1"/>
    </w:lvl>
  </w:abstractNum>
  <w:abstractNum w:abstractNumId="24">
    <w:nsid w:val="6EB5BD4"/>
    <w:multiLevelType w:val="hybridMultilevel"/>
    <w:lvl w:ilvl="0">
      <w:lvlJc w:val="left"/>
      <w:lvlText w:val="(%1)"/>
      <w:numFmt w:val="lowerLetter"/>
      <w:start w:val="1"/>
    </w:lvl>
    <w:lvl w:ilvl="1">
      <w:lvlJc w:val="left"/>
      <w:lvlText w:val="(%2)"/>
      <w:numFmt w:val="lowerRoman"/>
      <w:start w:val="2"/>
    </w:lvl>
  </w:abstractNum>
  <w:abstractNum w:abstractNumId="25">
    <w:nsid w:val="6F6DD9AC"/>
    <w:multiLevelType w:val="hybridMultilevel"/>
    <w:lvl w:ilvl="0">
      <w:lvlJc w:val="left"/>
      <w:lvlText w:val="(%1)"/>
      <w:numFmt w:val="lowerLetter"/>
      <w:start w:val="1"/>
    </w:lvl>
  </w:abstractNum>
  <w:abstractNum w:abstractNumId="26">
    <w:nsid w:val="94211F2"/>
    <w:multiLevelType w:val="hybridMultilevel"/>
    <w:lvl w:ilvl="0">
      <w:lvlJc w:val="left"/>
      <w:lvlText w:val="(%1)"/>
      <w:numFmt w:val="lowerLetter"/>
      <w:start w:val="3"/>
    </w:lvl>
    <w:lvl w:ilvl="1">
      <w:lvlJc w:val="left"/>
      <w:lvlText w:val="(%2)"/>
      <w:numFmt w:val="lowerRoman"/>
      <w:start w:val="1"/>
    </w:lvl>
  </w:abstractNum>
  <w:abstractNum w:abstractNumId="27">
    <w:nsid w:val="885E1B"/>
    <w:multiLevelType w:val="hybridMultilevel"/>
    <w:lvl w:ilvl="0">
      <w:lvlJc w:val="left"/>
      <w:lvlText w:val="(%1)"/>
      <w:numFmt w:val="lowerLetter"/>
      <w:start w:val="1"/>
    </w:lvl>
  </w:abstractNum>
  <w:abstractNum w:abstractNumId="28">
    <w:nsid w:val="76272110"/>
    <w:multiLevelType w:val="hybridMultilevel"/>
    <w:lvl w:ilvl="0">
      <w:lvlJc w:val="left"/>
      <w:lvlText w:val="(%1)"/>
      <w:numFmt w:val="lowerLetter"/>
      <w:start w:val="2"/>
    </w:lvl>
    <w:lvl w:ilvl="1">
      <w:lvlJc w:val="left"/>
      <w:lvlText w:val="(%2)"/>
      <w:numFmt w:val="lowerLetter"/>
      <w:start w:val="35"/>
    </w:lvl>
  </w:abstractNum>
  <w:abstractNum w:abstractNumId="29">
    <w:nsid w:val="4C04A8AF"/>
    <w:multiLevelType w:val="hybridMultilevel"/>
    <w:lvl w:ilvl="0">
      <w:lvlJc w:val="left"/>
      <w:lvlText w:val="(%1)"/>
      <w:numFmt w:val="lowerLetter"/>
      <w:start w:val="3"/>
    </w:lvl>
  </w:abstractNum>
  <w:abstractNum w:abstractNumId="30">
    <w:nsid w:val="1716703B"/>
    <w:multiLevelType w:val="hybridMultilevel"/>
    <w:lvl w:ilvl="0">
      <w:lvlJc w:val="left"/>
      <w:lvlText w:val="(%1)"/>
      <w:numFmt w:val="lowerRoman"/>
      <w:start w:val="1"/>
    </w:lvl>
  </w:abstractNum>
  <w:abstractNum w:abstractNumId="31">
    <w:nsid w:val="14E17E33"/>
    <w:multiLevelType w:val="hybridMultilevel"/>
    <w:lvl w:ilvl="0">
      <w:lvlJc w:val="left"/>
      <w:lvlText w:val="(%1)"/>
      <w:numFmt w:val="lowerLetter"/>
      <w:start w:val="1"/>
    </w:lvl>
    <w:lvl w:ilvl="1">
      <w:lvlJc w:val="left"/>
      <w:lvlText w:val="(%2)"/>
      <w:numFmt w:val="lowerRoman"/>
      <w:start w:val="1"/>
    </w:lvl>
  </w:abstractNum>
  <w:abstractNum w:abstractNumId="32">
    <w:nsid w:val="3222E7C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3">
    <w:nsid w:val="74DE0EE3"/>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61"/>
    </w:lvl>
  </w:abstractNum>
  <w:abstractNum w:abstractNumId="34">
    <w:nsid w:val="68EBC550"/>
    <w:multiLevelType w:val="hybridMultilevel"/>
    <w:lvl w:ilvl="0">
      <w:lvlJc w:val="left"/>
      <w:lvlText w:val="(%1)"/>
      <w:numFmt w:val="lowerLetter"/>
      <w:start w:val="2"/>
    </w:lvl>
  </w:abstractNum>
  <w:abstractNum w:abstractNumId="35">
    <w:nsid w:val="2DF6D64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6">
    <w:nsid w:val="46B7D447"/>
    <w:multiLevelType w:val="hybridMultilevel"/>
    <w:lvl w:ilvl="0">
      <w:lvlJc w:val="left"/>
      <w:lvlText w:val="(%1)"/>
      <w:numFmt w:val="lowerLetter"/>
      <w:start w:val="4"/>
    </w:lvl>
    <w:lvl w:ilvl="1">
      <w:lvlJc w:val="left"/>
      <w:lvlText w:val="(%2)"/>
      <w:numFmt w:val="lowerLetter"/>
      <w:start w:val="9"/>
    </w:lvl>
    <w:lvl w:ilvl="2">
      <w:lvlJc w:val="left"/>
      <w:lvlText w:val="%3"/>
      <w:numFmt w:val="lowerRoman"/>
      <w:start w:val="1"/>
    </w:lvl>
  </w:abstractNum>
  <w:abstractNum w:abstractNumId="37">
    <w:nsid w:val="4A2AC315"/>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38">
    <w:nsid w:val="39EE015C"/>
    <w:multiLevelType w:val="hybridMultilevel"/>
    <w:lvl w:ilvl="0">
      <w:lvlJc w:val="left"/>
      <w:lvlText w:val="(%1)"/>
      <w:numFmt w:val="upperLetter"/>
      <w:start w:val="35"/>
    </w:lvl>
  </w:abstractNum>
  <w:abstractNum w:abstractNumId="39">
    <w:nsid w:val="57FC4FBB"/>
    <w:multiLevelType w:val="hybridMultilevel"/>
    <w:lvl w:ilvl="0">
      <w:lvlJc w:val="left"/>
      <w:lvlText w:val="(%1)"/>
      <w:numFmt w:val="upperLetter"/>
      <w:start w:val="61"/>
    </w:lvl>
  </w:abstractNum>
  <w:abstractNum w:abstractNumId="40">
    <w:nsid w:val="CC1016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41">
    <w:nsid w:val="43F1842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2">
    <w:nsid w:val="60EF0119"/>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43">
    <w:nsid w:val="26F324BA"/>
    <w:multiLevelType w:val="hybridMultilevel"/>
    <w:lvl w:ilvl="0">
      <w:lvlJc w:val="left"/>
      <w:lvlText w:val="(%1)"/>
      <w:numFmt w:val="lowerLetter"/>
      <w:start w:val="7"/>
    </w:lvl>
  </w:abstractNum>
  <w:abstractNum w:abstractNumId="44">
    <w:nsid w:val="7F01579B"/>
    <w:multiLevelType w:val="hybridMultilevel"/>
    <w:lvl w:ilvl="0">
      <w:lvlJc w:val="left"/>
      <w:lvlText w:val="(%1)"/>
      <w:numFmt w:val="lowerLetter"/>
      <w:start w:val="1"/>
    </w:lvl>
  </w:abstractNum>
  <w:abstractNum w:abstractNumId="45">
    <w:nsid w:val="49DA307D"/>
    <w:multiLevelType w:val="hybridMultilevel"/>
    <w:lvl w:ilvl="0">
      <w:lvlJc w:val="left"/>
      <w:lvlText w:val="(%1)"/>
      <w:numFmt w:val="lowerLetter"/>
      <w:start w:val="2"/>
    </w:lvl>
    <w:lvl w:ilvl="1">
      <w:lvlJc w:val="left"/>
      <w:lvlText w:val="(%2)"/>
      <w:numFmt w:val="lowerRoman"/>
      <w:start w:val="1"/>
    </w:lvl>
  </w:abstractNum>
  <w:abstractNum w:abstractNumId="46">
    <w:nsid w:val="7055A5F5"/>
    <w:multiLevelType w:val="hybridMultilevel"/>
    <w:lvl w:ilvl="0">
      <w:lvlJc w:val="left"/>
      <w:lvlText w:val="(%1)"/>
      <w:numFmt w:val="lowerLetter"/>
      <w:start w:val="1"/>
    </w:lvl>
    <w:lvl w:ilvl="1">
      <w:lvlJc w:val="left"/>
      <w:lvlText w:val="(%2)"/>
      <w:numFmt w:val="lowerLetter"/>
      <w:start w:val="9"/>
    </w:lvl>
  </w:abstractNum>
  <w:abstractNum w:abstractNumId="47">
    <w:nsid w:val="5FB8370B"/>
    <w:multiLevelType w:val="hybridMultilevel"/>
    <w:lvl w:ilvl="0">
      <w:lvlJc w:val="left"/>
      <w:lvlText w:val="%1"/>
      <w:numFmt w:val="lowerLetter"/>
      <w:start w:val="1"/>
    </w:lvl>
    <w:lvl w:ilvl="1">
      <w:lvlJc w:val="left"/>
      <w:lvlText w:val="(%2)"/>
      <w:numFmt w:val="lowerLetter"/>
      <w:start w:val="35"/>
    </w:lvl>
  </w:abstractNum>
  <w:abstractNum w:abstractNumId="48">
    <w:nsid w:val="50801EE1"/>
    <w:multiLevelType w:val="hybridMultilevel"/>
    <w:lvl w:ilvl="0">
      <w:lvlJc w:val="left"/>
      <w:lvlText w:val="(%1)"/>
      <w:numFmt w:val="lowerLetter"/>
      <w:start w:val="2"/>
    </w:lvl>
    <w:lvl w:ilvl="1">
      <w:lvlJc w:val="left"/>
      <w:lvlText w:val="(%2)"/>
      <w:numFmt w:val="lowerLetter"/>
      <w:start w:val="61"/>
    </w:lvl>
  </w:abstractNum>
  <w:abstractNum w:abstractNumId="49">
    <w:nsid w:val="488AC1A"/>
    <w:multiLevelType w:val="hybridMultilevel"/>
    <w:lvl w:ilvl="0">
      <w:lvlJc w:val="left"/>
      <w:lvlText w:val="(%1)"/>
      <w:numFmt w:val="lowerLetter"/>
      <w:start w:val="2"/>
    </w:lvl>
  </w:abstractNum>
  <w:abstractNum w:abstractNumId="50">
    <w:nsid w:val="5FB8011C"/>
    <w:multiLevelType w:val="hybridMultilevel"/>
    <w:lvl w:ilvl="0">
      <w:lvlJc w:val="left"/>
      <w:lvlText w:val="(%1)"/>
      <w:numFmt w:val="lowerLetter"/>
      <w:start w:val="1"/>
    </w:lvl>
  </w:abstractNum>
  <w:abstractNum w:abstractNumId="51">
    <w:nsid w:val="6AA78F7F"/>
    <w:multiLevelType w:val="hybridMultilevel"/>
    <w:lvl w:ilvl="0">
      <w:lvlJc w:val="left"/>
      <w:lvlText w:val="(%1)"/>
      <w:numFmt w:val="lowerLetter"/>
      <w:start w:val="2"/>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1)"/>
      <w:numFmt w:val="lowerLetter"/>
      <w:start w:val="1"/>
    </w:lvl>
    <w:lvl w:ilvl="1">
      <w:lvlJc w:val="left"/>
      <w:lvlText w:val="(%2)"/>
      <w:numFmt w:val="lowerRoman"/>
      <w:start w:val="1"/>
    </w:lvl>
  </w:abstractNum>
  <w:abstractNum w:abstractNumId="54">
    <w:nsid w:val="6A5F7029"/>
    <w:multiLevelType w:val="hybridMultilevel"/>
    <w:lvl w:ilvl="0">
      <w:lvlJc w:val="left"/>
      <w:lvlText w:val="%1"/>
      <w:numFmt w:val="lowerLetter"/>
      <w:start w:val="1"/>
    </w:lvl>
    <w:lvl w:ilvl="1">
      <w:lvlJc w:val="left"/>
      <w:lvlText w:val="(%2)"/>
      <w:numFmt w:val="lowerRoman"/>
      <w:start w:val="8"/>
    </w:lvl>
  </w:abstractNum>
  <w:abstractNum w:abstractNumId="55">
    <w:nsid w:val="7D5E18F8"/>
    <w:multiLevelType w:val="hybridMultilevel"/>
    <w:lvl w:ilvl="0">
      <w:lvlJc w:val="left"/>
      <w:lvlText w:val="(%1)"/>
      <w:numFmt w:val="lowerLetter"/>
      <w:start w:val="2"/>
    </w:lvl>
    <w:lvl w:ilvl="1">
      <w:lvlJc w:val="left"/>
      <w:lvlText w:val="%2"/>
      <w:numFmt w:val="lowerRoman"/>
      <w:start w:val="1"/>
    </w:lvl>
  </w:abstractNum>
  <w:abstractNum w:abstractNumId="56">
    <w:nsid w:val="5F3534A4"/>
    <w:multiLevelType w:val="hybridMultilevel"/>
    <w:lvl w:ilvl="0">
      <w:lvlJc w:val="left"/>
      <w:lvlText w:val="(%1)"/>
      <w:numFmt w:val="lowerLetter"/>
      <w:start w:val="1"/>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1)"/>
      <w:numFmt w:val="lowerLetter"/>
      <w:start w:val="1"/>
    </w:lvl>
  </w:abstractNum>
  <w:abstractNum w:abstractNumId="59">
    <w:nsid w:val="555C55B5"/>
    <w:multiLevelType w:val="hybridMultilevel"/>
    <w:lvl w:ilvl="0">
      <w:lvlJc w:val="left"/>
      <w:lvlText w:val="(%1)"/>
      <w:numFmt w:val="lowerLetter"/>
      <w:start w:val="1"/>
    </w:lvl>
  </w:abstractNum>
  <w:abstractNum w:abstractNumId="60">
    <w:nsid w:val="3FA62ACA"/>
    <w:multiLevelType w:val="hybridMultilevel"/>
    <w:lvl w:ilvl="0">
      <w:lvlJc w:val="left"/>
      <w:lvlText w:val="(%1)"/>
      <w:numFmt w:val="lowerLetter"/>
      <w:start w:val="4"/>
    </w:lvl>
  </w:abstractNum>
  <w:abstractNum w:abstractNumId="61">
    <w:nsid w:val="14FCE74E"/>
    <w:multiLevelType w:val="hybridMultilevel"/>
    <w:lvl w:ilvl="0">
      <w:lvlJc w:val="left"/>
      <w:lvlText w:val="(%1)"/>
      <w:numFmt w:val="lowerLetter"/>
      <w:start w:val="1"/>
    </w:lvl>
    <w:lvl w:ilvl="1">
      <w:lvlJc w:val="left"/>
      <w:lvlText w:val="(%2)"/>
      <w:numFmt w:val="lowerRoman"/>
      <w:start w:val="1"/>
    </w:lvl>
  </w:abstractNum>
  <w:abstractNum w:abstractNumId="62">
    <w:nsid w:val="6A3DD3E8"/>
    <w:multiLevelType w:val="hybridMultilevel"/>
    <w:lvl w:ilvl="0">
      <w:lvlJc w:val="left"/>
      <w:lvlText w:val="(%1)"/>
      <w:numFmt w:val="lowerLetter"/>
      <w:start w:val="1"/>
    </w:lvl>
  </w:abstractNum>
  <w:abstractNum w:abstractNumId="63">
    <w:nsid w:val="71C91298"/>
    <w:multiLevelType w:val="hybridMultilevel"/>
    <w:lvl w:ilvl="0">
      <w:lvlJc w:val="left"/>
      <w:lvlText w:val="(%1)"/>
      <w:numFmt w:val="lowerLetter"/>
      <w:start w:val="1"/>
    </w:lvl>
  </w:abstractNum>
  <w:abstractNum w:abstractNumId="64">
    <w:nsid w:val="9DAF632"/>
    <w:multiLevelType w:val="hybridMultilevel"/>
    <w:lvl w:ilvl="0">
      <w:lvlJc w:val="left"/>
      <w:lvlText w:val="(%1)"/>
      <w:numFmt w:val="lowerLetter"/>
      <w:start w:val="1"/>
    </w:lvl>
    <w:lvl w:ilvl="1">
      <w:lvlJc w:val="left"/>
      <w:lvlText w:val="(%2)"/>
      <w:numFmt w:val="lowerRoman"/>
      <w:start w:val="1"/>
    </w:lvl>
  </w:abstractNum>
  <w:abstractNum w:abstractNumId="65">
    <w:nsid w:val="53299938"/>
    <w:multiLevelType w:val="hybridMultilevel"/>
    <w:lvl w:ilvl="0">
      <w:lvlJc w:val="left"/>
      <w:lvlText w:val="(%1)"/>
      <w:numFmt w:val="lowerLetter"/>
      <w:start w:val="1"/>
    </w:lvl>
  </w:abstractNum>
  <w:abstractNum w:abstractNumId="66">
    <w:nsid w:val="1FBFE8E0"/>
    <w:multiLevelType w:val="hybridMultilevel"/>
    <w:lvl w:ilvl="0">
      <w:lvlJc w:val="left"/>
      <w:lvlText w:val="(%1)"/>
      <w:numFmt w:val="lowerRoman"/>
      <w:start w:val="2"/>
    </w:lvl>
  </w:abstractNum>
  <w:abstractNum w:abstractNumId="67">
    <w:nsid w:val="5092CA79"/>
    <w:multiLevelType w:val="hybridMultilevel"/>
    <w:lvl w:ilvl="0">
      <w:lvlJc w:val="left"/>
      <w:lvlText w:val="(%1)"/>
      <w:numFmt w:val="lowerLetter"/>
      <w:start w:val="1"/>
    </w:lvl>
  </w:abstractNum>
  <w:abstractNum w:abstractNumId="68">
    <w:nsid w:val="1D545C4D"/>
    <w:multiLevelType w:val="hybridMultilevel"/>
    <w:lvl w:ilvl="0">
      <w:lvlJc w:val="left"/>
      <w:lvlText w:val="(%1)"/>
      <w:numFmt w:val="lowerLetter"/>
      <w:start w:val="5"/>
    </w:lvl>
  </w:abstractNum>
  <w:abstractNum w:abstractNumId="69">
    <w:nsid w:val="59ADEA3D"/>
    <w:multiLevelType w:val="hybridMultilevel"/>
    <w:lvl w:ilvl="0">
      <w:lvlJc w:val="left"/>
      <w:lvlText w:val="(%1)"/>
      <w:numFmt w:val="lowerLetter"/>
      <w:start w:val="1"/>
    </w:lvl>
  </w:abstractNum>
  <w:abstractNum w:abstractNumId="70">
    <w:nsid w:val="288F1A34"/>
    <w:multiLevelType w:val="hybridMultilevel"/>
    <w:lvl w:ilvl="0">
      <w:lvlJc w:val="left"/>
      <w:lvlText w:val="(%1)"/>
      <w:numFmt w:val="lowerLetter"/>
      <w:start w:val="4"/>
    </w:lvl>
  </w:abstractNum>
  <w:abstractNum w:abstractNumId="71">
    <w:nsid w:val="2A155DBC"/>
    <w:multiLevelType w:val="hybridMultilevel"/>
    <w:lvl w:ilvl="0">
      <w:lvlJc w:val="left"/>
      <w:lvlText w:val="%1"/>
      <w:numFmt w:val="lowerLetter"/>
      <w:start w:val="1"/>
    </w:lvl>
    <w:lvl w:ilvl="1">
      <w:lvlJc w:val="left"/>
      <w:lvlText w:val="(%2)"/>
      <w:numFmt w:val="lowerLetter"/>
      <w:start w:val="1"/>
    </w:lvl>
  </w:abstractNum>
  <w:abstractNum w:abstractNumId="72">
    <w:nsid w:val="1D9F6E5F"/>
    <w:multiLevelType w:val="hybridMultilevel"/>
    <w:lvl w:ilvl="0">
      <w:lvlJc w:val="left"/>
      <w:lvlText w:val="(%1)"/>
      <w:numFmt w:val="lowerLetter"/>
      <w:start w:val="61"/>
    </w:lvl>
    <w:lvl w:ilvl="1">
      <w:lvlJc w:val="left"/>
      <w:lvlText w:val="(%2)"/>
      <w:numFmt w:val="lowerLetter"/>
      <w:start w:val="2"/>
    </w:lvl>
  </w:abstractNum>
  <w:abstractNum w:abstractNumId="73">
    <w:nsid w:val="97E1B4E"/>
    <w:multiLevelType w:val="hybridMultilevel"/>
    <w:lvl w:ilvl="0">
      <w:lvlJc w:val="left"/>
      <w:lvlText w:val="%1"/>
      <w:numFmt w:val="lowerLetter"/>
      <w:start w:val="1"/>
    </w:lvl>
    <w:lvl w:ilvl="1">
      <w:lvlJc w:val="left"/>
      <w:lvlText w:val="(%2)"/>
      <w:numFmt w:val="lowerLetter"/>
      <w:start w:val="2"/>
    </w:lvl>
  </w:abstractNum>
  <w:abstractNum w:abstractNumId="74">
    <w:nsid w:val="51088277"/>
    <w:multiLevelType w:val="hybridMultilevel"/>
    <w:lvl w:ilvl="0">
      <w:lvlJc w:val="left"/>
      <w:lvlText w:val="(%1)"/>
      <w:numFmt w:val="lowerLetter"/>
      <w:start w:val="2"/>
    </w:lvl>
    <w:lvl w:ilvl="1">
      <w:lvlJc w:val="left"/>
      <w:lvlText w:val="%2"/>
      <w:numFmt w:val="lowerLetter"/>
      <w:start w:val="1"/>
    </w:lvl>
  </w:abstractNum>
  <w:abstractNum w:abstractNumId="75">
    <w:nsid w:val="1CA0C5FA"/>
    <w:multiLevelType w:val="hybridMultilevel"/>
    <w:lvl w:ilvl="0">
      <w:lvlJc w:val="left"/>
      <w:lvlText w:val="%1"/>
      <w:numFmt w:val="lowerRoman"/>
      <w:start w:val="1"/>
    </w:lvl>
    <w:lvl w:ilvl="1">
      <w:lvlJc w:val="left"/>
      <w:lvlText w:val="(%2)"/>
      <w:numFmt w:val="lowerLetter"/>
      <w:start w:val="1"/>
    </w:lvl>
  </w:abstractNum>
  <w:abstractNum w:abstractNumId="76">
    <w:nsid w:val="53584BCB"/>
    <w:multiLevelType w:val="hybridMultilevel"/>
    <w:lvl w:ilvl="0">
      <w:lvlJc w:val="left"/>
      <w:lvlText w:val="(%1)"/>
      <w:numFmt w:val="lowerRoman"/>
      <w:start w:val="1"/>
    </w:lvl>
    <w:lvl w:ilvl="1">
      <w:lvlJc w:val="left"/>
      <w:lvlText w:val="(%2)"/>
      <w:numFmt w:val="lowerLetter"/>
      <w:start w:val="2"/>
    </w:lvl>
  </w:abstractNum>
  <w:abstractNum w:abstractNumId="77">
    <w:nsid w:val="415E286C"/>
    <w:multiLevelType w:val="hybridMultilevel"/>
    <w:lvl w:ilvl="0">
      <w:lvlJc w:val="left"/>
      <w:lvlText w:val="(%1)"/>
      <w:numFmt w:val="lowerLetter"/>
      <w:start w:val="1"/>
    </w:lvl>
  </w:abstractNum>
  <w:abstractNum w:abstractNumId="78">
    <w:nsid w:val="7C58FD05"/>
    <w:multiLevelType w:val="hybridMultilevel"/>
    <w:lvl w:ilvl="0">
      <w:lvlJc w:val="left"/>
      <w:lvlText w:val="(%1)"/>
      <w:numFmt w:val="lowerRoman"/>
      <w:start w:val="1"/>
    </w:lvl>
  </w:abstractNum>
  <w:abstractNum w:abstractNumId="79">
    <w:nsid w:val="23D86AAC"/>
    <w:multiLevelType w:val="hybridMultilevel"/>
    <w:lvl w:ilvl="0">
      <w:lvlJc w:val="left"/>
      <w:lvlText w:val="(%1)"/>
      <w:numFmt w:val="lowerLetter"/>
      <w:start w:val="1"/>
    </w:lvl>
  </w:abstractNum>
  <w:abstractNum w:abstractNumId="80">
    <w:nsid w:val="45E6D486"/>
    <w:multiLevelType w:val="hybridMultilevel"/>
    <w:lvl w:ilvl="0">
      <w:lvlJc w:val="left"/>
      <w:lvlText w:val="%1"/>
      <w:numFmt w:val="lowerRoman"/>
      <w:start w:val="1"/>
    </w:lvl>
    <w:lvl w:ilvl="1">
      <w:lvlJc w:val="left"/>
      <w:lvlText w:val="(%2)"/>
      <w:numFmt w:val="lowerLetter"/>
      <w:start w:val="7"/>
    </w:lvl>
  </w:abstractNum>
  <w:abstractNum w:abstractNumId="81">
    <w:nsid w:val="5C10FE21"/>
    <w:multiLevelType w:val="hybridMultilevel"/>
    <w:lvl w:ilvl="0">
      <w:lvlJc w:val="left"/>
      <w:lvlText w:val="(%1)"/>
      <w:numFmt w:val="lowerRoman"/>
      <w:start w:val="2"/>
    </w:lvl>
    <w:lvl w:ilvl="1">
      <w:lvlJc w:val="left"/>
      <w:lvlText w:val="(%2)"/>
      <w:numFmt w:val="lowerLetter"/>
      <w:start w:val="8"/>
    </w:lvl>
  </w:abstractNum>
  <w:abstractNum w:abstractNumId="82">
    <w:nsid w:val="E7FFA2B"/>
    <w:multiLevelType w:val="hybridMultilevel"/>
    <w:lvl w:ilvl="0">
      <w:lvlJc w:val="left"/>
      <w:lvlText w:val="(%1)"/>
      <w:numFmt w:val="lowerLetter"/>
      <w:start w:val="1"/>
    </w:lvl>
  </w:abstractNum>
  <w:abstractNum w:abstractNumId="83">
    <w:nsid w:val="3C5991AA"/>
    <w:multiLevelType w:val="hybridMultilevel"/>
    <w:lvl w:ilvl="0">
      <w:lvlJc w:val="left"/>
      <w:lvlText w:val="(%1)"/>
      <w:numFmt w:val="lowerLetter"/>
      <w:start w:val="3"/>
    </w:lvl>
  </w:abstractNum>
  <w:abstractNum w:abstractNumId="84">
    <w:nsid w:val="4BD8591A"/>
    <w:multiLevelType w:val="hybridMultilevel"/>
    <w:lvl w:ilvl="0">
      <w:lvlJc w:val="left"/>
      <w:lvlText w:val="(%1)"/>
      <w:numFmt w:val="lowerLetter"/>
      <w:start w:val="1"/>
    </w:lvl>
  </w:abstractNum>
  <w:abstractNum w:abstractNumId="85">
    <w:nsid w:val="78DF6A55"/>
    <w:multiLevelType w:val="hybridMultilevel"/>
    <w:lvl w:ilvl="0">
      <w:lvlJc w:val="left"/>
      <w:lvlText w:val="(%1)"/>
      <w:numFmt w:val="lowerLetter"/>
      <w:start w:val="1"/>
    </w:lvl>
  </w:abstractNum>
  <w:abstractNum w:abstractNumId="86">
    <w:nsid w:val="39B7AAA2"/>
    <w:multiLevelType w:val="hybridMultilevel"/>
    <w:lvl w:ilvl="0">
      <w:lvlJc w:val="left"/>
      <w:lvlText w:val="%1"/>
      <w:numFmt w:val="decimal"/>
      <w:start w:val="1"/>
    </w:lvl>
    <w:lvl w:ilvl="1">
      <w:lvlJc w:val="left"/>
      <w:lvlText w:val="(%2)"/>
      <w:numFmt w:val="lowerLetter"/>
      <w:start w:val="3"/>
    </w:lvl>
  </w:abstractNum>
  <w:abstractNum w:abstractNumId="87">
    <w:nsid w:val="2B0D8DBE"/>
    <w:multiLevelType w:val="hybridMultilevel"/>
    <w:lvl w:ilvl="0">
      <w:lvlJc w:val="left"/>
      <w:lvlText w:val="(%1)"/>
      <w:numFmt w:val="decimal"/>
      <w:start w:val="2"/>
    </w:lvl>
    <w:lvl w:ilvl="1">
      <w:lvlJc w:val="left"/>
      <w:lvlText w:val="%2"/>
      <w:numFmt w:val="lowerLetter"/>
      <w:start w:val="1"/>
    </w:lvl>
  </w:abstractNum>
  <w:abstractNum w:abstractNumId="88">
    <w:nsid w:val="6C80EC70"/>
    <w:multiLevelType w:val="hybridMultilevel"/>
    <w:lvl w:ilvl="0">
      <w:lvlJc w:val="left"/>
      <w:lvlText w:val="(%1)"/>
      <w:numFmt w:val="lowerLetter"/>
      <w:start w:val="1"/>
    </w:lvl>
  </w:abstractNum>
  <w:abstractNum w:abstractNumId="89">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0">
    <w:nsid w:val="69E373"/>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91">
    <w:nsid w:val="2C27173B"/>
    <w:multiLevelType w:val="hybridMultilevel"/>
    <w:lvl w:ilvl="0">
      <w:lvlJc w:val="left"/>
      <w:lvlText w:val="%1"/>
      <w:numFmt w:val="lowerLetter"/>
      <w:start w:val="1"/>
    </w:lvl>
    <w:lvl w:ilvl="1">
      <w:lvlJc w:val="left"/>
      <w:lvlText w:val="(%2)"/>
      <w:numFmt w:val="lowerRoman"/>
      <w:start w:val="4"/>
    </w:lvl>
  </w:abstractNum>
  <w:abstractNum w:abstractNumId="92">
    <w:nsid w:val="4C9B0904"/>
    <w:multiLevelType w:val="hybridMultilevel"/>
    <w:lvl w:ilvl="0">
      <w:lvlJc w:val="left"/>
      <w:lvlText w:val="(%1)"/>
      <w:numFmt w:val="lowerLetter"/>
      <w:start w:val="2"/>
    </w:lvl>
    <w:lvl w:ilvl="1">
      <w:lvlJc w:val="left"/>
      <w:lvlText w:val="%2"/>
      <w:numFmt w:val="lowerRoman"/>
      <w:start w:val="1"/>
    </w:lvl>
  </w:abstractNum>
  <w:abstractNum w:abstractNumId="93">
    <w:nsid w:val="6AA7B75C"/>
    <w:multiLevelType w:val="hybridMultilevel"/>
    <w:lvl w:ilvl="0">
      <w:lvlJc w:val="left"/>
      <w:lvlText w:val="(%1)"/>
      <w:numFmt w:val="lowerLetter"/>
      <w:start w:val="1"/>
    </w:lvl>
  </w:abstractNum>
  <w:abstractNum w:abstractNumId="94">
    <w:nsid w:val="1DF029D3"/>
    <w:multiLevelType w:val="hybridMultilevel"/>
    <w:lvl w:ilvl="0">
      <w:lvlJc w:val="left"/>
      <w:lvlText w:val="(%1)"/>
      <w:numFmt w:val="lowerLetter"/>
      <w:start w:val="6"/>
    </w:lvl>
  </w:abstractNum>
  <w:abstractNum w:abstractNumId="95">
    <w:nsid w:val="5675FF36"/>
    <w:multiLevelType w:val="hybridMultilevel"/>
    <w:lvl w:ilvl="0">
      <w:lvlJc w:val="left"/>
      <w:lvlText w:val="(%1)"/>
      <w:numFmt w:val="lowerLetter"/>
      <w:start w:val="1"/>
    </w:lvl>
    <w:lvl w:ilvl="1">
      <w:lvlJc w:val="left"/>
      <w:lvlText w:val="(%2)"/>
      <w:numFmt w:val="lowerRoman"/>
      <w:start w:val="1"/>
    </w:lvl>
  </w:abstractNum>
  <w:abstractNum w:abstractNumId="96">
    <w:nsid w:val="3DD15094"/>
    <w:multiLevelType w:val="hybridMultilevel"/>
    <w:lvl w:ilvl="0">
      <w:lvlJc w:val="left"/>
      <w:lvlText w:val="(%1)"/>
      <w:numFmt w:val="lowerLetter"/>
      <w:start w:val="2"/>
    </w:lvl>
  </w:abstractNum>
  <w:abstractNum w:abstractNumId="97">
    <w:nsid w:val="3DB012B3"/>
    <w:multiLevelType w:val="hybridMultilevel"/>
    <w:lvl w:ilvl="0">
      <w:lvlJc w:val="left"/>
      <w:lvlText w:val="(%1)"/>
      <w:numFmt w:val="lowerLetter"/>
      <w:start w:val="3"/>
    </w:lvl>
  </w:abstractNum>
  <w:abstractNum w:abstractNumId="98">
    <w:nsid w:val="2708C9AF"/>
    <w:multiLevelType w:val="hybridMultilevel"/>
    <w:lvl w:ilvl="0">
      <w:lvlJc w:val="left"/>
      <w:lvlText w:val="(%1)"/>
      <w:numFmt w:val="lowerLetter"/>
      <w:start w:val="5"/>
    </w:lvl>
  </w:abstractNum>
  <w:abstractNum w:abstractNumId="99">
    <w:nsid w:val="5B25ACE2"/>
    <w:multiLevelType w:val="hybridMultilevel"/>
    <w:lvl w:ilvl="0">
      <w:lvlJc w:val="left"/>
      <w:lvlText w:val="(%1)"/>
      <w:numFmt w:val="lowerLetter"/>
      <w:start w:val="1"/>
    </w:lvl>
  </w:abstractNum>
  <w:abstractNum w:abstractNumId="100">
    <w:nsid w:val="175DFCF0"/>
    <w:multiLevelType w:val="hybridMultilevel"/>
    <w:lvl w:ilvl="0">
      <w:lvlJc w:val="left"/>
      <w:lvlText w:val="(%1)"/>
      <w:numFmt w:val="lowerLetter"/>
      <w:start w:val="4"/>
    </w:lvl>
  </w:abstractNum>
  <w:abstractNum w:abstractNumId="101">
    <w:nsid w:val="4F97E3E4"/>
    <w:multiLevelType w:val="hybridMultilevel"/>
    <w:lvl w:ilvl="0">
      <w:lvlJc w:val="left"/>
      <w:lvlText w:val="(%1)"/>
      <w:numFmt w:val="lowerLetter"/>
      <w:start w:val="1"/>
    </w:lvl>
  </w:abstractNum>
  <w:abstractNum w:abstractNumId="102">
    <w:nsid w:val="53B0A9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3">
    <w:nsid w:val="34FD6B4F"/>
    <w:multiLevelType w:val="hybridMultilevel"/>
    <w:lvl w:ilvl="0">
      <w:lvlJc w:val="left"/>
      <w:lvlText w:val="(%1)"/>
      <w:numFmt w:val="lowerRoman"/>
      <w:start w:val="4"/>
    </w:lvl>
  </w:abstractNum>
  <w:abstractNum w:abstractNumId="104">
    <w:nsid w:val="5915FF32"/>
    <w:multiLevelType w:val="hybridMultilevel"/>
    <w:lvl w:ilvl="0">
      <w:lvlJc w:val="left"/>
      <w:lvlText w:val="(%1)"/>
      <w:numFmt w:val="lowerLetter"/>
      <w:start w:val="3"/>
    </w:lvl>
  </w:abstractNum>
  <w:abstractNum w:abstractNumId="105">
    <w:nsid w:val="56438D15"/>
    <w:multiLevelType w:val="hybridMultilevel"/>
    <w:lvl w:ilvl="0">
      <w:lvlJc w:val="left"/>
      <w:lvlText w:val="(%1)"/>
      <w:numFmt w:val="lowerLetter"/>
      <w:start w:val="5"/>
    </w:lvl>
  </w:abstractNum>
  <w:abstractNum w:abstractNumId="106">
    <w:nsid w:val="519E3149"/>
    <w:multiLevelType w:val="hybridMultilevel"/>
    <w:lvl w:ilvl="0">
      <w:lvlJc w:val="left"/>
      <w:lvlText w:val="(%1)"/>
      <w:numFmt w:val="lowerLetter"/>
      <w:start w:val="1"/>
    </w:lvl>
  </w:abstractNum>
  <w:abstractNum w:abstractNumId="107">
    <w:nsid w:val="2C6E4AFD"/>
    <w:multiLevelType w:val="hybridMultilevel"/>
    <w:lvl w:ilvl="0">
      <w:lvlJc w:val="left"/>
      <w:lvlText w:val="(%1)"/>
      <w:numFmt w:val="lowerRoman"/>
      <w:start w:val="1"/>
    </w:lvl>
  </w:abstractNum>
  <w:abstractNum w:abstractNumId="108">
    <w:nsid w:val="17A1B582"/>
    <w:multiLevelType w:val="hybridMultilevel"/>
    <w:lvl w:ilvl="0">
      <w:lvlJc w:val="left"/>
      <w:lvlText w:val="(%1)"/>
      <w:numFmt w:val="lowerRoman"/>
      <w:start w:val="2"/>
    </w:lvl>
  </w:abstractNum>
  <w:abstractNum w:abstractNumId="109">
    <w:nsid w:val="4DF72E4E"/>
    <w:multiLevelType w:val="hybridMultilevel"/>
    <w:lvl w:ilvl="0">
      <w:lvlJc w:val="left"/>
      <w:lvlText w:val="(%1)"/>
      <w:numFmt w:val="lowerLetter"/>
      <w:start w:val="3"/>
    </w:lvl>
  </w:abstractNum>
  <w:abstractNum w:abstractNumId="110">
    <w:nsid w:val="5046B5A9"/>
    <w:multiLevelType w:val="hybridMultilevel"/>
    <w:lvl w:ilvl="0">
      <w:lvlJc w:val="left"/>
      <w:lvlText w:val="(%1)"/>
      <w:numFmt w:val="lowerLetter"/>
      <w:start w:val="1"/>
    </w:lvl>
  </w:abstractNum>
  <w:abstractNum w:abstractNumId="111">
    <w:nsid w:val="5D888A08"/>
    <w:multiLevelType w:val="hybridMultilevel"/>
    <w:lvl w:ilvl="0">
      <w:lvlJc w:val="left"/>
      <w:lvlText w:val="(%1)"/>
      <w:numFmt w:val="lowerLetter"/>
      <w:start w:val="3"/>
    </w:lvl>
  </w:abstractNum>
  <w:abstractNum w:abstractNumId="112">
    <w:nsid w:val="2A082C70"/>
    <w:multiLevelType w:val="hybridMultilevel"/>
    <w:lvl w:ilvl="0">
      <w:lvlJc w:val="left"/>
      <w:lvlText w:val="(%1)"/>
      <w:numFmt w:val="upperLetter"/>
      <w:start w:val="2"/>
    </w:lvl>
  </w:abstractNum>
  <w:abstractNum w:abstractNumId="113">
    <w:nsid w:val="5EC6AFD4"/>
    <w:multiLevelType w:val="hybridMultilevel"/>
    <w:lvl w:ilvl="0">
      <w:lvlJc w:val="left"/>
      <w:lvlText w:val="(%1)"/>
      <w:numFmt w:val="lowerLetter"/>
      <w:start w:val="1"/>
    </w:lvl>
  </w:abstractNum>
  <w:abstractNum w:abstractNumId="114">
    <w:nsid w:val="19E21BB2"/>
    <w:multiLevelType w:val="hybridMultilevel"/>
    <w:lvl w:ilvl="0">
      <w:lvlJc w:val="left"/>
      <w:lvlText w:val="(%1)"/>
      <w:numFmt w:val="lowerRoman"/>
      <w:start w:val="1"/>
    </w:lvl>
  </w:abstractNum>
  <w:abstractNum w:abstractNumId="115">
    <w:nsid w:val="75E0858A"/>
    <w:multiLevelType w:val="hybridMultilevel"/>
    <w:lvl w:ilvl="0">
      <w:lvlJc w:val="left"/>
      <w:lvlText w:val="(%1)"/>
      <w:numFmt w:val="lowerLetter"/>
      <w:start w:val="1"/>
    </w:lvl>
  </w:abstractNum>
  <w:abstractNum w:abstractNumId="116">
    <w:nsid w:val="57A61A29"/>
    <w:multiLevelType w:val="hybridMultilevel"/>
    <w:lvl w:ilvl="0">
      <w:lvlJc w:val="left"/>
      <w:lvlText w:val="•"/>
      <w:numFmt w:val="bullet"/>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1."/>
      <w:numFmt w:val="decimal"/>
      <w:start w:val="1"/>
    </w:lvl>
  </w:abstractNum>
  <w:abstractNum w:abstractNumId="119">
    <w:nsid w:val="4427069A"/>
    <w:multiLevelType w:val="hybridMultilevel"/>
    <w:lvl w:ilvl="0">
      <w:lvlJc w:val="left"/>
      <w:lvlText w:val="%1."/>
      <w:numFmt w:val="decimal"/>
      <w:start w:val="1"/>
    </w:lvl>
  </w:abstractNum>
  <w:abstractNum w:abstractNumId="120">
    <w:nsid w:val="B37E80A"/>
    <w:multiLevelType w:val="hybridMultilevel"/>
    <w:lvl w:ilvl="0">
      <w:lvlJc w:val="left"/>
      <w:lvlText w:val="%1."/>
      <w:numFmt w:val="decimal"/>
      <w:start w:val="4"/>
    </w:lvl>
  </w:abstractNum>
  <w:abstractNum w:abstractNumId="121">
    <w:nsid w:val="2157F6BC"/>
    <w:multiLevelType w:val="hybridMultilevel"/>
    <w:lvl w:ilvl="0">
      <w:lvlJc w:val="left"/>
      <w:lvlText w:val="%1."/>
      <w:numFmt w:val="upperLetter"/>
      <w:start w:val="9"/>
    </w:lvl>
  </w:abstractNum>
  <w:abstractNum w:abstractNumId="122">
    <w:nsid w:val="704E1DD5"/>
    <w:multiLevelType w:val="hybridMultilevel"/>
    <w:lvl w:ilvl="0">
      <w:lvlJc w:val="left"/>
      <w:lvlText w:val="%1."/>
      <w:numFmt w:val="upperLetter"/>
      <w:start w:val="3"/>
    </w:lvl>
  </w:abstractNum>
  <w:abstractNum w:abstractNumId="123">
    <w:nsid w:val="57D2F10E"/>
    <w:multiLevelType w:val="hybridMultilevel"/>
    <w:lvl w:ilvl="0">
      <w:lvlJc w:val="left"/>
      <w:lvlText w:val="%1."/>
      <w:numFmt w:val="upperLetter"/>
      <w:start w:val="5"/>
    </w:lvl>
  </w:abstractNum>
  <w:abstractNum w:abstractNumId="124">
    <w:nsid w:val="BFFAE18"/>
    <w:multiLevelType w:val="hybridMultilevel"/>
    <w:lvl w:ilvl="0">
      <w:lvlJc w:val="left"/>
      <w:lvlText w:val="(%1)"/>
      <w:numFmt w:val="decimal"/>
      <w:start w:val="7"/>
    </w:lvl>
  </w:abstractNum>
  <w:abstractNum w:abstractNumId="125">
    <w:nsid w:val="E3E47A8"/>
    <w:multiLevelType w:val="hybridMultilevel"/>
    <w:lvl w:ilvl="0">
      <w:lvlJc w:val="left"/>
      <w:lvlText w:val="(%1)"/>
      <w:numFmt w:val="decimal"/>
      <w:start w:val="8"/>
    </w:lvl>
  </w:abstractNum>
  <w:abstractNum w:abstractNumId="126">
    <w:nsid w:val="2E48F044"/>
    <w:multiLevelType w:val="hybridMultilevel"/>
    <w:lvl w:ilvl="0">
      <w:lvlJc w:val="left"/>
      <w:lvlText w:val="1"/>
      <w:numFmt w:val="bullet"/>
      <w:start w:val="1"/>
    </w:lvl>
  </w:abstractNum>
  <w:abstractNum w:abstractNumId="127">
    <w:nsid w:val="49D0FEAC"/>
    <w:multiLevelType w:val="hybridMultilevel"/>
    <w:lvl w:ilvl="0">
      <w:lvlJc w:val="left"/>
      <w:lvlText w:val="%1."/>
      <w:numFmt w:val="decimal"/>
      <w:start w:val="1"/>
    </w:lvl>
  </w:abstractNum>
  <w:abstractNum w:abstractNumId="128">
    <w:nsid w:val="4BEE5A5B"/>
    <w:multiLevelType w:val="hybridMultilevel"/>
    <w:lvl w:ilvl="0">
      <w:lvlJc w:val="left"/>
      <w:lvlText w:val="%1."/>
      <w:numFmt w:val="decimal"/>
      <w:start w:val="6"/>
    </w:lvl>
  </w:abstractNum>
  <w:abstractNum w:abstractNumId="129">
    <w:nsid w:val="5551B9F3"/>
    <w:multiLevelType w:val="hybridMultilevel"/>
    <w:lvl w:ilvl="0">
      <w:lvlJc w:val="left"/>
      <w:lvlText w:val="%1."/>
      <w:numFmt w:val="decimal"/>
      <w:start w:val="1"/>
    </w:lvl>
  </w:abstractNum>
  <w:abstractNum w:abstractNumId="130">
    <w:nsid w:val="24F6AB8E"/>
    <w:multiLevelType w:val="hybridMultilevel"/>
    <w:lvl w:ilvl="0">
      <w:lvlJc w:val="left"/>
      <w:lvlText w:val="(%1)"/>
      <w:numFmt w:val="lowerRoman"/>
      <w:start w:val="3"/>
    </w:lvl>
  </w:abstractNum>
  <w:abstractNum w:abstractNumId="131">
    <w:nsid w:val="634C574C"/>
    <w:multiLevelType w:val="hybridMultilevel"/>
    <w:lvl w:ilvl="0">
      <w:lvlJc w:val="left"/>
      <w:lvlText w:val="(%1)"/>
      <w:numFmt w:val="lowerRoman"/>
      <w:start w:val="2"/>
    </w:lvl>
  </w:abstractNum>
  <w:abstractNum w:abstractNumId="132">
    <w:nsid w:val="24E99DD7"/>
    <w:multiLevelType w:val="hybridMultilevel"/>
    <w:lvl w:ilvl="0">
      <w:lvlJc w:val="left"/>
      <w:lvlText w:val="(%1)"/>
      <w:numFmt w:val="lowerRoman"/>
      <w:start w:val="5"/>
    </w:lvl>
  </w:abstractNum>
  <w:abstractNum w:abstractNumId="133">
    <w:nsid w:val="2A31B62D"/>
    <w:multiLevelType w:val="hybridMultilevel"/>
    <w:lvl w:ilvl="0">
      <w:lvlJc w:val="left"/>
      <w:lvlText w:val="%1"/>
      <w:numFmt w:val="decimal"/>
      <w:start w:val="1"/>
    </w:lvl>
    <w:lvl w:ilvl="1">
      <w:lvlJc w:val="left"/>
      <w:lvlText w:val="%2."/>
      <w:numFmt w:val="decimal"/>
      <w:start w:val="2"/>
    </w:lvl>
  </w:abstractNum>
  <w:abstractNum w:abstractNumId="134">
    <w:nsid w:val="1849C29B"/>
    <w:multiLevelType w:val="hybridMultilevel"/>
    <w:lvl w:ilvl="0">
      <w:lvlJc w:val="left"/>
      <w:lvlText w:val="%1."/>
      <w:numFmt w:val="decimal"/>
      <w:start w:val="3"/>
    </w:lvl>
    <w:lvl w:ilvl="1">
      <w:lvlJc w:val="left"/>
      <w:lvlText w:val="%2"/>
      <w:numFmt w:val="decimal"/>
      <w:start w:val="1"/>
    </w:lvl>
  </w:abstractNum>
  <w:abstractNum w:abstractNumId="135">
    <w:nsid w:val="7DFF9D09"/>
    <w:multiLevelType w:val="hybridMultilevel"/>
    <w:lvl w:ilvl="0">
      <w:lvlJc w:val="left"/>
      <w:lvlText w:val="%1."/>
      <w:numFmt w:val="decimal"/>
      <w:start w:val="1"/>
    </w:lvl>
  </w:abstractNum>
  <w:abstractNum w:abstractNumId="136">
    <w:nsid w:val="754342"/>
    <w:multiLevelType w:val="hybridMultilevel"/>
    <w:lvl w:ilvl="0">
      <w:lvlJc w:val="left"/>
      <w:lvlText w:val="(%1)"/>
      <w:numFmt w:val="lowerRoman"/>
      <w:start w:val="2"/>
    </w:lvl>
  </w:abstractNum>
  <w:abstractNum w:abstractNumId="137">
    <w:nsid w:val="69E7F3E5"/>
    <w:multiLevelType w:val="hybridMultilevel"/>
    <w:lvl w:ilvl="0">
      <w:lvlJc w:val="left"/>
      <w:lvlText w:val="%1."/>
      <w:numFmt w:val="upperLetter"/>
      <w:start w:val="1"/>
    </w:lvl>
  </w:abstractNum>
  <w:abstractNum w:abstractNumId="138">
    <w:nsid w:val="2A6DE806"/>
    <w:multiLevelType w:val="hybridMultilevel"/>
    <w:lvl w:ilvl="0">
      <w:lvlJc w:val="left"/>
      <w:lvlText w:val="%1."/>
      <w:numFmt w:val="decimal"/>
      <w:start w:val="1"/>
    </w:lvl>
  </w:abstractNum>
  <w:abstractNum w:abstractNumId="139">
    <w:nsid w:val="1816F8C4"/>
    <w:multiLevelType w:val="hybridMultilevel"/>
    <w:lvl w:ilvl="0">
      <w:lvlJc w:val="left"/>
      <w:lvlText w:val="(%1)"/>
      <w:numFmt w:val="lowerLetter"/>
      <w:start w:val="3"/>
    </w:lvl>
  </w:abstractNum>
  <w:abstractNum w:abstractNumId="140">
    <w:nsid w:val="37DF2233"/>
    <w:multiLevelType w:val="hybridMultilevel"/>
    <w:lvl w:ilvl="0">
      <w:lvlJc w:val="left"/>
      <w:lvlText w:val="(%1)"/>
      <w:numFmt w:val="lowerLetter"/>
      <w:start w:val="1"/>
    </w:lvl>
  </w:abstractNum>
  <w:abstractNum w:abstractNumId="141">
    <w:nsid w:val="7AB49DAF"/>
    <w:multiLevelType w:val="hybridMultilevel"/>
    <w:lvl w:ilvl="0">
      <w:lvlJc w:val="left"/>
      <w:lvlText w:val="%1."/>
      <w:numFmt w:val="decimal"/>
      <w:start w:val="2"/>
    </w:lvl>
  </w:abstractNum>
  <w:abstractNum w:abstractNumId="142">
    <w:nsid w:val="759F82CD"/>
    <w:multiLevelType w:val="hybridMultilevel"/>
    <w:lvl w:ilvl="0">
      <w:lvlJc w:val="left"/>
      <w:lvlText w:val="%1."/>
      <w:numFmt w:val="decimal"/>
      <w:start w:val="3"/>
    </w:lvl>
  </w:abstractNum>
  <w:abstractNum w:abstractNumId="143">
    <w:nsid w:val="61E74EA3"/>
    <w:multiLevelType w:val="hybridMultilevel"/>
    <w:lvl w:ilvl="0">
      <w:lvlJc w:val="left"/>
      <w:lvlText w:val="(%1)"/>
      <w:numFmt w:val="lowerLetter"/>
      <w:start w:val="1"/>
    </w:lvl>
    <w:lvl w:ilvl="1">
      <w:lvlJc w:val="left"/>
      <w:lvlText w:val="%2."/>
      <w:numFmt w:val="decimal"/>
      <w:start w:val="4"/>
    </w:lvl>
  </w:abstractNum>
  <w:abstractNum w:abstractNumId="144">
    <w:nsid w:val="597B4D8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2020-08-27T16:18:23Z</dcterms:created>
  <dcterms:modified xsi:type="dcterms:W3CDTF">2020-08-27T16:18:23Z</dcterms:modified>
</cp:coreProperties>
</file>