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REPUBLIC SERVICES,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760759100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David Foley</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The Blackstone Group 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345 Park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10154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583-5000</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Copy to: Wilson S. Neely, Esq.</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Simpson Thacher &amp; Bartlett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425 Lexington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10017</w:t>
      </w:r>
    </w:p>
    <w:p>
      <w:pPr>
        <w:spacing w:after="0" w:line="36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January 31, 2011</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172"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18 Pages</w:t>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60" w:type="dxa"/>
            <w:vAlign w:val="bottom"/>
          </w:tcPr>
          <w:p>
            <w:pPr>
              <w:ind w:left="1200"/>
              <w:spacing w:after="0"/>
              <w:rPr>
                <w:sz w:val="20"/>
                <w:szCs w:val="20"/>
                <w:color w:val="auto"/>
              </w:rPr>
            </w:pPr>
            <w:r>
              <w:rPr>
                <w:rFonts w:ascii="Arial" w:cs="Arial" w:eastAsia="Arial" w:hAnsi="Arial"/>
                <w:sz w:val="18"/>
                <w:szCs w:val="18"/>
                <w:color w:val="auto"/>
              </w:rPr>
              <w:t>13D</w:t>
            </w:r>
          </w:p>
        </w:tc>
        <w:tc>
          <w:tcPr>
            <w:tcW w:w="3420" w:type="dxa"/>
            <w:vAlign w:val="bottom"/>
          </w:tcPr>
          <w:p>
            <w:pPr>
              <w:ind w:left="2080"/>
              <w:spacing w:after="0"/>
              <w:rPr>
                <w:sz w:val="20"/>
                <w:szCs w:val="20"/>
                <w:color w:val="auto"/>
              </w:rPr>
            </w:pPr>
            <w:r>
              <w:rPr>
                <w:rFonts w:ascii="Arial" w:cs="Arial" w:eastAsia="Arial" w:hAnsi="Arial"/>
                <w:sz w:val="18"/>
                <w:szCs w:val="18"/>
                <w:color w:val="auto"/>
                <w:w w:val="83"/>
              </w:rPr>
              <w:t>Page 2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Capital Partners II Merchant Banking Fund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97"/>
              </w:rPr>
              <w:t>0 shares</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60" w:type="dxa"/>
            <w:vAlign w:val="bottom"/>
          </w:tcPr>
          <w:p>
            <w:pPr>
              <w:ind w:left="1200"/>
              <w:spacing w:after="0"/>
              <w:rPr>
                <w:sz w:val="20"/>
                <w:szCs w:val="20"/>
                <w:color w:val="auto"/>
              </w:rPr>
            </w:pPr>
            <w:r>
              <w:rPr>
                <w:rFonts w:ascii="Arial" w:cs="Arial" w:eastAsia="Arial" w:hAnsi="Arial"/>
                <w:sz w:val="18"/>
                <w:szCs w:val="18"/>
                <w:color w:val="auto"/>
              </w:rPr>
              <w:t>13D</w:t>
            </w:r>
          </w:p>
        </w:tc>
        <w:tc>
          <w:tcPr>
            <w:tcW w:w="3420" w:type="dxa"/>
            <w:vAlign w:val="bottom"/>
          </w:tcPr>
          <w:p>
            <w:pPr>
              <w:ind w:left="2080"/>
              <w:spacing w:after="0"/>
              <w:rPr>
                <w:sz w:val="20"/>
                <w:szCs w:val="20"/>
                <w:color w:val="auto"/>
              </w:rPr>
            </w:pPr>
            <w:r>
              <w:rPr>
                <w:rFonts w:ascii="Arial" w:cs="Arial" w:eastAsia="Arial" w:hAnsi="Arial"/>
                <w:sz w:val="18"/>
                <w:szCs w:val="18"/>
                <w:color w:val="auto"/>
                <w:w w:val="83"/>
              </w:rPr>
              <w:t>Page 3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Blackstone Offshore Capital Partners II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7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7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00" w:type="dxa"/>
            <w:vAlign w:val="bottom"/>
            <w:vMerge w:val="restart"/>
          </w:tcPr>
          <w:p>
            <w:pPr>
              <w:ind w:left="3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9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70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00" w:type="dxa"/>
            <w:vAlign w:val="bottom"/>
            <w:vMerge w:val="restart"/>
          </w:tcPr>
          <w:p>
            <w:pPr>
              <w:ind w:left="3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9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97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5"/>
              </w:rPr>
              <w:t>0 shares</w:t>
            </w: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60" w:type="dxa"/>
            <w:vAlign w:val="bottom"/>
          </w:tcPr>
          <w:p>
            <w:pPr>
              <w:ind w:left="1200"/>
              <w:spacing w:after="0"/>
              <w:rPr>
                <w:sz w:val="20"/>
                <w:szCs w:val="20"/>
                <w:color w:val="auto"/>
              </w:rPr>
            </w:pPr>
            <w:r>
              <w:rPr>
                <w:rFonts w:ascii="Arial" w:cs="Arial" w:eastAsia="Arial" w:hAnsi="Arial"/>
                <w:sz w:val="18"/>
                <w:szCs w:val="18"/>
                <w:color w:val="auto"/>
              </w:rPr>
              <w:t>13D</w:t>
            </w:r>
          </w:p>
        </w:tc>
        <w:tc>
          <w:tcPr>
            <w:tcW w:w="3420" w:type="dxa"/>
            <w:vAlign w:val="bottom"/>
          </w:tcPr>
          <w:p>
            <w:pPr>
              <w:ind w:left="2080"/>
              <w:spacing w:after="0"/>
              <w:rPr>
                <w:sz w:val="20"/>
                <w:szCs w:val="20"/>
                <w:color w:val="auto"/>
              </w:rPr>
            </w:pPr>
            <w:r>
              <w:rPr>
                <w:rFonts w:ascii="Arial" w:cs="Arial" w:eastAsia="Arial" w:hAnsi="Arial"/>
                <w:sz w:val="18"/>
                <w:szCs w:val="18"/>
                <w:color w:val="auto"/>
                <w:w w:val="83"/>
              </w:rPr>
              <w:t>Page 4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Family Investment Partnership II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296,071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296,071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296,071 shares</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0.08%</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60" w:type="dxa"/>
            <w:vAlign w:val="bottom"/>
          </w:tcPr>
          <w:p>
            <w:pPr>
              <w:ind w:left="1200"/>
              <w:spacing w:after="0"/>
              <w:rPr>
                <w:sz w:val="20"/>
                <w:szCs w:val="20"/>
                <w:color w:val="auto"/>
              </w:rPr>
            </w:pPr>
            <w:r>
              <w:rPr>
                <w:rFonts w:ascii="Arial" w:cs="Arial" w:eastAsia="Arial" w:hAnsi="Arial"/>
                <w:sz w:val="18"/>
                <w:szCs w:val="18"/>
                <w:color w:val="auto"/>
              </w:rPr>
              <w:t>13D</w:t>
            </w:r>
          </w:p>
        </w:tc>
        <w:tc>
          <w:tcPr>
            <w:tcW w:w="3420" w:type="dxa"/>
            <w:vAlign w:val="bottom"/>
          </w:tcPr>
          <w:p>
            <w:pPr>
              <w:ind w:left="2080"/>
              <w:spacing w:after="0"/>
              <w:rPr>
                <w:sz w:val="20"/>
                <w:szCs w:val="20"/>
                <w:color w:val="auto"/>
              </w:rPr>
            </w:pPr>
            <w:r>
              <w:rPr>
                <w:rFonts w:ascii="Arial" w:cs="Arial" w:eastAsia="Arial" w:hAnsi="Arial"/>
                <w:sz w:val="18"/>
                <w:szCs w:val="18"/>
                <w:color w:val="auto"/>
                <w:w w:val="83"/>
              </w:rPr>
              <w:t>Page 5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Management Associates II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677,448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677,448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677,448 shares</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0.18%</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60" w:type="dxa"/>
            <w:vAlign w:val="bottom"/>
          </w:tcPr>
          <w:p>
            <w:pPr>
              <w:ind w:left="1200"/>
              <w:spacing w:after="0"/>
              <w:rPr>
                <w:sz w:val="20"/>
                <w:szCs w:val="20"/>
                <w:color w:val="auto"/>
              </w:rPr>
            </w:pPr>
            <w:r>
              <w:rPr>
                <w:rFonts w:ascii="Arial" w:cs="Arial" w:eastAsia="Arial" w:hAnsi="Arial"/>
                <w:sz w:val="18"/>
                <w:szCs w:val="18"/>
                <w:color w:val="auto"/>
              </w:rPr>
              <w:t>13D</w:t>
            </w:r>
          </w:p>
        </w:tc>
        <w:tc>
          <w:tcPr>
            <w:tcW w:w="3420" w:type="dxa"/>
            <w:vAlign w:val="bottom"/>
          </w:tcPr>
          <w:p>
            <w:pPr>
              <w:ind w:left="2080"/>
              <w:spacing w:after="0"/>
              <w:rPr>
                <w:sz w:val="20"/>
                <w:szCs w:val="20"/>
                <w:color w:val="auto"/>
              </w:rPr>
            </w:pPr>
            <w:r>
              <w:rPr>
                <w:rFonts w:ascii="Arial" w:cs="Arial" w:eastAsia="Arial" w:hAnsi="Arial"/>
                <w:sz w:val="18"/>
                <w:szCs w:val="18"/>
                <w:color w:val="auto"/>
                <w:w w:val="83"/>
              </w:rPr>
              <w:t>Page 6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Capital Partners III Merchant Banking Fund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97"/>
              </w:rPr>
              <w:t>0 shares</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60" w:type="dxa"/>
            <w:vAlign w:val="bottom"/>
          </w:tcPr>
          <w:p>
            <w:pPr>
              <w:ind w:left="1200"/>
              <w:spacing w:after="0"/>
              <w:rPr>
                <w:sz w:val="20"/>
                <w:szCs w:val="20"/>
                <w:color w:val="auto"/>
              </w:rPr>
            </w:pPr>
            <w:r>
              <w:rPr>
                <w:rFonts w:ascii="Arial" w:cs="Arial" w:eastAsia="Arial" w:hAnsi="Arial"/>
                <w:sz w:val="18"/>
                <w:szCs w:val="18"/>
                <w:color w:val="auto"/>
              </w:rPr>
              <w:t>13D</w:t>
            </w:r>
          </w:p>
        </w:tc>
        <w:tc>
          <w:tcPr>
            <w:tcW w:w="3420" w:type="dxa"/>
            <w:vAlign w:val="bottom"/>
          </w:tcPr>
          <w:p>
            <w:pPr>
              <w:ind w:left="2080"/>
              <w:spacing w:after="0"/>
              <w:rPr>
                <w:sz w:val="20"/>
                <w:szCs w:val="20"/>
                <w:color w:val="auto"/>
              </w:rPr>
            </w:pPr>
            <w:r>
              <w:rPr>
                <w:rFonts w:ascii="Arial" w:cs="Arial" w:eastAsia="Arial" w:hAnsi="Arial"/>
                <w:sz w:val="18"/>
                <w:szCs w:val="18"/>
                <w:color w:val="auto"/>
                <w:w w:val="83"/>
              </w:rPr>
              <w:t>Page 7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Blackstone Offshore Capital Partners III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7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7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00" w:type="dxa"/>
            <w:vAlign w:val="bottom"/>
            <w:vMerge w:val="restart"/>
          </w:tcPr>
          <w:p>
            <w:pPr>
              <w:ind w:left="3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9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70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00" w:type="dxa"/>
            <w:vAlign w:val="bottom"/>
            <w:vMerge w:val="restart"/>
          </w:tcPr>
          <w:p>
            <w:pPr>
              <w:ind w:left="3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9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97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5"/>
              </w:rPr>
              <w:t>0 shares</w:t>
            </w: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60" w:type="dxa"/>
            <w:vAlign w:val="bottom"/>
          </w:tcPr>
          <w:p>
            <w:pPr>
              <w:ind w:left="1200"/>
              <w:spacing w:after="0"/>
              <w:rPr>
                <w:sz w:val="20"/>
                <w:szCs w:val="20"/>
                <w:color w:val="auto"/>
              </w:rPr>
            </w:pPr>
            <w:r>
              <w:rPr>
                <w:rFonts w:ascii="Arial" w:cs="Arial" w:eastAsia="Arial" w:hAnsi="Arial"/>
                <w:sz w:val="18"/>
                <w:szCs w:val="18"/>
                <w:color w:val="auto"/>
              </w:rPr>
              <w:t>13D</w:t>
            </w:r>
          </w:p>
        </w:tc>
        <w:tc>
          <w:tcPr>
            <w:tcW w:w="3420" w:type="dxa"/>
            <w:vAlign w:val="bottom"/>
          </w:tcPr>
          <w:p>
            <w:pPr>
              <w:ind w:left="2080"/>
              <w:spacing w:after="0"/>
              <w:rPr>
                <w:sz w:val="20"/>
                <w:szCs w:val="20"/>
                <w:color w:val="auto"/>
              </w:rPr>
            </w:pPr>
            <w:r>
              <w:rPr>
                <w:rFonts w:ascii="Arial" w:cs="Arial" w:eastAsia="Arial" w:hAnsi="Arial"/>
                <w:sz w:val="18"/>
                <w:szCs w:val="18"/>
                <w:color w:val="auto"/>
                <w:w w:val="83"/>
              </w:rPr>
              <w:t>Page 8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Family Investment Partnership III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1,044,225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1,044,225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1,044,225 shares</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0.27%</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60" w:type="dxa"/>
            <w:vAlign w:val="bottom"/>
          </w:tcPr>
          <w:p>
            <w:pPr>
              <w:ind w:left="1200"/>
              <w:spacing w:after="0"/>
              <w:rPr>
                <w:sz w:val="20"/>
                <w:szCs w:val="20"/>
                <w:color w:val="auto"/>
              </w:rPr>
            </w:pPr>
            <w:r>
              <w:rPr>
                <w:rFonts w:ascii="Arial" w:cs="Arial" w:eastAsia="Arial" w:hAnsi="Arial"/>
                <w:sz w:val="18"/>
                <w:szCs w:val="18"/>
                <w:color w:val="auto"/>
              </w:rPr>
              <w:t>13D</w:t>
            </w:r>
          </w:p>
        </w:tc>
        <w:tc>
          <w:tcPr>
            <w:tcW w:w="3420" w:type="dxa"/>
            <w:vAlign w:val="bottom"/>
          </w:tcPr>
          <w:p>
            <w:pPr>
              <w:ind w:left="2080"/>
              <w:spacing w:after="0"/>
              <w:rPr>
                <w:sz w:val="20"/>
                <w:szCs w:val="20"/>
                <w:color w:val="auto"/>
              </w:rPr>
            </w:pPr>
            <w:r>
              <w:rPr>
                <w:rFonts w:ascii="Arial" w:cs="Arial" w:eastAsia="Arial" w:hAnsi="Arial"/>
                <w:sz w:val="18"/>
                <w:szCs w:val="18"/>
                <w:color w:val="auto"/>
                <w:w w:val="83"/>
              </w:rPr>
              <w:t>Page 9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Management Associates III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2,827,730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2,827,730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2,827,730 shares</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0.74%</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20" w:type="dxa"/>
            <w:vAlign w:val="bottom"/>
          </w:tcPr>
          <w:p>
            <w:pPr>
              <w:ind w:left="1200"/>
              <w:spacing w:after="0"/>
              <w:rPr>
                <w:sz w:val="20"/>
                <w:szCs w:val="20"/>
                <w:color w:val="auto"/>
              </w:rPr>
            </w:pPr>
            <w:r>
              <w:rPr>
                <w:rFonts w:ascii="Arial" w:cs="Arial" w:eastAsia="Arial" w:hAnsi="Arial"/>
                <w:sz w:val="18"/>
                <w:szCs w:val="18"/>
                <w:color w:val="auto"/>
              </w:rPr>
              <w:t>13D</w:t>
            </w:r>
          </w:p>
        </w:tc>
        <w:tc>
          <w:tcPr>
            <w:tcW w:w="3460" w:type="dxa"/>
            <w:vAlign w:val="bottom"/>
          </w:tcPr>
          <w:p>
            <w:pPr>
              <w:ind w:left="2040"/>
              <w:spacing w:after="0"/>
              <w:rPr>
                <w:sz w:val="20"/>
                <w:szCs w:val="20"/>
                <w:color w:val="auto"/>
              </w:rPr>
            </w:pPr>
            <w:r>
              <w:rPr>
                <w:rFonts w:ascii="Arial" w:cs="Arial" w:eastAsia="Arial" w:hAnsi="Arial"/>
                <w:sz w:val="18"/>
                <w:szCs w:val="18"/>
                <w:color w:val="auto"/>
                <w:w w:val="83"/>
              </w:rPr>
              <w:t>Page 10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77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577151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77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Management Partners III,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4"/>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96"/>
              </w:rPr>
              <w:t>0.005%</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20" w:type="dxa"/>
            <w:vAlign w:val="bottom"/>
          </w:tcPr>
          <w:p>
            <w:pPr>
              <w:ind w:left="1200"/>
              <w:spacing w:after="0"/>
              <w:rPr>
                <w:sz w:val="20"/>
                <w:szCs w:val="20"/>
                <w:color w:val="auto"/>
              </w:rPr>
            </w:pPr>
            <w:r>
              <w:rPr>
                <w:rFonts w:ascii="Arial" w:cs="Arial" w:eastAsia="Arial" w:hAnsi="Arial"/>
                <w:sz w:val="18"/>
                <w:szCs w:val="18"/>
                <w:color w:val="auto"/>
              </w:rPr>
              <w:t>13D</w:t>
            </w:r>
          </w:p>
        </w:tc>
        <w:tc>
          <w:tcPr>
            <w:tcW w:w="3460" w:type="dxa"/>
            <w:vAlign w:val="bottom"/>
          </w:tcPr>
          <w:p>
            <w:pPr>
              <w:ind w:left="2040"/>
              <w:spacing w:after="0"/>
              <w:rPr>
                <w:sz w:val="20"/>
                <w:szCs w:val="20"/>
                <w:color w:val="auto"/>
              </w:rPr>
            </w:pPr>
            <w:r>
              <w:rPr>
                <w:rFonts w:ascii="Arial" w:cs="Arial" w:eastAsia="Arial" w:hAnsi="Arial"/>
                <w:sz w:val="18"/>
                <w:szCs w:val="18"/>
                <w:color w:val="auto"/>
                <w:w w:val="83"/>
              </w:rPr>
              <w:t>Page 11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Group,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96"/>
              </w:rPr>
              <w:t>0.005%</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20" w:type="dxa"/>
            <w:vAlign w:val="bottom"/>
          </w:tcPr>
          <w:p>
            <w:pPr>
              <w:ind w:left="1200"/>
              <w:spacing w:after="0"/>
              <w:rPr>
                <w:sz w:val="20"/>
                <w:szCs w:val="20"/>
                <w:color w:val="auto"/>
              </w:rPr>
            </w:pPr>
            <w:r>
              <w:rPr>
                <w:rFonts w:ascii="Arial" w:cs="Arial" w:eastAsia="Arial" w:hAnsi="Arial"/>
                <w:sz w:val="18"/>
                <w:szCs w:val="18"/>
                <w:color w:val="auto"/>
              </w:rPr>
              <w:t>13D</w:t>
            </w:r>
          </w:p>
        </w:tc>
        <w:tc>
          <w:tcPr>
            <w:tcW w:w="3460" w:type="dxa"/>
            <w:vAlign w:val="bottom"/>
          </w:tcPr>
          <w:p>
            <w:pPr>
              <w:ind w:left="2040"/>
              <w:spacing w:after="0"/>
              <w:rPr>
                <w:sz w:val="20"/>
                <w:szCs w:val="20"/>
                <w:color w:val="auto"/>
              </w:rPr>
            </w:pPr>
            <w:r>
              <w:rPr>
                <w:rFonts w:ascii="Arial" w:cs="Arial" w:eastAsia="Arial" w:hAnsi="Arial"/>
                <w:sz w:val="18"/>
                <w:szCs w:val="18"/>
                <w:color w:val="auto"/>
                <w:w w:val="83"/>
              </w:rPr>
              <w:t>Page 12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Blackstone Group Management,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88"/>
              </w:rPr>
              <w:t>Delaware</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17,683 shares</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96"/>
              </w:rPr>
              <w:t>0.005%</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CUSIP NO. 760759100</w:t>
            </w:r>
          </w:p>
        </w:tc>
        <w:tc>
          <w:tcPr>
            <w:tcW w:w="3520" w:type="dxa"/>
            <w:vAlign w:val="bottom"/>
          </w:tcPr>
          <w:p>
            <w:pPr>
              <w:ind w:left="1200"/>
              <w:spacing w:after="0"/>
              <w:rPr>
                <w:sz w:val="20"/>
                <w:szCs w:val="20"/>
                <w:color w:val="auto"/>
              </w:rPr>
            </w:pPr>
            <w:r>
              <w:rPr>
                <w:rFonts w:ascii="Arial" w:cs="Arial" w:eastAsia="Arial" w:hAnsi="Arial"/>
                <w:sz w:val="18"/>
                <w:szCs w:val="18"/>
                <w:color w:val="auto"/>
              </w:rPr>
              <w:t>13D</w:t>
            </w:r>
          </w:p>
        </w:tc>
        <w:tc>
          <w:tcPr>
            <w:tcW w:w="3460" w:type="dxa"/>
            <w:vAlign w:val="bottom"/>
          </w:tcPr>
          <w:p>
            <w:pPr>
              <w:ind w:left="2040"/>
              <w:spacing w:after="0"/>
              <w:rPr>
                <w:sz w:val="20"/>
                <w:szCs w:val="20"/>
                <w:color w:val="auto"/>
              </w:rPr>
            </w:pPr>
            <w:r>
              <w:rPr>
                <w:rFonts w:ascii="Arial" w:cs="Arial" w:eastAsia="Arial" w:hAnsi="Arial"/>
                <w:sz w:val="18"/>
                <w:szCs w:val="18"/>
                <w:color w:val="auto"/>
                <w:w w:val="83"/>
              </w:rPr>
              <w:t>Page 13 of 18 Pages</w:t>
            </w:r>
          </w:p>
        </w:tc>
      </w:tr>
      <w:tr>
        <w:trPr>
          <w:trHeight w:val="151"/>
        </w:trPr>
        <w:tc>
          <w:tcPr>
            <w:tcW w:w="54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3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NAME OF REPORTING PERSON</w:t>
            </w:r>
          </w:p>
        </w:tc>
        <w:tc>
          <w:tcPr>
            <w:tcW w:w="35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-149225</wp:posOffset>
            </wp:positionV>
            <wp:extent cx="8890" cy="2272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227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-149225</wp:posOffset>
            </wp:positionV>
            <wp:extent cx="8890" cy="5617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56172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Stephen A. Schwarzman</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6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spacing w:after="0"/>
              <w:rPr>
                <w:sz w:val="12"/>
                <w:szCs w:val="12"/>
                <w:color w:val="auto"/>
              </w:rPr>
            </w:pPr>
          </w:p>
        </w:tc>
        <w:tc>
          <w:tcPr>
            <w:tcW w:w="97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13"/>
                <w:szCs w:val="13"/>
                <w:color w:val="auto"/>
              </w:rPr>
            </w:pPr>
          </w:p>
        </w:tc>
        <w:tc>
          <w:tcPr>
            <w:tcW w:w="97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40" w:type="dxa"/>
            <w:vAlign w:val="bottom"/>
            <w:vMerge w:val="restart"/>
          </w:tcPr>
          <w:p>
            <w:pPr>
              <w:ind w:left="260"/>
              <w:spacing w:after="0"/>
              <w:rPr>
                <w:sz w:val="20"/>
                <w:szCs w:val="20"/>
                <w:color w:val="auto"/>
              </w:rPr>
            </w:pPr>
            <w:r>
              <w:rPr>
                <w:rFonts w:ascii="Arial" w:cs="Arial" w:eastAsia="Arial" w:hAnsi="Arial"/>
                <w:sz w:val="22"/>
                <w:szCs w:val="22"/>
                <w:color w:val="auto"/>
              </w:rPr>
              <w:t>3,522,861 shares</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16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6"/>
                <w:szCs w:val="16"/>
                <w:color w:val="auto"/>
              </w:rPr>
            </w:pPr>
          </w:p>
        </w:tc>
        <w:tc>
          <w:tcPr>
            <w:tcW w:w="9640" w:type="dxa"/>
            <w:vAlign w:val="bottom"/>
          </w:tcPr>
          <w:p>
            <w:pPr>
              <w:ind w:left="4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40" w:type="dxa"/>
            <w:vAlign w:val="bottom"/>
            <w:vMerge w:val="restart"/>
          </w:tcPr>
          <w:p>
            <w:pPr>
              <w:ind w:left="2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980" w:type="dxa"/>
            <w:vAlign w:val="bottom"/>
            <w:tcBorders>
              <w:right w:val="single" w:sz="8" w:color="auto"/>
            </w:tcBorders>
            <w:gridSpan w:val="2"/>
            <w:vMerge w:val="restart"/>
          </w:tcPr>
          <w:p>
            <w:pPr>
              <w:jc w:val="center"/>
              <w:ind w:right="185"/>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60" w:type="dxa"/>
            <w:vAlign w:val="bottom"/>
          </w:tcPr>
          <w:p>
            <w:pPr>
              <w:spacing w:after="0"/>
              <w:rPr>
                <w:sz w:val="18"/>
                <w:szCs w:val="18"/>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3,522,861 shares</w:t>
            </w: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3,522,861 shares</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0.92 %</w:t>
            </w:r>
          </w:p>
        </w:tc>
        <w:tc>
          <w:tcPr>
            <w:tcW w:w="6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2 (this “Amendment”) further amends and supplements the statement on Schedule 13D filed on December 15, 2008, as amended by Amendment No. 1 thereto filed on February 17, 2009 (together, the “Schedule 13D”), relating to the shares of common stock, par value $0.01 per share (the “Common Stock”), of Republic Services, Inc., a Delaware corporation (the “Issuer”), by Blackstone Capital Partners II Merchant Banking Fund L.P., a Delaware limited partnership (“BCP II”), Blackstone Offshore Capital Partners II L.P., a Cayman Islands exempted limited partnership (“BOCP II”), Blackstone Family Investment Partnership II L.P., a Delaware limited partnership (“BFIP II”), Blackstone Management Associates II L.L.C., a Delaware limited liability company (“BMA II”), Blackstone Capital Partners III Merchant Banking Fund L.P., a Delaware limited partnership (“BCP III”), Blackstone Offshore Capital Partners III L.P., a Cayman Islands exempted limited partnership (“BOCP III”), Blackstone Family Investment Partnership III L.P., a Delaware limited partnership (“BFIP III”), Blackstone Management Associates III L.L.C., a Delaware limited liability company (“BMA III”), Blackstone Management Partners III, L.L.C., a Delaware limited liability company (“BMP III”), Blackstone Group, L.P., a Delaware limited partnership (“BX”), Blackstone Group Management, LLC, a Delaware limited liability company (“BGM”), and Mr. Stephen A. Schwarzman. Capitalized terms used but not otherwise defined herein shall have the meanings ascribed to such terms in the Schedule 13D.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Explanatory Note: </w:t>
      </w:r>
      <w:r>
        <w:rPr>
          <w:rFonts w:ascii="Arial" w:cs="Arial" w:eastAsia="Arial" w:hAnsi="Arial"/>
          <w:sz w:val="16"/>
          <w:szCs w:val="16"/>
          <w:color w:val="auto"/>
        </w:rPr>
        <w:t>This Amendment is being filed to report certain in-kind distributions to their partners by BCP II, BOCP II, BCP III and BOCP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Item 4 of Schedule 13D is hereby amended and supplemented by the addition of the following paragraphs in place of the third paragraph thereof:</w:t>
      </w:r>
    </w:p>
    <w:p>
      <w:pPr>
        <w:spacing w:after="0" w:line="11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On January 31, 2011, each of BCP II and BOCP II distributed all of the shares of Common Stock that they held directly on a pro rata basis pursuant to the terms of their organizational documents to their partners (“Distribution 1”), including to BMA II, the sole general partner of BCP II and the sole investment general partner of BOCP II. As a result of Distribution 1, BMA II became the direct owner of 381,377 shares of Common Stock.</w:t>
      </w:r>
    </w:p>
    <w:p>
      <w:pPr>
        <w:spacing w:after="0" w:line="2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Also, on January 31, 2011, each of BCP III and BOCP III distributed all of the shares of Common Stock that they held directly on a pro rata basis pursuant to the terms of their organizational documents to their partners (“Distribution 2”, and together with Distribution 1, the “Distributions”), including to BMA III, the sole general partner of BCP III and the sole investment general partner of BOCP III. As a result of Distribution 2, BMA III became the direct owner of 1,298,080 shares of Common Stock and Blackstone Capital Commitment Partners III L.P., a limited partner, became the direct owner of 485,425 shares of Common Stock.</w:t>
      </w:r>
    </w:p>
    <w:p>
      <w:pPr>
        <w:spacing w:after="0" w:line="62"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BCP II, BOCP II, BCP III and BOCP III are making the Distributions due to certain limitations on their ability to sell shares of Common Stock directly. David Foley, who is a Senior Managing Director of BX, has offered to continue to serve on the board of directors of the Issuer for the remainder of his current term.</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Other than as described in this Item 4, none of the Reporting Persons, nor, to the knowledge of each Reporting Person, any of the Members, has any current plans or proposals that relate to or that would result in any of the transactions or other matters specified in clauses (a) through (j) of Item 4 of Schedule 13D; provided, that the Reporting Persons may, at any time, review or reconsider their position with respect to the Issuer and reserve the right to develop such plans or proposals.</w:t>
      </w:r>
    </w:p>
    <w:p>
      <w:pPr>
        <w:spacing w:after="0" w:line="62"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Additionally, the shares of Common Stock distributed by BCP II and BOCP II represent the last remaining investments held by such entities, which shares had been held for over 13 years, and it is anticipated that each of BCP II and BOCP II will wind-up their activities after the Distributions.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5(a) of the Schedule 13D is hereby amended and restated in its entirety as follows:</w:t>
      </w:r>
    </w:p>
    <w:p>
      <w:pPr>
        <w:spacing w:after="0" w:line="90" w:lineRule="exact"/>
        <w:rPr>
          <w:sz w:val="20"/>
          <w:szCs w:val="20"/>
          <w:color w:val="auto"/>
        </w:rPr>
      </w:pPr>
    </w:p>
    <w:p>
      <w:pPr>
        <w:ind w:left="460" w:right="360" w:firstLine="4"/>
        <w:spacing w:after="0" w:line="268" w:lineRule="auto"/>
        <w:tabs>
          <w:tab w:leader="none" w:pos="699"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the date hereof, (i) BFIP II holds 296,071 shares of Common Stock, or approximately 0.08% of the outstanding Common Stock; (ii) BFIP III holds 1,044,225 shares of Common Stock, or approximately 0.27%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Common Stock; (iii) BMA II may be deemed to beneficially own 677,448 shares of Common Stock, which include 381,377 shares of Common Stock directly held by BMA II and 296,071 shares of Common Stock held by BFIP II, or an aggregate of approximately 0.18% of the outstanding Common Stock; (iv) BMA III may be deemed to beneficially own 2,827,730 shares of Common Stock, which include 1,298,080 shares of Common Stock directly held by BMA III, 1,044,225 shares of Common Stock held by BFIP III and 485,425 shares of Common Stock held by Blackstone Capital Commitment Partners III L.P., or an aggregate of approximately 0.74% of the outstanding Common Stock; and (v) BMP III holds 17,683 shares of Common Stock, or approximately 0.005% of the outstanding Common Stock. The beneficial ownership percentages set forth herein are based on the assumption that the Issuer has 384,247,498 shares of Common Stock outstanding on October 29, 2010, as reported by the Issuer in its Quarterly Report for the period ended September 30, 2010 on Form 10-Q as filed on November 5, 2010.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Items 5(c) of the Schedule 13D is hereby amended and restated in its entirety as followings:</w:t>
      </w:r>
    </w:p>
    <w:p>
      <w:pPr>
        <w:spacing w:after="0" w:line="90" w:lineRule="exact"/>
        <w:rPr>
          <w:sz w:val="20"/>
          <w:szCs w:val="20"/>
          <w:color w:val="auto"/>
        </w:rPr>
      </w:pPr>
    </w:p>
    <w:p>
      <w:pPr>
        <w:ind w:left="460" w:right="100" w:firstLine="4"/>
        <w:spacing w:after="0" w:line="259" w:lineRule="auto"/>
        <w:tabs>
          <w:tab w:leader="none" w:pos="699"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than the transactions described in Item 4 of this Amendment and certain grants of restricted stock units and credits of dividend equivalents in the form of additional restricted stock units to Mr. Foley, none of the Reporting Persons nor, to the best knowledge of the Reporting Persons, any of the Members, has engaged in any transactions in any shares of Common Stock within the last 60 days.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Items 5(e) of the Schedule 13D is hereby amended and restated in its entirety as followings:</w:t>
      </w:r>
    </w:p>
    <w:p>
      <w:pPr>
        <w:spacing w:after="0" w:line="90" w:lineRule="exact"/>
        <w:rPr>
          <w:sz w:val="20"/>
          <w:szCs w:val="20"/>
          <w:color w:val="auto"/>
        </w:rPr>
      </w:pPr>
    </w:p>
    <w:p>
      <w:pPr>
        <w:ind w:left="5620" w:right="1180" w:hanging="5156"/>
        <w:spacing w:after="0" w:line="440" w:lineRule="auto"/>
        <w:tabs>
          <w:tab w:leader="none" w:pos="697"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January 31, 2011, each of the Reporting Persons ceased to be a beneficial owner of more than five percent of the Common Stock. 15</w:t>
      </w:r>
    </w:p>
    <w:p>
      <w:pPr>
        <w:sectPr>
          <w:pgSz w:w="11900" w:h="16838" w:orient="portrait"/>
          <w:cols w:equalWidth="0" w:num="1">
            <w:col w:w="11400"/>
          </w:cols>
          <w:pgMar w:left="240" w:top="280" w:right="25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knowledge and belief of each of the undersigned, each of the undersigned certifies that the information set forth in this statement with respect to such person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BLACKSTONE CAPITAL PARTNERS II MERCHANT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BANKING FUND 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BLACKSTONE MANAGEMENT ASSOCIATES II</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L.L.C.</w:t>
            </w:r>
          </w:p>
        </w:tc>
        <w:tc>
          <w:tcPr>
            <w:tcW w:w="3400" w:type="dxa"/>
            <w:vAlign w:val="bottom"/>
          </w:tcPr>
          <w:p>
            <w:pPr>
              <w:spacing w:after="0"/>
              <w:rPr>
                <w:sz w:val="19"/>
                <w:szCs w:val="19"/>
                <w:color w:val="auto"/>
              </w:rPr>
            </w:pP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w w:val="98"/>
              </w:rPr>
              <w:t>BLACKSTONE OFFSHORE CAPITAL PARTNERS II L.P.</w:t>
            </w:r>
          </w:p>
        </w:tc>
      </w:tr>
      <w:tr>
        <w:trPr>
          <w:trHeight w:val="42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BLACKSTONE MANAGEMENT ASSOCIATES II</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L.L.C.</w:t>
            </w:r>
          </w:p>
        </w:tc>
        <w:tc>
          <w:tcPr>
            <w:tcW w:w="3400" w:type="dxa"/>
            <w:vAlign w:val="bottom"/>
          </w:tcPr>
          <w:p>
            <w:pPr>
              <w:spacing w:after="0"/>
              <w:rPr>
                <w:sz w:val="19"/>
                <w:szCs w:val="19"/>
                <w:color w:val="auto"/>
              </w:rPr>
            </w:pP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BLACKSTONE FAMILY INVESTMENT PARTNERSHIP 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BLACKSTONE MANAGEMENT ASSOCIATES II</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L.L.C.</w:t>
            </w:r>
          </w:p>
        </w:tc>
        <w:tc>
          <w:tcPr>
            <w:tcW w:w="3400" w:type="dxa"/>
            <w:vAlign w:val="bottom"/>
          </w:tcPr>
          <w:p>
            <w:pPr>
              <w:spacing w:after="0"/>
              <w:rPr>
                <w:sz w:val="19"/>
                <w:szCs w:val="19"/>
                <w:color w:val="auto"/>
              </w:rPr>
            </w:pP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BLACKSTONE MANAGEMENT ASSOCIATES II L.L.C.</w:t>
            </w: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BLACKSTONE CAPITAL PARTNERS III MERCHANT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BANKING FUND 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9"/>
              </w:rPr>
              <w:t>BLACKSTONE MANAGEMENT ASSOCIATES III</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L.L.C.</w:t>
            </w:r>
          </w:p>
        </w:tc>
        <w:tc>
          <w:tcPr>
            <w:tcW w:w="3400" w:type="dxa"/>
            <w:vAlign w:val="bottom"/>
          </w:tcPr>
          <w:p>
            <w:pPr>
              <w:spacing w:after="0"/>
              <w:rPr>
                <w:sz w:val="19"/>
                <w:szCs w:val="19"/>
                <w:color w:val="auto"/>
              </w:rPr>
            </w:pP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w w:val="97"/>
              </w:rPr>
              <w:t>BLACKSTONE OFFSHORE CAPITAL PARTNERS III L.P.</w:t>
            </w:r>
          </w:p>
        </w:tc>
      </w:tr>
      <w:tr>
        <w:trPr>
          <w:trHeight w:val="42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9"/>
              </w:rPr>
              <w:t>BLACKSTONE MANAGEMENT ASSOCIATES III</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L.L.C.</w:t>
            </w:r>
          </w:p>
        </w:tc>
        <w:tc>
          <w:tcPr>
            <w:tcW w:w="3400" w:type="dxa"/>
            <w:vAlign w:val="bottom"/>
          </w:tcPr>
          <w:p>
            <w:pPr>
              <w:spacing w:after="0"/>
              <w:rPr>
                <w:sz w:val="19"/>
                <w:szCs w:val="19"/>
                <w:color w:val="auto"/>
              </w:rPr>
            </w:pP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BLACKSTONE FAMILY INVESTMENT PARTNERSHIP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9"/>
              </w:rPr>
              <w:t>BLACKSTONE MANAGEMENT ASSOCIATES III</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L.L.C.</w:t>
            </w:r>
          </w:p>
        </w:tc>
        <w:tc>
          <w:tcPr>
            <w:tcW w:w="3400" w:type="dxa"/>
            <w:vAlign w:val="bottom"/>
          </w:tcPr>
          <w:p>
            <w:pPr>
              <w:spacing w:after="0"/>
              <w:rPr>
                <w:sz w:val="19"/>
                <w:szCs w:val="19"/>
                <w:color w:val="auto"/>
              </w:rPr>
            </w:pP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BLACKSTONE MANAGEMENT ASSOCIATES III L.L.C.</w:t>
            </w: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BLACKSTONE GROUP, L.P.</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BLACKSTONE GROUP MANAGEMENT L.L.C.</w:t>
            </w: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bl>
    <w:p>
      <w:pPr>
        <w:spacing w:after="0" w:line="1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280"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BLACKSTONE GROUP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BLACKSTONE MANAGEMENT PARTNERS III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David Foley</w:t>
            </w:r>
          </w:p>
        </w:tc>
      </w:tr>
      <w:tr>
        <w:trPr>
          <w:trHeight w:val="202"/>
        </w:trPr>
        <w:tc>
          <w:tcPr>
            <w:tcW w:w="340" w:type="dxa"/>
            <w:vAlign w:val="bottom"/>
          </w:tcPr>
          <w:p>
            <w:pPr>
              <w:spacing w:after="0"/>
              <w:rPr>
                <w:sz w:val="17"/>
                <w:szCs w:val="17"/>
                <w:color w:val="auto"/>
              </w:rPr>
            </w:pPr>
          </w:p>
        </w:tc>
        <w:tc>
          <w:tcPr>
            <w:tcW w:w="840" w:type="dxa"/>
            <w:vAlign w:val="bottom"/>
          </w:tcPr>
          <w:p>
            <w:pPr>
              <w:ind w:left="280"/>
              <w:spacing w:after="0" w:line="202" w:lineRule="exact"/>
              <w:rPr>
                <w:sz w:val="20"/>
                <w:szCs w:val="20"/>
                <w:color w:val="auto"/>
              </w:rPr>
            </w:pPr>
            <w:r>
              <w:rPr>
                <w:rFonts w:ascii="Arial" w:cs="Arial" w:eastAsia="Arial" w:hAnsi="Arial"/>
                <w:sz w:val="18"/>
                <w:szCs w:val="18"/>
                <w:color w:val="auto"/>
              </w:rPr>
              <w:t>Name:</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David Foley</w:t>
            </w:r>
          </w:p>
        </w:tc>
      </w:tr>
      <w:tr>
        <w:trPr>
          <w:trHeight w:val="222"/>
        </w:trPr>
        <w:tc>
          <w:tcPr>
            <w:tcW w:w="34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Senior Managing Director</w:t>
            </w:r>
          </w:p>
        </w:tc>
      </w:tr>
    </w:tbl>
    <w:p>
      <w:pPr>
        <w:spacing w:after="0" w:line="2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Stephen A. Schwarzman</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2019-12-10T17:42:38Z</dcterms:created>
  <dcterms:modified xsi:type="dcterms:W3CDTF">2019-12-10T17:42:38Z</dcterms:modified>
</cp:coreProperties>
</file>