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4"/>
          <w:szCs w:val="24"/>
          <w:color w:val="auto"/>
        </w:rPr>
      </w:pP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Form 10-K</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3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1-14267</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REPUBLIC SERVICES, INC.</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9"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48" w:lineRule="exact"/>
        <w:rPr>
          <w:sz w:val="24"/>
          <w:szCs w:val="24"/>
          <w:color w:val="auto"/>
        </w:rPr>
      </w:pPr>
    </w:p>
    <w:tbl>
      <w:tblPr>
        <w:tblLayout w:type="fixed"/>
        <w:tblInd w:w="1080" w:type="dxa"/>
        <w:tblCellMar>
          <w:top w:w="0" w:type="dxa"/>
          <w:left w:w="0" w:type="dxa"/>
          <w:bottom w:w="0" w:type="dxa"/>
          <w:right w:w="0" w:type="dxa"/>
        </w:tblCellMar>
      </w:tblPr>
      <w:tr>
        <w:trPr>
          <w:trHeight w:val="210"/>
        </w:trPr>
        <w:tc>
          <w:tcPr>
            <w:tcW w:w="5060" w:type="dxa"/>
            <w:vAlign w:val="bottom"/>
          </w:tcPr>
          <w:p>
            <w:pPr>
              <w:jc w:val="center"/>
              <w:ind w:right="1403"/>
              <w:spacing w:after="0"/>
              <w:rPr>
                <w:sz w:val="20"/>
                <w:szCs w:val="20"/>
                <w:color w:val="auto"/>
              </w:rPr>
            </w:pPr>
            <w:r>
              <w:rPr>
                <w:rFonts w:ascii="Arial" w:cs="Arial" w:eastAsia="Arial" w:hAnsi="Arial"/>
                <w:sz w:val="16"/>
                <w:szCs w:val="16"/>
                <w:b w:val="1"/>
                <w:bCs w:val="1"/>
                <w:color w:val="auto"/>
                <w:w w:val="93"/>
              </w:rPr>
              <w:t>Delaware</w:t>
            </w:r>
          </w:p>
        </w:tc>
        <w:tc>
          <w:tcPr>
            <w:tcW w:w="3420" w:type="dxa"/>
            <w:vAlign w:val="bottom"/>
          </w:tcPr>
          <w:p>
            <w:pPr>
              <w:jc w:val="right"/>
              <w:ind w:right="521"/>
              <w:spacing w:after="0"/>
              <w:rPr>
                <w:sz w:val="20"/>
                <w:szCs w:val="20"/>
                <w:color w:val="auto"/>
              </w:rPr>
            </w:pPr>
            <w:r>
              <w:rPr>
                <w:rFonts w:ascii="Arial" w:cs="Arial" w:eastAsia="Arial" w:hAnsi="Arial"/>
                <w:sz w:val="16"/>
                <w:szCs w:val="16"/>
                <w:b w:val="1"/>
                <w:bCs w:val="1"/>
                <w:color w:val="auto"/>
              </w:rPr>
              <w:t>65-0716904</w:t>
            </w:r>
          </w:p>
        </w:tc>
        <w:tc>
          <w:tcPr>
            <w:tcW w:w="0" w:type="dxa"/>
            <w:vAlign w:val="bottom"/>
          </w:tcPr>
          <w:p>
            <w:pPr>
              <w:spacing w:after="0"/>
              <w:rPr>
                <w:sz w:val="1"/>
                <w:szCs w:val="1"/>
                <w:color w:val="auto"/>
              </w:rPr>
            </w:pPr>
          </w:p>
        </w:tc>
      </w:tr>
      <w:tr>
        <w:trPr>
          <w:trHeight w:val="224"/>
        </w:trPr>
        <w:tc>
          <w:tcPr>
            <w:tcW w:w="5060" w:type="dxa"/>
            <w:vAlign w:val="bottom"/>
          </w:tcPr>
          <w:p>
            <w:pPr>
              <w:jc w:val="center"/>
              <w:ind w:right="1403"/>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420" w:type="dxa"/>
            <w:vAlign w:val="bottom"/>
          </w:tcPr>
          <w:p>
            <w:pPr>
              <w:jc w:val="center"/>
              <w:ind w:left="1381"/>
              <w:spacing w:after="0"/>
              <w:rPr>
                <w:sz w:val="20"/>
                <w:szCs w:val="20"/>
                <w:color w:val="auto"/>
              </w:rPr>
            </w:pPr>
            <w:r>
              <w:rPr>
                <w:rFonts w:ascii="Arial" w:cs="Arial" w:eastAsia="Arial" w:hAnsi="Arial"/>
                <w:sz w:val="14"/>
                <w:szCs w:val="14"/>
                <w:i w:val="1"/>
                <w:iCs w:val="1"/>
                <w:color w:val="auto"/>
                <w:w w:val="96"/>
              </w:rPr>
              <w:t>(IRS Employer Identification No.)</w:t>
            </w:r>
          </w:p>
        </w:tc>
        <w:tc>
          <w:tcPr>
            <w:tcW w:w="0" w:type="dxa"/>
            <w:vAlign w:val="bottom"/>
          </w:tcPr>
          <w:p>
            <w:pPr>
              <w:spacing w:after="0"/>
              <w:rPr>
                <w:sz w:val="1"/>
                <w:szCs w:val="1"/>
                <w:color w:val="auto"/>
              </w:rPr>
            </w:pPr>
          </w:p>
        </w:tc>
      </w:tr>
      <w:tr>
        <w:trPr>
          <w:trHeight w:val="178"/>
        </w:trPr>
        <w:tc>
          <w:tcPr>
            <w:tcW w:w="5060" w:type="dxa"/>
            <w:vAlign w:val="bottom"/>
            <w:vMerge w:val="restart"/>
          </w:tcPr>
          <w:p>
            <w:pPr>
              <w:jc w:val="center"/>
              <w:ind w:right="1403"/>
              <w:spacing w:after="0"/>
              <w:rPr>
                <w:sz w:val="20"/>
                <w:szCs w:val="20"/>
                <w:color w:val="auto"/>
              </w:rPr>
            </w:pPr>
            <w:r>
              <w:rPr>
                <w:rFonts w:ascii="Arial" w:cs="Arial" w:eastAsia="Arial" w:hAnsi="Arial"/>
                <w:sz w:val="16"/>
                <w:szCs w:val="16"/>
                <w:b w:val="1"/>
                <w:bCs w:val="1"/>
                <w:color w:val="auto"/>
                <w:w w:val="93"/>
              </w:rPr>
              <w:t>18500 North Allied WayPhoenix, Arizona</w:t>
            </w:r>
          </w:p>
        </w:tc>
        <w:tc>
          <w:tcPr>
            <w:tcW w:w="3420" w:type="dxa"/>
            <w:vAlign w:val="bottom"/>
          </w:tcPr>
          <w:p>
            <w:pPr>
              <w:jc w:val="right"/>
              <w:ind w:right="701"/>
              <w:spacing w:after="0" w:line="178" w:lineRule="exact"/>
              <w:rPr>
                <w:sz w:val="20"/>
                <w:szCs w:val="20"/>
                <w:color w:val="auto"/>
              </w:rPr>
            </w:pPr>
            <w:r>
              <w:rPr>
                <w:rFonts w:ascii="Arial" w:cs="Arial" w:eastAsia="Arial" w:hAnsi="Arial"/>
                <w:sz w:val="16"/>
                <w:szCs w:val="16"/>
                <w:b w:val="1"/>
                <w:bCs w:val="1"/>
                <w:color w:val="auto"/>
              </w:rPr>
              <w:t>85054</w:t>
            </w:r>
          </w:p>
        </w:tc>
        <w:tc>
          <w:tcPr>
            <w:tcW w:w="0" w:type="dxa"/>
            <w:vAlign w:val="bottom"/>
          </w:tcPr>
          <w:p>
            <w:pPr>
              <w:spacing w:after="0"/>
              <w:rPr>
                <w:sz w:val="1"/>
                <w:szCs w:val="1"/>
                <w:color w:val="auto"/>
              </w:rPr>
            </w:pPr>
          </w:p>
        </w:tc>
      </w:tr>
      <w:tr>
        <w:trPr>
          <w:trHeight w:val="206"/>
        </w:trPr>
        <w:tc>
          <w:tcPr>
            <w:tcW w:w="5060" w:type="dxa"/>
            <w:vAlign w:val="bottom"/>
            <w:vMerge w:val="continue"/>
          </w:tcPr>
          <w:p>
            <w:pPr>
              <w:spacing w:after="0"/>
              <w:rPr>
                <w:sz w:val="17"/>
                <w:szCs w:val="17"/>
                <w:color w:val="auto"/>
              </w:rPr>
            </w:pPr>
          </w:p>
        </w:tc>
        <w:tc>
          <w:tcPr>
            <w:tcW w:w="3420" w:type="dxa"/>
            <w:vAlign w:val="bottom"/>
          </w:tcPr>
          <w:p>
            <w:pPr>
              <w:jc w:val="center"/>
              <w:ind w:left="1381"/>
              <w:spacing w:after="0"/>
              <w:rPr>
                <w:sz w:val="20"/>
                <w:szCs w:val="20"/>
                <w:color w:val="auto"/>
              </w:rPr>
            </w:pPr>
            <w:r>
              <w:rPr>
                <w:rFonts w:ascii="Arial" w:cs="Arial" w:eastAsia="Arial" w:hAnsi="Arial"/>
                <w:sz w:val="16"/>
                <w:szCs w:val="16"/>
                <w:i w:val="1"/>
                <w:iCs w:val="1"/>
                <w:color w:val="auto"/>
                <w:w w:val="95"/>
              </w:rPr>
              <w:t>(Zip Code)</w:t>
            </w:r>
          </w:p>
        </w:tc>
        <w:tc>
          <w:tcPr>
            <w:tcW w:w="0" w:type="dxa"/>
            <w:vAlign w:val="bottom"/>
          </w:tcPr>
          <w:p>
            <w:pPr>
              <w:spacing w:after="0"/>
              <w:rPr>
                <w:sz w:val="1"/>
                <w:szCs w:val="1"/>
                <w:color w:val="auto"/>
              </w:rPr>
            </w:pPr>
          </w:p>
        </w:tc>
      </w:tr>
      <w:tr>
        <w:trPr>
          <w:trHeight w:val="197"/>
        </w:trPr>
        <w:tc>
          <w:tcPr>
            <w:tcW w:w="5060" w:type="dxa"/>
            <w:vAlign w:val="bottom"/>
          </w:tcPr>
          <w:p>
            <w:pPr>
              <w:jc w:val="center"/>
              <w:ind w:right="1383"/>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229" w:lineRule="exact"/>
        <w:rPr>
          <w:sz w:val="24"/>
          <w:szCs w:val="24"/>
          <w:color w:val="auto"/>
        </w:rPr>
      </w:pPr>
    </w:p>
    <w:p>
      <w:pPr>
        <w:ind w:left="40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540" w:type="dxa"/>
            <w:vAlign w:val="bottom"/>
            <w:tcBorders>
              <w:top w:val="single" w:sz="8" w:color="auto"/>
              <w:left w:val="single" w:sz="8" w:color="auto"/>
            </w:tcBorders>
          </w:tcPr>
          <w:p>
            <w:pPr>
              <w:jc w:val="center"/>
              <w:ind w:left="230"/>
              <w:spacing w:after="0"/>
              <w:rPr>
                <w:sz w:val="20"/>
                <w:szCs w:val="20"/>
                <w:color w:val="auto"/>
              </w:rPr>
            </w:pPr>
            <w:r>
              <w:rPr>
                <w:rFonts w:ascii="Arial" w:cs="Arial" w:eastAsia="Arial" w:hAnsi="Arial"/>
                <w:sz w:val="18"/>
                <w:szCs w:val="18"/>
                <w:color w:val="auto"/>
                <w:w w:val="91"/>
              </w:rPr>
              <w:t>Title of Each Class</w:t>
            </w:r>
          </w:p>
        </w:tc>
        <w:tc>
          <w:tcPr>
            <w:tcW w:w="320" w:type="dxa"/>
            <w:vAlign w:val="bottom"/>
            <w:tcBorders>
              <w:top w:val="single" w:sz="8" w:color="auto"/>
              <w:right w:val="single" w:sz="8" w:color="auto"/>
            </w:tcBorders>
          </w:tcPr>
          <w:p>
            <w:pPr>
              <w:spacing w:after="0"/>
              <w:rPr>
                <w:sz w:val="22"/>
                <w:szCs w:val="22"/>
                <w:color w:val="auto"/>
              </w:rPr>
            </w:pPr>
          </w:p>
        </w:tc>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40" w:type="dxa"/>
            <w:vAlign w:val="bottom"/>
            <w:tcBorders>
              <w:top w:val="single" w:sz="8" w:color="auto"/>
            </w:tcBorders>
          </w:tcPr>
          <w:p>
            <w:pPr>
              <w:spacing w:after="0"/>
              <w:rPr>
                <w:sz w:val="22"/>
                <w:szCs w:val="22"/>
                <w:color w:val="auto"/>
              </w:rPr>
            </w:pPr>
          </w:p>
        </w:tc>
        <w:tc>
          <w:tcPr>
            <w:tcW w:w="3640" w:type="dxa"/>
            <w:vAlign w:val="bottom"/>
            <w:tcBorders>
              <w:top w:val="single" w:sz="8" w:color="auto"/>
              <w:right w:val="single" w:sz="8" w:color="auto"/>
            </w:tcBorders>
            <w:gridSpan w:val="3"/>
          </w:tcPr>
          <w:p>
            <w:pPr>
              <w:jc w:val="center"/>
              <w:ind w:right="70"/>
              <w:spacing w:after="0"/>
              <w:rPr>
                <w:sz w:val="20"/>
                <w:szCs w:val="20"/>
                <w:color w:val="auto"/>
              </w:rPr>
            </w:pPr>
            <w:r>
              <w:rPr>
                <w:rFonts w:ascii="Arial" w:cs="Arial" w:eastAsia="Arial" w:hAnsi="Arial"/>
                <w:sz w:val="18"/>
                <w:szCs w:val="18"/>
                <w:color w:val="auto"/>
                <w:w w:val="90"/>
              </w:rPr>
              <w:t>Name of Each Exchange On Which Registered</w:t>
            </w:r>
          </w:p>
        </w:tc>
        <w:tc>
          <w:tcPr>
            <w:tcW w:w="0" w:type="dxa"/>
            <w:vAlign w:val="bottom"/>
          </w:tcPr>
          <w:p>
            <w:pPr>
              <w:spacing w:after="0"/>
              <w:rPr>
                <w:sz w:val="1"/>
                <w:szCs w:val="1"/>
                <w:color w:val="auto"/>
              </w:rPr>
            </w:pPr>
          </w:p>
        </w:tc>
      </w:tr>
      <w:tr>
        <w:trPr>
          <w:trHeight w:val="27"/>
        </w:trPr>
        <w:tc>
          <w:tcPr>
            <w:tcW w:w="35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9"/>
              </w:rPr>
              <w:t>Common Stock, par value $0.01 per share</w:t>
            </w:r>
          </w:p>
        </w:tc>
        <w:tc>
          <w:tcPr>
            <w:tcW w:w="32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RSG</w:t>
            </w:r>
          </w:p>
        </w:tc>
        <w:tc>
          <w:tcPr>
            <w:tcW w:w="140" w:type="dxa"/>
            <w:vAlign w:val="bottom"/>
          </w:tcPr>
          <w:p>
            <w:pPr>
              <w:spacing w:after="0"/>
              <w:rPr>
                <w:sz w:val="20"/>
                <w:szCs w:val="20"/>
                <w:color w:val="auto"/>
              </w:rPr>
            </w:pPr>
          </w:p>
        </w:tc>
        <w:tc>
          <w:tcPr>
            <w:tcW w:w="3640" w:type="dxa"/>
            <w:vAlign w:val="bottom"/>
            <w:tcBorders>
              <w:right w:val="single" w:sz="8" w:color="auto"/>
            </w:tcBorders>
            <w:gridSpan w:val="3"/>
          </w:tcPr>
          <w:p>
            <w:pPr>
              <w:jc w:val="center"/>
              <w:ind w:right="70"/>
              <w:spacing w:after="0"/>
              <w:rPr>
                <w:sz w:val="20"/>
                <w:szCs w:val="20"/>
                <w:color w:val="auto"/>
              </w:rPr>
            </w:pPr>
            <w:r>
              <w:rPr>
                <w:rFonts w:ascii="Arial" w:cs="Arial" w:eastAsia="Arial" w:hAnsi="Arial"/>
                <w:sz w:val="18"/>
                <w:szCs w:val="18"/>
                <w:color w:val="auto"/>
                <w:w w:val="91"/>
              </w:rPr>
              <w:t>The New York Stock Exchange</w:t>
            </w:r>
          </w:p>
        </w:tc>
        <w:tc>
          <w:tcPr>
            <w:tcW w:w="0" w:type="dxa"/>
            <w:vAlign w:val="bottom"/>
          </w:tcPr>
          <w:p>
            <w:pPr>
              <w:spacing w:after="0"/>
              <w:rPr>
                <w:sz w:val="1"/>
                <w:szCs w:val="1"/>
                <w:color w:val="auto"/>
              </w:rPr>
            </w:pPr>
          </w:p>
        </w:tc>
      </w:tr>
      <w:tr>
        <w:trPr>
          <w:trHeight w:val="27"/>
        </w:trPr>
        <w:tc>
          <w:tcPr>
            <w:tcW w:w="35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4"/>
                <w:szCs w:val="24"/>
                <w:color w:val="auto"/>
              </w:rPr>
            </w:pPr>
          </w:p>
        </w:tc>
        <w:tc>
          <w:tcPr>
            <w:tcW w:w="4260" w:type="dxa"/>
            <w:vAlign w:val="bottom"/>
            <w:gridSpan w:val="3"/>
          </w:tcPr>
          <w:p>
            <w:pPr>
              <w:ind w:left="120"/>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820" w:type="dxa"/>
            <w:vAlign w:val="bottom"/>
          </w:tcPr>
          <w:p>
            <w:pPr>
              <w:spacing w:after="0"/>
              <w:rPr>
                <w:sz w:val="24"/>
                <w:szCs w:val="24"/>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1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1"/>
                <w:szCs w:val="21"/>
                <w:color w:val="auto"/>
              </w:rPr>
            </w:pPr>
          </w:p>
        </w:tc>
        <w:tc>
          <w:tcPr>
            <w:tcW w:w="2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1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225" w:right="219" w:bottom="1440" w:gutter="0" w:footer="0" w:header="0"/>
        </w:sectPr>
      </w:pPr>
    </w:p>
    <w:p>
      <w:pPr>
        <w:spacing w:after="0" w:line="1"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5">
            <w:col w:w="2180" w:space="720"/>
            <w:col w:w="2160" w:space="720"/>
            <w:col w:w="2120" w:space="720"/>
            <w:col w:w="1780" w:space="80"/>
            <w:col w:w="960"/>
          </w:cols>
          <w:pgMar w:left="240" w:top="225" w:right="21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Non-accelerated filer  o</w:t>
      </w:r>
    </w:p>
    <w:p>
      <w:pPr>
        <w:sectPr>
          <w:pgSz w:w="11900" w:h="16838" w:orient="portrait"/>
          <w:cols w:equalWidth="0" w:num="1">
            <w:col w:w="11440"/>
          </w:cols>
          <w:pgMar w:left="240" w:top="225" w:right="219" w:bottom="1440" w:gutter="0" w:footer="0" w:header="0"/>
          <w:type w:val="continuous"/>
        </w:sectPr>
      </w:pPr>
    </w:p>
    <w:p>
      <w:pPr>
        <w:spacing w:after="0" w:line="36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As of June 30, 2019, the aggregate market value of the shares of the Common Stock held by non-affiliates of the registrant was $27.8 billion.</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7, 2020, the registrant had outstanding 319,062,963 shares of Common Stock (excluding treasury shares of 34,451,735).</w:t>
      </w:r>
    </w:p>
    <w:p>
      <w:pPr>
        <w:spacing w:after="0" w:line="16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Registrant’s Proxy Statement relative to the 2020 Annual Meeting of Shareholders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225" w:right="21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360"/>
          </w:cols>
          <w:pgMar w:left="240" w:top="118" w:right="299" w:bottom="1440" w:gutter="0" w:footer="0" w:header="0"/>
        </w:sectPr>
      </w:pPr>
    </w:p>
    <w:p>
      <w:pPr>
        <w:spacing w:after="0" w:line="245" w:lineRule="exact"/>
        <w:rPr>
          <w:sz w:val="20"/>
          <w:szCs w:val="20"/>
          <w:color w:val="auto"/>
        </w:rPr>
      </w:pPr>
    </w:p>
    <w:p>
      <w:pPr>
        <w:ind w:left="20"/>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PART I</w:t>
        </w:r>
      </w:hyperlink>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1A.</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1B.</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2.</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3.</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4.</w:t>
      </w:r>
    </w:p>
    <w:p>
      <w:pPr>
        <w:spacing w:after="0" w:line="312" w:lineRule="exact"/>
        <w:rPr>
          <w:sz w:val="20"/>
          <w:szCs w:val="20"/>
          <w:color w:val="auto"/>
        </w:rPr>
      </w:pPr>
    </w:p>
    <w:p>
      <w:pPr>
        <w:ind w:left="20"/>
        <w:spacing w:after="0"/>
        <w:rPr>
          <w:rFonts w:ascii="Arial" w:cs="Arial" w:eastAsia="Arial" w:hAnsi="Arial"/>
          <w:sz w:val="17"/>
          <w:szCs w:val="17"/>
          <w:b w:val="1"/>
          <w:bCs w:val="1"/>
          <w:u w:val="single" w:color="auto"/>
          <w:color w:val="0000FF"/>
        </w:rPr>
      </w:pPr>
      <w:hyperlink w:anchor="page27">
        <w:r>
          <w:rPr>
            <w:rFonts w:ascii="Arial" w:cs="Arial" w:eastAsia="Arial" w:hAnsi="Arial"/>
            <w:sz w:val="17"/>
            <w:szCs w:val="17"/>
            <w:b w:val="1"/>
            <w:bCs w:val="1"/>
            <w:u w:val="single" w:color="auto"/>
            <w:color w:val="0000FF"/>
          </w:rPr>
          <w:t>PART II</w:t>
        </w:r>
      </w:hyperlink>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5.</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6.</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7.</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7A.</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8.</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9.</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9A.</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9B.</w:t>
      </w:r>
    </w:p>
    <w:p>
      <w:pPr>
        <w:spacing w:after="0" w:line="312" w:lineRule="exact"/>
        <w:rPr>
          <w:sz w:val="20"/>
          <w:szCs w:val="20"/>
          <w:color w:val="auto"/>
        </w:rPr>
      </w:pPr>
    </w:p>
    <w:p>
      <w:pPr>
        <w:ind w:left="20"/>
        <w:spacing w:after="0"/>
        <w:rPr>
          <w:rFonts w:ascii="Arial" w:cs="Arial" w:eastAsia="Arial" w:hAnsi="Arial"/>
          <w:sz w:val="17"/>
          <w:szCs w:val="17"/>
          <w:b w:val="1"/>
          <w:bCs w:val="1"/>
          <w:u w:val="single" w:color="auto"/>
          <w:color w:val="0000FF"/>
        </w:rPr>
      </w:pPr>
      <w:hyperlink w:anchor="page114">
        <w:r>
          <w:rPr>
            <w:rFonts w:ascii="Arial" w:cs="Arial" w:eastAsia="Arial" w:hAnsi="Arial"/>
            <w:sz w:val="17"/>
            <w:szCs w:val="17"/>
            <w:b w:val="1"/>
            <w:bCs w:val="1"/>
            <w:u w:val="single" w:color="auto"/>
            <w:color w:val="0000FF"/>
          </w:rPr>
          <w:t>PART III</w:t>
        </w:r>
      </w:hyperlink>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10.</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11.</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12.</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13.</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14.</w:t>
      </w:r>
    </w:p>
    <w:p>
      <w:pPr>
        <w:spacing w:after="0" w:line="312" w:lineRule="exact"/>
        <w:rPr>
          <w:sz w:val="20"/>
          <w:szCs w:val="20"/>
          <w:color w:val="auto"/>
        </w:rPr>
      </w:pPr>
    </w:p>
    <w:p>
      <w:pPr>
        <w:ind w:left="20"/>
        <w:spacing w:after="0"/>
        <w:rPr>
          <w:rFonts w:ascii="Arial" w:cs="Arial" w:eastAsia="Arial" w:hAnsi="Arial"/>
          <w:sz w:val="17"/>
          <w:szCs w:val="17"/>
          <w:b w:val="1"/>
          <w:bCs w:val="1"/>
          <w:u w:val="single" w:color="auto"/>
          <w:color w:val="0000FF"/>
        </w:rPr>
      </w:pPr>
      <w:hyperlink w:anchor="page115">
        <w:r>
          <w:rPr>
            <w:rFonts w:ascii="Arial" w:cs="Arial" w:eastAsia="Arial" w:hAnsi="Arial"/>
            <w:sz w:val="17"/>
            <w:szCs w:val="17"/>
            <w:b w:val="1"/>
            <w:bCs w:val="1"/>
            <w:u w:val="single" w:color="auto"/>
            <w:color w:val="0000FF"/>
          </w:rPr>
          <w:t>PART IV</w:t>
        </w:r>
      </w:hyperlink>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15.</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Item 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920" w:type="dxa"/>
            <w:vAlign w:val="bottom"/>
          </w:tcPr>
          <w:p>
            <w:pPr>
              <w:spacing w:after="0"/>
              <w:rPr>
                <w:rFonts w:ascii="Arial" w:cs="Arial" w:eastAsia="Arial" w:hAnsi="Arial"/>
                <w:sz w:val="17"/>
                <w:szCs w:val="17"/>
                <w:color w:val="auto"/>
              </w:rPr>
            </w:pPr>
            <w:hyperlink w:anchor="page3">
              <w:r>
                <w:rPr>
                  <w:rFonts w:ascii="Arial" w:cs="Arial" w:eastAsia="Arial" w:hAnsi="Arial"/>
                  <w:sz w:val="17"/>
                  <w:szCs w:val="17"/>
                  <w:color w:val="auto"/>
                </w:rPr>
                <w:t>Business</w:t>
              </w:r>
            </w:hyperlink>
          </w:p>
        </w:tc>
        <w:tc>
          <w:tcPr>
            <w:tcW w:w="260" w:type="dxa"/>
            <w:vAlign w:val="bottom"/>
            <w:gridSpan w:val="4"/>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2</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16">
              <w:r>
                <w:rPr>
                  <w:rFonts w:ascii="Arial" w:cs="Arial" w:eastAsia="Arial" w:hAnsi="Arial"/>
                  <w:sz w:val="17"/>
                  <w:szCs w:val="17"/>
                  <w:color w:val="auto"/>
                </w:rPr>
                <w:t>Risk Factors</w:t>
              </w:r>
            </w:hyperlink>
          </w:p>
        </w:tc>
        <w:tc>
          <w:tcPr>
            <w:tcW w:w="260" w:type="dxa"/>
            <w:vAlign w:val="bottom"/>
            <w:gridSpan w:val="4"/>
          </w:tcPr>
          <w:p>
            <w:pPr>
              <w:jc w:val="right"/>
              <w:spacing w:after="0"/>
              <w:rPr>
                <w:rFonts w:ascii="Arial" w:cs="Arial" w:eastAsia="Arial" w:hAnsi="Arial"/>
                <w:sz w:val="17"/>
                <w:szCs w:val="17"/>
                <w:color w:val="0000FF"/>
              </w:rPr>
            </w:pPr>
            <w:hyperlink w:anchor="page16">
              <w:r>
                <w:rPr>
                  <w:rFonts w:ascii="Arial" w:cs="Arial" w:eastAsia="Arial" w:hAnsi="Arial"/>
                  <w:sz w:val="17"/>
                  <w:szCs w:val="17"/>
                  <w:color w:val="0000FF"/>
                </w:rPr>
                <w:t>16</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26">
              <w:r>
                <w:rPr>
                  <w:rFonts w:ascii="Arial" w:cs="Arial" w:eastAsia="Arial" w:hAnsi="Arial"/>
                  <w:sz w:val="17"/>
                  <w:szCs w:val="17"/>
                  <w:color w:val="auto"/>
                </w:rPr>
                <w:t>Unresolved Staff Comments</w:t>
              </w:r>
            </w:hyperlink>
          </w:p>
        </w:tc>
        <w:tc>
          <w:tcPr>
            <w:tcW w:w="260" w:type="dxa"/>
            <w:vAlign w:val="bottom"/>
            <w:gridSpan w:val="4"/>
          </w:tcPr>
          <w:p>
            <w:pPr>
              <w:jc w:val="right"/>
              <w:spacing w:after="0"/>
              <w:rPr>
                <w:rFonts w:ascii="Arial" w:cs="Arial" w:eastAsia="Arial" w:hAnsi="Arial"/>
                <w:sz w:val="17"/>
                <w:szCs w:val="17"/>
                <w:color w:val="0000FF"/>
              </w:rPr>
            </w:pPr>
            <w:hyperlink w:anchor="page26">
              <w:r>
                <w:rPr>
                  <w:rFonts w:ascii="Arial" w:cs="Arial" w:eastAsia="Arial" w:hAnsi="Arial"/>
                  <w:sz w:val="17"/>
                  <w:szCs w:val="17"/>
                  <w:color w:val="0000FF"/>
                </w:rPr>
                <w:t>25</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26">
              <w:r>
                <w:rPr>
                  <w:rFonts w:ascii="Arial" w:cs="Arial" w:eastAsia="Arial" w:hAnsi="Arial"/>
                  <w:sz w:val="17"/>
                  <w:szCs w:val="17"/>
                  <w:color w:val="auto"/>
                </w:rPr>
                <w:t>Properties</w:t>
              </w:r>
            </w:hyperlink>
          </w:p>
        </w:tc>
        <w:tc>
          <w:tcPr>
            <w:tcW w:w="260" w:type="dxa"/>
            <w:vAlign w:val="bottom"/>
            <w:gridSpan w:val="4"/>
          </w:tcPr>
          <w:p>
            <w:pPr>
              <w:jc w:val="right"/>
              <w:spacing w:after="0"/>
              <w:rPr>
                <w:rFonts w:ascii="Arial" w:cs="Arial" w:eastAsia="Arial" w:hAnsi="Arial"/>
                <w:sz w:val="17"/>
                <w:szCs w:val="17"/>
                <w:color w:val="0000FF"/>
              </w:rPr>
            </w:pPr>
            <w:hyperlink w:anchor="page26">
              <w:r>
                <w:rPr>
                  <w:rFonts w:ascii="Arial" w:cs="Arial" w:eastAsia="Arial" w:hAnsi="Arial"/>
                  <w:sz w:val="17"/>
                  <w:szCs w:val="17"/>
                  <w:color w:val="0000FF"/>
                </w:rPr>
                <w:t>25</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26">
              <w:r>
                <w:rPr>
                  <w:rFonts w:ascii="Arial" w:cs="Arial" w:eastAsia="Arial" w:hAnsi="Arial"/>
                  <w:sz w:val="17"/>
                  <w:szCs w:val="17"/>
                  <w:color w:val="auto"/>
                </w:rPr>
                <w:t>Legal Proceedings</w:t>
              </w:r>
            </w:hyperlink>
          </w:p>
        </w:tc>
        <w:tc>
          <w:tcPr>
            <w:tcW w:w="260" w:type="dxa"/>
            <w:vAlign w:val="bottom"/>
            <w:gridSpan w:val="4"/>
          </w:tcPr>
          <w:p>
            <w:pPr>
              <w:jc w:val="right"/>
              <w:spacing w:after="0"/>
              <w:rPr>
                <w:rFonts w:ascii="Arial" w:cs="Arial" w:eastAsia="Arial" w:hAnsi="Arial"/>
                <w:sz w:val="17"/>
                <w:szCs w:val="17"/>
                <w:color w:val="0000FF"/>
              </w:rPr>
            </w:pPr>
            <w:hyperlink w:anchor="page26">
              <w:r>
                <w:rPr>
                  <w:rFonts w:ascii="Arial" w:cs="Arial" w:eastAsia="Arial" w:hAnsi="Arial"/>
                  <w:sz w:val="17"/>
                  <w:szCs w:val="17"/>
                  <w:color w:val="0000FF"/>
                </w:rPr>
                <w:t>25</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27">
              <w:r>
                <w:rPr>
                  <w:rFonts w:ascii="Arial" w:cs="Arial" w:eastAsia="Arial" w:hAnsi="Arial"/>
                  <w:sz w:val="17"/>
                  <w:szCs w:val="17"/>
                  <w:color w:val="auto"/>
                </w:rPr>
                <w:t>Mine Safety Disclosures</w:t>
              </w:r>
            </w:hyperlink>
          </w:p>
        </w:tc>
        <w:tc>
          <w:tcPr>
            <w:tcW w:w="260" w:type="dxa"/>
            <w:vAlign w:val="bottom"/>
            <w:gridSpan w:val="4"/>
          </w:tcPr>
          <w:p>
            <w:pPr>
              <w:jc w:val="right"/>
              <w:spacing w:after="0"/>
              <w:rPr>
                <w:rFonts w:ascii="Arial" w:cs="Arial" w:eastAsia="Arial" w:hAnsi="Arial"/>
                <w:sz w:val="17"/>
                <w:szCs w:val="17"/>
                <w:color w:val="0000FF"/>
              </w:rPr>
            </w:pPr>
            <w:hyperlink w:anchor="page27">
              <w:r>
                <w:rPr>
                  <w:rFonts w:ascii="Arial" w:cs="Arial" w:eastAsia="Arial" w:hAnsi="Arial"/>
                  <w:sz w:val="17"/>
                  <w:szCs w:val="17"/>
                  <w:color w:val="0000FF"/>
                </w:rPr>
                <w:t>26</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9920" w:type="dxa"/>
            <w:vAlign w:val="bottom"/>
          </w:tcPr>
          <w:p>
            <w:pPr>
              <w:spacing w:after="0"/>
              <w:rPr>
                <w:rFonts w:ascii="Arial" w:cs="Arial" w:eastAsia="Arial" w:hAnsi="Arial"/>
                <w:sz w:val="17"/>
                <w:szCs w:val="17"/>
                <w:color w:val="auto"/>
              </w:rPr>
            </w:pPr>
            <w:hyperlink w:anchor="page28">
              <w:r>
                <w:rPr>
                  <w:rFonts w:ascii="Arial" w:cs="Arial" w:eastAsia="Arial" w:hAnsi="Arial"/>
                  <w:sz w:val="17"/>
                  <w:szCs w:val="17"/>
                  <w:color w:val="auto"/>
                </w:rPr>
                <w:t>Market for Registrant’s Common Equity, Related Stockholder Matters and Issuer Purchases of Equity Securities</w:t>
              </w:r>
            </w:hyperlink>
          </w:p>
        </w:tc>
        <w:tc>
          <w:tcPr>
            <w:tcW w:w="260" w:type="dxa"/>
            <w:vAlign w:val="bottom"/>
            <w:gridSpan w:val="4"/>
          </w:tcPr>
          <w:p>
            <w:pPr>
              <w:jc w:val="right"/>
              <w:spacing w:after="0"/>
              <w:rPr>
                <w:rFonts w:ascii="Arial" w:cs="Arial" w:eastAsia="Arial" w:hAnsi="Arial"/>
                <w:sz w:val="17"/>
                <w:szCs w:val="17"/>
                <w:color w:val="0000FF"/>
              </w:rPr>
            </w:pPr>
            <w:hyperlink w:anchor="page28">
              <w:r>
                <w:rPr>
                  <w:rFonts w:ascii="Arial" w:cs="Arial" w:eastAsia="Arial" w:hAnsi="Arial"/>
                  <w:sz w:val="17"/>
                  <w:szCs w:val="17"/>
                  <w:color w:val="0000FF"/>
                </w:rPr>
                <w:t>27</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29">
              <w:r>
                <w:rPr>
                  <w:rFonts w:ascii="Arial" w:cs="Arial" w:eastAsia="Arial" w:hAnsi="Arial"/>
                  <w:sz w:val="17"/>
                  <w:szCs w:val="17"/>
                  <w:color w:val="auto"/>
                </w:rPr>
                <w:t>Selected Financial Data</w:t>
              </w:r>
            </w:hyperlink>
          </w:p>
        </w:tc>
        <w:tc>
          <w:tcPr>
            <w:tcW w:w="260" w:type="dxa"/>
            <w:vAlign w:val="bottom"/>
            <w:gridSpan w:val="4"/>
          </w:tcPr>
          <w:p>
            <w:pPr>
              <w:jc w:val="right"/>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31">
              <w:r>
                <w:rPr>
                  <w:rFonts w:ascii="Arial" w:cs="Arial" w:eastAsia="Arial" w:hAnsi="Arial"/>
                  <w:sz w:val="17"/>
                  <w:szCs w:val="17"/>
                  <w:color w:val="auto"/>
                </w:rPr>
                <w:t>Management’s Discussion and Analysis of Financial Condition and Results of Operations</w:t>
              </w:r>
            </w:hyperlink>
          </w:p>
        </w:tc>
        <w:tc>
          <w:tcPr>
            <w:tcW w:w="260" w:type="dxa"/>
            <w:vAlign w:val="bottom"/>
            <w:gridSpan w:val="4"/>
          </w:tcPr>
          <w:p>
            <w:pPr>
              <w:jc w:val="right"/>
              <w:spacing w:after="0"/>
              <w:rPr>
                <w:rFonts w:ascii="Arial" w:cs="Arial" w:eastAsia="Arial" w:hAnsi="Arial"/>
                <w:sz w:val="17"/>
                <w:szCs w:val="17"/>
                <w:color w:val="0000FF"/>
              </w:rPr>
            </w:pPr>
            <w:hyperlink w:anchor="page31">
              <w:r>
                <w:rPr>
                  <w:rFonts w:ascii="Arial" w:cs="Arial" w:eastAsia="Arial" w:hAnsi="Arial"/>
                  <w:sz w:val="17"/>
                  <w:szCs w:val="17"/>
                  <w:color w:val="0000FF"/>
                </w:rPr>
                <w:t>30</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55">
              <w:r>
                <w:rPr>
                  <w:rFonts w:ascii="Arial" w:cs="Arial" w:eastAsia="Arial" w:hAnsi="Arial"/>
                  <w:sz w:val="17"/>
                  <w:szCs w:val="17"/>
                  <w:color w:val="auto"/>
                </w:rPr>
                <w:t>Quantitative and Qualitative Disclosures About Market Risk</w:t>
              </w:r>
            </w:hyperlink>
          </w:p>
        </w:tc>
        <w:tc>
          <w:tcPr>
            <w:tcW w:w="260" w:type="dxa"/>
            <w:vAlign w:val="bottom"/>
            <w:gridSpan w:val="4"/>
          </w:tcPr>
          <w:p>
            <w:pPr>
              <w:jc w:val="right"/>
              <w:spacing w:after="0"/>
              <w:rPr>
                <w:rFonts w:ascii="Arial" w:cs="Arial" w:eastAsia="Arial" w:hAnsi="Arial"/>
                <w:sz w:val="17"/>
                <w:szCs w:val="17"/>
                <w:color w:val="0000FF"/>
              </w:rPr>
            </w:pPr>
            <w:hyperlink w:anchor="page55">
              <w:r>
                <w:rPr>
                  <w:rFonts w:ascii="Arial" w:cs="Arial" w:eastAsia="Arial" w:hAnsi="Arial"/>
                  <w:sz w:val="17"/>
                  <w:szCs w:val="17"/>
                  <w:color w:val="0000FF"/>
                </w:rPr>
                <w:t>54</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57">
              <w:r>
                <w:rPr>
                  <w:rFonts w:ascii="Arial" w:cs="Arial" w:eastAsia="Arial" w:hAnsi="Arial"/>
                  <w:sz w:val="17"/>
                  <w:szCs w:val="17"/>
                  <w:color w:val="auto"/>
                </w:rPr>
                <w:t>Financial Statements and Supplementary Data</w:t>
              </w:r>
            </w:hyperlink>
          </w:p>
        </w:tc>
        <w:tc>
          <w:tcPr>
            <w:tcW w:w="260" w:type="dxa"/>
            <w:vAlign w:val="bottom"/>
            <w:gridSpan w:val="4"/>
          </w:tcPr>
          <w:p>
            <w:pPr>
              <w:jc w:val="right"/>
              <w:spacing w:after="0"/>
              <w:rPr>
                <w:rFonts w:ascii="Arial" w:cs="Arial" w:eastAsia="Arial" w:hAnsi="Arial"/>
                <w:sz w:val="17"/>
                <w:szCs w:val="17"/>
                <w:color w:val="0000FF"/>
              </w:rPr>
            </w:pPr>
            <w:hyperlink w:anchor="page57">
              <w:r>
                <w:rPr>
                  <w:rFonts w:ascii="Arial" w:cs="Arial" w:eastAsia="Arial" w:hAnsi="Arial"/>
                  <w:sz w:val="17"/>
                  <w:szCs w:val="17"/>
                  <w:color w:val="0000FF"/>
                </w:rPr>
                <w:t>57</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113">
              <w:r>
                <w:rPr>
                  <w:rFonts w:ascii="Arial" w:cs="Arial" w:eastAsia="Arial" w:hAnsi="Arial"/>
                  <w:sz w:val="17"/>
                  <w:szCs w:val="17"/>
                  <w:color w:val="auto"/>
                </w:rPr>
                <w:t>Changes in and Disagreements with Accountants on Accounting and Financial Disclosure</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3">
              <w:r>
                <w:rPr>
                  <w:rFonts w:ascii="Arial" w:cs="Arial" w:eastAsia="Arial" w:hAnsi="Arial"/>
                  <w:sz w:val="17"/>
                  <w:szCs w:val="17"/>
                  <w:color w:val="0000FF"/>
                  <w:w w:val="84"/>
                </w:rPr>
                <w:t>112</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113">
              <w:r>
                <w:rPr>
                  <w:rFonts w:ascii="Arial" w:cs="Arial" w:eastAsia="Arial" w:hAnsi="Arial"/>
                  <w:sz w:val="17"/>
                  <w:szCs w:val="17"/>
                  <w:color w:val="auto"/>
                </w:rPr>
                <w:t>Controls and Procedures</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3">
              <w:r>
                <w:rPr>
                  <w:rFonts w:ascii="Arial" w:cs="Arial" w:eastAsia="Arial" w:hAnsi="Arial"/>
                  <w:sz w:val="17"/>
                  <w:szCs w:val="17"/>
                  <w:color w:val="0000FF"/>
                  <w:w w:val="84"/>
                </w:rPr>
                <w:t>112</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114">
              <w:r>
                <w:rPr>
                  <w:rFonts w:ascii="Arial" w:cs="Arial" w:eastAsia="Arial" w:hAnsi="Arial"/>
                  <w:sz w:val="17"/>
                  <w:szCs w:val="17"/>
                  <w:color w:val="auto"/>
                </w:rPr>
                <w:t>Other Information</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4">
              <w:r>
                <w:rPr>
                  <w:rFonts w:ascii="Arial" w:cs="Arial" w:eastAsia="Arial" w:hAnsi="Arial"/>
                  <w:sz w:val="17"/>
                  <w:szCs w:val="17"/>
                  <w:color w:val="0000FF"/>
                  <w:w w:val="84"/>
                </w:rPr>
                <w:t>113</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9920" w:type="dxa"/>
            <w:vAlign w:val="bottom"/>
          </w:tcPr>
          <w:p>
            <w:pPr>
              <w:spacing w:after="0"/>
              <w:rPr>
                <w:rFonts w:ascii="Arial" w:cs="Arial" w:eastAsia="Arial" w:hAnsi="Arial"/>
                <w:sz w:val="17"/>
                <w:szCs w:val="17"/>
                <w:color w:val="auto"/>
              </w:rPr>
            </w:pPr>
            <w:hyperlink w:anchor="page115">
              <w:r>
                <w:rPr>
                  <w:rFonts w:ascii="Arial" w:cs="Arial" w:eastAsia="Arial" w:hAnsi="Arial"/>
                  <w:sz w:val="17"/>
                  <w:szCs w:val="17"/>
                  <w:color w:val="auto"/>
                </w:rPr>
                <w:t>Directors, Executive Officers and Corporate Governance</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5">
              <w:r>
                <w:rPr>
                  <w:rFonts w:ascii="Arial" w:cs="Arial" w:eastAsia="Arial" w:hAnsi="Arial"/>
                  <w:sz w:val="17"/>
                  <w:szCs w:val="17"/>
                  <w:color w:val="0000FF"/>
                  <w:w w:val="84"/>
                </w:rPr>
                <w:t>114</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115">
              <w:r>
                <w:rPr>
                  <w:rFonts w:ascii="Arial" w:cs="Arial" w:eastAsia="Arial" w:hAnsi="Arial"/>
                  <w:sz w:val="17"/>
                  <w:szCs w:val="17"/>
                  <w:color w:val="auto"/>
                </w:rPr>
                <w:t>Executive Compensation</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5">
              <w:r>
                <w:rPr>
                  <w:rFonts w:ascii="Arial" w:cs="Arial" w:eastAsia="Arial" w:hAnsi="Arial"/>
                  <w:sz w:val="17"/>
                  <w:szCs w:val="17"/>
                  <w:color w:val="0000FF"/>
                  <w:w w:val="84"/>
                </w:rPr>
                <w:t>114</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115">
              <w:r>
                <w:rPr>
                  <w:rFonts w:ascii="Arial" w:cs="Arial" w:eastAsia="Arial" w:hAnsi="Arial"/>
                  <w:sz w:val="17"/>
                  <w:szCs w:val="17"/>
                  <w:color w:val="auto"/>
                </w:rPr>
                <w:t>Security Ownership of Certain Beneficial Owners and Management and Related Stockholder Matters</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5">
              <w:r>
                <w:rPr>
                  <w:rFonts w:ascii="Arial" w:cs="Arial" w:eastAsia="Arial" w:hAnsi="Arial"/>
                  <w:sz w:val="17"/>
                  <w:szCs w:val="17"/>
                  <w:color w:val="0000FF"/>
                  <w:w w:val="84"/>
                </w:rPr>
                <w:t>114</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115">
              <w:r>
                <w:rPr>
                  <w:rFonts w:ascii="Arial" w:cs="Arial" w:eastAsia="Arial" w:hAnsi="Arial"/>
                  <w:sz w:val="17"/>
                  <w:szCs w:val="17"/>
                  <w:color w:val="auto"/>
                </w:rPr>
                <w:t>Certain Relationships and Related Transactions, and Director Independence</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5">
              <w:r>
                <w:rPr>
                  <w:rFonts w:ascii="Arial" w:cs="Arial" w:eastAsia="Arial" w:hAnsi="Arial"/>
                  <w:sz w:val="17"/>
                  <w:szCs w:val="17"/>
                  <w:color w:val="0000FF"/>
                  <w:w w:val="84"/>
                </w:rPr>
                <w:t>114</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tcPr>
          <w:p>
            <w:pPr>
              <w:spacing w:after="0"/>
              <w:rPr>
                <w:rFonts w:ascii="Arial" w:cs="Arial" w:eastAsia="Arial" w:hAnsi="Arial"/>
                <w:sz w:val="17"/>
                <w:szCs w:val="17"/>
                <w:color w:val="auto"/>
              </w:rPr>
            </w:pPr>
            <w:hyperlink w:anchor="page115">
              <w:r>
                <w:rPr>
                  <w:rFonts w:ascii="Arial" w:cs="Arial" w:eastAsia="Arial" w:hAnsi="Arial"/>
                  <w:sz w:val="17"/>
                  <w:szCs w:val="17"/>
                  <w:color w:val="auto"/>
                </w:rPr>
                <w:t>Principal Accounting Fees and Services</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5">
              <w:r>
                <w:rPr>
                  <w:rFonts w:ascii="Arial" w:cs="Arial" w:eastAsia="Arial" w:hAnsi="Arial"/>
                  <w:sz w:val="17"/>
                  <w:szCs w:val="17"/>
                  <w:color w:val="0000FF"/>
                  <w:w w:val="84"/>
                </w:rPr>
                <w:t>114</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9920" w:type="dxa"/>
            <w:vAlign w:val="bottom"/>
          </w:tcPr>
          <w:p>
            <w:pPr>
              <w:spacing w:after="0"/>
              <w:rPr>
                <w:rFonts w:ascii="Arial" w:cs="Arial" w:eastAsia="Arial" w:hAnsi="Arial"/>
                <w:sz w:val="17"/>
                <w:szCs w:val="17"/>
                <w:color w:val="auto"/>
              </w:rPr>
            </w:pPr>
            <w:hyperlink w:anchor="page116">
              <w:r>
                <w:rPr>
                  <w:rFonts w:ascii="Arial" w:cs="Arial" w:eastAsia="Arial" w:hAnsi="Arial"/>
                  <w:sz w:val="17"/>
                  <w:szCs w:val="17"/>
                  <w:color w:val="auto"/>
                </w:rPr>
                <w:t>Exhibits, Financial Statement Schedules</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6">
              <w:r>
                <w:rPr>
                  <w:rFonts w:ascii="Arial" w:cs="Arial" w:eastAsia="Arial" w:hAnsi="Arial"/>
                  <w:sz w:val="17"/>
                  <w:szCs w:val="17"/>
                  <w:color w:val="0000FF"/>
                  <w:w w:val="84"/>
                </w:rPr>
                <w:t>115</w:t>
              </w:r>
            </w:hyperlink>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Arial" w:cs="Arial" w:eastAsia="Arial" w:hAnsi="Arial"/>
                <w:sz w:val="17"/>
                <w:szCs w:val="17"/>
                <w:color w:val="auto"/>
              </w:rPr>
              <w:t>Form 10-K Summary</w:t>
            </w: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20" w:type="dxa"/>
            <w:vAlign w:val="bottom"/>
            <w:vMerge w:val="continue"/>
          </w:tcPr>
          <w:p>
            <w:pPr>
              <w:spacing w:after="0"/>
              <w:rPr>
                <w:sz w:val="20"/>
                <w:szCs w:val="20"/>
                <w:color w:val="auto"/>
              </w:rPr>
            </w:pPr>
          </w:p>
        </w:tc>
        <w:tc>
          <w:tcPr>
            <w:tcW w:w="260" w:type="dxa"/>
            <w:vAlign w:val="bottom"/>
            <w:gridSpan w:val="4"/>
          </w:tcPr>
          <w:p>
            <w:pPr>
              <w:jc w:val="right"/>
              <w:spacing w:after="0"/>
              <w:rPr>
                <w:rFonts w:ascii="Arial" w:cs="Arial" w:eastAsia="Arial" w:hAnsi="Arial"/>
                <w:sz w:val="17"/>
                <w:szCs w:val="17"/>
                <w:color w:val="0000FF"/>
                <w:w w:val="84"/>
              </w:rPr>
            </w:pPr>
            <w:hyperlink w:anchor="page120">
              <w:r>
                <w:rPr>
                  <w:rFonts w:ascii="Arial" w:cs="Arial" w:eastAsia="Arial" w:hAnsi="Arial"/>
                  <w:sz w:val="17"/>
                  <w:szCs w:val="17"/>
                  <w:color w:val="0000FF"/>
                  <w:w w:val="84"/>
                </w:rPr>
                <w:t>119</w:t>
              </w:r>
            </w:hyperlink>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20" w:type="dxa"/>
            <w:vAlign w:val="bottom"/>
          </w:tcPr>
          <w:p>
            <w:pPr>
              <w:spacing w:after="0"/>
              <w:rPr>
                <w:rFonts w:ascii="Arial" w:cs="Arial" w:eastAsia="Arial" w:hAnsi="Arial"/>
                <w:sz w:val="17"/>
                <w:szCs w:val="17"/>
                <w:color w:val="auto"/>
              </w:rPr>
            </w:pPr>
            <w:hyperlink w:anchor="page120">
              <w:r>
                <w:rPr>
                  <w:rFonts w:ascii="Arial" w:cs="Arial" w:eastAsia="Arial" w:hAnsi="Arial"/>
                  <w:sz w:val="17"/>
                  <w:szCs w:val="17"/>
                  <w:color w:val="auto"/>
                </w:rPr>
                <w:t>Signatures</w:t>
              </w:r>
            </w:hyperlink>
          </w:p>
        </w:tc>
        <w:tc>
          <w:tcPr>
            <w:tcW w:w="260" w:type="dxa"/>
            <w:vAlign w:val="bottom"/>
            <w:tcBorders>
              <w:bottom w:val="single" w:sz="8" w:color="0000FF"/>
            </w:tcBorders>
            <w:gridSpan w:val="4"/>
          </w:tcPr>
          <w:p>
            <w:pPr>
              <w:jc w:val="right"/>
              <w:spacing w:after="0"/>
              <w:rPr>
                <w:rFonts w:ascii="Arial" w:cs="Arial" w:eastAsia="Arial" w:hAnsi="Arial"/>
                <w:sz w:val="17"/>
                <w:szCs w:val="17"/>
                <w:color w:val="0000FF"/>
                <w:w w:val="84"/>
              </w:rPr>
            </w:pPr>
            <w:hyperlink w:anchor="page120">
              <w:r>
                <w:rPr>
                  <w:rFonts w:ascii="Arial" w:cs="Arial" w:eastAsia="Arial" w:hAnsi="Arial"/>
                  <w:sz w:val="17"/>
                  <w:szCs w:val="17"/>
                  <w:color w:val="0000FF"/>
                  <w:w w:val="84"/>
                </w:rPr>
                <w:t>120</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810895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720" w:space="460"/>
            <w:col w:w="10180"/>
          </w:cols>
          <w:pgMar w:left="240" w:top="118" w:right="29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Unless the context requires otherwise, all references in this Form 10-K to Republic, the Company, we, us and our refer to Republic Services, Inc. and its consolidated subsidiaries.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Republic is the second largest provider of non-hazardous solid waste collection, transfer, disposal, recycling, and environmental services in the United States, as measured by revenue. As of December 31, 2019, we operated facilities in 41 states and Puerto Rico through 340 collection operations, 212 transfer stations, 189 active landfills, 79 recycling processing centers, 7 treatment, recovery and disposal facilities, 15 salt water disposal wells, and 4 deep injection wells. We are engaged in 75 landfill gas-to-energy and renewable energy projects and had post-closure responsibility for 130 closed landfills. We were incorporated in Delaware in 1996.</w:t>
      </w:r>
    </w:p>
    <w:p>
      <w:pPr>
        <w:spacing w:after="0" w:line="53"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Our operations are national in scope, but the physical collection and recycling or disposal of waste is very much a local business and the dynamics and opportunities differ in each of our markets. By combining local operating management with standardized business practices, we drive greater overall operating efficiency across the Company while maintaining day-to-day operating decisions at the local level, closest to the customer.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Five Pillars of Our Strategy - Profitable Growth through Differentiation</w:t>
      </w:r>
    </w:p>
    <w:p>
      <w:pPr>
        <w:spacing w:after="0" w:line="1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that our products and services are valuable, and that by developing a superior team and delivering superior products, we can differentiate ourselves from our competitors. Differentiation allows us to attract and retain the best talent, win more customers, increase customer loyalty, and ultimately drive higher revenue and profits. Our strategy of Profitable Growth through Differentiation is built on five key pillars, including (1) market position, (2) operating model, (3) people and talent agenda, (4) customer zeal, and (5) digital platform.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Position</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goal of our market position pillar is to develop the best vertically integrated market position to enable us to build density and improve returns. We strive to have a number one or number two market position in each of the markets we serve, or have a clear path on how we will achieve a leading market position over time. In situations where we cannot establish a leading market position, or where operations are not generating acceptable returns, we may decide to divest certain assets and reallocate resources to other markets.</w:t>
      </w:r>
    </w:p>
    <w:p>
      <w:pPr>
        <w:spacing w:after="0" w:line="52"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We have a robust market planning process to identify opportunities to grow internally through capital investments and infrastructure development, and externally through acquisitions and public-private partnerships. Additionally, our market planning process allows us to analyze market conditions and proactively adjust to trends as they emerge, including the effects of demographic shifts, and changes in the market and the competitive landscape.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Growth</w:t>
      </w:r>
    </w:p>
    <w:p>
      <w:pPr>
        <w:spacing w:after="0" w:line="23" w:lineRule="exact"/>
        <w:rPr>
          <w:sz w:val="20"/>
          <w:szCs w:val="20"/>
          <w:color w:val="auto"/>
        </w:rPr>
      </w:pPr>
    </w:p>
    <w:p>
      <w:pPr>
        <w:ind w:left="660" w:hanging="328"/>
        <w:spacing w:after="0" w:line="250" w:lineRule="auto"/>
        <w:tabs>
          <w:tab w:leader="none" w:pos="621" w:val="left"/>
        </w:tabs>
        <w:numPr>
          <w:ilvl w:val="0"/>
          <w:numId w:val="1"/>
        </w:numPr>
        <w:rPr>
          <w:rFonts w:ascii="Arial" w:cs="Arial" w:eastAsia="Arial" w:hAnsi="Arial"/>
          <w:sz w:val="20"/>
          <w:szCs w:val="20"/>
          <w:color w:val="auto"/>
        </w:rPr>
      </w:pPr>
      <w:r>
        <w:rPr>
          <w:rFonts w:ascii="Arial" w:cs="Arial" w:eastAsia="Arial" w:hAnsi="Arial"/>
          <w:sz w:val="18"/>
          <w:szCs w:val="18"/>
          <w:color w:val="auto"/>
        </w:rPr>
        <w:t xml:space="preserve">Volume Growth </w:t>
      </w:r>
      <w:r>
        <w:rPr>
          <w:rFonts w:ascii="Arial" w:cs="Arial" w:eastAsia="Arial" w:hAnsi="Arial"/>
          <w:sz w:val="18"/>
          <w:szCs w:val="18"/>
          <w:i w:val="1"/>
          <w:iCs w:val="1"/>
          <w:color w:val="auto"/>
        </w:rPr>
        <w:t>-</w:t>
      </w:r>
      <w:r>
        <w:rPr>
          <w:rFonts w:ascii="Arial" w:cs="Arial" w:eastAsia="Arial" w:hAnsi="Arial"/>
          <w:sz w:val="18"/>
          <w:szCs w:val="18"/>
          <w:color w:val="auto"/>
        </w:rPr>
        <w:t xml:space="preserve"> We believe waste volumes are driven by population growth, household formation and new business formation. Volume growth through increases in our customer base and service offerings is the most capital efficient method to grow our business. We seek to obtain long-term contracts for collecting solid waste and recyclable materials under residential collection contracts with municipalities, exclusive franchise agreements, and small-container and large-container contracts. We also look to enter into long-term disposal and recycling processing contracts with municipalities and other third parties. By obtaining such long-term agreements, we can grow our contracted revenue base at a rate consistent with the underlying economic growth in these markets. In addition, by securing long-term agreements, we are better able to help ensure we earn an appropriate return on the capital deployed.</w:t>
      </w:r>
    </w:p>
    <w:p>
      <w:pPr>
        <w:spacing w:after="0" w:line="87" w:lineRule="exact"/>
        <w:rPr>
          <w:rFonts w:ascii="Arial" w:cs="Arial" w:eastAsia="Arial" w:hAnsi="Arial"/>
          <w:sz w:val="20"/>
          <w:szCs w:val="20"/>
          <w:color w:val="auto"/>
        </w:rPr>
      </w:pPr>
    </w:p>
    <w:p>
      <w:pPr>
        <w:ind w:left="660" w:right="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Price Increases </w:t>
      </w:r>
      <w:r>
        <w:rPr>
          <w:rFonts w:ascii="Arial" w:cs="Arial" w:eastAsia="Arial" w:hAnsi="Arial"/>
          <w:sz w:val="18"/>
          <w:szCs w:val="18"/>
          <w:i w:val="1"/>
          <w:iCs w:val="1"/>
          <w:color w:val="auto"/>
        </w:rPr>
        <w:t>-</w:t>
      </w:r>
      <w:r>
        <w:rPr>
          <w:rFonts w:ascii="Arial" w:cs="Arial" w:eastAsia="Arial" w:hAnsi="Arial"/>
          <w:sz w:val="18"/>
          <w:szCs w:val="18"/>
          <w:color w:val="auto"/>
        </w:rPr>
        <w:t xml:space="preserve"> We seek to secure price increases necessary to offset increased costs, improve our operating margins and earn an appropriate return on our substantial investments in vehicles, equipment, landfills, transfer stations and recycling processing centers.</w:t>
      </w:r>
    </w:p>
    <w:p>
      <w:pPr>
        <w:spacing w:after="0" w:line="62" w:lineRule="exact"/>
        <w:rPr>
          <w:rFonts w:ascii="Arial" w:cs="Arial" w:eastAsia="Arial" w:hAnsi="Arial"/>
          <w:sz w:val="18"/>
          <w:szCs w:val="18"/>
          <w:color w:val="auto"/>
        </w:rPr>
      </w:pPr>
    </w:p>
    <w:p>
      <w:pPr>
        <w:ind w:left="660" w:hanging="328"/>
        <w:spacing w:after="0" w:line="276"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Expansion of Recycling Capabilities - Based on the most recent U.S. Environmental Protection Agency (EPA) data, we believe approximately 35% of municipal solid waste is recycled, and we expect that percentage to increase over the long-term. While there are examples of communities cancelling their recycling programs, many more have committed to enhance and expand their recycling programs for their residents. We continue to focus on innovative material handling processes and programs to help our customers achieve their goals related to sustainability and environmentally sound waste practices while also generating an appropriate return. We will continue to look for</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opportunities to expand or enhance our recycling capabilities in markets where customers are demanding these services and demonstrating a willingness to pay, and we can earn an appropriate return on our investment.</w:t>
      </w:r>
    </w:p>
    <w:p>
      <w:pPr>
        <w:spacing w:after="0" w:line="62" w:lineRule="exact"/>
        <w:rPr>
          <w:sz w:val="20"/>
          <w:szCs w:val="20"/>
          <w:color w:val="auto"/>
        </w:rPr>
      </w:pPr>
    </w:p>
    <w:p>
      <w:pPr>
        <w:ind w:left="660" w:hanging="328"/>
        <w:spacing w:after="0" w:line="25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Infrastructure Development - We seek to identify opportunities to further our position as a vertically integrated service provider in markets where we are not fully integrated. Our goal is to create market-specific, vertically integrated operations typically consisting of one or more collection operations, transfer stations, landfills and recycling processing centers. Where appropriate, we seek to obtain permits to build transfer stations, recycling processing centers and landfills that would vertically integrate our waste services or expand the service areas for our existing disposal sites. Additionally, we seek opportunities to expand and permit new airspace at our existing landfills in order to replace airspace consumed. Development projects, while generally less capital intensive than acquisitions, typically require extensive permitting efforts that can take years to complete with no assurance of success. We undertake development projects when we believe there is a reasonable probability of success and where reasonably priced acquisition opportunities are not available.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Growth</w:t>
      </w:r>
    </w:p>
    <w:p>
      <w:pPr>
        <w:spacing w:after="0" w:line="117" w:lineRule="exact"/>
        <w:rPr>
          <w:sz w:val="20"/>
          <w:szCs w:val="20"/>
          <w:color w:val="auto"/>
        </w:rPr>
      </w:pPr>
    </w:p>
    <w:p>
      <w:pPr>
        <w:ind w:left="660" w:right="80" w:hanging="328"/>
        <w:spacing w:after="0" w:line="297"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Acquisitions and Public-Private Partnerships - Our acquisition growth strategy focuses primarily on acquiring privately held solid waste and recycling companies that complement our existing business platform. We believe our ability to successfully complete these acquisitions is enhanced by the challenges facing many privately-held companies, including increasing competition in the solid waste industry, increasing capital requirements due to changes in solid waste regulatory requirements and technology and the limited number of exit strategies for privately-held companies. We also evaluate opportunities to acquire operations and facilities that are being divested by other publicly-owned waste companies.</w:t>
      </w:r>
    </w:p>
    <w:p>
      <w:pPr>
        <w:spacing w:after="0" w:line="23" w:lineRule="exact"/>
        <w:rPr>
          <w:rFonts w:ascii="Arial" w:cs="Arial" w:eastAsia="Arial" w:hAnsi="Arial"/>
          <w:sz w:val="16"/>
          <w:szCs w:val="16"/>
          <w:color w:val="auto"/>
        </w:rPr>
      </w:pPr>
    </w:p>
    <w:p>
      <w:pPr>
        <w:ind w:left="660" w:right="380"/>
        <w:spacing w:after="0" w:line="259" w:lineRule="auto"/>
        <w:rPr>
          <w:rFonts w:ascii="Arial" w:cs="Arial" w:eastAsia="Arial" w:hAnsi="Arial"/>
          <w:sz w:val="16"/>
          <w:szCs w:val="16"/>
          <w:color w:val="auto"/>
        </w:rPr>
      </w:pPr>
      <w:r>
        <w:rPr>
          <w:rFonts w:ascii="Arial" w:cs="Arial" w:eastAsia="Arial" w:hAnsi="Arial"/>
          <w:sz w:val="18"/>
          <w:szCs w:val="18"/>
          <w:color w:val="auto"/>
        </w:rPr>
        <w:t>We continue to invest in value-enhancing acquisitions in existing markets. Generally, we expect to maintain a steady pace of tuck-in acquisition investment of approximately $200 million annually. Given our free cash flow, availability under our credit facilities and our ability to access the public capital markets, we have the financial flexibility to make additional acquisitions that will complement our existing business platform, including larger acquisitions if the right opportunities present themselves.</w:t>
      </w:r>
    </w:p>
    <w:p>
      <w:pPr>
        <w:spacing w:after="0" w:line="65" w:lineRule="exact"/>
        <w:rPr>
          <w:rFonts w:ascii="Arial" w:cs="Arial" w:eastAsia="Arial" w:hAnsi="Arial"/>
          <w:sz w:val="16"/>
          <w:szCs w:val="16"/>
          <w:color w:val="auto"/>
        </w:rPr>
      </w:pPr>
    </w:p>
    <w:p>
      <w:pPr>
        <w:ind w:left="660" w:right="80"/>
        <w:spacing w:after="0" w:line="264" w:lineRule="auto"/>
        <w:rPr>
          <w:rFonts w:ascii="Arial" w:cs="Arial" w:eastAsia="Arial" w:hAnsi="Arial"/>
          <w:sz w:val="16"/>
          <w:szCs w:val="16"/>
          <w:color w:val="auto"/>
        </w:rPr>
      </w:pPr>
      <w:r>
        <w:rPr>
          <w:rFonts w:ascii="Arial" w:cs="Arial" w:eastAsia="Arial" w:hAnsi="Arial"/>
          <w:sz w:val="18"/>
          <w:szCs w:val="18"/>
          <w:color w:val="auto"/>
        </w:rPr>
        <w:t>We also focus on growth through public-private partnerships, which include the waste and recycling operations and facilities of municipal and other local governments. We believe over time we have an opportunity to acquire operations and facilities from municipalities and other local governments, as they seek to raise capital and/or reduce risk.</w:t>
      </w:r>
    </w:p>
    <w:p>
      <w:pPr>
        <w:spacing w:after="0" w:line="59" w:lineRule="exact"/>
        <w:rPr>
          <w:rFonts w:ascii="Arial" w:cs="Arial" w:eastAsia="Arial" w:hAnsi="Arial"/>
          <w:sz w:val="16"/>
          <w:szCs w:val="16"/>
          <w:color w:val="auto"/>
        </w:rPr>
      </w:pPr>
    </w:p>
    <w:p>
      <w:pPr>
        <w:ind w:left="660" w:right="140"/>
        <w:spacing w:after="0" w:line="264" w:lineRule="auto"/>
        <w:rPr>
          <w:rFonts w:ascii="Arial" w:cs="Arial" w:eastAsia="Arial" w:hAnsi="Arial"/>
          <w:sz w:val="16"/>
          <w:szCs w:val="16"/>
          <w:color w:val="auto"/>
        </w:rPr>
      </w:pPr>
      <w:r>
        <w:rPr>
          <w:rFonts w:ascii="Arial" w:cs="Arial" w:eastAsia="Arial" w:hAnsi="Arial"/>
          <w:sz w:val="18"/>
          <w:szCs w:val="18"/>
          <w:color w:val="auto"/>
        </w:rPr>
        <w:t>We realize synergies from consolidating businesses into our existing operations, whether through acquisitions or public-private partnerships, which allows us to reduce capital expenditures and expenses associated with truck routing, personnel, fleet maintenance, inventories and back-office administration.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Model</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The goal of our operating model pillar is to deliver a consistent, high-quality service to all of our customers through the Republic Way: </w:t>
      </w:r>
      <w:r>
        <w:rPr>
          <w:rFonts w:ascii="Arial" w:cs="Arial" w:eastAsia="Arial" w:hAnsi="Arial"/>
          <w:sz w:val="16"/>
          <w:szCs w:val="16"/>
          <w:i w:val="1"/>
          <w:iCs w:val="1"/>
          <w:color w:val="auto"/>
        </w:rPr>
        <w:t>One Way. Everywhere.</w:t>
      </w:r>
      <w:r>
        <w:rPr>
          <w:rFonts w:ascii="Arial" w:cs="Arial" w:eastAsia="Arial" w:hAnsi="Arial"/>
          <w:sz w:val="16"/>
          <w:szCs w:val="16"/>
          <w:color w:val="auto"/>
        </w:rPr>
        <w:t xml:space="preserve"> </w:t>
      </w:r>
      <w:r>
        <w:rPr>
          <w:rFonts w:ascii="Arial" w:cs="Arial" w:eastAsia="Arial" w:hAnsi="Arial"/>
          <w:sz w:val="16"/>
          <w:szCs w:val="16"/>
          <w:i w:val="1"/>
          <w:iCs w:val="1"/>
          <w:color w:val="auto"/>
        </w:rPr>
        <w:t>Every day</w:t>
      </w:r>
      <w:r>
        <w:rPr>
          <w:rFonts w:ascii="Arial" w:cs="Arial" w:eastAsia="Arial" w:hAnsi="Arial"/>
          <w:sz w:val="16"/>
          <w:szCs w:val="16"/>
          <w:color w:val="auto"/>
        </w:rPr>
        <w:t>. This approach of developing standardized processes with rigorous controls and tracking allows us to leverage our scale and deliver durable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operational excellence. The Republic Way is the key to harnessing the best of what we do as operators and translating that across all facets of our business.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Organizational Structure</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key enabler of the Republic Way operating model is our organizational structure that fosters a high performance culture by maintaining 360-degree accountability and full profit and loss responsibility with local management, supported by a functional structure to provide subject matter expertise. This structure allows us to take advantage of our scale by coordinating functionally across all of our markets, while empowering local management to respond to unique market dynamics.</w:t>
      </w:r>
    </w:p>
    <w:p>
      <w:pPr>
        <w:spacing w:after="0" w:line="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Through this operating model, we have rolled out several productivity and cost control initiatives designed to deliver the best service possible to our customers in an efficient and environmentally sound way.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Automation</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Approximately 76% of our residential routes have been converted to automated single-driver trucks. By converting our residential routes to automated service, we reduce labor costs, improve driver productivity, decrease emissions and create a safer work environment for our employees. Additionally, communities using automated vehicles have higher participation rates in recycling programs, thereby complementing our initiative to expand our recycling capabilities.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Conversion to Compressed Natural Gas (CNG)</w:t>
      </w:r>
    </w:p>
    <w:p>
      <w:pPr>
        <w:spacing w:after="0" w:line="90"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Approximately 20% of our fleet operates on natural gas. We expect to continue our gradual fleet conversion to CNG as part of our ordinary annual fleet replacement process. We believe a gradual fleet conversion is the most prudent approach to realizing the full value of our previous fleet investments. Approximately 13% of our replacement vehicle purchases during 2019 were CNG vehicles. We believe using CNG vehicles provides us a competitive advantage in communities with strict clean emission initiatives that focus on protecting the environment. Although upfront capital costs are higher, using CNG reduces our overall fleet operating costs through lower fuel expenses. As of December 31, 2019, we operated 39 CNG fueling stations.</w:t>
      </w:r>
    </w:p>
    <w:p>
      <w:pPr>
        <w:spacing w:after="0" w:line="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also monitoring and influencing a number of alternative fuel technologies, such as electrification, to improve the total cost of ownership of our fleet and reduce our environmental impact through lower fleet emissions.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Standardized Maintenance</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an industry trade publication, we operate the eighth largest vocational fleet in the United States. As of December 31, 2019, our average fleet age in years, by line of business, was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100" w:type="dxa"/>
            <w:vAlign w:val="bottom"/>
            <w:gridSpan w:val="2"/>
          </w:tcPr>
          <w:p>
            <w:pPr>
              <w:ind w:left="60"/>
              <w:spacing w:after="0"/>
              <w:rPr>
                <w:sz w:val="20"/>
                <w:szCs w:val="20"/>
                <w:color w:val="auto"/>
              </w:rPr>
            </w:pPr>
            <w:r>
              <w:rPr>
                <w:rFonts w:ascii="Arial" w:cs="Arial" w:eastAsia="Arial" w:hAnsi="Arial"/>
                <w:sz w:val="18"/>
                <w:szCs w:val="18"/>
                <w:color w:val="auto"/>
              </w:rPr>
              <w:t>Approximate Number of</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Approximate</w:t>
            </w:r>
          </w:p>
        </w:tc>
      </w:tr>
      <w:tr>
        <w:trPr>
          <w:trHeight w:val="230"/>
        </w:trPr>
        <w:tc>
          <w:tcPr>
            <w:tcW w:w="7920" w:type="dxa"/>
            <w:vAlign w:val="bottom"/>
          </w:tcPr>
          <w:p>
            <w:pPr>
              <w:spacing w:after="0"/>
              <w:rPr>
                <w:sz w:val="20"/>
                <w:szCs w:val="20"/>
                <w:color w:val="auto"/>
              </w:rPr>
            </w:pPr>
          </w:p>
        </w:tc>
        <w:tc>
          <w:tcPr>
            <w:tcW w:w="2100" w:type="dxa"/>
            <w:vAlign w:val="bottom"/>
            <w:gridSpan w:val="2"/>
          </w:tcPr>
          <w:p>
            <w:pPr>
              <w:ind w:left="620"/>
              <w:spacing w:after="0"/>
              <w:rPr>
                <w:sz w:val="20"/>
                <w:szCs w:val="20"/>
                <w:color w:val="auto"/>
              </w:rPr>
            </w:pPr>
            <w:r>
              <w:rPr>
                <w:rFonts w:ascii="Arial" w:cs="Arial" w:eastAsia="Arial" w:hAnsi="Arial"/>
                <w:sz w:val="18"/>
                <w:szCs w:val="18"/>
                <w:color w:val="auto"/>
              </w:rPr>
              <w:t>Vehicles</w:t>
            </w:r>
          </w:p>
        </w:tc>
        <w:tc>
          <w:tcPr>
            <w:tcW w:w="1360" w:type="dxa"/>
            <w:vAlign w:val="bottom"/>
          </w:tcPr>
          <w:p>
            <w:pPr>
              <w:jc w:val="center"/>
              <w:ind w:right="50"/>
              <w:spacing w:after="0"/>
              <w:rPr>
                <w:sz w:val="20"/>
                <w:szCs w:val="20"/>
                <w:color w:val="auto"/>
              </w:rPr>
            </w:pPr>
            <w:r>
              <w:rPr>
                <w:rFonts w:ascii="Arial" w:cs="Arial" w:eastAsia="Arial" w:hAnsi="Arial"/>
                <w:sz w:val="18"/>
                <w:szCs w:val="18"/>
                <w:color w:val="auto"/>
                <w:w w:val="90"/>
              </w:rPr>
              <w:t>Average Age</w:t>
            </w:r>
          </w:p>
        </w:tc>
      </w:tr>
      <w:tr>
        <w:trPr>
          <w:trHeight w:val="27"/>
        </w:trPr>
        <w:tc>
          <w:tcPr>
            <w:tcW w:w="79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7.4</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Small-container</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21"/>
                <w:szCs w:val="21"/>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color w:val="auto"/>
                <w:w w:val="87"/>
              </w:rPr>
              <w:t>6.8</w:t>
            </w:r>
          </w:p>
        </w:tc>
      </w:tr>
      <w:tr>
        <w:trPr>
          <w:trHeight w:val="27"/>
        </w:trPr>
        <w:tc>
          <w:tcPr>
            <w:tcW w:w="7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Large-container</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8.6</w:t>
            </w:r>
          </w:p>
        </w:tc>
      </w:tr>
      <w:tr>
        <w:trPr>
          <w:trHeight w:val="264"/>
        </w:trPr>
        <w:tc>
          <w:tcPr>
            <w:tcW w:w="7920" w:type="dxa"/>
            <w:vAlign w:val="bottom"/>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16,000</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7.6</w:t>
            </w:r>
          </w:p>
        </w:tc>
      </w:tr>
      <w:tr>
        <w:trPr>
          <w:trHeight w:val="21"/>
        </w:trPr>
        <w:tc>
          <w:tcPr>
            <w:tcW w:w="79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OneFleet, our standardized vehicle maintenance program, enables us to use best practices for fleet management, truck care and maintenance. Through standardization of core functions, we believe we can minimize variability in our maintenance processes, resulting in higher vehicle quality and a lower environmental footprint, while extending the average service life of our fleet. We believe operating a more reliable, greener, safer and more efficient fleet will lower our operating costs. Additionally, our focus on preventative maintenance is improving the reliability of our fleet and enabling us to provide superior service to our customers, differentiating us from our competition. The entire fleet was certified under OneFleet by the second quarter of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 and Talent Agenda</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goal of our people and talent agenda pillar is to create an environment to attract and retain the best talent. Our people continue to be the most critical component in successfully executing our strategy. We strive to make Republic a desirable place to work for our approximately 36,000 full-time employees by creating learning experiences and programs that develop, train, engage and motivate, as well as compensation and benefits that attract and retain the best workforce. With a focus on safety, employee engagement, learning and talent development, and inclusion and diversity, we aspire to be a company where the best people want to work and are engaged every day.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Republic is dedicated to the safety of our employees, customers and the communities we serve. We have a dedicated team of safety professionals at our corporate headquarters and in our field operations, the leader of which reports directly to our Chief Operating Officer. Due to the nature of our industry, we prioritize safety above all else and we recognize and reward employees for outstanding safety records. Over the past 10 years, our safety performance (based on OSHA recordable rates) has been 39% better than the industry average. Our </w:t>
      </w:r>
      <w:r>
        <w:rPr>
          <w:rFonts w:ascii="Arial" w:cs="Arial" w:eastAsia="Arial" w:hAnsi="Arial"/>
          <w:sz w:val="17"/>
          <w:szCs w:val="17"/>
          <w:i w:val="1"/>
          <w:iCs w:val="1"/>
          <w:color w:val="auto"/>
        </w:rPr>
        <w:t>Think, Choose, Live</w:t>
      </w:r>
      <w:r>
        <w:rPr>
          <w:rFonts w:ascii="Arial" w:cs="Arial" w:eastAsia="Arial" w:hAnsi="Arial"/>
          <w:sz w:val="17"/>
          <w:szCs w:val="17"/>
          <w:color w:val="auto"/>
        </w:rPr>
        <w:t xml:space="preserve"> slogan encapsulates our everyday safety messaging to our employees to: </w:t>
      </w:r>
      <w:r>
        <w:rPr>
          <w:rFonts w:ascii="Arial" w:cs="Arial" w:eastAsia="Arial" w:hAnsi="Arial"/>
          <w:sz w:val="17"/>
          <w:szCs w:val="17"/>
          <w:i w:val="1"/>
          <w:iCs w:val="1"/>
          <w:color w:val="auto"/>
        </w:rPr>
        <w:t>Think</w:t>
      </w:r>
      <w:r>
        <w:rPr>
          <w:rFonts w:ascii="Arial" w:cs="Arial" w:eastAsia="Arial" w:hAnsi="Arial"/>
          <w:sz w:val="17"/>
          <w:szCs w:val="17"/>
          <w:color w:val="auto"/>
        </w:rPr>
        <w:t xml:space="preserve"> about what you are doing, </w:t>
      </w:r>
      <w:r>
        <w:rPr>
          <w:rFonts w:ascii="Arial" w:cs="Arial" w:eastAsia="Arial" w:hAnsi="Arial"/>
          <w:sz w:val="17"/>
          <w:szCs w:val="17"/>
          <w:i w:val="1"/>
          <w:iCs w:val="1"/>
          <w:color w:val="auto"/>
        </w:rPr>
        <w:t>Choose</w:t>
      </w:r>
      <w:r>
        <w:rPr>
          <w:rFonts w:ascii="Arial" w:cs="Arial" w:eastAsia="Arial" w:hAnsi="Arial"/>
          <w:sz w:val="17"/>
          <w:szCs w:val="17"/>
          <w:color w:val="auto"/>
        </w:rPr>
        <w:t xml:space="preserve"> the safe answer, and </w:t>
      </w:r>
      <w:r>
        <w:rPr>
          <w:rFonts w:ascii="Arial" w:cs="Arial" w:eastAsia="Arial" w:hAnsi="Arial"/>
          <w:sz w:val="17"/>
          <w:szCs w:val="17"/>
          <w:i w:val="1"/>
          <w:iCs w:val="1"/>
          <w:color w:val="auto"/>
        </w:rPr>
        <w:t>Live</w:t>
      </w:r>
      <w:r>
        <w:rPr>
          <w:rFonts w:ascii="Arial" w:cs="Arial" w:eastAsia="Arial" w:hAnsi="Arial"/>
          <w:sz w:val="17"/>
          <w:szCs w:val="17"/>
          <w:color w:val="auto"/>
        </w:rPr>
        <w:t xml:space="preserve"> to go home to your family. With the phrase printed on numerous items, including hard hats and the equipment our employees touch, there are constant reminders for employees to go home in the same condition in which they came to work. Our goal is to ensure every one of our employees returns home safely each night.</w:t>
      </w:r>
    </w:p>
    <w:p>
      <w:pPr>
        <w:spacing w:after="0" w:line="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Through our Safety Amplified program, we are providing even more tools and driving even greater awareness to help our teams better execute our safety standards. Continual training, multifaceted programs and strategic partnerships are key components of our platform. It’s simple by design and comprised of actions and activities that ensure safety is embedded in all we do. The program includes six initiatives to help us achieve our goal to have zero employee fatalities and reduce our OSHA Total Recordable Incident Rate.</w:t>
      </w:r>
    </w:p>
    <w:p>
      <w:pPr>
        <w:spacing w:after="0" w:line="79"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Together: This is our core safety program created for our frontline employees and designed to help eliminate six types of serious incidents. We recently extended the scope and reach of the program to include all employees across the company.</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Lead Together: This focus area brings best-in-class communication channels to our employees and includes advanced training techniques for all supervisors and managers.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5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 Together: We're initiating more frequent and higher quality leadership visits and interaction with frontline employees. These visits are designed to pull together leaders from a variety of departments to support the divisions' safety goals.</w:t>
      </w:r>
    </w:p>
    <w:p>
      <w:pPr>
        <w:spacing w:after="0" w:line="62" w:lineRule="exact"/>
        <w:rPr>
          <w:rFonts w:ascii="Arial" w:cs="Arial" w:eastAsia="Arial" w:hAnsi="Arial"/>
          <w:sz w:val="18"/>
          <w:szCs w:val="18"/>
          <w:color w:val="auto"/>
        </w:rPr>
      </w:pPr>
    </w:p>
    <w:p>
      <w:pPr>
        <w:ind w:left="660" w:right="2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Celebrate Together: We take pride in recognizing employees who demonstrate a relentless commitment to safety. Employees with the best driving records are eligible for the industry’s most prestigious award, the National Waste &amp; Recycling Association’s Driver of the Year. Republic drivers have won 70% of the Driver of the Year awards issued for the large truck category since 2009. In addition, our best drivers are recognized and rewarded with competing in our National Road-EO competition.</w:t>
      </w:r>
    </w:p>
    <w:p>
      <w:pPr>
        <w:spacing w:after="0" w:line="78" w:lineRule="exact"/>
        <w:rPr>
          <w:rFonts w:ascii="Arial" w:cs="Arial" w:eastAsia="Arial" w:hAnsi="Arial"/>
          <w:sz w:val="18"/>
          <w:szCs w:val="18"/>
          <w:color w:val="auto"/>
        </w:rPr>
      </w:pPr>
    </w:p>
    <w:p>
      <w:pPr>
        <w:ind w:left="660" w:right="60" w:hanging="328"/>
        <w:spacing w:after="0" w:line="26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Analyze Together: We analyze real-time data to make short- and long-term decisions and identify opportunities for improvement. Examples include analysis of roadway awareness training, data mapping and other employee protection and preparedness insights. With these analytics we will be able to make proactive safety decisions to generate better results.</w:t>
      </w:r>
    </w:p>
    <w:p>
      <w:pPr>
        <w:spacing w:after="0" w:line="73" w:lineRule="exact"/>
        <w:rPr>
          <w:rFonts w:ascii="Arial" w:cs="Arial" w:eastAsia="Arial" w:hAnsi="Arial"/>
          <w:sz w:val="18"/>
          <w:szCs w:val="18"/>
          <w:color w:val="auto"/>
        </w:rPr>
      </w:pPr>
    </w:p>
    <w:p>
      <w:pPr>
        <w:ind w:left="660" w:right="22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Innovate Together: We leverage the latest technologies, including automation, and take a data-driven approach to support our employees. These innovations include rear cameras, in-cab backing alarm systems and event recording systems throughout our fleet. We’re also working with equipment manufacturers to incorporate safety elements such as seat belt alarms, blind spot awareness, lane departure alarms and other potentially lifesaving equipment in our fleet.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Safety Amplified program will deliver additional positive impacts for our Company and stakeholders including: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strengthen relationships within the communities we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customer trust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Streamline operational processes and increase productivity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 a reputational advantage, including positioning our Company as an employer-of-choice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and sustain a safety culture in all areas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Contribute to employee engagement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w:t>
      </w:r>
    </w:p>
    <w:p>
      <w:pPr>
        <w:spacing w:after="0" w:line="10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believe an engaged and diverse workforce is the greatest indicator of our success. We have found that business units with a highly engaged workforce experience approximately 59% less turnover. Additionally, we know that engaged employees deliver better customer service and are more productive and safe drivers. We measure employee engagement annually through a third party survey and compensate our General Managers on their employee engagement scores. We improved our employee engagement score from 85% in 2018 to 86% in 2019 and continued to outperform industry benchmarks.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and Talent Development</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committed to developing our employees throughout their careers. Targeted onboarding experiences, including our Driver Training Center, Sales Acceleration, General Manager and Operations Onboarding programs, focus on providing the fundamental skills each employee needs to succeed in his or her role. Our Leadership Trainee program, an 18-month rotational experience for recent college graduates, is another example of our commitment to providing opportunities for growth.</w:t>
      </w:r>
    </w:p>
    <w:p>
      <w:pPr>
        <w:spacing w:after="0" w:line="6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Developing our leaders is also a critical part of our people and talent agenda. From our Leadership Fundamentals program, a program for all leaders of people, to our Leadership Trainee and General Manager Acceleration programs for early career leaders, we have developed programs and experiences to help ensure that as our leaders progress, they are accumulating the skills necessary to be successful at each level.</w:t>
      </w:r>
    </w:p>
    <w:p>
      <w:pPr>
        <w:spacing w:after="0" w:line="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Leadership Fundamentals program was awarded the 2018 Brandon Hall Group Excellence award for best advance in leadership development. Our Leadership Trainee program has enabled us to place new leaders in key positions in the field and at our Phoenix headquarters. The General Manager Acceleration program is designed to enable its participants to become the next generation of General Managers with a deep knowledge of the business and the skills necessary to build and lead successful teams. Ongoing support for leaders is provided by way of a bi-weekly leadership video-cast that reinforces the concepts from our leadership trainings, challenges employees to continue to apply the key learnings, and offers ongoing tools for addressing the more seasonal aspects of leading throughout the year. Over the last five years, more than 5,200 leaders have completed our Leadership Fundamentals program, creating a common language and toolkit for how we coach and develop employees.</w:t>
      </w:r>
    </w:p>
    <w:p>
      <w:pPr>
        <w:spacing w:after="0" w:line="4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Our leadership programs are the driving force behind our talent engine and are critical to our business strategy. We are developing leaders that are strategically minded and foster an inclusive culture.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and Diversity</w:t>
      </w:r>
    </w:p>
    <w:p>
      <w:pPr>
        <w:spacing w:after="0" w:line="9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strive to create an inclusive and diverse culture where all employees can thrive and feel welcomed and valued. Our Mission of Supporting an Inclusive Culture (M.O.S.A.I.C.) is driven by our office of inclusion and diversity and supported by the M.O.S.A.I.C. Council. Our approach enables us to continue to develop new strategies and activities to create a more inclusive work environment and diverse workforce. Through these efforts, we can leverage our best thinking to improve our culture and better serve our customers. In 2017, the M.O.S.A.I.C. Council launched the Women of Republic business resource group, which was developed to provide a platform to empower members and enrich a diverse culture that values, develops and advances women in leadership. Advancing women in leadership roles will provide greater diversity of thought and perspective which has been proven to drive better decision making.</w:t>
      </w:r>
    </w:p>
    <w:p>
      <w:pPr>
        <w:spacing w:after="0" w:line="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2019, we launched our Veterans, Advocacy, Learning, Outreach and Recruiting (V.A.L.O.R.) business resource group, which is focused on creating an inclusive culture that attracts, retains, develops and values veterans and their families throughout the organization and in our communities. We believe there is no better way to protect our planet than to recruit and hire the heroes who have protected our country. We actively recruit and hire veterans - those transitioning from military life as well as those long discharged from active duty. We value the skills, experience and operational excellence they bring to our organization, as well as their commitment to a better tomorrow. Historically, we have had great success hiring veterans. In 2019, approximately 2,500 veterans served in a variety of roles, ranging from drivers to senior leaders.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 2020 and beyond, we expect to launch additional business resource groups.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Zeal</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goal of our customer zeal pillar is to drive customer loyalty by offering differentiated products and services specifically designed to meet our customers’ needs. We believe this increases customer loyalty and willingness to pay for a higher value service.</w:t>
      </w:r>
    </w:p>
    <w:p>
      <w:pPr>
        <w:spacing w:after="0" w:line="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 help our sales team identify specific customer needs and configure the right offering, we use a Priority Based Selling (PBS) technique and our Capture pricing tool nationwide.</w:t>
      </w:r>
    </w:p>
    <w:p>
      <w:pPr>
        <w:spacing w:after="0" w:line="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PBS enables us to identify and segment customers’ buying priorities, and attract customers that are willing to pay for enhanced offerings.</w:t>
      </w:r>
    </w:p>
    <w:p>
      <w:pPr>
        <w:spacing w:after="0" w:line="128"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Capture is a cloud-based pricing tool that creates a more professional sales experience, helps realize better pricing levels at the point of sale and provides enhanced controls over the price quoting process.</w:t>
      </w:r>
    </w:p>
    <w:p>
      <w:pPr>
        <w:spacing w:after="0" w:line="4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response to our customers’ requests, we expanded our suite of products to include electronics recycling with BlueGuard</w:t>
      </w:r>
      <w:r>
        <w:rPr>
          <w:rFonts w:ascii="Arial" w:cs="Arial" w:eastAsia="Arial" w:hAnsi="Arial"/>
          <w:sz w:val="20"/>
          <w:szCs w:val="20"/>
          <w:color w:val="auto"/>
          <w:vertAlign w:val="superscript"/>
        </w:rPr>
        <w:t>®</w:t>
      </w:r>
      <w:r>
        <w:rPr>
          <w:rFonts w:ascii="Arial" w:cs="Arial" w:eastAsia="Arial" w:hAnsi="Arial"/>
          <w:sz w:val="16"/>
          <w:szCs w:val="16"/>
          <w:color w:val="auto"/>
        </w:rPr>
        <w:t>, universal recycling and All-in-One Office</w:t>
      </w:r>
      <w:r>
        <w:rPr>
          <w:rFonts w:ascii="Arial" w:cs="Arial" w:eastAsia="Arial" w:hAnsi="Arial"/>
          <w:sz w:val="20"/>
          <w:szCs w:val="20"/>
          <w:color w:val="auto"/>
          <w:vertAlign w:val="superscript"/>
        </w:rPr>
        <w:t>®</w:t>
      </w:r>
      <w:r>
        <w:rPr>
          <w:rFonts w:ascii="Arial" w:cs="Arial" w:eastAsia="Arial" w:hAnsi="Arial"/>
          <w:sz w:val="16"/>
          <w:szCs w:val="16"/>
          <w:color w:val="auto"/>
        </w:rPr>
        <w:t>. For those services that we don’t provide, we fulfill demand through our alliance partnerships while maintaining the customer facing relationship.</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To help ensure a consistent customer experience, we invested in our customer service capabilities and consolidated over 100 customer service locations into three Customer Resource Centers. These state-of-the-art facilities and the technology deployed provide our customer service employees with the tools and capabilities they need to provide better levels of service though a variety of communication channels. The state-of-the-art centers enhance the customer experience and provide us a platform to reduce the cost to service our customers.</w:t>
      </w:r>
    </w:p>
    <w:p>
      <w:pPr>
        <w:spacing w:after="0" w:line="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To help ensure our efforts are making an impact and building customer loyalty, we solicit feedback from our customers, including net promoter score, so that every General Manager receives recent, relevant feedback that allows him or her the ability to reach out to customers directly and address issues immediately.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Platform</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goal of our digital platform pillar is to allow us to provide a consistent experience across our business while enabling our customers to do business with us through more channels and with better access to information.</w:t>
      </w:r>
    </w:p>
    <w:p>
      <w:pPr>
        <w:spacing w:after="0" w:line="3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are responding to our customers' requests for options to do business with us digitally. By increasing the ease of use and functionality of our web-based market presence, we believe we enhance customer satisfaction, interaction, and connectivity while lowering our costs. These tools reinforce to our customers that they can rely on us to handle their recycling and waste service needs in a way that is easy and convenient for them.</w:t>
      </w:r>
    </w:p>
    <w:p>
      <w:pPr>
        <w:spacing w:after="0" w:line="5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website and mobile app are online account management tools, allowing customers access to their accounts and our services.</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e-commerce sales channel allows customers to secure services on a real-time basis, provides capabilities to meet our customer's evolving buying preferences, and provides a lower cost sales channel.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also leveraging technology to digitally connect our customers, drivers, dispatchers, supervisors and trucks via our "RISE" dispatch platform and in-cab technology. We are utilizing an agile iterative approach to the development and multi-year roll-out of this technology to ensure durable adoption and an appropriate return on our investment. With the roll-out of this technology we will improve productivity through more real-time routing information and data visualization tools; increase customer connectivity and enable automated service verification communications; and enhance the employee experience by providing better tools and technology designed around how our employees will interact with it.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At Republic, we believe in the preservation of our Blue Planet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 to support a cleaner, safer and healthier world. We’re passionate about our role as responsible stewards of our nation’s waste. In 2014, we identified five sustainability elements that remain deeply engrained within our business: Safety, People, Operations, Materials Management and Communities. These elements continue to guide our short- and long-term sustainability and business goals.</w:t>
      </w:r>
    </w:p>
    <w:p>
      <w:pPr>
        <w:spacing w:after="0" w:line="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was at this time that we also launched our sustainability platform and original sustainability goals. We achieved the three time-bound sustainability goals set in 2014, which included developing two landfill gas-to-energy projects per year by 2018; adding an additional 150,000 tons or more per year of recycling capability by 2018; and reducing absolute fleet emissions by 3% from our direct operational impacts by 2018.</w:t>
      </w:r>
    </w:p>
    <w:p>
      <w:pPr>
        <w:spacing w:after="0" w:line="60"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As we grow, so does our opportunity to make a meaningful positive impact on the environment and society. Over the past year the Company undertook a comprehensive approach to the development of additional sustainability goals that build on these past achievements. This included an analysis of global trends, identification of our business model dependencies and engagement with key stakeholders.</w:t>
      </w:r>
    </w:p>
    <w:p>
      <w:pPr>
        <w:spacing w:after="0" w:line="3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2019 we unveiled additional, long-term goals that are ambitious by design and address critical global macro-trends as well as our greatest opportunities to create value at scale. Each of them is aligned with one of the Company’s five sustainability elements, and together they are designed to significantly benefit the environment and society while enhancing the foundation and profitability of our business for the long-term.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Blue Planet: 2030 Goals</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Safety Amplified: </w:t>
      </w:r>
      <w:r>
        <w:rPr>
          <w:rFonts w:ascii="Arial" w:cs="Arial" w:eastAsia="Arial" w:hAnsi="Arial"/>
          <w:sz w:val="18"/>
          <w:szCs w:val="18"/>
          <w:color w:val="auto"/>
        </w:rPr>
        <w:t>Zero annual employee fatalities and reduce OSHA Total Recordable Incident Rate (TRIR) to 2.0 or less by 2030</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Engaged Workforce: </w:t>
      </w:r>
      <w:r>
        <w:rPr>
          <w:rFonts w:ascii="Arial" w:cs="Arial" w:eastAsia="Arial" w:hAnsi="Arial"/>
          <w:sz w:val="18"/>
          <w:szCs w:val="18"/>
          <w:color w:val="auto"/>
        </w:rPr>
        <w:t>Achieve and maintain employee engagement scores at or above 88 percent by 2030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Climate Leadership: </w:t>
      </w:r>
      <w:r>
        <w:rPr>
          <w:rFonts w:ascii="Arial" w:cs="Arial" w:eastAsia="Arial" w:hAnsi="Arial"/>
          <w:sz w:val="18"/>
          <w:szCs w:val="18"/>
          <w:color w:val="auto"/>
        </w:rPr>
        <w:t>Reduce absolute Scope 1 and 2 greenhouse gas emissions 35 percent by 2030</w:t>
      </w:r>
      <w:r>
        <w:rPr>
          <w:rFonts w:ascii="Arial" w:cs="Arial" w:eastAsia="Arial" w:hAnsi="Arial"/>
          <w:sz w:val="23"/>
          <w:szCs w:val="23"/>
          <w:color w:val="auto"/>
          <w:vertAlign w:val="superscript"/>
        </w:rPr>
        <w:t>(1)</w:t>
      </w:r>
      <w:r>
        <w:rPr>
          <w:rFonts w:ascii="Arial" w:cs="Arial" w:eastAsia="Arial" w:hAnsi="Arial"/>
          <w:sz w:val="18"/>
          <w:szCs w:val="18"/>
          <w:color w:val="auto"/>
        </w:rPr>
        <w:t>, aligned with SBTi</w:t>
      </w:r>
      <w:r>
        <w:rPr>
          <w:rFonts w:ascii="Arial" w:cs="Arial" w:eastAsia="Arial" w:hAnsi="Arial"/>
          <w:sz w:val="23"/>
          <w:szCs w:val="23"/>
          <w:color w:val="auto"/>
          <w:vertAlign w:val="superscript"/>
        </w:rPr>
        <w:t>(1)</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Circular Economy: </w:t>
      </w:r>
      <w:r>
        <w:rPr>
          <w:rFonts w:ascii="Arial" w:cs="Arial" w:eastAsia="Arial" w:hAnsi="Arial"/>
          <w:sz w:val="18"/>
          <w:szCs w:val="18"/>
          <w:color w:val="auto"/>
        </w:rPr>
        <w:t>Increase recovery of key materials by 40 percent on a combined basis by 2030</w:t>
      </w:r>
      <w:r>
        <w:rPr>
          <w:rFonts w:ascii="Arial" w:cs="Arial" w:eastAsia="Arial" w:hAnsi="Arial"/>
          <w:sz w:val="23"/>
          <w:szCs w:val="23"/>
          <w:color w:val="auto"/>
          <w:vertAlign w:val="superscript"/>
        </w:rPr>
        <w:t>(1)</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Regenerative Landfills: </w:t>
      </w:r>
      <w:r>
        <w:rPr>
          <w:rFonts w:ascii="Arial" w:cs="Arial" w:eastAsia="Arial" w:hAnsi="Arial"/>
          <w:sz w:val="18"/>
          <w:szCs w:val="18"/>
          <w:color w:val="auto"/>
        </w:rPr>
        <w:t>Increase biogas sent to beneficial reuse by 50 percent by 2030</w:t>
      </w:r>
      <w:r>
        <w:rPr>
          <w:rFonts w:ascii="Arial" w:cs="Arial" w:eastAsia="Arial" w:hAnsi="Arial"/>
          <w:sz w:val="23"/>
          <w:szCs w:val="23"/>
          <w:color w:val="auto"/>
          <w:vertAlign w:val="superscript"/>
        </w:rPr>
        <w:t>(1)</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Charitable Giving: </w:t>
      </w:r>
      <w:r>
        <w:rPr>
          <w:rFonts w:ascii="Arial" w:cs="Arial" w:eastAsia="Arial" w:hAnsi="Arial"/>
          <w:sz w:val="18"/>
          <w:szCs w:val="18"/>
          <w:color w:val="auto"/>
        </w:rPr>
        <w:t>Positively impact 20 million people by 2030</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Republic is the first U.S. recycling and solid waste services provider to have its emissions reduction target approved by the Science Based Targets Initiative</w:t>
      </w:r>
      <w:r>
        <w:rPr>
          <w:rFonts w:ascii="Arial" w:cs="Arial" w:eastAsia="Arial" w:hAnsi="Arial"/>
          <w:sz w:val="20"/>
          <w:szCs w:val="20"/>
          <w:color w:val="auto"/>
          <w:vertAlign w:val="superscript"/>
        </w:rPr>
        <w:t>(2)</w:t>
      </w:r>
      <w:r>
        <w:rPr>
          <w:rFonts w:ascii="Arial" w:cs="Arial" w:eastAsia="Arial" w:hAnsi="Arial"/>
          <w:sz w:val="16"/>
          <w:szCs w:val="16"/>
          <w:color w:val="auto"/>
        </w:rPr>
        <w:t>. We also aligned our new sustainability goals with the United Nations General Assembly’s Sustainable Development Goals. These include the following United Nations initiatives: (8) Growth, (11) Sustainable Cities and Communities, (12) Responsible Consumption and Production and (13) Climate Action.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setting new goals in 2019, we increased our level of sustainability disclosure and transparency.</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Sustainability and Corporate Responsibility Committee was created in 2015. This committee has oversight responsibility with respect to our sustainability performance, our corporate responsibilities, our role as a socially responsible organization and our enterprise risks, including cyber security, environmental and climate related risks and opportunities, and reputational risks. The entire Board conducts a formal comprehensive review of the Company’s performance in these areas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Data points used 2017 as the baseline year.</w:t>
      </w:r>
    </w:p>
    <w:p>
      <w:pPr>
        <w:spacing w:after="0" w:line="82" w:lineRule="exact"/>
        <w:rPr>
          <w:rFonts w:ascii="Arial" w:cs="Arial" w:eastAsia="Arial" w:hAnsi="Arial"/>
          <w:sz w:val="14"/>
          <w:szCs w:val="14"/>
          <w:color w:val="auto"/>
        </w:rPr>
      </w:pPr>
    </w:p>
    <w:p>
      <w:pPr>
        <w:ind w:right="160" w:firstLine="8"/>
        <w:spacing w:after="0" w:line="273"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SBTi, or Science Based Targets initiative, is a collaboration between CDP, the United Nations Global Compact (UNGC), World Resources Institute (WRI) and the World Wide Fund for Nature (WWF).</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Utilization Strategy</w:t>
      </w:r>
    </w:p>
    <w:p>
      <w:pPr>
        <w:spacing w:after="0" w:line="108"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We take a consistent and balanced approach to capital allocation to drive long-term, sustainable value for our shareholders. The predictability of our free cash flows allows us to efficiently execute our capital allocation strategy, which includes investing in acquisitions and returning a majority of free cash flow to our shareholders through dividends and share repurchases. We are committed to an efficient capital structure and maintaining our investment grade credit ratings on our senior debt, which was rated BBB+ by Standard &amp; Poor’s Ratings Services, BBB by Fitch Ratings, Inc. and Baa2 by Moody’s Investors Service, Inc. as of December 31, 2019. Such ratings have allowed us, and should continue to allow us, to readily access capital markets at competitive rates.</w:t>
      </w:r>
    </w:p>
    <w:p>
      <w:pPr>
        <w:spacing w:after="0" w:line="2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manage our free cash flow by ensuring that capital expenditures and operating asset levels are appropriate in light of our existing business and growth opportunities, and by closely managing our working capital, which consists primarily of accounts receivable, accounts payable, and accrued landfill and environmental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July 2019, our Board of Directors approved an increase in the quarterly dividend to $0.405 per share, which represents an increase of approximately 8% over the prior year. Over the last five years, our dividends have increased at a compounded annual growth rate of 7.7%. We expect to continue paying quarterly cash dividends and may consider additional dividend increases if we believe they will enhance shareholder value.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0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October 2017, our Board of Directors added $2.0 billion to the existing share repurchase authorization that now extends through December 31, 2020. As of December 31, 2019, there was $0.7 billion remaining under our share repurchase authorization. On a quarterly basis, our Board of Directors reviews the intrinsic value of our stock and the parameters around which we repurchase our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Value</w:t>
      </w:r>
    </w:p>
    <w:p>
      <w:pPr>
        <w:spacing w:after="0" w:line="9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are committed to creating long-term shareholder value by generating consistent earnings and cash flow growth, while continually improving returns on invested capital. Our incentive compensation programs are aligned with these objectives at all levels of management. We have an active shareholder outreach program and routinely interact with shareholders on a number of matters, including governance, executive compensation, environmental and social matters.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Team</w:t>
      </w:r>
    </w:p>
    <w:p>
      <w:pPr>
        <w:spacing w:after="0" w:line="1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building and blending a diverse team of strong industry veterans, along with talented people from other industries who bring unique skill sets, will contribute to what we call our Composite Strength. Composite Strength combines the vast, varied experience and capability of both strong waste-industry veterans and talented people from other industries. Additionally, Composite Strength helps ensure the continuity of leadership and preservation of institutional knowledge, while also bringing in skills and new ideas from other companies outside of our industry - many of them from blue chip companies.</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Donald W. Slager </w:t>
      </w:r>
      <w:r>
        <w:rPr>
          <w:rFonts w:ascii="Arial" w:cs="Arial" w:eastAsia="Arial" w:hAnsi="Arial"/>
          <w:sz w:val="18"/>
          <w:szCs w:val="18"/>
          <w:color w:val="auto"/>
        </w:rPr>
        <w:t>serves as the Company’s Chief Executive Officer, a position he has held since January 2011. He previously held the role of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from January 2011 to May 2019, and served as the Company’s President and Chief Operating Officer from the Allied Waste Industries, Inc. (Allied) acquisition in December 2008 until January 2011. Prior to the Allied acquisition, Mr. Slager worked for Allied from 1992 through 2008 and served in various management positions, including President and Chief Operating Officer from 2004 through 2008, and Executive Vice President and Chief Operating Officer from 2003 to 2004. From 2001 to 2003, Mr. Slager served as Senior Vice President, Operations. Mr. Slager held various management positions at Allied from 1992 to 2003, and was previously General Manager at National Waste Services, where he served in various management positions since 1985. Mr. Slager has over 35 years of experience in the solid waste industry. Mr. Slager has been a member of our Board of Directors since June 24, 2010.</w:t>
      </w:r>
    </w:p>
    <w:p>
      <w:pPr>
        <w:spacing w:after="0" w:line="57"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i w:val="1"/>
          <w:iCs w:val="1"/>
          <w:color w:val="auto"/>
        </w:rPr>
        <w:t xml:space="preserve">Brian Bales </w:t>
      </w:r>
      <w:r>
        <w:rPr>
          <w:rFonts w:ascii="Arial" w:cs="Arial" w:eastAsia="Arial" w:hAnsi="Arial"/>
          <w:sz w:val="17"/>
          <w:szCs w:val="17"/>
          <w:color w:val="auto"/>
        </w:rPr>
        <w:t>was named Executive Vice President, Chief Development Officer in February 2015. Mr. Bales has been with Republic for over 20 years, serving</w:t>
      </w:r>
      <w:r>
        <w:rPr>
          <w:rFonts w:ascii="Arial" w:cs="Arial" w:eastAsia="Arial" w:hAnsi="Arial"/>
          <w:sz w:val="17"/>
          <w:szCs w:val="17"/>
          <w:i w:val="1"/>
          <w:iCs w:val="1"/>
          <w:color w:val="auto"/>
        </w:rPr>
        <w:t xml:space="preserve"> </w:t>
      </w:r>
      <w:r>
        <w:rPr>
          <w:rFonts w:ascii="Arial" w:cs="Arial" w:eastAsia="Arial" w:hAnsi="Arial"/>
          <w:sz w:val="17"/>
          <w:szCs w:val="17"/>
          <w:color w:val="auto"/>
        </w:rPr>
        <w:t>as Executive Vice President, Business Development from December 2008 to February 2015, and Vice President, Corporate Development from 1998 until the Allied acquisition in December 2008. Prior to his time at Republic, Mr. Bales held roles of increasing responsibility in finance and business development for Ryder System, Inc. from 1993 to 1998, and served as chief financial officer for EDIFEX &amp; VTA Communications from 1988 through 1993. Prior to that, Mr. Bales was an accountant for PwC (formerly Price Waterhouse) from 1986 to 1988.</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Catharine D. Ellingsen </w:t>
      </w:r>
      <w:r>
        <w:rPr>
          <w:rFonts w:ascii="Arial" w:cs="Arial" w:eastAsia="Arial" w:hAnsi="Arial"/>
          <w:sz w:val="17"/>
          <w:szCs w:val="17"/>
          <w:color w:val="auto"/>
        </w:rPr>
        <w:t>was named Executive Vice President, Chief Legal Officer, Chief Ethics and Compliance Officer, and Corporate Secretary in June</w:t>
      </w:r>
      <w:r>
        <w:rPr>
          <w:rFonts w:ascii="Arial" w:cs="Arial" w:eastAsia="Arial" w:hAnsi="Arial"/>
          <w:sz w:val="17"/>
          <w:szCs w:val="17"/>
          <w:i w:val="1"/>
          <w:iCs w:val="1"/>
          <w:color w:val="auto"/>
        </w:rPr>
        <w:t xml:space="preserve"> </w:t>
      </w:r>
      <w:r>
        <w:rPr>
          <w:rFonts w:ascii="Arial" w:cs="Arial" w:eastAsia="Arial" w:hAnsi="Arial"/>
          <w:sz w:val="17"/>
          <w:szCs w:val="17"/>
          <w:color w:val="auto"/>
        </w:rPr>
        <w:t>2016. Ms. Ellingsen joined Allied as Corporate Counsel in August 2001 and has experience in a variety of roles of increasing responsibility. She was named Managing Corporate Counsel in January 2003, Director, Legal and Associate General Counsel in January 2005, and Vice President and Deputy General Counsel in June 2007. Ms. Ellingsen continued as Vice President and Deputy General Counsel at Republic following the Allied acquisition in December 2008. She was then named Senior Vice President, Human Resources in August 2011 and served in that position until June 2016. Before joining Allied, Ms. Ellingsen was an attorney at Steptoe &amp; Johnson LLP from 1996 to 2001 and at Bryan Cave LLP from 1993 to 1996.</w:t>
      </w:r>
    </w:p>
    <w:p>
      <w:pPr>
        <w:spacing w:after="0" w:line="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Jeffrey A. Hughes </w:t>
      </w:r>
      <w:r>
        <w:rPr>
          <w:rFonts w:ascii="Arial" w:cs="Arial" w:eastAsia="Arial" w:hAnsi="Arial"/>
          <w:sz w:val="18"/>
          <w:szCs w:val="18"/>
          <w:color w:val="auto"/>
        </w:rPr>
        <w:t>was named Executive Vice President, Chief Administrative Officer in December 2008. Before that, Mr. Hughes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Eastern Region Operations for Allied from 2004 until the Allied acquisition in December 2008. Mr. Hughes served as Assistant Vice President of Operations Support for Allied from 1999 to 2004 and as a District Manager for Allied from 1988 to 1999. Mr. Hughes has over 29 years of experience in the solid waste industry.</w:t>
      </w:r>
    </w:p>
    <w:p>
      <w:pPr>
        <w:spacing w:after="0" w:line="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Charles F. Serianni </w:t>
      </w:r>
      <w:r>
        <w:rPr>
          <w:rFonts w:ascii="Arial" w:cs="Arial" w:eastAsia="Arial" w:hAnsi="Arial"/>
          <w:sz w:val="18"/>
          <w:szCs w:val="18"/>
          <w:color w:val="auto"/>
        </w:rPr>
        <w:t>was appointed Executive Vice President, Chief Financial Officer in August 2014. Mr. Serianni has over 30 years of experience in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roles of increasing responsibility. He was named Vice President, Region Controller for our former West Region in July 2013. Before that, Mr. Serianni served as our Assistant Controller starting in June 1998 and progressed to Senior Vice President, Chief Accounting Officer in December 2008. He served as the Accounting Operations Director for Republic Industries, Inc. (AutoNation) from February 1997 to June 1998. Before that, Mr. Serianni served as the Accounting Operations Director for Sunglass Hut International, Inc. from May 1993 to February 1997, and as Manager, Accounting and Auditing Services for Deloitte &amp; Touche from September 1984 to May 1993.</w:t>
      </w:r>
    </w:p>
    <w:p>
      <w:pPr>
        <w:spacing w:after="0" w:line="7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Jon Vander Ark </w:t>
      </w:r>
      <w:r>
        <w:rPr>
          <w:rFonts w:ascii="Arial" w:cs="Arial" w:eastAsia="Arial" w:hAnsi="Arial"/>
          <w:sz w:val="17"/>
          <w:szCs w:val="17"/>
          <w:color w:val="auto"/>
        </w:rPr>
        <w:t>was named President in May 2019, and is responsible for overseeing the Company’s operations, sales, marketing and business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Mr. Vander Ark served as the Company’s Executive Vice President, Chief Operating Officer from January 2018 to May 2019. Prior to that, Mr. Vander Ark served as the Company’s Executive Vice President, Operations from March 2016 to January 2018. Mr. Vander Ark joined the Company in January 2013 as Executive Vice President, Chief Marketing Officer. Prior to joining the Company, he served as a partner at McKinsey &amp; Company’s Detroit office, managing clients across a variety of industries, including transportation, logistics, manufacturing and consumer products.</w:t>
      </w:r>
    </w:p>
    <w:p>
      <w:pPr>
        <w:spacing w:after="0" w:line="3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Tim Stuart </w:t>
      </w:r>
      <w:r>
        <w:rPr>
          <w:rFonts w:ascii="Arial" w:cs="Arial" w:eastAsia="Arial" w:hAnsi="Arial"/>
          <w:sz w:val="16"/>
          <w:szCs w:val="16"/>
          <w:color w:val="auto"/>
        </w:rPr>
        <w:t>was named Executive Vice President, Chief Operating Officer in May 2019. Prior to his current role, Mr. Stuart served as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Operations from January 2016 to May 2019, where he was responsible for maximizing field performance, executing the operating plan, and achieving financial and operational results across the Company. Mr. Stuart previously served as the Company’s East Region President from September 2013 to January 2016. He joined Republic in April 2006 as Director of Operations, and has held a variety of roles with the Company, including Area President, Vice President of Customer Experience, and Region Vice President. Mr. Stuart has over 20 years of experience in the waste industry.</w:t>
      </w:r>
    </w:p>
    <w:p>
      <w:pPr>
        <w:spacing w:after="0" w:line="3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local and area management teams have extensive industry experience in growing, operating and managing solid waste and recycling companies and have substantial experience in their local geographic markets. This allows us to quickly respond to and meet our customers’ needs and stay in touch with local businesses and municipalities. We believe our strong area management teams allow us to effectively and efficiently drive our initiatives and help ensure consistency throughout the organization. Our area management teams and area presidents have extensive authority and responsibility over operations within their respective geographic markets. As a result of retaining experienced managers with extensive knowledge of and involvement in their local communities, we are proactive in anticipating customers’ needs and adjusting to changes in our markets. We also seek to implement the best practices of our various business units throughout our operations to continue improving our operations and our operating margins.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Integrated Operations</w:t>
      </w:r>
    </w:p>
    <w:p>
      <w:pPr>
        <w:spacing w:after="0" w:line="10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a strong, national, vertically-integrated operating platform that allows us to compete more effectively and efficiently in the local markets in which we operate. Where appropriate, we seek to achieve a high rate of internalization by controlling waste streams from the point of collection through recycling processing or disposal. During the year ended December 31, 2019, approximately 68% of the total waste volume we collected was disposed at landfills we own or operate (internalization). Our fully integrated markets generally have a lower cost of operations and more favorable cash flows than our markets that are not fully integrated. Through acquisitions, landfill operating agreements and other market development activities, we create market-specific, vertically-integrated operations typically consisting of one or more collection operations, transfer stations and landfills. We also operate recycling processing centers in markets where diversion of waste is a priority, customers are willing to pay for the service, and we can earn an appropriate return on our investment.</w:t>
      </w:r>
    </w:p>
    <w:p>
      <w:pPr>
        <w:spacing w:after="0" w:line="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operations primarily consist of providing collection, transfer and disposal of non-hazardous solid waste, recovering and recycling of certain materials, and environmental services.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Services</w:t>
      </w:r>
    </w:p>
    <w:p>
      <w:pPr>
        <w:spacing w:after="0" w:line="10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provide residential, small-container, and large-container solid waste collection services through 340 collection operations. In 2019, approximately 75% of our total revenue was derived from our collection business, of which approximately 22% of our total revenue related to residential services, approximately 31% related to small-container services, and approximately 22% related to large-container services.</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residential collection business involves the curbside collection of waste for transport to transfer stations, or directly to landfills or recycling processing centers. We typically perform residential solid waste collection services under contracts with municipalities, which we generally secure through competitive bids, which give us exclusive rights to service all or a portion of the homes in the municipalities. These contracts usually range in duration from one to five years, although some of our exclusive franchises are for significantly longer periods. We also perform residential services on a subscription basis, in which individual households contract directly with us. The fees received for subscription residential collection are based primarily on the market, collection frequency, type of service, the distance to the disposal facility and the cost of disposal. In general, subscription residential collection fees are paid quarterly in advance by the customers receiving the service.</w:t>
      </w:r>
    </w:p>
    <w:p>
      <w:pPr>
        <w:spacing w:after="0" w:line="6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our small-container business, we supply our customers with waste and recycling containers of varying sizes. We typically perform small-container collection services under one- to three-year service agreements, and fees are determined based on a number of factors including the market, collection frequency, type of equipment furnished, type and volume or weight of the waste collected, transportation costs and the cost of processing or disposal. Our small-container services are typically offered to small business complexes, multi-family housing and strip malls, and include industries such as restaurants, retail, real-estate, and professional and other services.</w:t>
      </w:r>
    </w:p>
    <w:p>
      <w:pPr>
        <w:spacing w:after="0" w:line="6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large-container collection business includes both recurring and temporary customer relationships. For the recurring portion, we supply our customers with waste and recycling containers of varying sizes and rent compactors to large waste generators. We typically perform the collection services under one- to three-year service agreements, and fees are determined based on a number of factors including the market, collection frequency, type of equipment furnished, type and volume or weight of the waste collected, transportation costs and the cost of disposal. Our recurring large-container services are typically offered to larger facilities, hotels and office buildings, and include industries such as manufacturing, retail, hospitality, professional and other services.</w:t>
      </w:r>
    </w:p>
    <w:p>
      <w:pPr>
        <w:spacing w:after="0" w:line="2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For the temporary portion of our large-container collection business, the majority of the waste relates to construction and demolition activities and is typically event-driven. We provide temporary waste collection services on a contractual basis with terms ranging from a single pickup to one-year or longer.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Services</w:t>
      </w:r>
    </w:p>
    <w:p>
      <w:pPr>
        <w:spacing w:after="0" w:line="104"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own or operate 212 transfer stations. Revenue at our transfer stations is primarily generated by charging tipping or disposal fees, which accounted for approximately 6% of our revenue during 2019. Our collection operations deposit waste at these transfer stations, as do other private and municipal haulers, for compaction and transfer to disposal sites or recycling processing centers. Transfer stations provide collection operations with a cost effective means to consolidate waste and reduce transportation costs while providing our landfills with an additional gate to extend their geographic reach.</w:t>
      </w:r>
    </w:p>
    <w:p>
      <w:pPr>
        <w:spacing w:after="0" w:line="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our own collection operations use our transfer stations, this improves internalization by allowing us to retain fees we would otherwise pay to third-party disposal sites. It also allows us to manage costs associated with waste disposal because: (1) transfer trucks have larger capacities than collection trucks, allowing us to deliver more waste to the landfill or processing center in each trip; (2) waste is accumulated and compacted at strategically located transfer stations to increase efficiency; and (3) we can retain volume by managing the waste to one of our own landfills or processing centers rather than to a competitor’s.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Services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own or operate 189 active landfills. Our tipping fees charged to third parties accounted for approximately 13% of our revenue during 2019. As of December 31, 2019, we had 38,494 permitted acres and total available permitted and probable expansion disposal capacity of approximately 5 billion in-place cubic yards. The in-place capacity of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 Some of our landfills accept non-hazardous special waste, including utility ash, asbestos and contaminated soils.</w:t>
      </w:r>
    </w:p>
    <w:p>
      <w:pPr>
        <w:spacing w:after="0" w:line="5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Most of our active landfill sites have the potential for expanded disposal capacity beyond the currently permitted acreage. We monitor the availability of permitted disposal capacity at each of our landfills and evaluate whether to pursue an expansion at a given landfill based on estimated future waste volumes and prices, market needs, remaining capacity and the likelihood of obtaining an expansion. To satisfy future disposal demand, we are seeking to expand permitted capacity at certain landfills; however, we cannot assure you that all proposed or future expansions will be permitted.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Republic is committed to harnessing landfill gas, the natural byproduct of decomposing waste, and converting it to energy. The use of landfill gas provides economic and environmental benefits, including reducing air pollution through the capture and use of methane. As of December 31, 2019, we operated 75 landfill gas and renewable energy projects. The majority of these projects were developed and are owned by a third party.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We also have responsibility for 130 closed landfills, for which we have associated closure and post-closure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 Services</w:t>
      </w:r>
    </w:p>
    <w:p>
      <w:pPr>
        <w:spacing w:after="0" w:line="10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own or operate 79 recycling processing centers. These facilities generate revenue through the processing and sale of old corrugated containers (OCC), old newsprint (ONP), aluminum, glass and other materials, which accounted for approximately 3% of our revenue during 2019. Approximately 79% of our total recycling processing center volume is fiber based and includes OCC, ONP and other mixed paper. During 2019, we processed and sold 2.2 million tons, excluding glass and organics, from our recycling processing centers. An additional 2.2 million tons were collected by us and delivered to third parties.</w:t>
      </w:r>
    </w:p>
    <w:p>
      <w:pPr>
        <w:spacing w:after="0" w:line="33"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Changing market demand for recycled commodities causes volatility in commodity prices. At current volumes and mix of materials, we believe a $10 per ton change in the price of recycled commodities would change annual revenue and operating income by approximately $13 million and $13 million, respectively.</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certain instances, we issue recycling rebates to our municipal or large-container customers, which can be based on the price we receive upon the final sale of recycled commodities, a fixed contractual rate or other measures. We also receive rebates when we dispose of recycled commodities at third-party processing facilities.</w:t>
      </w:r>
    </w:p>
    <w:p>
      <w:pPr>
        <w:spacing w:after="0" w:line="6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consumer demand for recycling services has increased, we have met that demand by integrating recycling components to each of our collection service offerings. Our goal is to provide a complete waste stream management solution to our customers in a vertically integrated, environmentally sustainable way.</w:t>
      </w:r>
    </w:p>
    <w:p>
      <w:pPr>
        <w:spacing w:after="0" w:line="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continue to invest in proven technologies to control costs and to simplify and streamline recycling for our customers. For example, robotics and advanced sorting equipment, such as disk screens, magnets and optical sorters, identifies and separates different kinds of paper, metals, plastics and other materials to increase efficiency and maximize our recycling efforts.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Services</w:t>
      </w:r>
    </w:p>
    <w:p>
      <w:pPr>
        <w:spacing w:after="0" w:line="9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addition to certain of our landfill disposal sites, we own or operate 7 treatment, recovery and disposal facilities, 15 salt water disposal wells and 4 deep injection wells. Environmental services waste is generated from the by-products of oil and natural gas exploration and production activity. Additionally, it is generated by the daily operations of industrial, petrochemical and refining facilities, including maintenance, plant turnarounds and capital projects. We provide these customers with environmentally responsible solutions to manage their waste needs including disposal of non-hazardous solid and liquid waste and in-plant services, such as transportation and logistics. In 2019, approximately 2% of our revenue was derived from environmental services.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10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revenue consists primarily of National Accounts revenue generated from nationwide or regional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operate in a competitive industry. Competition in the non-hazardous solid waste industry comes from a few other large, national publicly-owned companies, several regional publicly- and privately-owned companies, and thousands of small privately-owned companies. In any given market, competitors may have larger operations and greater resources. In addition, we compete with municipalities that maintain waste collection or disposal operations. These municipalities may have financial advantages due to the availability of tax revenue and greater opportunities for tax-exempt financing.</w:t>
      </w:r>
    </w:p>
    <w:p>
      <w:pPr>
        <w:spacing w:after="0" w:line="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compete for collection accounts primarily based on our product offering, quality of service and price. From time-to-time, our competitors reduce the price of their services in an effort to expand market share or to win a competitively bid municipal contract. Our ability to maintain and increase prices in certain markets may be impacted by our competitors’ pricing policies. This may have an effect on our future revenue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 and Severe Weather</w:t>
      </w:r>
    </w:p>
    <w:p>
      <w:pPr>
        <w:spacing w:after="0" w:line="10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Our operating revenues tend to be somewhat higher in the summer months, primarily due to higher volumes of construction and demolition waste. The volumes of large-container and residential waste in certain regions of the country also tend to increase during the summer months. Our second and third quarter revenues and results of operations typically reflect this seasonality.</w:t>
      </w:r>
    </w:p>
    <w:p>
      <w:pPr>
        <w:spacing w:after="0" w:line="4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operations can be adversely affected by periods of inclement or severe weather, which could increase the volume of waste collected under our existing contracts (without corresponding compensation), delay the collection and disposal of waste, reduce the volume of waste delivered to our disposal sites or delay the construction or expansion of our landfill sites and other facilities. Our operations also can be favorably affected by severe weather, which could increase the volume of waste in situations where we are able to charge for our additional services.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facilities and operations are subject to a variety of federal, state and local requirements that regulate, among other things, the environment, public health, safety, zoning and land use. Operating and other permits, licenses and other approvals generally are required for landfills and transfer stations, recycling facilities, certain solid waste collection vehicles, fuel storage tanks and other equipment and facilities that we own or operate. These permits are subject to denial, revocation, modification and renewal in certain circumstances. Federal, state and local laws and regulations vary, but generally govern wastewater or storm water discharges, air emissions, the handling, transportation, treatment, storage and disposal of hazardous and non-hazardous waste, and the remediation of contamination associated with the release or threatened release of hazardous substances. These laws and regulations provide governmental authorities with strict powers of enforcement, which include the ability to revoke or decline to renew any of our operating permits, obtain injunctions, or impose fines or penalties in the event of violations, including criminal penalties. The U.S. EPA and various other federal, state and local authorities administer these regulations.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strive to conduct our operations in compliance with applicable laws, regulations and permits. However, from time to time we have been issued citations or notices from governmental authorities that have resulted in the need to expend funds for remedial work and related activities at various landfills and other facilities or in the need to expend funds for fines, penalties or settlements. We cannot assure you that citations and notices will not be issued in the future despite our strong regulatory compliance efforts. We have established final capping, closure, post-closure and remediation reserves that we believe, based on currently available information, will be adequate to cover our current estimates of regulatory costs; however, we cannot assure you that actual costs will not exceed our reserves.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Regulation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primary federal, environmental, and occupational health and safety-related statutes that affect our facilities and operations:</w:t>
      </w:r>
    </w:p>
    <w:p>
      <w:pPr>
        <w:spacing w:after="0" w:line="140" w:lineRule="exact"/>
        <w:rPr>
          <w:sz w:val="20"/>
          <w:szCs w:val="20"/>
          <w:color w:val="auto"/>
        </w:rPr>
      </w:pPr>
    </w:p>
    <w:p>
      <w:pPr>
        <w:ind w:left="660" w:right="240" w:hanging="328"/>
        <w:spacing w:after="0" w:line="26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8"/>
          <w:szCs w:val="18"/>
          <w:i w:val="1"/>
          <w:iCs w:val="1"/>
          <w:color w:val="auto"/>
        </w:rPr>
        <w:t xml:space="preserve">The Solid Waste Disposal Act, including the Resource Conservation and Recovery Act </w:t>
      </w:r>
      <w:r>
        <w:rPr>
          <w:rFonts w:ascii="Arial" w:cs="Arial" w:eastAsia="Arial" w:hAnsi="Arial"/>
          <w:sz w:val="18"/>
          <w:szCs w:val="18"/>
          <w:color w:val="auto"/>
        </w:rPr>
        <w:t>(RCRA). RCRA establishes a framework for regulating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transportation, treatment, storage and disposal of hazardous and non-hazardous solid waste, and requires states to develop programs to ensure the safe disposal of solid waste in sanitary landfills.</w:t>
      </w:r>
    </w:p>
    <w:p>
      <w:pPr>
        <w:spacing w:after="0" w:line="59" w:lineRule="exact"/>
        <w:rPr>
          <w:rFonts w:ascii="Arial" w:cs="Arial" w:eastAsia="Arial" w:hAnsi="Arial"/>
          <w:sz w:val="16"/>
          <w:szCs w:val="16"/>
          <w:color w:val="auto"/>
        </w:rPr>
      </w:pPr>
    </w:p>
    <w:p>
      <w:pPr>
        <w:ind w:left="660"/>
        <w:spacing w:after="0" w:line="272" w:lineRule="auto"/>
        <w:rPr>
          <w:rFonts w:ascii="Arial" w:cs="Arial" w:eastAsia="Arial" w:hAnsi="Arial"/>
          <w:sz w:val="16"/>
          <w:szCs w:val="16"/>
          <w:color w:val="auto"/>
        </w:rPr>
      </w:pPr>
      <w:r>
        <w:rPr>
          <w:rFonts w:ascii="Arial" w:cs="Arial" w:eastAsia="Arial" w:hAnsi="Arial"/>
          <w:sz w:val="17"/>
          <w:szCs w:val="17"/>
          <w:color w:val="auto"/>
        </w:rPr>
        <w:t>Subtitle D of RCRA establishes a framework for regulating the disposal of municipal solid waste. Regulations under Subtitle D currently include minimum comprehensive solid waste management criteria and guidelines, including location restrictions, facility design and operating criteria, final capping, closure and post-closure requirements, financial assurance standards, groundwater monitoring requirements and corrective action standards. All of the states in which we operate have implemented permit programs pursuant to RCRA and Subtitle D. These state permit programs may include landfill requirements that are more stringent than those of Subtitle D. Our failure to comply with any of these environmental requirements at any of our locations may lead to temporary or permanent loss of an operating permit, which would result in costs in connection with securing new permits, reduced revenue from lost operational time, and increased third party disposal costs.</w:t>
      </w:r>
    </w:p>
    <w:p>
      <w:pPr>
        <w:spacing w:after="0" w:line="56" w:lineRule="exact"/>
        <w:rPr>
          <w:rFonts w:ascii="Arial" w:cs="Arial" w:eastAsia="Arial" w:hAnsi="Arial"/>
          <w:sz w:val="16"/>
          <w:szCs w:val="16"/>
          <w:color w:val="auto"/>
        </w:rPr>
      </w:pPr>
    </w:p>
    <w:p>
      <w:pPr>
        <w:ind w:left="660" w:right="200"/>
        <w:spacing w:after="0" w:line="259" w:lineRule="auto"/>
        <w:rPr>
          <w:rFonts w:ascii="Arial" w:cs="Arial" w:eastAsia="Arial" w:hAnsi="Arial"/>
          <w:sz w:val="16"/>
          <w:szCs w:val="16"/>
          <w:color w:val="auto"/>
        </w:rPr>
      </w:pPr>
      <w:r>
        <w:rPr>
          <w:rFonts w:ascii="Arial" w:cs="Arial" w:eastAsia="Arial" w:hAnsi="Arial"/>
          <w:sz w:val="18"/>
          <w:szCs w:val="18"/>
          <w:color w:val="auto"/>
        </w:rPr>
        <w:t>All of our planned landfill expansions and new landfill development projects have been engineered to meet or exceed Subtitle D requirements, as applicable. Operating and design criteria for existing operations have been modified to comply with these regulations. Compliance with Subtitle D regulations has resulted in increased costs and may in the future require substantial additional expenditures in addition to other costs normally associated with our waste management activities.</w:t>
      </w:r>
    </w:p>
    <w:p>
      <w:pPr>
        <w:spacing w:after="0" w:line="78" w:lineRule="exact"/>
        <w:rPr>
          <w:rFonts w:ascii="Arial" w:cs="Arial" w:eastAsia="Arial" w:hAnsi="Arial"/>
          <w:sz w:val="16"/>
          <w:szCs w:val="16"/>
          <w:color w:val="auto"/>
        </w:rPr>
      </w:pPr>
    </w:p>
    <w:p>
      <w:pPr>
        <w:ind w:left="660" w:right="80" w:hanging="328"/>
        <w:spacing w:after="0" w:line="302" w:lineRule="auto"/>
        <w:tabs>
          <w:tab w:leader="none" w:pos="65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Comprehensive Environmental Response, Compensation and Liability Act of 1980 </w:t>
      </w:r>
      <w:r>
        <w:rPr>
          <w:rFonts w:ascii="Arial" w:cs="Arial" w:eastAsia="Arial" w:hAnsi="Arial"/>
          <w:sz w:val="16"/>
          <w:szCs w:val="16"/>
          <w:color w:val="auto"/>
        </w:rPr>
        <w:t>(CERCLA). CERCLA, among other things, provides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cleanup of sites from which there is a release or threatened release of a hazardous substance into the environment. CERCLA may impose strict joint and several liability for the costs of cleanup and for damages to natural resources upon current owners and operators of a site, parties who were owners or operators of a site at the time the hazardous substances were disposed of, parties who transported the hazardous substances to a site,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40"/>
        <w:spacing w:after="0" w:line="290" w:lineRule="auto"/>
        <w:rPr>
          <w:sz w:val="20"/>
          <w:szCs w:val="20"/>
          <w:color w:val="auto"/>
        </w:rPr>
      </w:pPr>
      <w:r>
        <w:rPr>
          <w:rFonts w:ascii="Arial" w:cs="Arial" w:eastAsia="Arial" w:hAnsi="Arial"/>
          <w:sz w:val="16"/>
          <w:szCs w:val="16"/>
          <w:color w:val="auto"/>
        </w:rPr>
        <w:t>and parties who arranged for the disposal of the hazardous substances at a site. Under the authority of CERCLA and its implementing regulations, detailed requirements apply to the manner and degree of investigation and remediation of facilities and sites where hazardous substances have been or are threatened to be released into the environment. Liability under CERCLA is not dependent on the existence or disposal of only hazardous wastes, but also can be based upon the existence of small quantities of more than 700 substances characterized by the EPA as hazardous, many of which are found in common household waste. Among other things, CERCLA authorizes the federal government to investigate and remediate sites at which hazardous substances have been or are threatened to be released into the environment, or to order persons potentially liable for the cleanup of the hazardous substances to do so themselves. In addition, the EPA has established a National Priorities List of sites at which hazardous substances have been, or are threatened to be, released and which require investigation or cleanup.</w:t>
      </w:r>
    </w:p>
    <w:p>
      <w:pPr>
        <w:spacing w:after="0" w:line="45"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CERCLA liability is strict liability. It can be founded upon the release or threatened release, even as a result of unintentional, non-negligent or lawful action, of hazardous substances, including very small quantities of such substances. Thus, even if we have never knowingly transported or received hazardous substances, it is possible that hazardous substances have been deposited or released at landfills or other facilities that we presently or historically have owned or operated, or at properties owned by third parties to which we have transported waste. Therefore, we could be liable under CERCLA for the cost of cleaning up, or protecting against the release of, such hazardous substances at such sites and for damages to natural resources, even if those substances were deposited at our facilities before we acquired or operated them. The costs of a CERCLA cleanup can be very expensive and can include the costs of disposing of hazardous substances at appropriately-licensed facilities. Given the difficulty of obtaining insurance for environmental impairment liability, any such liability could have a material effect on our business, financial condition, results of operations and cash flows.</w:t>
      </w:r>
    </w:p>
    <w:p>
      <w:pPr>
        <w:spacing w:after="0" w:line="74" w:lineRule="exact"/>
        <w:rPr>
          <w:sz w:val="20"/>
          <w:szCs w:val="20"/>
          <w:color w:val="auto"/>
        </w:rPr>
      </w:pPr>
    </w:p>
    <w:p>
      <w:pPr>
        <w:ind w:left="660" w:right="20" w:hanging="328"/>
        <w:spacing w:after="0" w:line="270" w:lineRule="auto"/>
        <w:tabs>
          <w:tab w:leader="none" w:pos="655"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Federal Water Pollution Control Act of 1972 </w:t>
      </w:r>
      <w:r>
        <w:rPr>
          <w:rFonts w:ascii="Arial" w:cs="Arial" w:eastAsia="Arial" w:hAnsi="Arial"/>
          <w:sz w:val="17"/>
          <w:szCs w:val="17"/>
          <w:color w:val="auto"/>
        </w:rPr>
        <w:t>(the Clean Water Act). This act regulates the discharge of pollutants from a variety of sources,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solid waste disposal sites, into streams, rivers and other waters of the United States. Runoff from our landfills and transfer stations that is discharged into surface waters through discrete conveyances must be covered by discharge permits that generally require us to conduct sampling and monitoring, and, under certain circumstances, to reduce the quantity of pollutants in those discharges. Storm water discharge regulations under the Clean Water Act require a permit for certain construction activities and for runoff from industrial operations and facilities, which may affect our operations. If a landfill or transfer station discharges wastewater through a sewage system to a publicly-owned treatment works, the facility must comply with discharge limits imposed by that treatment works. In addition, states may adopt groundwater protection programs under the Clean Water Act or the Safe Drinking Water Act that could affect the manner in which our landfills monitor and control their waste management activities. Furthermore, if development at any of our facilities alters or affects wetlands, we may be required to secure permits before such development starts. In these situations, permitting agencies may require mitigation of wetland impacts.</w:t>
      </w:r>
    </w:p>
    <w:p>
      <w:pPr>
        <w:spacing w:after="0" w:line="69" w:lineRule="exact"/>
        <w:rPr>
          <w:rFonts w:ascii="Arial" w:cs="Arial" w:eastAsia="Arial" w:hAnsi="Arial"/>
          <w:sz w:val="17"/>
          <w:szCs w:val="17"/>
          <w:i w:val="1"/>
          <w:iCs w:val="1"/>
          <w:color w:val="auto"/>
        </w:rPr>
      </w:pPr>
    </w:p>
    <w:p>
      <w:pPr>
        <w:ind w:left="660" w:hanging="328"/>
        <w:spacing w:after="0" w:line="26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The Clean Air Act. </w:t>
      </w:r>
      <w:r>
        <w:rPr>
          <w:rFonts w:ascii="Arial" w:cs="Arial" w:eastAsia="Arial" w:hAnsi="Arial"/>
          <w:sz w:val="17"/>
          <w:szCs w:val="17"/>
          <w:color w:val="auto"/>
        </w:rPr>
        <w:t>The Clean Air Act imposes limitations on emissions from various sources, including landfills. In March 1996, the EPA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promulgated regulations that require large municipal solid waste landfills to install landfill gas monitoring systems along with landfill gas control systems unless emissions are below established thresholds. These regulations apply to landfills that commenced construction, reconstruction or modification on or after May 30, 1991, and, principally, to landfills that can accommodate 2.5 million cubic meters or more of municipal solid waste. The regulations apply whether the landfills are active or closed. The date by which each affected landfill must have a gas collection and control system installed and made operational varies depending on calculated emission rates at the landfill. On July 14, 2016, the EPA issued final amendments to its regulations that require large landfills that commenced construction, reconstruction, or modification on or after July 17, 2014 to capture additional landfill gas to reduce emissions of methane and certain non-methane gases, which are recognized as greenhouse gases. In a separate rule finalized that same day, the EPA issued updates to its 1996 Emission Guidelines to reduce emissions of landfill gas from existing active landfills. Both actions were part of the Obama Administration's Climate Action Plan - Strategy to Reduce Methane Emissions. These and other efforts to curtail the emission of greenhouse gases and to ameliorate the effect of climate change may require our landfills to deploy more stringent emission controls and monitoring systems, with resulting capital or operating costs. Many state regulatory agencies also currently require monitoring systems for the collection and control of certain landfill gas. Certain of these state agencies are also implementing greenhouse gas control regulations that would also apply to landfill gas emissions.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 </w:t>
      </w:r>
      <w:r>
        <w:rPr>
          <w:rFonts w:ascii="Arial" w:cs="Arial" w:eastAsia="Arial" w:hAnsi="Arial"/>
          <w:sz w:val="17"/>
          <w:szCs w:val="17"/>
          <w:i w:val="1"/>
          <w:iCs w:val="1"/>
          <w:color w:val="auto"/>
        </w:rPr>
        <w:t>Regulation of greenhouse gas emissions could impose costs on our</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the magnitude of which we cannot yet estimate</w:t>
      </w:r>
      <w:r>
        <w:rPr>
          <w:rFonts w:ascii="Arial" w:cs="Arial" w:eastAsia="Arial" w:hAnsi="Arial"/>
          <w:sz w:val="17"/>
          <w:szCs w:val="17"/>
          <w:color w:val="auto"/>
        </w:rPr>
        <w:t>, in this Form 10-K.</w:t>
      </w:r>
    </w:p>
    <w:p>
      <w:pPr>
        <w:spacing w:after="0" w:line="48" w:lineRule="exact"/>
        <w:rPr>
          <w:rFonts w:ascii="Arial" w:cs="Arial" w:eastAsia="Arial" w:hAnsi="Arial"/>
          <w:sz w:val="17"/>
          <w:szCs w:val="17"/>
          <w:color w:val="auto"/>
        </w:rPr>
      </w:pPr>
    </w:p>
    <w:p>
      <w:pPr>
        <w:ind w:left="660" w:right="140"/>
        <w:spacing w:after="0" w:line="259" w:lineRule="auto"/>
        <w:rPr>
          <w:rFonts w:ascii="Arial" w:cs="Arial" w:eastAsia="Arial" w:hAnsi="Arial"/>
          <w:sz w:val="17"/>
          <w:szCs w:val="17"/>
          <w:color w:val="auto"/>
        </w:rPr>
      </w:pPr>
      <w:r>
        <w:rPr>
          <w:rFonts w:ascii="Arial" w:cs="Arial" w:eastAsia="Arial" w:hAnsi="Arial"/>
          <w:sz w:val="18"/>
          <w:szCs w:val="18"/>
          <w:color w:val="auto"/>
        </w:rPr>
        <w:t>In addition, our vehicle fleet also may become subject to higher efficiency standards or other carbon-emission restrictions. Over the past several years, the EPA and the National Highway Traffic Safety Administration (NHTSA) have adopted regulations mandating the reduction of vehicle tail pipe emissions as a means of reducing greenhouse gas emissions. The regulations take the form of fuel economy standards. The EPA and the NHTSA have developed fuel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100"/>
        <w:spacing w:after="0" w:line="269" w:lineRule="auto"/>
        <w:rPr>
          <w:sz w:val="20"/>
          <w:szCs w:val="20"/>
          <w:color w:val="auto"/>
        </w:rPr>
      </w:pPr>
      <w:r>
        <w:rPr>
          <w:rFonts w:ascii="Arial" w:cs="Arial" w:eastAsia="Arial" w:hAnsi="Arial"/>
          <w:sz w:val="17"/>
          <w:szCs w:val="17"/>
          <w:color w:val="auto"/>
        </w:rPr>
        <w:t>economy standards in two vehicle categories: (1) passenger automobiles and light-duty trucks (collectively, light-duty vehicles); and (2) heavy-duty trucks, including solid waste collection vehicles and tractor trailers. We own and operate vehicles in both categories. For light-duty vehicles, in May 2010 the EPA and the NHTSA finalized fuel economy standards for model years 2012 through 2016. In October 2011, the EPA and the NHTSA initiated a second round of rulemaking for light-duty vehicles for model years 2017 through 2025. In 2018, the EPA and the NHTSA proposed to revise the light-duty vehicle standards for model years 2021 through 2024 to make them less stringent; final action on the proposal is anticipated in 2020 but may be challenged in court. In August 2011, the EPA and the NHTSA finalized standards for heavy-duty trucks, including solid waste collection vehicles and tractor trailers, for model years 2014 through 2018. On August 16, 2016, the EPA and the NHTSA jointly issued additional regulations that would impose more stringent standards for heavy-duty vehicles through model-year 2027. In issuing the proposed fuel economy standards for heavy-duty trucks (including tractor trailers), the government estimated that the increased equipment cost would be recouped over a period of two years for a tractor/trailer combo, and over a period of 6 years for a garbage truck, and each vehicle would continue to save fuel costs over its operating life.</w:t>
      </w:r>
    </w:p>
    <w:p>
      <w:pPr>
        <w:spacing w:after="0" w:line="7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The Occupational Safety and Health Act of 1970 </w:t>
      </w:r>
      <w:r>
        <w:rPr>
          <w:rFonts w:ascii="Arial" w:cs="Arial" w:eastAsia="Arial" w:hAnsi="Arial"/>
          <w:sz w:val="18"/>
          <w:szCs w:val="18"/>
          <w:color w:val="auto"/>
        </w:rPr>
        <w:t>(OSHA). This act authorizes the Occupational Safety and Health Administration of the</w:t>
      </w:r>
    </w:p>
    <w:p>
      <w:pPr>
        <w:spacing w:after="0" w:line="23" w:lineRule="exact"/>
        <w:rPr>
          <w:rFonts w:ascii="Arial" w:cs="Arial" w:eastAsia="Arial" w:hAnsi="Arial"/>
          <w:sz w:val="18"/>
          <w:szCs w:val="18"/>
          <w:color w:val="auto"/>
        </w:rPr>
      </w:pPr>
    </w:p>
    <w:p>
      <w:pPr>
        <w:ind w:left="660" w:right="220"/>
        <w:spacing w:after="0" w:line="261" w:lineRule="auto"/>
        <w:rPr>
          <w:rFonts w:ascii="Arial" w:cs="Arial" w:eastAsia="Arial" w:hAnsi="Arial"/>
          <w:sz w:val="18"/>
          <w:szCs w:val="18"/>
          <w:color w:val="auto"/>
        </w:rPr>
      </w:pPr>
      <w:r>
        <w:rPr>
          <w:rFonts w:ascii="Arial" w:cs="Arial" w:eastAsia="Arial" w:hAnsi="Arial"/>
          <w:sz w:val="18"/>
          <w:szCs w:val="18"/>
          <w:color w:val="auto"/>
        </w:rPr>
        <w:t>U.S. Department of Labor to promulgate occupational safety and health standards. A number of these standards, including standards for notices of hazardous chemicals and the handling of asbestos, apply to our facilities and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and Local Regulation</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Each state in which we operate has its own laws and regulations governing solid waste disposal, water and air pollution, and, in most cases, releases and cleanup of hazardous substances and liabilities for such matters. States also have adopted regulations governing the design, operation, maintenance and closure of landfills and transfer stations. Some counties, municipalities and other local governments have adopted similar laws and regulations. In addition, our operations may be affected by the trend in many states toward requiring solid waste reduction and recycling programs. For example, several states have enacted laws that require counties or municipalities to adopt comprehensive plans to reduce, through solid waste planning, composting, recycling or other programs, the volume of solid waste deposited in landfills. Additionally, laws and regulations restricting the disposal of certain waste in solid waste landfills, including yard waste, food waste, newspapers, beverage containers, unshredded tires, lead-acid batteries, electronic wastes and household appliances, have been adopted in several states and are being considered in others. Legislative and regulatory measures to mandate or encourage waste reduction at the source and waste recycling also have been considered, or are under consideration by, the U.S. Congress and the EPA.</w:t>
      </w:r>
    </w:p>
    <w:p>
      <w:pPr>
        <w:spacing w:after="0" w:line="4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construct, operate and expand a landfill, we must obtain one or more construction or operating permits, as well as zoning and land use approvals. These permits and approvals may be burdensome to obtain and to comply with, are often opposed by neighboring landowners and citizens’ groups, may be subject to periodic renewal, and are subject to denial, modification, non-renewal and revocation by the issuing agency. Significant compliance disclosure obligations often accompany these processes. In connection with our acquisition of existing landfills, we may be required to spend considerable time, effort and money to bring the acquired facilities into compliance with applicable requirements and to obtain the permits and approvals necessary to increase their capacity.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0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Many of our facilities own and operate underground storage tanks that are generally used to store petroleum-based products. These tanks can be subject to federal, state and local laws and regulations that mandate their periodic testing, upgrading, closure and removal. In the event of leaks or releases from these tanks, these regulations require that polluted groundwater and soils be remediated. If underground storage tanks we own or operate leak, we could be liable for response costs and, if the leakage migrates onto the property of others, we could be liable for damages to third parties. We are unaware of facts indicating that issues of compliance with regulations related to underground storage tanks will have a material adverse effect on our consolidated financial condition, results of operations or cash flows.</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regard to our solid waste transportation operations, we are subject to the jurisdiction of the Surface Transportation Board and are regulated by the Federal Highway Administration, Office of Motor Carriers, and by regulatory agencies in states that regulate such matters. Various state and local government authorities have adopted, or are considering adopting, laws and regulations that would restrict the transportation of solid waste across state, county, or other jurisdictional lines. In 1978, the U.S. Supreme Court ruled that a law that restricts the importation of out-of-state solid waste is unconstitutional; however, states have attempted to distinguish proposed laws from those involved in and implicated by that ruling. In 1994, the U.S. Supreme Court ruled that a flow control law, which attempted to restrict solid waste from leaving its place of generation, imposes an impermissible burden upon interstate commerce and is unconstitutional. In 2007, however, the U.S. Supreme Court upheld the right of a local government to direct the flow of solid waste to a publicly-owned and publicly-operated waste facility. A number of county and other local jurisdictions have enacted ordinances or other regulations restricting the free movement of solid waste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across jurisdictional boundaries. Other governments may enact similar regulations in the future. These regulations may cause a decline in volumes of waste delivered to our landfills or transfer stations and may increase our costs of disposal, thereby adversely affecting our operations and our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Established for Landfill and Environmental Costs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We have established reserves for landfill and environmental costs, which include landfill site final capping, closure and post-closure costs. We periodically reassess such costs based on various methods and assumptions regarding landfill airspace and the technical requirements of Subtitle D of RCRA, and we adjust our amortization rates used to expense final capping, closure and post-closure costs accordingly. Based on current information and regulatory requirements, we believe that our recorded reserves for such landfill and environmental expenditures are adequate; however, environmental laws may change, and we cannot assure you that our recorded reserves will be adequate to cover requirements under existing or new environmental laws and regulations, future changes or interpretations of existing laws and regulations, or adverse environmental conditions previously unknown to us. Refer to the </w:t>
      </w:r>
      <w:r>
        <w:rPr>
          <w:rFonts w:ascii="Arial" w:cs="Arial" w:eastAsia="Arial" w:hAnsi="Arial"/>
          <w:sz w:val="16"/>
          <w:szCs w:val="16"/>
          <w:i w:val="1"/>
          <w:iCs w:val="1"/>
          <w:color w:val="auto"/>
        </w:rPr>
        <w:t>Contractual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Obligations </w:t>
      </w:r>
      <w:r>
        <w:rPr>
          <w:rFonts w:ascii="Arial" w:cs="Arial" w:eastAsia="Arial" w:hAnsi="Arial"/>
          <w:sz w:val="16"/>
          <w:szCs w:val="16"/>
          <w:color w:val="auto"/>
        </w:rPr>
        <w:t>section of our Management’s Discussion and Analysis of Financial Condition and Results of Operations contained in Item 7 of this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to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our consolidated financial statements in Item 8 of this Form 10-K for further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Insurance and Bonding</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nature of our business exposes us to the possible risk of liabilities arising out of our operations, including damages to the environment, property, employees or the general public. We focus on operating safely and prudently, but occasionally we receive claims, alleging damages, negligence or other wrongdoing in the planning or performance of work, which resulted in harm to the environment, property, employees or the general public. These liabilities can be significant. We also could be subject to fines and civil and criminal penalties in connection with alleged violations of regulatory requirements. We maintain various policies of insurance that, subject to limitations, exclusions, or deductibles, provide coverage for these types of claims. While we believe the amount of insurance is appropriate for our type of business, we can neither assure you that such insurance would be adequate, in scope or amount, in the event of a major loss, nor that we will not be exposed to uninsured liabilities that could have a material adverse effect on our consolidated financial condition, results of operations or cash flows. We also cannot assure you that we would continue to maintain the insurance should market conditions in the insurance industry make such coverage cost prohibitive.</w:t>
      </w:r>
    </w:p>
    <w:p>
      <w:pPr>
        <w:spacing w:after="0" w:line="6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Accruals for deductibles are based on claims filed and actuarial estimates of claims development and claims incurred but not reported. Due to the variable condition of the insurance market, we have experienced, and may experience in the future, increased deductible retention levels and increased premiums or unavailability of insurance. As we assume more risk through higher retention levels, we may experience more variability in our insurance reserves and expense.</w:t>
      </w:r>
    </w:p>
    <w:p>
      <w:pPr>
        <w:spacing w:after="0" w:line="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normal course of business, we also purchase surety bonds, insurance policies, letters of credit or marketable securities deposits in connection with municipal residential collection contracts, financial assurance for closure and post-closure of landfills, environmental remediation, environmental permits, and business licenses and permits as a financial guarantee of our performance.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and Other Information</w:t>
      </w:r>
    </w:p>
    <w:p>
      <w:pPr>
        <w:spacing w:after="0" w:line="10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Our corporate website is </w:t>
      </w:r>
      <w:r>
        <w:rPr>
          <w:rFonts w:ascii="Arial" w:cs="Arial" w:eastAsia="Arial" w:hAnsi="Arial"/>
          <w:sz w:val="17"/>
          <w:szCs w:val="17"/>
          <w:u w:val="single" w:color="auto"/>
          <w:color w:val="auto"/>
        </w:rPr>
        <w:t>republicservices.com</w:t>
      </w:r>
      <w:r>
        <w:rPr>
          <w:rFonts w:ascii="Arial" w:cs="Arial" w:eastAsia="Arial" w:hAnsi="Arial"/>
          <w:sz w:val="17"/>
          <w:szCs w:val="17"/>
          <w:color w:val="auto"/>
        </w:rPr>
        <w:t>. We make available on that website, free of charge, access to our Annual Reports on Form 10-K, Quarterly Reports on Form 10-Q, Current Reports on Form 8-K, Proxy Statements on Schedule 14A, and amendments to those materials filed or furnished with the Securities and Exchange Commission (SEC) pursuant to Section 13(a) or 15(d) of the Securities Exchange Act of 1934. We make such materials available as soon as reasonably practicable after we electronically submit them to the SEC. Our corporate website also contains our Certificate of Incorporation, Bylaws, Corporate Governance Guidelines, Code of Ethics, Political Contributions Policy, and Charters of the Audit Committee, Management Development and Compensation Committee, Nominating and Corporate Governance Committee, and Sustainability and Corporate Responsibility Committee of the Board of Directors. In addition, the SEC makes available at its website (</w:t>
      </w:r>
      <w:r>
        <w:rPr>
          <w:rFonts w:ascii="Arial" w:cs="Arial" w:eastAsia="Arial" w:hAnsi="Arial"/>
          <w:sz w:val="17"/>
          <w:szCs w:val="17"/>
          <w:u w:val="single" w:color="auto"/>
          <w:color w:val="auto"/>
        </w:rPr>
        <w:t>sec.gov</w:t>
      </w:r>
      <w:r>
        <w:rPr>
          <w:rFonts w:ascii="Arial" w:cs="Arial" w:eastAsia="Arial" w:hAnsi="Arial"/>
          <w:sz w:val="17"/>
          <w:szCs w:val="17"/>
          <w:color w:val="auto"/>
        </w:rPr>
        <w:t xml:space="preserve">), free of charge, reports, proxy statements, and other information regarding issuers, such as us, that file electronically with the SEC. Information on our website or the SEC website is not part of this Form 10-K. We intend to satisfy the disclosure requirements under Item 5.05 of Form 8-K and applicable New York Stock Exchange (NYSE) rules regarding amendments to or waivers of our Code of Ethics by posting this information on our website at </w:t>
      </w:r>
      <w:r>
        <w:rPr>
          <w:rFonts w:ascii="Arial" w:cs="Arial" w:eastAsia="Arial" w:hAnsi="Arial"/>
          <w:sz w:val="17"/>
          <w:szCs w:val="17"/>
          <w:u w:val="single" w:color="auto"/>
          <w:color w:val="auto"/>
        </w:rPr>
        <w:t>republicservices.com</w:t>
      </w:r>
      <w:r>
        <w:rPr>
          <w:rFonts w:ascii="Arial" w:cs="Arial" w:eastAsia="Arial" w:hAnsi="Arial"/>
          <w:sz w:val="17"/>
          <w:szCs w:val="17"/>
          <w:color w:val="auto"/>
        </w:rPr>
        <w: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Annual Report on Form 10-K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Among other sections of this Form 10-K, the Risk Factors and Management’s Discussion and Analysis of Financial Condition and Results of Operations include forward-looking statements. These statements include statements about our plans, strategies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we cannot assure you that the expectations will prove to be correct. Among the factors that could cause actual results to differ materially from the expectations expressed in the forward-looking statements are:</w:t>
      </w:r>
    </w:p>
    <w:p>
      <w:pPr>
        <w:spacing w:after="0" w:line="70" w:lineRule="exact"/>
        <w:rPr>
          <w:sz w:val="20"/>
          <w:szCs w:val="20"/>
          <w:color w:val="auto"/>
        </w:rPr>
      </w:pPr>
    </w:p>
    <w:p>
      <w:pPr>
        <w:ind w:left="660" w:right="1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market conditions, including inflation and changes in fuel, interest rates, labor, risk, health insurance and other variable costs that generally are not within our control, and our exposure to credit and counterparty risk;</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prices for recycled commodities that we sell to customers;</w:t>
      </w:r>
    </w:p>
    <w:p>
      <w:pPr>
        <w:spacing w:after="0" w:line="117" w:lineRule="exact"/>
        <w:rPr>
          <w:rFonts w:ascii="Arial" w:cs="Arial" w:eastAsia="Arial" w:hAnsi="Arial"/>
          <w:sz w:val="18"/>
          <w:szCs w:val="18"/>
          <w:color w:val="auto"/>
        </w:rPr>
      </w:pPr>
    </w:p>
    <w:p>
      <w:pPr>
        <w:jc w:val="both"/>
        <w:ind w:left="660" w:right="20" w:hanging="328"/>
        <w:spacing w:after="0" w:line="31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our estimates and assumptions concerning our selected balance sheet accounts, income tax accounts, final capping, closure, post-closure and remediation costs, available airspace, projected costs and expenses related to our landfills and property and equipment, fair values of acquired assets and liabilities assumed in our acquisitions, and labor, fuel rates and economic and inflationary trends, turn out to be correct or appropriate;</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and demand for services in the solid waste and recycling industry;</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increases to our customers, which may not be adequate to offset the impact of increased costs, including labor, third-party disposal and fuel, and may cause us to lose volume;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growth and execute our growth strategy;</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compliance with, and future changes in, environmental and flow control regulations and our ability to obtain approvals from regulatory agencies in connection with operating and expanding our landfills;</w:t>
      </w:r>
    </w:p>
    <w:p>
      <w:pPr>
        <w:spacing w:after="0" w:line="62"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on us of our substantial indebtedness, including on our ability to obtain financing on acceptable terms to finance our operations and growth strategy and to operate within the limitations imposed by financing arrangements;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our investment grade ratings for our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large, long-term collection, transfer and disposal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capital intensive nature of our business, which may consume cash in excess of cash flow from operations;</w:t>
      </w:r>
    </w:p>
    <w:p>
      <w:pPr>
        <w:spacing w:after="0" w:line="117"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environmental liabilities or remediation requirements, to the extent not adequately covered by insurance, which could result in substantial expenses;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undisclosed liabilities of acquired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associated with pending and future legal proceedings, including litigation, audits or investigations brought by or before any governmental body;</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severe weather conditions, including those brought about by climate change, which could impair our financial results by causing increased costs, loss of revenue, reduced operational efficiency or disruptions to our operations;</w:t>
      </w:r>
    </w:p>
    <w:p>
      <w:pPr>
        <w:spacing w:after="0" w:line="62" w:lineRule="exact"/>
        <w:rPr>
          <w:rFonts w:ascii="Arial" w:cs="Arial" w:eastAsia="Arial" w:hAnsi="Arial"/>
          <w:sz w:val="18"/>
          <w:szCs w:val="18"/>
          <w:color w:val="auto"/>
        </w:rPr>
      </w:pPr>
    </w:p>
    <w:p>
      <w:pPr>
        <w:jc w:val="both"/>
        <w:ind w:left="660" w:right="20" w:hanging="328"/>
        <w:spacing w:after="0" w:line="31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which could limit our ability to conduct or grow our business, increase our costs to operate or require additional capital expenditures;</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and operational risks, including the risk of personal injury to our employees or third parties;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180" w:hanging="328"/>
        <w:spacing w:after="0" w:line="26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increases in our costs if we are required to provide additional funding to any multiemployer pension plan to which we contribute or if a withdrawal event (including our voluntary withdrawal, which we consider from time to time, or the mass withdrawal of all contributing employers from any underfunded multiemployer pension plan) occurs with respect to any such plan;</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negative impact on our operations of union organizing campaigns, work stoppages or labor shortages;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negative effect that trends toward requiring recycling, waste reduction at the source and prohibiting the disposal of certain types of wastes could have on volumes of waste going to landfills;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by the Financial Accounting Standards Board or other accounting regulatory bodies to generally accepted accounting principles or policies;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U.S. and international tax laws and regulations on our business;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interruptions and breaches of our information technology systems that could adversely affect, or temporarily disable, all or a portion of our operations or have a negative effect on our infrastructure;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negative impact that a cyber-security incident could have on our business and our relationships with customers and employees; and</w:t>
      </w:r>
    </w:p>
    <w:p>
      <w:pPr>
        <w:spacing w:after="0" w:line="128" w:lineRule="exact"/>
        <w:rPr>
          <w:rFonts w:ascii="Arial" w:cs="Arial" w:eastAsia="Arial" w:hAnsi="Arial"/>
          <w:sz w:val="17"/>
          <w:szCs w:val="17"/>
          <w:color w:val="auto"/>
        </w:rPr>
      </w:pPr>
    </w:p>
    <w:p>
      <w:pPr>
        <w:ind w:left="660" w:right="60" w:hanging="328"/>
        <w:spacing w:after="0" w:line="26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acts of war, riots or terrorism, including the continuing war on terrorism, as well as actions taken or to be taken by the United States or other governments as a result of further acts or threats of terrorism, and the impact of these acts on economic, financial and social conditions in the United States.</w:t>
      </w:r>
    </w:p>
    <w:p>
      <w:pPr>
        <w:spacing w:after="0" w:line="6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risks included here are not exhaustive. Refer to the Risk Factors in this Item 1A for further discussion regarding our exposure to risks. You should be aware that any forward-looking statement in this Form 10-K and the documents incorporated herein by reference or elsewhere, speaks only as of the date on which we make it. Additionally, new risk factors emerge from time to time and it is not possible for us to predict all such risk factors, or to assess the impact such risk factors might have on our business or the extent to which any factor or combination of factors may cause actual results to differ materially from those contained in any forward-looking statements. You should not place undue reliance on any forward-looking statement. Except to the extent required by applicable law or regulation, we undertake no obligation to update or publish revised forward-looking statements to reflect events or circumstances after the date of this Form 10-K and the documents incorporated by reference, as the case may be, or to reflect the occurrence of unanticipated events.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can directly and adversely affect our operating results.</w:t>
      </w:r>
    </w:p>
    <w:p>
      <w:pPr>
        <w:spacing w:after="0" w:line="9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business is directly affected by changes in national and general economic factors and overall economic activity that are outside of our control, including consumer confidence and interest rates. A weak economy generally results in decreases in volumes of waste generated, which adversely affects our revenues. In addition, we have a relatively high fixed-cost structure, which is difficult to adjust quickly to match declining waste volume levels. Consumer uncertainty and the loss of consumer confidence may decrease overall economic activity and thereby limit the amount of services we provide. Additionally, a decline in waste volumes may result in increased competitive pricing pressure and increased customer turnover, resulting in lower revenue and increased operating costs. Operating in an environment of worsening economic conditions could have a material adverse effect on our consolidated financial condition, results of operations and cash flows. Further, recovery in the solid waste industry historically has lagged behind recovery in the general economy. Accordingly, we cannot assure you that an improvement in general economic conditions will result in an immediate, or any, improvement in our consolidated financial condition, results of operations or cash flows.</w:t>
      </w:r>
    </w:p>
    <w:p>
      <w:pPr>
        <w:spacing w:after="0" w:line="12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Weakness in the U.S. economy may expose us to credit risk for amounts due from governmental entities, large national accounts, industrial customers and others.</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Weakness in the U.S. economy reduces the amount of taxes collected by various governmental entities. We provide services to a number of these entities, including numerous municipalities. These governmental entities may suffer financial difficulties resulting from a decrease in tax revenue and may ultimately be unable or unwilling to pay amounts owed to us. In addition, weakness in the economy may cause other customers, including our large national accounts, or industrial or environmental services clients, to suffer financial difficulties and ultimately to be unable or unwilling to pay amounts owed to us. This could negatively impact our consolidated financial condition, results of operations and cash flows.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includes competitors that may have greater financial and operational resources, flexibility to reduce prices or other competitive advantages that could make it difficult for us to compete effectively.</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principally compete with large national waste management companies, numerous municipalities, and numerous regional and local companies. Competition for collection accounts is typically based on the quality of services, ease of doing business and/or price. Competition for disposal business is primarily based on geographic location, quality of operations, and price. One of our competitors may have greater financial and operational resources than we do. Further, many counties and municipalities that operate their own waste collection and disposal facilities have the benefits of tax revenue and greater opportunities for tax-exempt financing. Our ability to obtain solid waste volume for our landfills also may be limited by the fact that some major collection operations also own or operate landfills to which they send their waste. In certain markets in which we do not own or operate a landfill, our collection operations may have difficulty competing effectively. If we were to lose market share or if we were to lower prices to address competitive issues, it could negatively impact our consolidated financial condition, results of operations and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increases may not be adequate to offset the effect of increased costs and may cause us to lose volume.</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seek to secure price increases necessary to offset increased costs, improve our operating margins and earn an appropriate return on our substantial investments in assets such as our landfills. From time to time, our competitors reduce their prices in an effort to expand their market share. Contractual, general economic or market-specific conditions also may limit our ability to raise prices. For example, many of our contracts have price adjustment provisions that are tied to an index such as the consumer price index. Particularly in a weak U.S. economy, our costs may increase in excess of the increase, if any, in the consumer price index. This may continue to be the case even when the U.S. economy recovers because a recovery in the solid waste industry historically has lagged behind a recovery in the general economy. As a result, we may be unable to offset increases in costs, improve our operating margins and obtain adequate investment returns through price increases. Price increases also might cause us to lose volume to lower-cost competitors.</w:t>
      </w:r>
    </w:p>
    <w:p>
      <w:pPr>
        <w:spacing w:after="0" w:line="1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Increases in the cost of fuel or petrochemicals would increase our operating expenses, and we cannot assure you that we would be able to recover such cost increases from our customers.</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depend on fuel purchased in the open market to operate our collection and transfer trucks and other equipment used for collection, transfer and disposal. Fuel prices are unpredictable and fluctuate significantly based on events beyond our control, including geopolitical developments, actions by the Organization of the Petroleum Exporting Countries and other oil and gas producers, changes in refinery operations, supply and demand for oil and gas, war, terrorism and unrest in oil-producing countries, adverse weather and regional production patterns. Due to contractual or market factors, we may not be able to offset increased fuel costs resulting from such volatility through fuel recovery fees. Our fuel costs were $347.9 million in 2019, or 3.4% of revenue, compared to $391.4 million in 2018, or 3.9% of revenue.</w:t>
      </w:r>
    </w:p>
    <w:p>
      <w:pPr>
        <w:spacing w:after="0" w:line="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manage our exposure to volatility in fuel prices, we have entered into multiple swap agreements whereby we receive or make payments to counter-parties should the price of fuel vary from a specified amount. During 2018, approximately 6% of our fuel volume purchases were hedged with swap agreements (fuel hedges). All of our fuel hedges settled on or before December 31, 2018 and we did not enter into any new agreements in 2019. Additionally, we are able to collect fuel recovery fees from some customers. At current consumption levels, a twenty-cent per gallon change in the price of diesel fuel changes our fuel costs by approximately $26 million on an annual basis. Offsetting these changes in fuel expense would be changes in our fuel recovery fee charged to our customers. At current participation rates, we believe a twenty-cent per gallon change in the price of diesel fuel changes our fuel recovery fee by approximately $26 million. A substantial rise or drop in fuel costs could materially affect our revenue and cost of operations.</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Over the last several years, regulations have been adopted mandating changes in the composition of fuels for motor vehicles. The renewable fuel standards that the EPA sets annually affect the type of fuel our motor vehicle fleet uses. Pursuant to the Energy Independence and Security Act of 2007, the EPA establishes annual renewable fuel volume requirements for four different categories of renewable fuels (renewable fuel, advanced biofuel, cellulosic biofuel, and biomass-based diesel). These volume requirements set standards for the proportion of refiners' or importers' total fuel volume that must contain renewable fuels (as designated by regulation). The total volume metrics for each year vary based upon a number of factors (e.g., the availability of such fuels), and it is difficult to predict the ultimate quantity that the EPA will eventually mandate for future years. These regulations are one of many factors that may affect the cost of the fuel we use.</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require the use of products (such as liners at our landfills) whose costs may vary with the price of petrochemicals. An increase in the price of petrochemicals could increase the cost of those products, which would increase our operating and capital costs. Petrochemical prices, and hence our operating and capital costs, may be further affected by regulatory efforts to reduce greenhouse gases from the industries that produce such petrochemicals. We are also susceptible to increases in fuel recovery fees from our vendors.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Fluctuations in prices for recycled commodities that we sell to customers may adversely affect our consolidated financial condition, results of operations and cash flows.</w:t>
      </w:r>
    </w:p>
    <w:p>
      <w:pPr>
        <w:spacing w:after="0" w:line="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purchase or collect and process recyclable materials such as paper, cardboard, plastics, aluminum and other metals for sale to third parties. Our results of operations may be affected by changing prices or market requirements for recyclable materials. The resale and purchase prices of, and market demand for, recyclable materials are volatile due to changes in economic conditions and numerous other factors beyond our control. For instance, in 2017 the Chinese government imposed strict limits on the import of recyclable materials, including by restricting the amount of contaminants allowed in imported recycled paper. These limitations significantly decreased the global demand for recyclable materials and resulted in lower commodity prices. Significant price fluctuations or increased operating costs may affect our consolidated financial condition, results of operations and cash flows. In 2019, approximately 79% of our recycling processing center volume was fiber based and included OCC, ONP and other mixed paper.</w:t>
      </w:r>
    </w:p>
    <w:p>
      <w:pPr>
        <w:spacing w:after="0" w:line="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Historically, to manage our exposure to fluctuations in prices for recycled commodities, we have entered into multiple hedging arrangements whereby we receive or make payments to counter-parties should the price of recycled commodities vary from a specified amount or range. During 2017, we entered into multiple agreements related to forecasted OCC sales, all of which expired in 2018. We have not entered into any agreements related to forecasted OCC sales since 2017.</w:t>
      </w:r>
    </w:p>
    <w:p>
      <w:pPr>
        <w:spacing w:after="0" w:line="6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At current volumes and mix of materials, we believe a $10 per ton change in the price of recycled commodities would change annual revenue and operating income by approximately $13 million and $13 million, respectively, on an annual basis. Accordingly, a substantial rise or drop in recycled commodity prices could materially affect our revenue and operating income. Although we have entered into hedging agreements to help offset volatility in recycled commodity prices in the past, we cannot provide assurance that we will enter into these agreements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Adverse weather conditions, including those brought about by climate change, may limit our operations and increase the costs of collection and disposal.</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collection and landfill operations could be adversely impacted by extended periods of inclement weather, or by increased severity of weather and climate extremes resulting from climate change, some of which we may already be experiencing. Recent studies suggest that global warming is occurring faster than previously projected, with the EPA projecting a 3° to 12° Fahrenheit temperature increase in the United States by the end of the century. In addition to sea level rise, this temperature increase is expected to result in more severe droughts, floods, and other extreme weather events. Any of these factors could increase the volume of waste collected under our existing contracts (without corresponding compensation), interfere with collection, transfer station and landfill operations, delay the development of landfill capacity or reduce the volume of waste generated by our customers. In addition, adverse weather conditions may result in the temporary suspension of our operations, which can significantly affect our operating results in the affected regions during those periods.</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solid waste industry is a capital-intensive industry and our capital expenditures may exceed current expectations, which could require us to obtain additional funding for our operations or impair our ability to grow our business.</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ability to remain competitive and to grow our business largely depends on our cash flow from operations and access to capital. If our capital efficiency programs cannot offset the effect of inflation and business growth, it may be necessary to increase the amount we spend. Additionally, if we make acquisitions or further expand our operations, the amount we spend on capital, capping, closure, post-closure, environmental remediation and other items will increase. Our cash needs also will increase if the expenditures for capping, closure, post-closure and remediation activities increase above our current estimates, which may occur over a long period due to changes in federal, state or local government requirements and other factors beyond our control. Increases in expenditures would negatively impact our cash flows.</w:t>
      </w:r>
    </w:p>
    <w:p>
      <w:pPr>
        <w:spacing w:after="0" w:line="1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cannot assure you that we will be able to obtain or maintain the permits required for our operations because permits to operate new landfills and transfer stations, or to expand the permitted capacity of existing landfills or increase acceptable volume at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governmental agencies and others may oppose the issuance of a permit or approval we may need, allege violations of the permits under which we currently operate or laws or regulations to which we are subject, or seek to impose liability on us for environmental damage. Such actions could also create risks related to our reputation, which may limit our ability to do business. Responding to these challenges has at times increased our costs and extended the time associated with establishing new landfills and transfer stations and expanding existing landfills. In addition, failure to receive regulatory and zoning approval may prohibit us from establishing new landfills or transfer stations or expanding existing</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landfills. Our failure to obtain the required permits to operate our landfills and transfer stations could have a material adverse effect on our consolidated financial condition, results of operations and cash flows. In addition, we may have to dispose collected waste at landfills operated by our competitors or haul the waste long distances at a higher cost to one of our other landfills, either of which could significantly increase our waste disposal costs.</w:t>
      </w:r>
    </w:p>
    <w:p>
      <w:pPr>
        <w:spacing w:after="0" w:line="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appropriately estimate landfill capping, closure, post-closure and remediation costs, our financial condition and results of operations may be adversely affected.</w:t>
      </w:r>
    </w:p>
    <w:p>
      <w:pPr>
        <w:spacing w:after="0" w:line="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landfill must be closed and capped, and post-closure maintenance commenced, once the landfill's permitted capacity is reached and additional capacity is not authorized. Further, we undertake remediation activities at some of our solid waste facilities. We have significant financial obligations relating to capping, closure, post-closure and remediation costs at our existing owned or operated landfills, and will have material financial obligations with respect to any future owned or operated landfills. We establish accruals for the estimated costs associated with capping, closure, post-closure and remediation obligations. We could underestimate such costs, and our financial obligations for capping, closure, post-closure or remediation costs could exceed the amounts accrued or amounts otherwise receivable pursuant to trust funds established for this purpose. Additionally, if a landfill must be closed earlier than expected or its remaining airspace is reduced for any other reason, the accruals for capping, closure, post-closure and remediation could be required to be accelerated. If our capping, closure, post-closure or remediation costs exceed the amounts accrued, or if such accruals are required to be accelerated, this could have a material adverse effect on our consolidated financial condition, results of operations and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Alternatives to landfill disposal could reduce our disposal volumes and cause our revenues and operating results to decline.</w:t>
      </w:r>
    </w:p>
    <w:p>
      <w:pPr>
        <w:spacing w:after="0" w:line="10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Most of the states in which we operate landfills require counties and municipalities to formulate comprehensive plans to reduce the volume of solid waste deposited in landfills through waste planning, composting, recycling or other programs. Some state and local governments mandate waste reduction at the source and prohibit the disposal of certain types of wastes, such as yard waste, at landfills. Further, many of our customers voluntarily are diverting waste to alternatives to landfill disposal, such as recycling and composting, while also working to reduce the amount of waste they generate. Many of the largest companies in the U.S. are setting zero-waste goals in which they strive to send no waste to landfills. Although such actions help to protect our environment and reduce the impact of waste on climate change, they have reduced, and will in the future reduce, the volume of waste going to landfills and may affect the prices that we can charge for landfill disposal. Accordingly, we cannot assure you that we will be able to operate our landfills at their current volumes or charge current prices for landfill disposal services due to possible decreases in demand for such services. If we cannot expand our service offerings and grow lines of business to service waste streams that do not go to landfills and to provide services for customers that wish to reduce waste entirely, this could have a negative effect on our consolidated financial condition, results of operations and cash flows. Further, even if we can develop such service offerings and lines of business, disposal alternatives nonetheless could have a negative effect on our consolidated financial condition, results of operations and cash flows.</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possibility of landfill and transfer station site development projects, or expansion projects not being completed or certain other events could result in material charges to income.</w:t>
      </w:r>
    </w:p>
    <w:p>
      <w:pPr>
        <w:spacing w:after="0" w:line="4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accordance with U.S. GAAP, we capitalize certain expenditures relating to development, expansion and other projects. If a facility or operation is permanently shut down or determined to be impaired, or a development, expansion or other project is not completed or is determined to be impaired, we will charge against earnings any unamortized capitalized expenditures relating to such facility or project that we are unable to recover through sale, transfer or otherwise. We also carry a significant amount of goodwill on our consolidated balance sheets, which we must assess for impairment annually, and more frequently in the case of certain triggering events. We may incur charges against earnings in accordance with this policy, or other events may cause impairments. Such charges could have a material adverse effect on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business and assets we operate expose us to safety, operational and other risks, including the risk of personal injury to our employees or third parties.</w:t>
      </w:r>
    </w:p>
    <w:p>
      <w:pPr>
        <w:spacing w:after="0" w:line="1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provision of waste collection, transfer, disposal, recycling and environmental services, including the operation of landfills, CNG fueling stations, a substantial fleet of trucks and other waste-related assets, involves risks. These risks include, among others, the risk of truck accidents, equipment defects, malfunctions and failures, improper use of dangerous equipment, the release of hazardous substances, fire and explosion, any of which could result in environmental liability, personal injury, loss of life, business interruption or property damage or destruction. While we carry insurance to cover many contingencies, and seek to minimize our exposure to these risks through maintenance, training and compliance programs, any substantial losses could have a material adverse effect on our business, results of operations and financial condition.</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costly environmental regulations and flow-control regulations that may affect our operating margins, restrict our operations and subject us to additional liability.</w:t>
      </w:r>
    </w:p>
    <w:p>
      <w:pPr>
        <w:spacing w:after="0" w:line="4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Complying with laws and regulations governing the collection, treatment, storage, transfer and disposal of solid and hazardous wastes and materials, air quality and emissions of greenhouse gases, water quality and the remediation of contamination associated with the release of hazardous substances is costly. Laws and regulations often require us to enhance or replace our equipment and to modify landfill operations or initiate final closure of a landfill. We cannot assure you that we will be able to implement price increases sufficient to offset the costs of complying with these laws and regulations. In addition, environmental regulatory changes, including those relating to per- and polyfluoroalkyl substances (commonly referred to as PFAS) and other chemicals of emerging concern, could accelerate or increase expenditures for capping, closure, post-closure and environmental and remediation activities at solid waste facilities and obligate us to spend sums in addition to those presently accrued for such purposes, which could have a negative effect on our consolidated financial position, results of operations and cash flows.</w:t>
      </w:r>
    </w:p>
    <w:p>
      <w:pPr>
        <w:spacing w:after="0" w:line="4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business is and will continue to be affected by state or local laws or regulations that restrict the transportation of solid waste across state, county or other jurisdictional lines or that direct the flow of waste to a specified facility or facilities. Such laws and regulations could negatively affect our operations, resulting in declines in landfill volumes and increased costs of alternate disposal.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greenhouse gas emissions could impose costs on our operations, the magnitude of which we cannot yet estimate.</w:t>
      </w:r>
    </w:p>
    <w:p>
      <w:pPr>
        <w:spacing w:after="0" w:line="10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Efforts to curtail the emission of greenhouse gases and to ameliorate the effects of climate change continue to progress. Our landfill operations emit anthropogenic methane, identified as a greenhouse gas, and our vehicle fleet emits, among other things, carbon dioxide, which also is a greenhouse gas. Conventional wisdom still suggests that passage of comprehensive, federal climate change legislation is highly unlikely. Nonetheless, should comprehensive federal climate change legislation be enacted, we expect it to impose costs on our operations, the materiality of which we cannot predict.</w:t>
      </w:r>
    </w:p>
    <w:p>
      <w:pPr>
        <w:spacing w:after="0" w:line="3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Absent comprehensive federal legislation to control greenhouse gas emissions, the EPA is moving ahead administratively under its existing Clean Air Act authority. The EPA is compelled to issue rules by the U.S. Supreme Court's April 2007 </w:t>
      </w:r>
      <w:r>
        <w:rPr>
          <w:rFonts w:ascii="Arial" w:cs="Arial" w:eastAsia="Arial" w:hAnsi="Arial"/>
          <w:sz w:val="16"/>
          <w:szCs w:val="16"/>
          <w:i w:val="1"/>
          <w:iCs w:val="1"/>
          <w:color w:val="auto"/>
        </w:rPr>
        <w:t>Massachusetts v. EPA</w:t>
      </w:r>
      <w:r>
        <w:rPr>
          <w:rFonts w:ascii="Arial" w:cs="Arial" w:eastAsia="Arial" w:hAnsi="Arial"/>
          <w:sz w:val="16"/>
          <w:szCs w:val="16"/>
          <w:color w:val="auto"/>
        </w:rPr>
        <w:t xml:space="preserve"> ruling that greenhouse gases are pollutants for purposes of the Clean Air Act and the EPA's December 2009 finding that continued emissions of greenhouse gases endanger human health and welfare. With respect to our light- and heavy-duty vehicle fleet, the EPA has since finalized regulations limiting greenhouse gas emissions and increasing fuel economy standards. The EPA and the NHTSA have finalized such regulations applicable to light-duty vehicles through model year 2025. In 2018, the EPA and the NHTSA proposed to revise the light-duty vehicle standards for model years 2021 through 2024 to make them less stringent; final action on the proposal is anticipated in 2020 but may be challenged in court. On August 16, 2016, the EPA and the NHTSA issued additional regulations that would impose more stringent standards for heavy-duty vehicles through model-year 2027. Federal efforts to curtail greenhouse gas emissions and to increase the fuel efficiency of light-duty and heavy-duty vehicles could have a material adverse effect on our consolidated financial condition, results of operations and cash flows.</w:t>
      </w:r>
    </w:p>
    <w:p>
      <w:pPr>
        <w:spacing w:after="0" w:line="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With regard to greenhouse gas emissions from our landfills, on July 14, 2016, the EPA issued amendments to its regulations that require large landfills that commenced construction, reconstruction or modification on or after July 17, 2014 to capture additional landfill gas to reduce emissions of methane and certain non-methane gases, which are recognized as greenhouse gases. In a separate action finalized that same day, the EPA issued updates to its 1996 Emission Guidelines to reduce emissions of landfill gas from existing active landfills. Both actions are part of the Obama Administration's Climate Action Plan - Strategy to Reduce Methane Emissions. The Trump Administration proposed to reconsider these rules, but its action has been subject to litigation, which is still pending. If these regulations, or an amended version of them eventually goes into effect, they may require our landfills to deploy more stringent emission controls and monitoring systems, with resulting capital or operating costs. The application of these or other greenhouse gas regulations to our landfills could have a material adverse effect on our landfill operations and on our consolidated financial condition, results of operations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environmental liabilities that are not covered by our insurance. Changes in insurance markets also may impact our financial results.</w:t>
      </w:r>
    </w:p>
    <w:p>
      <w:pPr>
        <w:spacing w:after="0" w:line="12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may incur environmental liabilities arising from our operations or properties. We maintain high deductibles for our environmental liability insurance coverage. If we were to incur substantial liability for environmental damage, our insurance coverage may be inadequate to cover such liability. This could have a material adverse effect on our consolidated financial condition, results of operations and cash flows.</w:t>
      </w:r>
    </w:p>
    <w:p>
      <w:pPr>
        <w:spacing w:after="0" w:line="6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Also, due to the variable condition of the insurance market, we have experienced, and may experience in the future, increased insurance retention levels and increased premiums or unavailability of insurance. As we assume more risk for insurance through higher retention levels, we may experience more variability in our insurance reserves and expense.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efforts, we may incur additional liability under environmental laws in excess of amounts presently known and accrued.</w:t>
      </w:r>
    </w:p>
    <w:p>
      <w:pPr>
        <w:spacing w:after="0" w:line="10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a potentially responsible party at many sites under CERCLA, which provides for the remediation of contaminated facilities and imposes strict, joint and several liability for the cost of remediation on current owners and operators of a facility at which there has been a release or a threatened release of a hazardous substance. CERCLA liability also extends to parties who were site owners and operators at the time hazardous substances were disposed, and on persons who arrange for the disposal of such substances at the facility (e.g., generators of the waste and transporters who selected the disposal site). Hundreds of substances are defined as hazardous under CERCLA and their presence, even in minute amounts, can result in substantial liability.</w:t>
      </w:r>
    </w:p>
    <w:p>
      <w:pPr>
        <w:spacing w:after="0" w:line="2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Notwithstanding our efforts to comply with applicable environmental laws, we may have additional liability under environmental laws in excess of our current reserves because, among other things, hazardous substances may be present in waste collected by us or disposed of in our landfills (or in waste collected, transported or disposed of in the past by businesses we have acquired), environmental laws may change, or there may be adverse environmental conditions that develop or were otherwise previously unknown to us. For example, during 2012 through 2014, we recorded an aggregate of approximately $400 million in charges relating to environmental remediation at our closed landfill in Bridgeton, Missouri. Actual costs for liabilities at Bridgeton or other sites could be significantly greater than amounts we have accrued for these purposes. Environmental liabilities in excess of our current reserves could have a material adverse effect on our consolidated financial position,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indebtedness, which may limit our financial flexibility.</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December 31, 2019, we had approximately $8.8 billion in principal value of debt and finance leases outstanding.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of our debt instruments. Further, our ability to comply with these financial and other covenants may be affected by changes in economic or business conditions or other events that are beyond our control. If we do not comply with these covenants, we may be required to take actions such as reducing or delaying capital expenditures, reducing or eliminating dividends or stock repurchases, selling assets, restructuring or refinancing all or part of our existing debt, or seeking additional equity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our credit ratings or execute our financial strategy.</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ability to execute our financial strategy depends in part on our ability to maintain investment grade ratings on our debt. The credit rating process is contingent upon a number of factors, many of which are beyond our control. We cannot assure you that we will be able to maintain our investment grade ratings in the future. If we were unable to do so, our interest expense would increase and our ability to obtain financing on favorable terms may be adversely affected.</w:t>
      </w:r>
    </w:p>
    <w:p>
      <w:pPr>
        <w:spacing w:after="0" w:line="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financial strategy also depends on our ability to generate sufficient cash flow to reinvest in our existing business, fund internal growth, acquire other solid waste businesses, pay dividends, repurchase stock, and take other actions to enhance shareholder value. We cannot assure you that we will succeed in executing our broad-based pricing initiatives, that we will generate sufficient cash flow to execute our financial strategy, that we will be able to pay cash dividends at our present rate, or increase them, or that we will be able to continue our share repurchase program.</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Currently pending or future litigation or governmental proceedings could result in material adverse consequences, including judgments or settlements.</w:t>
      </w:r>
    </w:p>
    <w:p>
      <w:pPr>
        <w:spacing w:after="0" w:line="13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are and will continue to be involved in lawsuits, regulatory inquiries, and governmental and other legal proceedings. Many of these matters raise complicated factual and legal issues and are subject to uncertainties. The timing of the final resolutions to lawsuits, regulatory inquiries, and governmental and other legal proceedings is uncertain. Further, the possible outcomes or resolutions to these matters could include adverse judgments or settlements, either of which could require substantial payments and adversely affect our consolidated financial condition, results of operations and cash flows.</w:t>
      </w:r>
    </w:p>
    <w:p>
      <w:pPr>
        <w:spacing w:after="0" w:line="3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example, we incur costs to defend against litigation brought by government agencies and private parties who allege we are in violation of our permits and applicable environmental laws and regulations, or who assert claims alleging nuisance, environmental damage, personal injury or property damage. As a result, we may be required to pay fines or judgments or implement corrective measures, or we may have our permits and licenses modified or revoked. A significant judgment against us, the loss of a significant permit or license, or the imposition of a significant fine could have a material adverse effect on our consolidated financial condition, results of operations and cash flows. We establish accruals for our estimates of the costs associated with lawsuits, regulatory, governmental and other legal proceedings. We could underestimate such accruals. Such shortfalls could result in significant unanticipated charges to income.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growth effectively.</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growth strategy places significant demands on our financial, operational and management resources. To continue our growth, we may need to add administrative, managerial and other personnel, and may need to make additional investments in operations and systems. We cannot assure you that we will be able to find and train qualified personnel, or do so on a timely basis, or to expand or otherwise modify our operations and systems to the extent, and in the time, required.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execute our acquisition growth strategy.</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ability to execute our growth strategy depends in part on our ability to identify and acquire desirable acquisition candidates and on our ability to successfully integrate acquired operations into our business. The integration of our operations with those of acquired companies may present significant challenges to our management. In addition, competition for acquisition candidates may prevent us from acquiring certain acquisition candidates. Thus, we cannot assure you that:</w:t>
      </w:r>
    </w:p>
    <w:p>
      <w:pPr>
        <w:spacing w:after="0" w:line="7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desirable acquisition candidates exist or will be identified;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be able to acquire any of the candidates identified;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effectively integrate and manage companies we acquire;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acquisitions will be profitable or accretive to our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factors force us to alter our growth strategy, our growth prospects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Businesses we acquire may have undisclosed liabilities.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due diligence investigations of acquisition candidates may fail to discover certain undisclosed liabilities. If we acquire a company with undisclosed liabilities such as environmental, remediation or contractual liabilities, as a successor owner we may be responsible for such undisclosed liabilities. We try to minimize our exposure to such liabilities by conducting due diligence, by obtaining indemnification from each seller of the acquired companies, by deferring payment of a portion of the purchase price as security for the indemnification, by obtaining representations and warranties insurance and by acquiring only specified assets. However, we cannot assure you that we will be able to obtain indemnification or insurance coverage or that any indemnification or insurance coverage obtained will be enforceable, collectible or sufficient in amount, scope or duration to fully offset any undisclosed liabilities arising from our acquisitions.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consolidated financial statements are based on estimates and assumptions that may differ from actual results.</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consolidated financial statements have been prepared in accordance with U.S. GAAP and necessarily include amounts based on management's estimates. Actual results may differ from these amounts. Significant items requiring management to make subjective or complex judgments that are inherently uncertain include the recoverability of long-lived assets, the depletion and amortization of landfill development costs, accruals for final capping, closure and post-closure costs, valuation allowances for accounts receivable and deferred tax assets, liabilities for potential litigation, claims and assessments, and liabilities for environmental remediation, multiemployer pension plans, employee benefit plans, deferred taxes, uncertain tax positions, insurance and our estimates of the fair values of assets acquired and liabilities assumed in any acquisition. We cannot assure you that the liabilities recorded for items such as these will be adequate to cover the costs we ultimately will face.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introduction of new accounting rules, laws or regulations could adversely impact our reported results of operations.</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Complying with new accounting rules, laws or regulations could adversely impact our results of operations or cause unanticipated fluctuations in our results of operations or financial conditions in future periods.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workforce influences, including work stoppages, which could increase our operating costs and disrupt our operations.</w:t>
      </w:r>
    </w:p>
    <w:p>
      <w:pPr>
        <w:spacing w:after="0" w:line="11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December 31, 2019, approximately 24% of our workforce was covered by collective bargaining agreements. If our unionized workers were to engage in strikes, work stoppages or other slowdowns, we could experience a significant disruption of our operations and an increase in our operating costs, which could have an adverse effect on our consolidated financial condition, results of operations and cash flows. Additional groups of employees may seek union representation in the future and, if successful, the negotiation of collective bargaining agreements could divert management's attention and result in increased operating costs. If a greater percentage of our workforce becomes unionized, our consolidated financial condition, results of operations and cash flows could be adversely impacted due to the potential for increased operating costs.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obligation to fund multiemployer pension plans to which we contribute, or our withdrawal from such plans, may have an adverse effect on us.</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participate in multiemployer pension plans that generally provide retirement benefits to participants of contributing employers. We do not administer these plans and generally are not represented on the boards of trustees of these plans. The Pension Protection Act enacted in 2006 (the PPA) requires under-funded pension plans to improve their funding ratios. Based on the information available to us, we believe that some of the multiemployer plans to which we contribute are either critical or endangered as those terms are defined in the PPA. We cannot presently determine the amount of additional funding, if any, we may be required to make to these plans. However, plan assessments could have a material adverse effect on our results of operations or cash flows for a given period.</w:t>
      </w:r>
    </w:p>
    <w:p>
      <w:pPr>
        <w:spacing w:after="0" w:line="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Further, under current law, upon the termination of a multiemployer pension plan, or in the event of a withdrawal by us (which we consider from time to time) or a mass withdrawal of contributing employers (each, a Withdrawal Event), we would be required to make payments to the plan for our proportionate share of the plan's unfunded vested liabilities. We cannot assure you that there will not be a Withdrawal Event with respect to any of the multiemployer pension plans to which we contribute or that, in the event of such a Withdrawal Event, the amounts we would be required to contribute would not have a material adverse effect on our consolidated financial condition, results of operations and cash flows.</w:t>
      </w:r>
    </w:p>
    <w:p>
      <w:pPr>
        <w:spacing w:after="0" w:line="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For additional discussion and detail regarding multiemployer pension plans see Note 12,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of the notes to our consolidated financial statements in Item 8 of this Form 10-K.</w:t>
      </w:r>
    </w:p>
    <w:p>
      <w:pPr>
        <w:spacing w:after="0" w:line="11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The costs of providing for pension benefits and related funding requirements are subject to changes in pension fund values and fluctuating actuarial assumptions, and may have a material adverse effect on our financial condition, results of operations and cash flows.</w:t>
      </w: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sponsor a defined benefit pension plan that is funded with trustee assets invested in a diversified portfolio of debt and equity securities. Our costs for providing such benefits and related funding requirements are subject to changes in the market value of plan assets. Our pension expenses and related funding requirements are also subject to various actuarial calculations and assumptions, which may differ materially from actual results due to changing market and economic conditions, interest rates and other factors. A significant increase in our pension obligations and funding requirements could have a material adverse effect on our consolidated financial condition, results of operations and cash flows.</w:t>
      </w:r>
    </w:p>
    <w:p>
      <w:pPr>
        <w:spacing w:after="0" w:line="1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loss of key personnel could have a material adverse effect on our consolidated financial condition, results of operations, cash flows and growth prospects.</w:t>
      </w:r>
    </w:p>
    <w:p>
      <w:pPr>
        <w:spacing w:after="0" w:line="3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future success depends on the continued contributions of several key employees and officers. The loss of the services of key employees and officers, whether through resignation or other causes, or the inability to attract additional qualified personnel, could have a material adverse effect on our consolidated financial condition, results of operations, cash flows and growth prospects.</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strategy includes an increasing dependence on technology in our operations. If any of our key technology fails, our business could be adversely affected.</w:t>
      </w:r>
    </w:p>
    <w:p>
      <w:pPr>
        <w:spacing w:after="0" w:line="4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operations are increasingly dependent on technology. Our information technology systems are critical to our ability to drive profitable growth through differentiation, continue the implementation of standardized processes and deliver a consistent customer experience. One of the five pillars of our strategy is to grow through enabling our customers to do business with us through more channels and with better access to information and, accordingly, we have made substantial investment in our e-commerce platform. Problems with the operation of the information or communication technology systems we use could adversely affect, or temporarily disable, all or a portion of our operations. Inabilities and delays in implementing new systems can also affect our ability to realize projected or expected revenue or cost savings. Further, any systems failures could impede our ability to timely collect and report financial results in accordance with applicable laws. In addition, emerging technologies that are used to recycle and process waste, as an alternative to disposal of waste in landfills, represent risks, as well as opportunities, to our current business model.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 security incident could negatively impact our business and our relationships with customers.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use information technology, including computer and information networks, in substantially all aspects of our business operations. We also use mobile devices, social networking and other online activities to connect with our employees and our customers. Such uses give rise to cyber 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In connection with our strategy to grow through</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acquisitions and to pursue new initiatives that improve our operations and cost structure, we are also expanding and improving our information technologies, resulting in a larger technological presence and corresponding exposure to cyber security risk. If we fail to assess and identify cyber security risks associated with acquisitions and new initiatives, we may become increasingly vulnerable to such risks. Additionally, while we have implemented measures to prevent security breaches and cyber incidents, our preventive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corporate office is located at 18500 North Allied Way, Phoenix, Arizona 85054, where we currently lease approximately 145,000 square feet of office space.</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principal property and equipment consists of land, landfills, buildings, vehicles and equipment. We own or lease real property in the states in which we conduct operations. As of December 31, 2019, we operated facilities in 41 states and Puerto Rico through 340 collection operations, 212 transfer stations, 189 active landfills, 79 recycling processing centers, 7 treatment, recovery and disposal facilities, 15 salt water disposal wells and 4 deep injection wells. In the aggregate, our active solid waste landfills total approximately 109,141 acres, including 38,494 permitted acres. We are engaged in 75 landfill gas-to-energy and renewable energy projects and had post-closure responsibility for 130 closed landfills. We believe that our property and equipment are adequate for our current needs.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Legal Proceedings</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effect on our consolidated financial position, results of operations or cash flows.</w:t>
      </w:r>
    </w:p>
    <w:p>
      <w:pPr>
        <w:spacing w:after="0" w:line="67" w:lineRule="exact"/>
        <w:rPr>
          <w:sz w:val="20"/>
          <w:szCs w:val="20"/>
          <w:color w:val="auto"/>
        </w:rPr>
      </w:pPr>
    </w:p>
    <w:p>
      <w:pPr>
        <w:jc w:val="both"/>
        <w:ind w:right="320"/>
        <w:spacing w:after="0" w:line="257" w:lineRule="auto"/>
        <w:rPr>
          <w:sz w:val="20"/>
          <w:szCs w:val="20"/>
          <w:color w:val="auto"/>
        </w:rPr>
      </w:pPr>
      <w:r>
        <w:rPr>
          <w:rFonts w:ascii="Arial" w:cs="Arial" w:eastAsia="Arial" w:hAnsi="Arial"/>
          <w:sz w:val="18"/>
          <w:szCs w:val="18"/>
          <w:color w:val="auto"/>
        </w:rPr>
        <w:t xml:space="preserve">As used herein, the term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self-insured employee health care costs, are discussed in Note 7,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to our consolidated financial statements in Item 8 of this Form 10-K; and (2) environmental remediation liabilities, which are discussed in Note 8,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xml:space="preserve"> to our consolidated financial statements in Item 8 of this Form 10-K</w:t>
      </w:r>
      <w:r>
        <w:rPr>
          <w:rFonts w:ascii="Arial" w:cs="Arial" w:eastAsia="Arial" w:hAnsi="Arial"/>
          <w:sz w:val="18"/>
          <w:szCs w:val="18"/>
          <w:i w:val="1"/>
          <w:iCs w:val="1"/>
          <w:color w:val="auto"/>
        </w:rPr>
        <w:t>.</w:t>
      </w:r>
    </w:p>
    <w:p>
      <w:pPr>
        <w:spacing w:after="0" w:line="6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accrue for legal proceedings when losses become probable and reasonably estimable. We have recorded an aggregate accrual of approximately $21 million relating to our outstanding legal proceedings as of December 31, 2019. As of the end of each applicable reporting period, we review each of our legal proceedings and, where it is probable that a liability has been incurred, we accrue for all probable and reasonably estimable losses. Where we are able to reasonably estimate a range of losses we may incur with respect to such a matter, we record an accrual for the amount within the range that constitutes our best estimate. If we are able to reasonably estimate a range but no amount within the range appears to be a better estimate than any other, we use the amount that is the low end of such range. If we had used the high ends of such ranges, our aggregate potential liability would be approximately $15 million higher than the amount recorded as of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over Certain Environmental Matters Involving Governmental Authorities with Possible Sanctions of $100,000 or More</w:t>
      </w:r>
    </w:p>
    <w:p>
      <w:pPr>
        <w:spacing w:after="0" w:line="10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$100,000. We are disclosing the following matters in accordance with that requirement: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 Avenue Landfill Matter</w:t>
      </w:r>
    </w:p>
    <w:p>
      <w:pPr>
        <w:spacing w:after="0" w:line="10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December 20, 2016, the EPA issued a Finding of Violation (FOV) to Allied Waste Niagara Falls Landfill, LLC (Allied-Niagara). The FOV alleges violations of the Clean Air Act and associated regulations relating to operation of Allied-Niagara’s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Pine Avenue Landfill in Niagara County, New York. On October 16, 2017, Allied-Niagara received a civil penalty demand from the EPA. The demand proposes a penalty of $0.6 million or $2.5 million, depending on the results of requested sampling analysis at the site. Allied-Niagara is negotiating a resolution to the FOV, including the amount of the penalty.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 Contra Costa Sanitary Landfill Matters</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West Contra Costa Sanitary Landfill is a closed landfill formerly operated by West Contra Costa Sanitary Landfill, Inc. (WCCSL). The top deck area of the closed landfill is being utilized for a composting operation. In 2017 and 2018, the California State Water Resources Control Board (Water Board) issued three Notices of Violation alleging that operations at the closed landfill violated stormwater and waste discharge requirements permits. In September 2018, we received a proposed penalty assessment from the Water Board in the amount of $513,400. In November 2019, we received a revised penalty assessment from the Water Board in the amount of $520,500. WCCSL is in discussions concerning resolution of the alleged violations, including the amount of the penalty.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 Ridge Landfill Matter</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9, 2020, the Texas Commission on Environmental Quality (TCEQ) sent a Proposed Agreed Order (PAO) to Blue Ridge Landfill TX, LP (BRLF). The PAO alleges that BRLF violated certain federal and state air regulations and permit requirements and failed to prevent nuisance odor conditions at our Blue Ridge Landfill in Fresno, Texas. TCEQ has proposed an administrative penalty in the amount of $183,055. BRLF will discuss the proposed ordering provisions, including the amount of the penalty, with TCEQ.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820" w:right="42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market for our common stock is the New York Stock Exchange, and it is traded under the symbol RSG.</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569 holders of record of our common stock at February 7, 2020, which does not include beneficial owners for whom Cede &amp; Co. or others act as nominees.</w:t>
      </w:r>
    </w:p>
    <w:p>
      <w:pPr>
        <w:spacing w:after="0" w:line="4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February 2020, our Board of Directors declared a regular quarterly dividend of $0.405 per share for shareholders of record on April 1, 2020. We expect to continue to pay quarterly cash dividends, and we may consider increasing our dividends if we believe it will enhance shareholder value.</w:t>
      </w:r>
    </w:p>
    <w:p>
      <w:pPr>
        <w:spacing w:after="0" w:line="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the ability under our credit facilities to pay dividends and repurchase our common stock if we are in compliance with the financial covenants in our credit facilities. As of December 31, 2019, we were in compliance with those financial covenants.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relating to our purchases of shares of our common stock during the three months ended December 31,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5"/>
              </w:rPr>
              <w:t>Purchased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ind w:right="30"/>
              <w:spacing w:after="0"/>
              <w:rPr>
                <w:sz w:val="20"/>
                <w:szCs w:val="20"/>
                <w:color w:val="auto"/>
              </w:rPr>
            </w:pPr>
            <w:r>
              <w:rPr>
                <w:rFonts w:ascii="Arial" w:cs="Arial" w:eastAsia="Arial" w:hAnsi="Arial"/>
                <w:sz w:val="18"/>
                <w:szCs w:val="18"/>
                <w:color w:val="auto"/>
                <w:w w:val="90"/>
              </w:rPr>
              <w:t>Dollar Value of Shares that</w:t>
            </w:r>
          </w:p>
        </w:tc>
      </w:tr>
      <w:tr>
        <w:trPr>
          <w:trHeight w:val="216"/>
        </w:trPr>
        <w:tc>
          <w:tcPr>
            <w:tcW w:w="29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 Price Paid</w:t>
            </w:r>
          </w:p>
        </w:tc>
        <w:tc>
          <w:tcPr>
            <w:tcW w:w="2300" w:type="dxa"/>
            <w:vAlign w:val="bottom"/>
          </w:tcPr>
          <w:p>
            <w:pPr>
              <w:jc w:val="center"/>
              <w:spacing w:after="0"/>
              <w:rPr>
                <w:sz w:val="20"/>
                <w:szCs w:val="20"/>
                <w:color w:val="auto"/>
              </w:rPr>
            </w:pPr>
            <w:r>
              <w:rPr>
                <w:rFonts w:ascii="Arial" w:cs="Arial" w:eastAsia="Arial" w:hAnsi="Arial"/>
                <w:sz w:val="18"/>
                <w:szCs w:val="18"/>
                <w:color w:val="auto"/>
                <w:w w:val="93"/>
              </w:rPr>
              <w:t>Part of Publicly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ind w:right="10"/>
              <w:spacing w:after="0"/>
              <w:rPr>
                <w:sz w:val="20"/>
                <w:szCs w:val="20"/>
                <w:color w:val="auto"/>
              </w:rPr>
            </w:pPr>
            <w:r>
              <w:rPr>
                <w:rFonts w:ascii="Arial" w:cs="Arial" w:eastAsia="Arial" w:hAnsi="Arial"/>
                <w:sz w:val="18"/>
                <w:szCs w:val="18"/>
                <w:color w:val="auto"/>
                <w:w w:val="89"/>
              </w:rPr>
              <w:t>May Yet Be Purchased</w:t>
            </w:r>
          </w:p>
        </w:tc>
      </w:tr>
      <w:tr>
        <w:trPr>
          <w:trHeight w:val="230"/>
        </w:trPr>
        <w:tc>
          <w:tcPr>
            <w:tcW w:w="298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Purchased (a)</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per Share (a)</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Announced Program (b)</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ind w:right="30"/>
              <w:spacing w:after="0"/>
              <w:rPr>
                <w:sz w:val="20"/>
                <w:szCs w:val="20"/>
                <w:color w:val="auto"/>
              </w:rPr>
            </w:pPr>
            <w:r>
              <w:rPr>
                <w:rFonts w:ascii="Arial" w:cs="Arial" w:eastAsia="Arial" w:hAnsi="Arial"/>
                <w:sz w:val="18"/>
                <w:szCs w:val="18"/>
                <w:color w:val="auto"/>
                <w:w w:val="90"/>
              </w:rPr>
              <w:t>Under the Program (c)</w:t>
            </w:r>
          </w:p>
        </w:tc>
      </w:tr>
      <w:tr>
        <w:trPr>
          <w:trHeight w:val="27"/>
        </w:trPr>
        <w:tc>
          <w:tcPr>
            <w:tcW w:w="29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1 - 31</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227,908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85.49</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227,908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730,818,572</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November 1 - 30</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196,225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85.86</w:t>
            </w:r>
          </w:p>
        </w:tc>
        <w:tc>
          <w:tcPr>
            <w:tcW w:w="100" w:type="dxa"/>
            <w:vAlign w:val="bottom"/>
          </w:tcPr>
          <w:p>
            <w:pPr>
              <w:spacing w:after="0"/>
              <w:rPr>
                <w:sz w:val="21"/>
                <w:szCs w:val="21"/>
                <w:color w:val="auto"/>
              </w:rPr>
            </w:pP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196,225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713,970,992</w:t>
            </w:r>
          </w:p>
        </w:tc>
      </w:tr>
      <w:tr>
        <w:trPr>
          <w:trHeight w:val="27"/>
        </w:trPr>
        <w:tc>
          <w:tcPr>
            <w:tcW w:w="2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1 - 31</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106,097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88.48</w:t>
            </w:r>
          </w:p>
        </w:tc>
        <w:tc>
          <w:tcPr>
            <w:tcW w:w="1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106,097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704,583,889</w:t>
            </w:r>
          </w:p>
        </w:tc>
      </w:tr>
      <w:tr>
        <w:trPr>
          <w:trHeight w:val="237"/>
        </w:trPr>
        <w:tc>
          <w:tcPr>
            <w:tcW w:w="2980" w:type="dxa"/>
            <w:vAlign w:val="bottom"/>
          </w:tcPr>
          <w:p>
            <w:pPr>
              <w:spacing w:after="0"/>
              <w:rPr>
                <w:sz w:val="20"/>
                <w:szCs w:val="20"/>
                <w:color w:val="auto"/>
              </w:rPr>
            </w:pPr>
          </w:p>
        </w:tc>
        <w:tc>
          <w:tcPr>
            <w:tcW w:w="1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530,230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530,230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1"/>
        </w:trPr>
        <w:tc>
          <w:tcPr>
            <w:tcW w:w="29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 w:hanging="652"/>
        <w:spacing w:after="0" w:line="255" w:lineRule="auto"/>
        <w:tabs>
          <w:tab w:leader="none" w:pos="6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October 2017, our Board of Directors added $2.0 billion to the existing share repurchase authorization that now extends through December 31, 2020.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December 31, 2019, there were no repurchased shares pending settlement.</w:t>
      </w:r>
    </w:p>
    <w:p>
      <w:pPr>
        <w:spacing w:after="0" w:line="8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total number of shares purchased as part of the publicly announced program were all purchased pursuant to the October 2017 authorization.</w:t>
      </w:r>
    </w:p>
    <w:p>
      <w:pPr>
        <w:spacing w:after="0" w:line="140" w:lineRule="exact"/>
        <w:rPr>
          <w:rFonts w:ascii="Arial" w:cs="Arial" w:eastAsia="Arial" w:hAnsi="Arial"/>
          <w:sz w:val="16"/>
          <w:szCs w:val="16"/>
          <w:color w:val="auto"/>
        </w:rPr>
      </w:pPr>
    </w:p>
    <w:p>
      <w:pPr>
        <w:ind w:left="660" w:right="680" w:hanging="652"/>
        <w:spacing w:after="0" w:line="342" w:lineRule="auto"/>
        <w:tabs>
          <w:tab w:leader="none" w:pos="657"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Shares that may be purchased under the program exclude shares of common stock that may be surrendered to satisfy statutory minimum tax withholding obligations in connection with the vesting of restricted stock units and performance stock units issued to employees.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three months ended December 31,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graph compares the performance of our common stock to the Standard &amp; Poor’s 500 Stock Index (S&amp;P 500 Index) and the Dow Jones</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Waste &amp; Disposal Services Index (DJ W&amp;DS Index). The graph covers the period from December 31, 2014 to December 31, 2019 and assumes that the value of the investment in our common stock and in each index was $100 as of December 31, 2014 and that all dividends were reinvested.</w:t>
      </w:r>
    </w:p>
    <w:p>
      <w:pPr>
        <w:spacing w:after="0" w:line="2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90170</wp:posOffset>
            </wp:positionV>
            <wp:extent cx="5840095" cy="3344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60" w:type="dxa"/>
            <w:vAlign w:val="bottom"/>
            <w:gridSpan w:val="9"/>
          </w:tcPr>
          <w:p>
            <w:pPr>
              <w:jc w:val="right"/>
              <w:ind w:right="690"/>
              <w:spacing w:after="0"/>
              <w:rPr>
                <w:sz w:val="20"/>
                <w:szCs w:val="20"/>
                <w:color w:val="auto"/>
              </w:rPr>
            </w:pPr>
            <w:r>
              <w:rPr>
                <w:rFonts w:ascii="Arial" w:cs="Arial" w:eastAsia="Arial" w:hAnsi="Arial"/>
                <w:sz w:val="18"/>
                <w:szCs w:val="18"/>
                <w:color w:val="auto"/>
              </w:rPr>
              <w:t>Indexed Returns for the Years Ended December 31,</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Republic Services, Inc.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113.22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150.41</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181.96</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198.05</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250.74</w:t>
            </w: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101.38</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113.51</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138.29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132.23</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173.86</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DJ W&amp;DS Index</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104.19</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126.22</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147.78</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147.95</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199.87</w:t>
            </w:r>
          </w:p>
        </w:tc>
      </w:tr>
      <w:tr>
        <w:trPr>
          <w:trHeight w:val="27"/>
        </w:trPr>
        <w:tc>
          <w:tcPr>
            <w:tcW w:w="3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You should read the following Selected Financial Data in conjunction with Item 7,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 </w:t>
      </w:r>
      <w:r>
        <w:rPr>
          <w:rFonts w:ascii="Arial" w:cs="Arial" w:eastAsia="Arial" w:hAnsi="Arial"/>
          <w:sz w:val="18"/>
          <w:szCs w:val="18"/>
          <w:color w:val="auto"/>
        </w:rPr>
        <w:t>and Item 8,</w:t>
      </w:r>
      <w:r>
        <w:rPr>
          <w:rFonts w:ascii="Arial" w:cs="Arial" w:eastAsia="Arial" w:hAnsi="Arial"/>
          <w:sz w:val="18"/>
          <w:szCs w:val="18"/>
          <w:i w:val="1"/>
          <w:iCs w:val="1"/>
          <w:color w:val="auto"/>
        </w:rPr>
        <w:t xml:space="preserve"> Financial Statements and Supplementary Data</w:t>
      </w:r>
      <w:r>
        <w:rPr>
          <w:rFonts w:ascii="Arial" w:cs="Arial" w:eastAsia="Arial" w:hAnsi="Arial"/>
          <w:sz w:val="18"/>
          <w:szCs w:val="18"/>
          <w:color w:val="auto"/>
        </w:rPr>
        <w:t>, which includes our consolidated financial statements and notes thereto as of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years ended December 31, 2019 and 2018</w:t>
      </w:r>
      <w:r>
        <w:rPr>
          <w:rFonts w:ascii="Arial" w:cs="Arial" w:eastAsia="Arial" w:hAnsi="Arial"/>
          <w:sz w:val="18"/>
          <w:szCs w:val="18"/>
          <w:i w:val="1"/>
          <w:iCs w:val="1"/>
          <w:color w:val="auto"/>
        </w:rPr>
        <w:t>,</w:t>
      </w:r>
      <w:r>
        <w:rPr>
          <w:rFonts w:ascii="Arial" w:cs="Arial" w:eastAsia="Arial" w:hAnsi="Arial"/>
          <w:sz w:val="18"/>
          <w:szCs w:val="18"/>
          <w:color w:val="auto"/>
        </w:rPr>
        <w:t xml:space="preserve"> in this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historical results are not necessarily indicative of the results to be expected in the future. Amounts are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8"/>
          </w:tcPr>
          <w:p>
            <w:pPr>
              <w:ind w:left="460"/>
              <w:spacing w:after="0"/>
              <w:rPr>
                <w:sz w:val="20"/>
                <w:szCs w:val="20"/>
                <w:color w:val="auto"/>
              </w:rPr>
            </w:pPr>
            <w:r>
              <w:rPr>
                <w:rFonts w:ascii="Arial" w:cs="Arial" w:eastAsia="Arial" w:hAnsi="Arial"/>
                <w:sz w:val="16"/>
                <w:szCs w:val="16"/>
                <w:color w:val="auto"/>
              </w:rPr>
              <w:t>Years Ended December 31,</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Income Data:</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w w:val="96"/>
              </w:rPr>
              <w:t>10,299.4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w w:val="96"/>
              </w:rPr>
              <w:t>10,040.9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w w:val="96"/>
              </w:rPr>
              <w:t>10,041.5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9,387.7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9,115.0</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300" w:type="dxa"/>
            <w:vAlign w:val="bottom"/>
          </w:tcPr>
          <w:p>
            <w:pPr>
              <w:ind w:left="12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6,298.4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6,150.0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6,214.6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5,764.0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5,518.6</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amortization and depletion</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970.6</w:t>
            </w:r>
          </w:p>
        </w:tc>
        <w:tc>
          <w:tcPr>
            <w:tcW w:w="0" w:type="dxa"/>
            <w:vAlign w:val="bottom"/>
          </w:tcPr>
          <w:p>
            <w:pPr>
              <w:spacing w:after="0"/>
              <w:rPr>
                <w:sz w:val="1"/>
                <w:szCs w:val="1"/>
                <w:color w:val="auto"/>
              </w:rPr>
            </w:pPr>
          </w:p>
        </w:tc>
      </w:tr>
      <w:tr>
        <w:trPr>
          <w:trHeight w:val="224"/>
        </w:trPr>
        <w:tc>
          <w:tcPr>
            <w:tcW w:w="6300" w:type="dxa"/>
            <w:vAlign w:val="bottom"/>
          </w:tcPr>
          <w:p>
            <w:pPr>
              <w:ind w:left="120"/>
              <w:spacing w:after="0"/>
              <w:rPr>
                <w:sz w:val="20"/>
                <w:szCs w:val="20"/>
                <w:color w:val="auto"/>
              </w:rPr>
            </w:pPr>
            <w:r>
              <w:rPr>
                <w:rFonts w:ascii="Arial" w:cs="Arial" w:eastAsia="Arial" w:hAnsi="Arial"/>
                <w:sz w:val="16"/>
                <w:szCs w:val="16"/>
                <w:color w:val="auto"/>
              </w:rPr>
              <w:t>Accretion</w:t>
            </w: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983.1</w:t>
            </w:r>
          </w:p>
        </w:tc>
        <w:tc>
          <w:tcPr>
            <w:tcW w:w="0" w:type="dxa"/>
            <w:vAlign w:val="bottom"/>
          </w:tcPr>
          <w:p>
            <w:pPr>
              <w:spacing w:after="0"/>
              <w:rPr>
                <w:sz w:val="1"/>
                <w:szCs w:val="1"/>
                <w:color w:val="auto"/>
              </w:rPr>
            </w:pPr>
          </w:p>
        </w:tc>
      </w:tr>
      <w:tr>
        <w:trPr>
          <w:trHeight w:val="224"/>
        </w:trPr>
        <w:tc>
          <w:tcPr>
            <w:tcW w:w="6300" w:type="dxa"/>
            <w:vAlign w:val="bottom"/>
          </w:tcPr>
          <w:p>
            <w:pPr>
              <w:ind w:left="140"/>
              <w:spacing w:after="0"/>
              <w:rPr>
                <w:sz w:val="20"/>
                <w:szCs w:val="20"/>
                <w:color w:val="auto"/>
              </w:rPr>
            </w:pPr>
            <w:r>
              <w:rPr>
                <w:rFonts w:ascii="Arial" w:cs="Arial" w:eastAsia="Arial" w:hAnsi="Arial"/>
                <w:sz w:val="16"/>
                <w:szCs w:val="16"/>
                <w:color w:val="auto"/>
              </w:rPr>
              <w:t>Withdrawal costs - multiemployer pension funds</w:t>
            </w: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 on business divestitures and impairments, net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30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1,787.2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1,558.8</w:t>
            </w: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(364.9)</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unconsolidated equity method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1,195.9</w:t>
            </w: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352.7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445.5</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750.4</w:t>
            </w:r>
          </w:p>
        </w:tc>
        <w:tc>
          <w:tcPr>
            <w:tcW w:w="0" w:type="dxa"/>
            <w:vAlign w:val="bottom"/>
          </w:tcPr>
          <w:p>
            <w:pPr>
              <w:spacing w:after="0"/>
              <w:rPr>
                <w:sz w:val="1"/>
                <w:szCs w:val="1"/>
                <w:color w:val="auto"/>
              </w:rPr>
            </w:pPr>
          </w:p>
        </w:tc>
      </w:tr>
      <w:tr>
        <w:trPr>
          <w:trHeight w:val="224"/>
        </w:trPr>
        <w:tc>
          <w:tcPr>
            <w:tcW w:w="6300" w:type="dxa"/>
            <w:vAlign w:val="bottom"/>
          </w:tcPr>
          <w:p>
            <w:pPr>
              <w:ind w:left="220"/>
              <w:spacing w:after="0"/>
              <w:rPr>
                <w:sz w:val="20"/>
                <w:szCs w:val="20"/>
                <w:color w:val="auto"/>
              </w:rPr>
            </w:pPr>
            <w:r>
              <w:rPr>
                <w:rFonts w:ascii="Arial" w:cs="Arial" w:eastAsia="Arial" w:hAnsi="Arial"/>
                <w:sz w:val="16"/>
                <w:szCs w:val="16"/>
                <w:color w:val="auto"/>
              </w:rPr>
              <w:t>Net income attributable to non-controlling interests in consolidated subsidiary</w:t>
            </w: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 attributable to Republic Services,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749.9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earnings per share attributable to Republic Services, Inc.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Weighted average common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321.1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326.9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337.1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343.0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 attributable to Republic Services, Inc. stockholders:</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00" w:type="dxa"/>
            <w:vAlign w:val="bottom"/>
          </w:tcPr>
          <w:p>
            <w:pPr>
              <w:ind w:left="34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 average common and common equivalent shares outstanding</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Cash dividends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30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Cash Flows Data:</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Arial" w:cs="Arial" w:eastAsia="Arial" w:hAnsi="Arial"/>
                <w:sz w:val="16"/>
                <w:szCs w:val="16"/>
                <w:color w:val="auto"/>
              </w:rPr>
              <w:t>Cash provided by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2,352.1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2,242.8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1,910.7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1,847.8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1,679.7</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945.6</w:t>
            </w: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Arial" w:cs="Arial" w:eastAsia="Arial" w:hAnsi="Arial"/>
                <w:sz w:val="16"/>
                <w:szCs w:val="16"/>
                <w:color w:val="auto"/>
              </w:rPr>
              <w:t>Proceeds from the sale of property and equipment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 and marketable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w w:val="96"/>
              </w:rPr>
              <w:t>22,683.8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w w:val="96"/>
              </w:rPr>
              <w:t>21,617.0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w w:val="96"/>
              </w:rPr>
              <w:t>21,147.0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w w:val="96"/>
              </w:rPr>
              <w:t>20,629.6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w w:val="96"/>
              </w:rPr>
              <w:t>20,535.9</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8,688.5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8,337.5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8,187.4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7,658.9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7,532.9</w:t>
            </w: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8,120.9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7,929.5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7,961.1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7,693.7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7,776.6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You should read the following discussion in conjunction with our audited consolidated financial statements and the notes thereto included in Item 8 of this Form 10-K. This discussion may contain forward-looking statements that anticipate results that are subject to uncertainty. We discuss in more detail various factors that could cause actual results to differ from expectations in Item 1A, Risk Factors in this Form 10-K.</w:t>
      </w:r>
    </w:p>
    <w:p>
      <w:pPr>
        <w:spacing w:after="0" w:line="46" w:lineRule="exact"/>
        <w:rPr>
          <w:sz w:val="20"/>
          <w:szCs w:val="20"/>
          <w:color w:val="auto"/>
        </w:rPr>
      </w:pPr>
    </w:p>
    <w:p>
      <w:pPr>
        <w:jc w:val="both"/>
        <w:ind w:right="100"/>
        <w:spacing w:after="0" w:line="302" w:lineRule="auto"/>
        <w:rPr>
          <w:rFonts w:ascii="Arial" w:cs="Arial" w:eastAsia="Arial" w:hAnsi="Arial"/>
          <w:sz w:val="16"/>
          <w:szCs w:val="16"/>
          <w:i w:val="1"/>
          <w:iCs w:val="1"/>
          <w:color w:val="auto"/>
        </w:rPr>
      </w:pPr>
      <w:r>
        <w:rPr>
          <w:rFonts w:ascii="Arial" w:cs="Arial" w:eastAsia="Arial" w:hAnsi="Arial"/>
          <w:sz w:val="16"/>
          <w:szCs w:val="16"/>
          <w:color w:val="auto"/>
        </w:rPr>
        <w:t xml:space="preserve">In March 2019, the SEC amended its rules to modernize and simplify certain reporting requirements for public companies. As part of this change, registrants may exclude discussion of the earliest of the three years in Management’s Discussion and Analysis (MD&amp;A). For further discussion regarding our results of operations for the year ended December 31, 2018 as compared to the year ended December 31, 2017, refer to Item 7, </w:t>
      </w:r>
      <w:r>
        <w:rPr>
          <w:rFonts w:ascii="Arial" w:cs="Arial" w:eastAsia="Arial" w:hAnsi="Arial"/>
          <w:sz w:val="16"/>
          <w:szCs w:val="16"/>
          <w:i w:val="1"/>
          <w:iCs w:val="1"/>
          <w:color w:val="auto"/>
        </w:rPr>
        <w:t>Management's Discussion and Analysis</w:t>
      </w:r>
      <w:r>
        <w:rPr>
          <w:rFonts w:ascii="Arial" w:cs="Arial" w:eastAsia="Arial" w:hAnsi="Arial"/>
          <w:sz w:val="16"/>
          <w:szCs w:val="16"/>
          <w:color w:val="auto"/>
        </w:rPr>
        <w:t xml:space="preserve"> </w:t>
      </w:r>
      <w:r>
        <w:rPr>
          <w:rFonts w:ascii="Arial" w:cs="Arial" w:eastAsia="Arial" w:hAnsi="Arial"/>
          <w:sz w:val="16"/>
          <w:szCs w:val="16"/>
          <w:i w:val="1"/>
          <w:iCs w:val="1"/>
          <w:color w:val="auto"/>
        </w:rPr>
        <w:t>of Financial Condition and Results of Operations</w:t>
      </w:r>
      <w:r>
        <w:rPr>
          <w:rFonts w:ascii="Arial" w:cs="Arial" w:eastAsia="Arial" w:hAnsi="Arial"/>
          <w:sz w:val="16"/>
          <w:szCs w:val="16"/>
          <w:color w:val="auto"/>
        </w:rPr>
        <w:t>, in our Annual Report on</w:t>
      </w:r>
      <w:r>
        <w:rPr>
          <w:rFonts w:ascii="Arial" w:cs="Arial" w:eastAsia="Arial" w:hAnsi="Arial"/>
          <w:sz w:val="16"/>
          <w:szCs w:val="16"/>
          <w:i w:val="1"/>
          <w:iCs w:val="1"/>
          <w:color w:val="auto"/>
        </w:rPr>
        <w:t xml:space="preserve"> </w:t>
      </w:r>
      <w:hyperlink r:id="rId39">
        <w:r>
          <w:rPr>
            <w:rFonts w:ascii="Arial" w:cs="Arial" w:eastAsia="Arial" w:hAnsi="Arial"/>
            <w:sz w:val="16"/>
            <w:szCs w:val="16"/>
            <w:u w:val="single" w:color="auto"/>
            <w:color w:val="0000FF"/>
          </w:rPr>
          <w:t xml:space="preserve">Form 10-K for </w:t>
        </w:r>
      </w:hyperlink>
      <w:r>
        <w:rPr>
          <w:rFonts w:ascii="Arial" w:cs="Arial" w:eastAsia="Arial" w:hAnsi="Arial"/>
          <w:sz w:val="16"/>
          <w:szCs w:val="16"/>
          <w:i w:val="1"/>
          <w:iCs w:val="1"/>
          <w:color w:val="auto"/>
        </w:rPr>
        <w:t xml:space="preserve">the </w:t>
      </w:r>
      <w:hyperlink r:id="rId39">
        <w:r>
          <w:rPr>
            <w:rFonts w:ascii="Arial" w:cs="Arial" w:eastAsia="Arial" w:hAnsi="Arial"/>
            <w:sz w:val="16"/>
            <w:szCs w:val="16"/>
            <w:u w:val="single" w:color="auto"/>
            <w:color w:val="0000FF"/>
          </w:rPr>
          <w:t>fiscal year ended December 31, 2018</w:t>
        </w:r>
      </w:hyperlink>
      <w:r>
        <w:rPr>
          <w:rFonts w:ascii="Arial" w:cs="Arial" w:eastAsia="Arial" w:hAnsi="Arial"/>
          <w:sz w:val="16"/>
          <w:szCs w:val="16"/>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Republic is the second largest provider of non-hazardous solid waste collection, transfer, disposal, recycling, and environmental services in the United States, as measured by revenue. As of December 31, 2019, we operated facilities in 41 states and Puerto Rico through 340 collection operations, 212 transfer stations, 189 active landfills, 79 recycling processing centers, 7 treatment, recovery and disposal facilities, 15 salt water disposal wells, and 4 deep injection wells. We are engaged in 75 landfill gas-to-energy and renewable energy projects and had post-closure responsibility for 130 closed landfills.</w:t>
      </w:r>
    </w:p>
    <w:p>
      <w:pPr>
        <w:spacing w:after="0" w:line="3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Revenue for the year ended December 31, 2019 increased by 2.6% to $10,299.4 million compared to $10,040.9 million for the same period in 2018. This change in revenue is due to increases in total price, including fuel recovery fees, of 2.8% and acquisitions, net of divestitures of 0.8%, partially offset by the impact of decreased volumes of (0.4)%, environmental services of (0.3)%, and recycling processing and commodity sales of (0.3)%.</w:t>
      </w:r>
    </w:p>
    <w:p>
      <w:pPr>
        <w:spacing w:after="0" w:line="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our revenue, costs and expenses for the years ended December 31, 2019 and 2018 (in millions of dollars and as a percentage of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2019</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gridSpan w:val="3"/>
          </w:tcPr>
          <w:p>
            <w:pPr>
              <w:jc w:val="right"/>
              <w:ind w:right="940"/>
              <w:spacing w:after="0"/>
              <w:rPr>
                <w:sz w:val="20"/>
                <w:szCs w:val="20"/>
                <w:color w:val="auto"/>
              </w:rPr>
            </w:pPr>
            <w:r>
              <w:rPr>
                <w:rFonts w:ascii="Arial" w:cs="Arial" w:eastAsia="Arial" w:hAnsi="Arial"/>
                <w:sz w:val="18"/>
                <w:szCs w:val="18"/>
                <w:color w:val="auto"/>
                <w:w w:val="84"/>
              </w:rPr>
              <w:t>2018</w:t>
            </w:r>
          </w:p>
        </w:tc>
        <w:tc>
          <w:tcPr>
            <w:tcW w:w="180" w:type="dxa"/>
            <w:vAlign w:val="bottom"/>
          </w:tcPr>
          <w:p>
            <w:pPr>
              <w:spacing w:after="0"/>
              <w:rPr>
                <w:sz w:val="20"/>
                <w:szCs w:val="20"/>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10,299.4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10,040.9</w:t>
            </w: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6,298.4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6,150.0</w:t>
            </w: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8"/>
                <w:szCs w:val="18"/>
                <w:color w:val="auto"/>
              </w:rPr>
              <w:t>Depreciation, amortization and depletion of property and equipment</w:t>
            </w:r>
          </w:p>
        </w:tc>
        <w:tc>
          <w:tcPr>
            <w:tcW w:w="2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985.8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969.1</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3"/>
                <w:szCs w:val="23"/>
                <w:color w:val="auto"/>
              </w:rPr>
            </w:pPr>
          </w:p>
        </w:tc>
      </w:tr>
      <w:tr>
        <w:trPr>
          <w:trHeight w:val="27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other intangible assets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3"/>
                <w:szCs w:val="23"/>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Amortization of other assets</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1,059.5</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business divestitures and impairments, net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9"/>
        </w:trPr>
        <w:tc>
          <w:tcPr>
            <w:tcW w:w="6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1,787.2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1,735.8</w:t>
            </w: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Our pre-tax income was $1,295.8 million for the year ended December 31, 2019, compared to $1,320.9 million in 2018. Our net income attributable to Republic Services, Inc. was $1,073.3 million, or $3.33 per diluted share for 2019, compared to $1,036.9 million, or $3.16 per diluted share, for 2018.</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During 2019 and 2018, we recorded a number of charges, other expenses and benefits that impacted our pre-tax income, net income attributable to Republic Services, Inc. (net income – Republic) and diluted earnings per share as noted in the following table (in millions, except per share data). Additionally, see our </w:t>
      </w:r>
      <w:r>
        <w:rPr>
          <w:rFonts w:ascii="Arial" w:cs="Arial" w:eastAsia="Arial" w:hAnsi="Arial"/>
          <w:sz w:val="18"/>
          <w:szCs w:val="18"/>
          <w:i w:val="1"/>
          <w:iCs w:val="1"/>
          <w:color w:val="auto"/>
        </w:rPr>
        <w:t>Cost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Selling, General and Administrative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Income Taxes </w:t>
      </w:r>
      <w:r>
        <w:rPr>
          <w:rFonts w:ascii="Arial" w:cs="Arial" w:eastAsia="Arial" w:hAnsi="Arial"/>
          <w:sz w:val="18"/>
          <w:szCs w:val="18"/>
          <w:color w:val="auto"/>
        </w:rPr>
        <w:t>discussions contained in the</w:t>
      </w:r>
      <w:r>
        <w:rPr>
          <w:rFonts w:ascii="Arial" w:cs="Arial" w:eastAsia="Arial" w:hAnsi="Arial"/>
          <w:sz w:val="18"/>
          <w:szCs w:val="18"/>
          <w:i w:val="1"/>
          <w:iCs w:val="1"/>
          <w:color w:val="auto"/>
        </w:rPr>
        <w:t xml:space="preserve"> Results of Operations </w:t>
      </w:r>
      <w:r>
        <w:rPr>
          <w:rFonts w:ascii="Arial" w:cs="Arial" w:eastAsia="Arial" w:hAnsi="Arial"/>
          <w:sz w:val="18"/>
          <w:szCs w:val="18"/>
          <w:color w:val="auto"/>
        </w:rPr>
        <w:t>section of this</w:t>
      </w:r>
      <w:r>
        <w:rPr>
          <w:rFonts w:ascii="Arial" w:cs="Arial" w:eastAsia="Arial" w:hAnsi="Arial"/>
          <w:sz w:val="18"/>
          <w:szCs w:val="18"/>
          <w:i w:val="1"/>
          <w:iCs w:val="1"/>
          <w:color w:val="auto"/>
        </w:rPr>
        <w:t xml:space="preserve"> Management’s Discussion and Analysis of Financial Condition and Results of Operations </w:t>
      </w:r>
      <w:r>
        <w:rPr>
          <w:rFonts w:ascii="Arial" w:cs="Arial" w:eastAsia="Arial" w:hAnsi="Arial"/>
          <w:sz w:val="18"/>
          <w:szCs w:val="18"/>
          <w:color w:val="auto"/>
        </w:rPr>
        <w:t>for a discussion of other items that impacted our earnings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years ended December 31, 2019 and 2018.</w:t>
      </w:r>
    </w:p>
    <w:p>
      <w:pPr>
        <w:spacing w:after="0" w:line="193" w:lineRule="exact"/>
        <w:rPr>
          <w:sz w:val="20"/>
          <w:szCs w:val="20"/>
          <w:color w:val="auto"/>
        </w:rPr>
      </w:pPr>
    </w:p>
    <w:tbl>
      <w:tblPr>
        <w:tblLayout w:type="fixed"/>
        <w:tblInd w:w="5580" w:type="dxa"/>
        <w:tblCellMar>
          <w:top w:w="0" w:type="dxa"/>
          <w:left w:w="0" w:type="dxa"/>
          <w:bottom w:w="0" w:type="dxa"/>
          <w:right w:w="0" w:type="dxa"/>
        </w:tblCellMar>
      </w:tblPr>
      <w:tr>
        <w:trPr>
          <w:trHeight w:val="206"/>
        </w:trPr>
        <w:tc>
          <w:tcPr>
            <w:tcW w:w="2960" w:type="dxa"/>
            <w:vAlign w:val="bottom"/>
            <w:gridSpan w:val="4"/>
          </w:tcPr>
          <w:p>
            <w:pPr>
              <w:jc w:val="center"/>
              <w:ind w:right="100"/>
              <w:spacing w:after="0"/>
              <w:rPr>
                <w:sz w:val="20"/>
                <w:szCs w:val="20"/>
                <w:color w:val="auto"/>
              </w:rPr>
            </w:pPr>
            <w:r>
              <w:rPr>
                <w:rFonts w:ascii="Arial" w:cs="Arial" w:eastAsia="Arial" w:hAnsi="Arial"/>
                <w:sz w:val="16"/>
                <w:szCs w:val="16"/>
                <w:color w:val="auto"/>
                <w:w w:val="89"/>
              </w:rPr>
              <w:t>Year Ended December 31, 2019</w:t>
            </w:r>
          </w:p>
        </w:tc>
        <w:tc>
          <w:tcPr>
            <w:tcW w:w="2860" w:type="dxa"/>
            <w:vAlign w:val="bottom"/>
            <w:gridSpan w:val="3"/>
          </w:tcPr>
          <w:p>
            <w:pPr>
              <w:jc w:val="center"/>
              <w:spacing w:after="0"/>
              <w:rPr>
                <w:sz w:val="20"/>
                <w:szCs w:val="20"/>
                <w:color w:val="auto"/>
              </w:rPr>
            </w:pPr>
            <w:r>
              <w:rPr>
                <w:rFonts w:ascii="Arial" w:cs="Arial" w:eastAsia="Arial" w:hAnsi="Arial"/>
                <w:sz w:val="16"/>
                <w:szCs w:val="16"/>
                <w:color w:val="auto"/>
                <w:w w:val="89"/>
              </w:rPr>
              <w:t>Year Ended December 31, 2018</w:t>
            </w:r>
          </w:p>
        </w:tc>
      </w:tr>
      <w:tr>
        <w:trPr>
          <w:trHeight w:val="33"/>
        </w:trPr>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3"/>
        </w:trPr>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6"/>
                <w:szCs w:val="16"/>
                <w:color w:val="auto"/>
                <w:w w:val="96"/>
              </w:rPr>
              <w:t>Diluted</w:t>
            </w: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Diluted</w:t>
            </w:r>
          </w:p>
        </w:tc>
      </w:tr>
      <w:tr>
        <w:trPr>
          <w:trHeight w:val="203"/>
        </w:trPr>
        <w:tc>
          <w:tcPr>
            <w:tcW w:w="9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8"/>
              </w:rPr>
              <w:t>Net</w:t>
            </w:r>
          </w:p>
        </w:tc>
        <w:tc>
          <w:tcPr>
            <w:tcW w:w="104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Earnings</w:t>
            </w:r>
          </w:p>
        </w:tc>
        <w:tc>
          <w:tcPr>
            <w:tcW w:w="9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8"/>
              </w:rPr>
              <w:t>Net</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Earnings</w:t>
            </w:r>
          </w:p>
        </w:tc>
      </w:tr>
      <w:tr>
        <w:trPr>
          <w:trHeight w:val="203"/>
        </w:trPr>
        <w:tc>
          <w:tcPr>
            <w:tcW w:w="920" w:type="dxa"/>
            <w:vAlign w:val="bottom"/>
          </w:tcPr>
          <w:p>
            <w:pPr>
              <w:ind w:left="220"/>
              <w:spacing w:after="0"/>
              <w:rPr>
                <w:sz w:val="20"/>
                <w:szCs w:val="20"/>
                <w:color w:val="auto"/>
              </w:rPr>
            </w:pPr>
            <w:r>
              <w:rPr>
                <w:rFonts w:ascii="Arial" w:cs="Arial" w:eastAsia="Arial" w:hAnsi="Arial"/>
                <w:sz w:val="16"/>
                <w:szCs w:val="16"/>
                <w:color w:val="auto"/>
              </w:rPr>
              <w:t>Pre-tax</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Income -</w:t>
            </w:r>
          </w:p>
        </w:tc>
        <w:tc>
          <w:tcPr>
            <w:tcW w:w="1040" w:type="dxa"/>
            <w:vAlign w:val="bottom"/>
            <w:gridSpan w:val="2"/>
          </w:tcPr>
          <w:p>
            <w:pPr>
              <w:jc w:val="center"/>
              <w:ind w:right="40"/>
              <w:spacing w:after="0"/>
              <w:rPr>
                <w:sz w:val="20"/>
                <w:szCs w:val="20"/>
                <w:color w:val="auto"/>
              </w:rPr>
            </w:pPr>
            <w:r>
              <w:rPr>
                <w:rFonts w:ascii="Arial" w:cs="Arial" w:eastAsia="Arial" w:hAnsi="Arial"/>
                <w:sz w:val="16"/>
                <w:szCs w:val="16"/>
                <w:color w:val="auto"/>
                <w:w w:val="86"/>
              </w:rPr>
              <w:t>per</w:t>
            </w:r>
          </w:p>
        </w:tc>
        <w:tc>
          <w:tcPr>
            <w:tcW w:w="920" w:type="dxa"/>
            <w:vAlign w:val="bottom"/>
          </w:tcPr>
          <w:p>
            <w:pPr>
              <w:ind w:left="200"/>
              <w:spacing w:after="0"/>
              <w:rPr>
                <w:sz w:val="20"/>
                <w:szCs w:val="20"/>
                <w:color w:val="auto"/>
              </w:rPr>
            </w:pPr>
            <w:r>
              <w:rPr>
                <w:rFonts w:ascii="Arial" w:cs="Arial" w:eastAsia="Arial" w:hAnsi="Arial"/>
                <w:sz w:val="16"/>
                <w:szCs w:val="16"/>
                <w:color w:val="auto"/>
              </w:rPr>
              <w:t>Pre-tax</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Income -</w:t>
            </w:r>
          </w:p>
        </w:tc>
        <w:tc>
          <w:tcPr>
            <w:tcW w:w="940" w:type="dxa"/>
            <w:vAlign w:val="bottom"/>
          </w:tcPr>
          <w:p>
            <w:pPr>
              <w:jc w:val="center"/>
              <w:spacing w:after="0"/>
              <w:rPr>
                <w:sz w:val="20"/>
                <w:szCs w:val="20"/>
                <w:color w:val="auto"/>
              </w:rPr>
            </w:pPr>
            <w:r>
              <w:rPr>
                <w:rFonts w:ascii="Arial" w:cs="Arial" w:eastAsia="Arial" w:hAnsi="Arial"/>
                <w:sz w:val="16"/>
                <w:szCs w:val="16"/>
                <w:color w:val="auto"/>
                <w:w w:val="86"/>
              </w:rPr>
              <w:t>per</w:t>
            </w:r>
          </w:p>
        </w:tc>
      </w:tr>
      <w:tr>
        <w:trPr>
          <w:trHeight w:val="206"/>
        </w:trPr>
        <w:tc>
          <w:tcPr>
            <w:tcW w:w="920" w:type="dxa"/>
            <w:vAlign w:val="bottom"/>
          </w:tcPr>
          <w:p>
            <w:pPr>
              <w:ind w:left="200"/>
              <w:spacing w:after="0"/>
              <w:rPr>
                <w:sz w:val="20"/>
                <w:szCs w:val="20"/>
                <w:color w:val="auto"/>
              </w:rPr>
            </w:pPr>
            <w:r>
              <w:rPr>
                <w:rFonts w:ascii="Arial" w:cs="Arial" w:eastAsia="Arial" w:hAnsi="Arial"/>
                <w:sz w:val="16"/>
                <w:szCs w:val="16"/>
                <w:color w:val="auto"/>
              </w:rPr>
              <w:t>Income</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Republic</w:t>
            </w:r>
          </w:p>
        </w:tc>
        <w:tc>
          <w:tcPr>
            <w:tcW w:w="1040" w:type="dxa"/>
            <w:vAlign w:val="bottom"/>
            <w:gridSpan w:val="2"/>
          </w:tcPr>
          <w:p>
            <w:pPr>
              <w:jc w:val="center"/>
              <w:ind w:right="40"/>
              <w:spacing w:after="0"/>
              <w:rPr>
                <w:sz w:val="20"/>
                <w:szCs w:val="20"/>
                <w:color w:val="auto"/>
              </w:rPr>
            </w:pPr>
            <w:r>
              <w:rPr>
                <w:rFonts w:ascii="Arial" w:cs="Arial" w:eastAsia="Arial" w:hAnsi="Arial"/>
                <w:sz w:val="16"/>
                <w:szCs w:val="16"/>
                <w:color w:val="auto"/>
                <w:w w:val="84"/>
              </w:rPr>
              <w:t>Share</w:t>
            </w:r>
          </w:p>
        </w:tc>
        <w:tc>
          <w:tcPr>
            <w:tcW w:w="920" w:type="dxa"/>
            <w:vAlign w:val="bottom"/>
          </w:tcPr>
          <w:p>
            <w:pPr>
              <w:ind w:left="200"/>
              <w:spacing w:after="0"/>
              <w:rPr>
                <w:sz w:val="20"/>
                <w:szCs w:val="20"/>
                <w:color w:val="auto"/>
              </w:rPr>
            </w:pPr>
            <w:r>
              <w:rPr>
                <w:rFonts w:ascii="Arial" w:cs="Arial" w:eastAsia="Arial" w:hAnsi="Arial"/>
                <w:sz w:val="16"/>
                <w:szCs w:val="16"/>
                <w:color w:val="auto"/>
              </w:rPr>
              <w:t>Income</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Republic</w:t>
            </w:r>
          </w:p>
        </w:tc>
        <w:tc>
          <w:tcPr>
            <w:tcW w:w="940" w:type="dxa"/>
            <w:vAlign w:val="bottom"/>
          </w:tcPr>
          <w:p>
            <w:pPr>
              <w:jc w:val="center"/>
              <w:spacing w:after="0"/>
              <w:rPr>
                <w:sz w:val="20"/>
                <w:szCs w:val="20"/>
                <w:color w:val="auto"/>
              </w:rPr>
            </w:pPr>
            <w:r>
              <w:rPr>
                <w:rFonts w:ascii="Arial" w:cs="Arial" w:eastAsia="Arial" w:hAnsi="Arial"/>
                <w:sz w:val="16"/>
                <w:szCs w:val="16"/>
                <w:color w:val="auto"/>
                <w:w w:val="88"/>
              </w:rPr>
              <w:t>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reported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Restructuring charges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1"/>
          <w:szCs w:val="21"/>
          <w:color w:val="auto"/>
          <w:vertAlign w:val="superscript"/>
        </w:rPr>
        <w:t>(2)</w:t>
      </w:r>
    </w:p>
    <w:p>
      <w:pPr>
        <w:spacing w:after="0" w:line="29" w:lineRule="exact"/>
        <w:rPr>
          <w:sz w:val="20"/>
          <w:szCs w:val="20"/>
          <w:color w:val="auto"/>
        </w:rPr>
      </w:pPr>
    </w:p>
    <w:p>
      <w:pPr>
        <w:ind w:left="180" w:right="1060" w:firstLine="18"/>
        <w:spacing w:after="0" w:line="356" w:lineRule="auto"/>
        <w:rPr>
          <w:sz w:val="20"/>
          <w:szCs w:val="20"/>
          <w:color w:val="auto"/>
        </w:rPr>
      </w:pPr>
      <w:r>
        <w:rPr>
          <w:rFonts w:ascii="Arial" w:cs="Arial" w:eastAsia="Arial" w:hAnsi="Arial"/>
          <w:sz w:val="15"/>
          <w:szCs w:val="15"/>
          <w:color w:val="auto"/>
        </w:rPr>
        <w:t>Gain on disposition of assets and asset impairments, net Acquisition integration and deal costs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Fire-damage related costs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Incremental contract startup costs - large municipal contract </w:t>
      </w:r>
      <w:r>
        <w:rPr>
          <w:rFonts w:ascii="Arial" w:cs="Arial" w:eastAsia="Arial" w:hAnsi="Arial"/>
          <w:sz w:val="18"/>
          <w:szCs w:val="18"/>
          <w:color w:val="auto"/>
          <w:vertAlign w:val="superscript"/>
        </w:rPr>
        <w:t>(1)</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Adoption of the Tax Act </w:t>
      </w:r>
      <w:r>
        <w:rPr>
          <w:rFonts w:ascii="Arial" w:cs="Arial" w:eastAsia="Arial" w:hAnsi="Arial"/>
          <w:sz w:val="21"/>
          <w:szCs w:val="21"/>
          <w:color w:val="auto"/>
          <w:vertAlign w:val="superscript"/>
        </w:rPr>
        <w:t>(2)</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Bridgeton insurance recovery, net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80" w:type="dxa"/>
            <w:vAlign w:val="bottom"/>
          </w:tcPr>
          <w:p>
            <w:pPr>
              <w:jc w:val="right"/>
              <w:ind w:right="79"/>
              <w:spacing w:after="0"/>
              <w:rPr>
                <w:sz w:val="20"/>
                <w:szCs w:val="20"/>
                <w:color w:val="auto"/>
              </w:rPr>
            </w:pPr>
            <w:r>
              <w:rPr>
                <w:rFonts w:ascii="Arial" w:cs="Arial" w:eastAsia="Arial" w:hAnsi="Arial"/>
                <w:sz w:val="16"/>
                <w:szCs w:val="16"/>
                <w:color w:val="auto"/>
                <w:w w:val="98"/>
              </w:rPr>
              <w:t>$  1,295.8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  1,073.3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3.33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  1,320.9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  1,036.9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3.16</w:t>
            </w:r>
          </w:p>
        </w:tc>
      </w:tr>
      <w:tr>
        <w:trPr>
          <w:trHeight w:val="257"/>
        </w:trPr>
        <w:tc>
          <w:tcPr>
            <w:tcW w:w="880" w:type="dxa"/>
            <w:vAlign w:val="bottom"/>
          </w:tcPr>
          <w:p>
            <w:pPr>
              <w:jc w:val="right"/>
              <w:ind w:right="79"/>
              <w:spacing w:after="0"/>
              <w:rPr>
                <w:sz w:val="20"/>
                <w:szCs w:val="20"/>
                <w:color w:val="auto"/>
              </w:rPr>
            </w:pPr>
            <w:r>
              <w:rPr>
                <w:rFonts w:ascii="Arial" w:cs="Arial" w:eastAsia="Arial" w:hAnsi="Arial"/>
                <w:sz w:val="16"/>
                <w:szCs w:val="16"/>
                <w:color w:val="auto"/>
              </w:rPr>
              <w:t>14.2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19.4</w:t>
            </w:r>
          </w:p>
        </w:tc>
        <w:tc>
          <w:tcPr>
            <w:tcW w:w="3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57"/>
        </w:trPr>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340" w:type="dxa"/>
            <w:vAlign w:val="bottom"/>
          </w:tcPr>
          <w:p>
            <w:pPr>
              <w:spacing w:after="0"/>
              <w:rPr>
                <w:sz w:val="22"/>
                <w:szCs w:val="22"/>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7"/>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3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(0.03)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(44.9)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34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(0.08)</w:t>
            </w:r>
          </w:p>
        </w:tc>
      </w:tr>
      <w:tr>
        <w:trPr>
          <w:trHeight w:val="257"/>
        </w:trPr>
        <w:tc>
          <w:tcPr>
            <w:tcW w:w="88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340" w:type="dxa"/>
            <w:vAlign w:val="bottom"/>
          </w:tcPr>
          <w:p>
            <w:pPr>
              <w:spacing w:after="0"/>
              <w:rPr>
                <w:sz w:val="22"/>
                <w:szCs w:val="22"/>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7"/>
        </w:trPr>
        <w:tc>
          <w:tcPr>
            <w:tcW w:w="88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5.7</w:t>
            </w:r>
          </w:p>
        </w:tc>
        <w:tc>
          <w:tcPr>
            <w:tcW w:w="340" w:type="dxa"/>
            <w:vAlign w:val="bottom"/>
          </w:tcPr>
          <w:p>
            <w:pPr>
              <w:spacing w:after="0"/>
              <w:rPr>
                <w:sz w:val="22"/>
                <w:szCs w:val="22"/>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7"/>
        </w:trPr>
        <w:tc>
          <w:tcPr>
            <w:tcW w:w="88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340" w:type="dxa"/>
            <w:vAlign w:val="bottom"/>
          </w:tcPr>
          <w:p>
            <w:pPr>
              <w:spacing w:after="0"/>
              <w:rPr>
                <w:sz w:val="22"/>
                <w:szCs w:val="22"/>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340" w:type="dxa"/>
            <w:vAlign w:val="bottom"/>
          </w:tcPr>
          <w:p>
            <w:pPr>
              <w:spacing w:after="0"/>
              <w:rPr>
                <w:sz w:val="22"/>
                <w:szCs w:val="22"/>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0.01</w:t>
            </w:r>
          </w:p>
        </w:tc>
      </w:tr>
      <w:tr>
        <w:trPr>
          <w:trHeight w:val="257"/>
        </w:trPr>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340" w:type="dxa"/>
            <w:vAlign w:val="bottom"/>
          </w:tcPr>
          <w:p>
            <w:pPr>
              <w:spacing w:after="0"/>
              <w:rPr>
                <w:sz w:val="22"/>
                <w:szCs w:val="22"/>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7"/>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3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(0.03)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34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-1118870</wp:posOffset>
            </wp:positionV>
            <wp:extent cx="722947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-793115</wp:posOffset>
            </wp:positionV>
            <wp:extent cx="722947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-467360</wp:posOffset>
            </wp:positionV>
            <wp:extent cx="722947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-141605</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4880" w:space="720"/>
            <w:col w:w="582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5580" w:type="dxa"/>
            <w:vAlign w:val="bottom"/>
          </w:tcPr>
          <w:p>
            <w:pPr>
              <w:ind w:left="220"/>
              <w:spacing w:after="0"/>
              <w:rPr>
                <w:sz w:val="20"/>
                <w:szCs w:val="20"/>
                <w:color w:val="auto"/>
              </w:rPr>
            </w:pPr>
            <w:r>
              <w:rPr>
                <w:rFonts w:ascii="Arial" w:cs="Arial" w:eastAsia="Arial" w:hAnsi="Arial"/>
                <w:sz w:val="16"/>
                <w:szCs w:val="16"/>
                <w:color w:val="auto"/>
              </w:rPr>
              <w:t>Total adjustments</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(0.07)</w:t>
            </w:r>
          </w:p>
        </w:tc>
      </w:tr>
      <w:tr>
        <w:trPr>
          <w:trHeight w:val="33"/>
        </w:trPr>
        <w:tc>
          <w:tcPr>
            <w:tcW w:w="5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75"/>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adjusted</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  1,295.9</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  1,075.1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  1,280.4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  1,014.9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aggregate impact to adjusted diluted earnings per share totals to less than $0.01 for the year ended December 31, 2019.</w:t>
      </w:r>
    </w:p>
    <w:p>
      <w:pPr>
        <w:spacing w:after="0" w:line="86" w:lineRule="exact"/>
        <w:rPr>
          <w:rFonts w:ascii="Arial" w:cs="Arial" w:eastAsia="Arial" w:hAnsi="Arial"/>
          <w:sz w:val="16"/>
          <w:szCs w:val="16"/>
          <w:color w:val="auto"/>
        </w:rPr>
      </w:pPr>
    </w:p>
    <w:p>
      <w:pPr>
        <w:ind w:left="240" w:hanging="232"/>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aggregate impact to adjusted diluted earnings per share totals to less than $0.01 for the year ended December 31, 2018.</w:t>
      </w:r>
    </w:p>
    <w:p>
      <w:pPr>
        <w:spacing w:after="0" w:line="16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believe that presenting adjusted pre-tax income, adjusted net income – Republic, and adjusted diluted earnings per share, which are not measures determined in accordance with U.S. GAAP, provides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and costs in prior periods, and similar types of adjustments can reasonably be expected to be recorded in future periods. Our definitions of adjusted pre-tax income, adjusted net income – Republic, and adjusted diluted earnings per share may not be comparable to similarly titled measures presented by other companies. Further information on each of these adjustments is included below.</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In January 2018, we eliminated certain positions following the consolidation of select back-office functions, including but not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integration of our National Accounts support functions into our existing corporate support functions. These changes include a reduction in administrative staffing and the closure of certain office locations. During 2019, we incurred restructuring charges of $14.2 million that primarily related to the redesign of our back-office software systems. During 2018, we incurred restructuring charges of $26.4 million, that primarily consisted of severance and other employee termination benefits and the closure of offices with non-cancelable terms. We paid $10.6 million and $24.7 million during 2019 and 2018, respectively, related to these restructuring efforts.</w:t>
      </w:r>
    </w:p>
    <w:p>
      <w:pPr>
        <w:spacing w:after="0" w:line="7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2020, we expect to incur additional restructuring charges of approximately $15 million primarily related to the redesign of our back-office software systems. Substantially all of these restructuring charges will be recorded in our corporate segment.</w:t>
      </w:r>
    </w:p>
    <w:p>
      <w:pPr>
        <w:spacing w:after="0" w:line="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During 2019, we did not incur any non-cash losses on the early extinguishment of debt. During 2018, we incurred a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loss on the extinguishment of certain financing arrangements.</w:t>
      </w:r>
    </w:p>
    <w:p>
      <w:pPr>
        <w:spacing w:after="0" w:line="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Gain on disposition of assets and asset impairments, net. </w:t>
      </w:r>
      <w:r>
        <w:rPr>
          <w:rFonts w:ascii="Arial" w:cs="Arial" w:eastAsia="Arial" w:hAnsi="Arial"/>
          <w:sz w:val="18"/>
          <w:szCs w:val="18"/>
          <w:color w:val="auto"/>
        </w:rPr>
        <w:t>During 2019 and 2018, we recorded a net gain on disposition of assets and asset impairments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business divestitures of $14.7 million and $44.9 million, respectively.</w:t>
      </w:r>
    </w:p>
    <w:p>
      <w:pPr>
        <w:spacing w:after="0" w:line="49"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i w:val="1"/>
          <w:iCs w:val="1"/>
          <w:color w:val="auto"/>
        </w:rPr>
        <w:t xml:space="preserve">Acquisition integration and deal costs. </w:t>
      </w:r>
      <w:r>
        <w:rPr>
          <w:rFonts w:ascii="Arial" w:cs="Arial" w:eastAsia="Arial" w:hAnsi="Arial"/>
          <w:sz w:val="18"/>
          <w:szCs w:val="18"/>
          <w:color w:val="auto"/>
        </w:rPr>
        <w:t>Although our business regularly incurs costs related to acquisitions, we specifically identify in the table above</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and deal costs of $6.6 million incurred during 2019. We do this because of the magnitude of the costs associated with particular acquisition activity during 2019.</w:t>
      </w:r>
    </w:p>
    <w:p>
      <w:pPr>
        <w:spacing w:after="0" w:line="46"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i w:val="1"/>
          <w:iCs w:val="1"/>
          <w:color w:val="auto"/>
        </w:rPr>
        <w:t xml:space="preserve">Fire-damage related costs. </w:t>
      </w:r>
      <w:r>
        <w:rPr>
          <w:rFonts w:ascii="Arial" w:cs="Arial" w:eastAsia="Arial" w:hAnsi="Arial"/>
          <w:sz w:val="18"/>
          <w:szCs w:val="18"/>
          <w:color w:val="auto"/>
        </w:rPr>
        <w:t>During the three months ended December 31, 2019, certain of our owned and operated facilities in our Group 1 segment were</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separate fire-related events. Although our business may incur fire-related damage to our leased or owned property, plant and equipment from time to time, we specifically identify in the table above fire-damage related</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costs of $7.7 million incurred during 2019. We do this because of the magnitude of the costs incurred associated with these fires during 2019.</w:t>
      </w:r>
    </w:p>
    <w:p>
      <w:pPr>
        <w:spacing w:after="0" w:line="9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Incremental contract start-up costs - large municipal contract. </w:t>
      </w:r>
      <w:r>
        <w:rPr>
          <w:rFonts w:ascii="Arial" w:cs="Arial" w:eastAsia="Arial" w:hAnsi="Arial"/>
          <w:sz w:val="16"/>
          <w:szCs w:val="16"/>
          <w:color w:val="auto"/>
        </w:rPr>
        <w:t>Although our business regularly incurs startup costs under municipal contracts, we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identify in the table above the startup costs with respect to an individual municipal contract (and do not adjust for other startup costs under other contracts in 2019 or 2018). We do this because of the magnitude of the costs involved with this particular municipal contract and the unusual nature for the time period in which they were incurred. During 2019 and 2018, we incurred costs of $0.7 million and $5.7 million, respectively, related to the implementation of this large municipal contract. These costs did not meet the capitalization criteria prescribed by the new revenue recognition standard.</w:t>
      </w:r>
    </w:p>
    <w:p>
      <w:pPr>
        <w:spacing w:after="0" w:line="3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Adoption of the Tax Act. </w:t>
      </w:r>
      <w:r>
        <w:rPr>
          <w:rFonts w:ascii="Arial" w:cs="Arial" w:eastAsia="Arial" w:hAnsi="Arial"/>
          <w:sz w:val="18"/>
          <w:szCs w:val="18"/>
          <w:color w:val="auto"/>
        </w:rPr>
        <w:t>The Tax Act was enacted on December 22, 2017. Among other things, the Tax Act reduced the U.S. federal corporate tax rate from</w:t>
      </w:r>
      <w:r>
        <w:rPr>
          <w:rFonts w:ascii="Arial" w:cs="Arial" w:eastAsia="Arial" w:hAnsi="Arial"/>
          <w:sz w:val="18"/>
          <w:szCs w:val="18"/>
          <w:i w:val="1"/>
          <w:iCs w:val="1"/>
          <w:color w:val="auto"/>
        </w:rPr>
        <w:t xml:space="preserve"> </w:t>
      </w:r>
      <w:r>
        <w:rPr>
          <w:rFonts w:ascii="Arial" w:cs="Arial" w:eastAsia="Arial" w:hAnsi="Arial"/>
          <w:sz w:val="18"/>
          <w:szCs w:val="18"/>
          <w:color w:val="auto"/>
        </w:rPr>
        <w:t>35% to 21%. During 2018, we adjusted the provisional amounts recorded as of December 31, 2017 for the one-time transition tax, deferred taxes and uncertain tax positions. These adjustments increased our tax provision by $0.3 million.</w:t>
      </w:r>
    </w:p>
    <w:p>
      <w:pPr>
        <w:spacing w:after="0" w:line="6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Bridgeton insurance recovery, net. </w:t>
      </w:r>
      <w:r>
        <w:rPr>
          <w:rFonts w:ascii="Arial" w:cs="Arial" w:eastAsia="Arial" w:hAnsi="Arial"/>
          <w:sz w:val="18"/>
          <w:szCs w:val="18"/>
          <w:color w:val="auto"/>
        </w:rPr>
        <w:t>During 2019 and 2018, we collected insurance recoveries of $24.0 million and $40.0 million, respectively,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closed Bridgeton Landfill in Missouri, which we recognized as a reduction of remediation expenses in our cost of operations. In addition, we incurred $9.6 million and $12.0 million, respectively, of incremental costs attributable to the Bridgeton insurance recoveries.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Financial Guidance</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2020, we will continue to focus on managing the controllable aspects of our business by enhancing the quality of our revenue, investing in profitable growth opportunities and reducing costs. Our team remains focused on executing our strategy to deliver consistent earnings and free cash flow growth, and improve return on invested capital. We are committed to an efficient capital structure, maintaining our investment grade credit ratings and increasing cash returned to our shareholders.</w:t>
      </w:r>
    </w:p>
    <w:p>
      <w:pPr>
        <w:spacing w:after="0" w:line="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guidance is based on current economic conditions and does not assume any significant changes in the overall economy in 2020. Specific guidance follows: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expect 2020 revenue to increase by approximately 4.25 to 5.00% comprised of the following: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300" w:type="dxa"/>
            <w:vAlign w:val="bottom"/>
          </w:tcPr>
          <w:p>
            <w:pPr>
              <w:spacing w:after="0"/>
              <w:rPr>
                <w:sz w:val="18"/>
                <w:szCs w:val="18"/>
                <w:color w:val="auto"/>
              </w:rPr>
            </w:pPr>
          </w:p>
        </w:tc>
        <w:tc>
          <w:tcPr>
            <w:tcW w:w="2080" w:type="dxa"/>
            <w:vAlign w:val="bottom"/>
          </w:tcPr>
          <w:p>
            <w:pPr>
              <w:jc w:val="right"/>
              <w:ind w:right="650"/>
              <w:spacing w:after="0"/>
              <w:rPr>
                <w:sz w:val="20"/>
                <w:szCs w:val="20"/>
                <w:color w:val="auto"/>
              </w:rPr>
            </w:pPr>
            <w:r>
              <w:rPr>
                <w:rFonts w:ascii="Arial" w:cs="Arial" w:eastAsia="Arial" w:hAnsi="Arial"/>
                <w:sz w:val="18"/>
                <w:szCs w:val="18"/>
                <w:color w:val="auto"/>
              </w:rPr>
              <w:t>Increase</w:t>
            </w:r>
          </w:p>
        </w:tc>
      </w:tr>
      <w:tr>
        <w:trPr>
          <w:trHeight w:val="230"/>
        </w:trPr>
        <w:tc>
          <w:tcPr>
            <w:tcW w:w="9300" w:type="dxa"/>
            <w:vAlign w:val="bottom"/>
          </w:tcPr>
          <w:p>
            <w:pPr>
              <w:spacing w:after="0"/>
              <w:rPr>
                <w:sz w:val="20"/>
                <w:szCs w:val="20"/>
                <w:color w:val="auto"/>
              </w:rPr>
            </w:pP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(Decrease)</w:t>
            </w:r>
          </w:p>
        </w:tc>
      </w:tr>
      <w:tr>
        <w:trPr>
          <w:trHeight w:val="27"/>
        </w:trPr>
        <w:tc>
          <w:tcPr>
            <w:tcW w:w="93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yield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Volume</w:t>
            </w:r>
          </w:p>
        </w:tc>
        <w:tc>
          <w:tcPr>
            <w:tcW w:w="2080" w:type="dxa"/>
            <w:vAlign w:val="bottom"/>
          </w:tcPr>
          <w:p>
            <w:pPr>
              <w:jc w:val="right"/>
              <w:spacing w:after="0"/>
              <w:rPr>
                <w:sz w:val="20"/>
                <w:szCs w:val="20"/>
                <w:color w:val="auto"/>
              </w:rPr>
            </w:pPr>
            <w:r>
              <w:rPr>
                <w:rFonts w:ascii="Arial" w:cs="Arial" w:eastAsia="Arial" w:hAnsi="Arial"/>
                <w:sz w:val="18"/>
                <w:szCs w:val="18"/>
                <w:color w:val="auto"/>
              </w:rPr>
              <w:t>0.75 to 1.0</w:t>
            </w:r>
          </w:p>
        </w:tc>
      </w:tr>
      <w:tr>
        <w:trPr>
          <w:trHeight w:val="27"/>
        </w:trPr>
        <w:tc>
          <w:tcPr>
            <w:tcW w:w="9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 to 0.0</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Fuel recovery fees</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 processing and commodity sales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 to 0.0</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Acquisitions / divestitures, net</w:t>
            </w:r>
          </w:p>
        </w:tc>
        <w:tc>
          <w:tcPr>
            <w:tcW w:w="2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93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89"/>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 to 5.00%</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Changes in price are restricted on approximately 50% of our annual service revenue. The majority of these restricted pricing arrangements are tied to fluctuations in a specific index (primarily a consumer price index) as defined in the contract. The consumer price index varies from a single historical stated period of time or an average of trailing historical rates over a stated period of time. In addition, the initial effect of pricing resets typically lags 6 to 12 months from the end of the index measurement period to the date the revised pricing goes into effect. As a result, current changes in a specific index may not manifest themselves in our reported pricing for several quarters into the future.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Diluted Earnings per Share</w:t>
      </w:r>
    </w:p>
    <w:p>
      <w:pPr>
        <w:spacing w:after="0" w:line="9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following is a summary of anticipated adjusted diluted earnings per share for the year ending December 31, 2020 compared to the actual adjusted diluted earnings per share for the year ended December 31, 2019. Adjusted diluted earnings per share is not a measure determined in accordance with U.S. GAAP:</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(Anticipated)</w:t>
            </w:r>
          </w:p>
        </w:tc>
        <w:tc>
          <w:tcPr>
            <w:tcW w:w="180" w:type="dxa"/>
            <w:vAlign w:val="bottom"/>
          </w:tcPr>
          <w:p>
            <w:pPr>
              <w:spacing w:after="0"/>
              <w:rPr>
                <w:sz w:val="18"/>
                <w:szCs w:val="18"/>
                <w:color w:val="auto"/>
              </w:rPr>
            </w:pPr>
          </w:p>
        </w:tc>
        <w:tc>
          <w:tcPr>
            <w:tcW w:w="1880" w:type="dxa"/>
            <w:vAlign w:val="bottom"/>
          </w:tcPr>
          <w:p>
            <w:pPr>
              <w:jc w:val="right"/>
              <w:ind w:right="710"/>
              <w:spacing w:after="0"/>
              <w:rPr>
                <w:sz w:val="20"/>
                <w:szCs w:val="20"/>
                <w:color w:val="auto"/>
              </w:rPr>
            </w:pPr>
            <w:r>
              <w:rPr>
                <w:rFonts w:ascii="Arial" w:cs="Arial" w:eastAsia="Arial" w:hAnsi="Arial"/>
                <w:sz w:val="18"/>
                <w:szCs w:val="18"/>
                <w:color w:val="auto"/>
              </w:rPr>
              <w:t>(Actual)</w:t>
            </w:r>
          </w:p>
        </w:tc>
      </w:tr>
      <w:tr>
        <w:trPr>
          <w:trHeight w:val="216"/>
        </w:trPr>
        <w:tc>
          <w:tcPr>
            <w:tcW w:w="720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Year Ending</w:t>
            </w:r>
          </w:p>
        </w:tc>
        <w:tc>
          <w:tcPr>
            <w:tcW w:w="180" w:type="dxa"/>
            <w:vAlign w:val="bottom"/>
          </w:tcPr>
          <w:p>
            <w:pPr>
              <w:spacing w:after="0"/>
              <w:rPr>
                <w:sz w:val="18"/>
                <w:szCs w:val="18"/>
                <w:color w:val="auto"/>
              </w:rPr>
            </w:pP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Year Ended</w:t>
            </w:r>
          </w:p>
        </w:tc>
      </w:tr>
      <w:tr>
        <w:trPr>
          <w:trHeight w:val="230"/>
        </w:trPr>
        <w:tc>
          <w:tcPr>
            <w:tcW w:w="720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20"/>
                <w:szCs w:val="20"/>
                <w:color w:val="auto"/>
              </w:rPr>
            </w:pPr>
          </w:p>
        </w:tc>
        <w:tc>
          <w:tcPr>
            <w:tcW w:w="1880" w:type="dxa"/>
            <w:vAlign w:val="bottom"/>
          </w:tcPr>
          <w:p>
            <w:pPr>
              <w:jc w:val="right"/>
              <w:ind w:right="290"/>
              <w:spacing w:after="0"/>
              <w:rPr>
                <w:sz w:val="20"/>
                <w:szCs w:val="20"/>
                <w:color w:val="auto"/>
              </w:rPr>
            </w:pPr>
            <w:r>
              <w:rPr>
                <w:rFonts w:ascii="Arial" w:cs="Arial" w:eastAsia="Arial" w:hAnsi="Arial"/>
                <w:sz w:val="18"/>
                <w:szCs w:val="18"/>
                <w:color w:val="auto"/>
                <w:w w:val="93"/>
              </w:rPr>
              <w:t>December 31, 2019</w:t>
            </w:r>
          </w:p>
        </w:tc>
      </w:tr>
      <w:tr>
        <w:trPr>
          <w:trHeight w:val="27"/>
        </w:trPr>
        <w:tc>
          <w:tcPr>
            <w:tcW w:w="72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1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$ 3.44 to 3.49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3.33</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Withdrawal costs - multiemployer pension funds</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0.03</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Gain on business divestitures and impairments, net</w:t>
            </w:r>
          </w:p>
        </w:tc>
        <w:tc>
          <w:tcPr>
            <w:tcW w:w="2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(0.03)</w:t>
            </w:r>
          </w:p>
        </w:tc>
      </w:tr>
      <w:tr>
        <w:trPr>
          <w:trHeight w:val="27"/>
        </w:trPr>
        <w:tc>
          <w:tcPr>
            <w:tcW w:w="7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integration and deal costs</w:t>
            </w:r>
          </w:p>
        </w:tc>
        <w:tc>
          <w:tcPr>
            <w:tcW w:w="2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0.02</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Fire-damage related costs</w:t>
            </w:r>
          </w:p>
        </w:tc>
        <w:tc>
          <w:tcPr>
            <w:tcW w:w="2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0.02</w:t>
            </w:r>
          </w:p>
        </w:tc>
      </w:tr>
      <w:tr>
        <w:trPr>
          <w:trHeight w:val="27"/>
        </w:trPr>
        <w:tc>
          <w:tcPr>
            <w:tcW w:w="7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Incremental contract startup costs </w:t>
            </w:r>
            <w:r>
              <w:rPr>
                <w:rFonts w:ascii="Arial" w:cs="Arial" w:eastAsia="Arial" w:hAnsi="Arial"/>
                <w:sz w:val="23"/>
                <w:szCs w:val="23"/>
                <w:color w:val="auto"/>
                <w:vertAlign w:val="superscript"/>
              </w:rPr>
              <w:t>(1)</w:t>
            </w:r>
          </w:p>
        </w:tc>
        <w:tc>
          <w:tcPr>
            <w:tcW w:w="2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Bridgeton insurance recovery, net</w:t>
            </w:r>
          </w:p>
        </w:tc>
        <w:tc>
          <w:tcPr>
            <w:tcW w:w="2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(0.03)</w:t>
            </w:r>
          </w:p>
        </w:tc>
      </w:tr>
      <w:tr>
        <w:trPr>
          <w:trHeight w:val="27"/>
        </w:trPr>
        <w:tc>
          <w:tcPr>
            <w:tcW w:w="72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diluted earnings per share</w:t>
            </w:r>
          </w:p>
        </w:tc>
        <w:tc>
          <w:tcPr>
            <w:tcW w:w="21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$ 3.48 to 3.53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(1) The aggregate impact to adjusted diluted earnings per share totals to less than $0.01 for the year ended December 31, 2019.</w:t>
      </w:r>
    </w:p>
    <w:p>
      <w:pPr>
        <w:spacing w:after="0" w:line="16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2020 anticipated adjusted diluted earnings per share assumes an effective tax rate of approximately 21% and an approximately $110 million charge related to solar energy investments that qualify for tax credits. The charge will be recorded as a loss from unconsolidated equity method investments.</w:t>
      </w:r>
    </w:p>
    <w:p>
      <w:pPr>
        <w:spacing w:after="0" w:line="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believe that the presentation of adjusted diluted earnings per share, which excludes restructuring charges, (gain) loss on business divestitures and impairments, net, acquisition integration and deal costs, fire damage related costs, incremental contract startup costs, and certain insurance recoveries provides an understanding of operational activities before the financial effect of certain items. We use this measure, and believe investors will find it helpful, in understanding the ongoing performance of our operations separate from items that have a disproportionate effect on our results for a particular period. We have incurred comparable charges and costs in prior periods, and similar types of adjustments can reasonably be expected to be recorded in future periods. Our definition of adjusted diluted earnings per share may not be comparable to similarly titled measures presented by other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generate revenue primarily from our solid waste collection operations. Our remaining revenue is from other services, including transfer station, landfill disposal, recycling, and environmental services. Our residential, small-container and large-container collection operations in some markets are based on long-term contracts with municipalities. Certain of our municipal contracts have annual price escalation clauses that are tied to changes in an underlying base index such as a consumer price index. We generally provide small-container and large-container collection services to customers under contracts with terms up to three years. Our transfer stations and landfills generate revenue from disposal or tipping fees charged to third parties. Our recycling processing facilities generate revenue from tipping fees charged to third parties and the sale of recycled commodities. Our revenue from environmental services consists mainly of fees we charge for disposal of non-hazardous solid and liquid waste and in-plant services, such as transportation and logistics. Environmental services waste is generated from the by-product of oil and natural gas exploration and production activity. Additionally, it is generated by the daily operations of industrial, petrochemical and refining facilities, including maintenance, plant turnarounds and capital projects. Other revenue consists primarily of revenue from National Accounts, which represents the portion of revenue generated from nationwide or regional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reflects our revenue by service line for the years ended December 31, 2019 and 2018 (in millions of dollars and as a percentage of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gridSpan w:val="3"/>
          </w:tcPr>
          <w:p>
            <w:pPr>
              <w:jc w:val="right"/>
              <w:ind w:right="930"/>
              <w:spacing w:after="0"/>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2,271.9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2,236.5</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Small-container</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3,170.0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Large-container</w:t>
            </w:r>
          </w:p>
        </w:tc>
        <w:tc>
          <w:tcPr>
            <w:tcW w:w="3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2,249.6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2,184.7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360"/>
              <w:spacing w:after="0"/>
              <w:rPr>
                <w:sz w:val="20"/>
                <w:szCs w:val="20"/>
                <w:color w:val="auto"/>
              </w:rPr>
            </w:pPr>
            <w:r>
              <w:rPr>
                <w:rFonts w:ascii="Arial" w:cs="Arial" w:eastAsia="Arial" w:hAnsi="Arial"/>
                <w:sz w:val="18"/>
                <w:szCs w:val="18"/>
                <w:color w:val="auto"/>
              </w:rPr>
              <w:t>Total collection</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7,737.6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7,524.1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Less: intercompany</w:t>
            </w:r>
          </w:p>
        </w:tc>
        <w:tc>
          <w:tcPr>
            <w:tcW w:w="3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Transfer,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Landfill</w:t>
            </w:r>
          </w:p>
        </w:tc>
        <w:tc>
          <w:tcPr>
            <w:tcW w:w="3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2,328.8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intercompany</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120"/>
              <w:spacing w:after="0"/>
              <w:rPr>
                <w:sz w:val="20"/>
                <w:szCs w:val="20"/>
                <w:color w:val="auto"/>
              </w:rPr>
            </w:pPr>
            <w:r>
              <w:rPr>
                <w:rFonts w:ascii="Arial" w:cs="Arial" w:eastAsia="Arial" w:hAnsi="Arial"/>
                <w:sz w:val="18"/>
                <w:szCs w:val="18"/>
                <w:color w:val="auto"/>
              </w:rPr>
              <w:t>Landfill, net</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1,300.1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Recycling processing and commodity sales</w:t>
            </w:r>
          </w:p>
        </w:tc>
        <w:tc>
          <w:tcPr>
            <w:tcW w:w="32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7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vMerge w:val="continue"/>
            <w:shd w:val="clear" w:color="auto" w:fill="CCEEFF"/>
          </w:tcPr>
          <w:p>
            <w:pPr>
              <w:spacing w:after="0"/>
              <w:rPr>
                <w:sz w:val="10"/>
                <w:szCs w:val="10"/>
                <w:color w:val="auto"/>
              </w:rPr>
            </w:pPr>
          </w:p>
        </w:tc>
        <w:tc>
          <w:tcPr>
            <w:tcW w:w="1380" w:type="dxa"/>
            <w:vAlign w:val="bottom"/>
            <w:tcBorders>
              <w:bottom w:val="single" w:sz="8" w:color="CCEEFF"/>
            </w:tcBorders>
            <w:gridSpan w:val="3"/>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Other non-core</w:t>
            </w:r>
          </w:p>
        </w:tc>
        <w:tc>
          <w:tcPr>
            <w:tcW w:w="3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499.3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10,299.4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10,040.9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changes in components of our revenue, as a percentage of total revenue, for the years ended December 31, 2019 and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yield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7"/>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Fuel recovery fees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left="790"/>
              <w:spacing w:after="0"/>
              <w:rPr>
                <w:sz w:val="20"/>
                <w:szCs w:val="20"/>
                <w:color w:val="auto"/>
              </w:rPr>
            </w:pPr>
            <w:r>
              <w:rPr>
                <w:rFonts w:ascii="Arial" w:cs="Arial" w:eastAsia="Arial" w:hAnsi="Arial"/>
                <w:sz w:val="18"/>
                <w:szCs w:val="18"/>
                <w:color w:val="auto"/>
                <w:w w:val="87"/>
              </w:rPr>
              <w:t>0.6</w:t>
            </w:r>
          </w:p>
        </w:tc>
        <w:tc>
          <w:tcPr>
            <w:tcW w:w="180" w:type="dxa"/>
            <w:vAlign w:val="bottom"/>
          </w:tcPr>
          <w:p>
            <w:pPr>
              <w:spacing w:after="0"/>
              <w:rPr>
                <w:sz w:val="21"/>
                <w:szCs w:val="2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price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7"/>
              </w:rPr>
              <w:t>3.0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Volume</w:t>
            </w: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left="790"/>
              <w:spacing w:after="0"/>
              <w:rPr>
                <w:sz w:val="20"/>
                <w:szCs w:val="20"/>
                <w:color w:val="auto"/>
              </w:rPr>
            </w:pPr>
            <w:r>
              <w:rPr>
                <w:rFonts w:ascii="Arial" w:cs="Arial" w:eastAsia="Arial" w:hAnsi="Arial"/>
                <w:sz w:val="18"/>
                <w:szCs w:val="18"/>
                <w:color w:val="auto"/>
                <w:w w:val="87"/>
              </w:rPr>
              <w:t>0.4</w:t>
            </w:r>
          </w:p>
        </w:tc>
        <w:tc>
          <w:tcPr>
            <w:tcW w:w="18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Recycled commodities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97"/>
              </w:rPr>
              <w:t>(1.1)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Environmental Services</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left="790"/>
              <w:spacing w:after="0"/>
              <w:rPr>
                <w:sz w:val="20"/>
                <w:szCs w:val="20"/>
                <w:color w:val="auto"/>
              </w:rPr>
            </w:pPr>
            <w:r>
              <w:rPr>
                <w:rFonts w:ascii="Arial" w:cs="Arial" w:eastAsia="Arial" w:hAnsi="Arial"/>
                <w:sz w:val="18"/>
                <w:szCs w:val="18"/>
                <w:color w:val="auto"/>
                <w:w w:val="87"/>
              </w:rPr>
              <w:t>0.2</w:t>
            </w:r>
          </w:p>
        </w:tc>
        <w:tc>
          <w:tcPr>
            <w:tcW w:w="180" w:type="dxa"/>
            <w:vAlign w:val="bottom"/>
          </w:tcPr>
          <w:p>
            <w:pPr>
              <w:spacing w:after="0"/>
              <w:rPr>
                <w:sz w:val="21"/>
                <w:szCs w:val="2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internal growth</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7"/>
              </w:rPr>
              <w:t>2.5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Acquisitions / divestitures, net</w:t>
            </w: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left="790"/>
              <w:spacing w:after="0"/>
              <w:rPr>
                <w:sz w:val="20"/>
                <w:szCs w:val="20"/>
                <w:color w:val="auto"/>
              </w:rPr>
            </w:pPr>
            <w:r>
              <w:rPr>
                <w:rFonts w:ascii="Arial" w:cs="Arial" w:eastAsia="Arial" w:hAnsi="Arial"/>
                <w:sz w:val="18"/>
                <w:szCs w:val="18"/>
                <w:color w:val="auto"/>
                <w:w w:val="87"/>
              </w:rPr>
              <w:t>1.5</w:t>
            </w:r>
          </w:p>
        </w:tc>
        <w:tc>
          <w:tcPr>
            <w:tcW w:w="180" w:type="dxa"/>
            <w:vAlign w:val="bottom"/>
          </w:tcPr>
          <w:p>
            <w:pPr>
              <w:spacing w:after="0"/>
              <w:rPr>
                <w:sz w:val="21"/>
                <w:szCs w:val="2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7"/>
              </w:rPr>
              <w:t>4.0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Adoption of the new revenue recognition standard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left="770"/>
              <w:spacing w:after="0"/>
              <w:rPr>
                <w:sz w:val="20"/>
                <w:szCs w:val="20"/>
                <w:color w:val="auto"/>
              </w:rPr>
            </w:pPr>
            <w:r>
              <w:rPr>
                <w:rFonts w:ascii="Arial" w:cs="Arial" w:eastAsia="Arial" w:hAnsi="Arial"/>
                <w:sz w:val="18"/>
                <w:szCs w:val="18"/>
                <w:color w:val="auto"/>
                <w:w w:val="97"/>
              </w:rPr>
              <w:t>(4.0)</w:t>
            </w:r>
          </w:p>
        </w:tc>
        <w:tc>
          <w:tcPr>
            <w:tcW w:w="180" w:type="dxa"/>
            <w:vAlign w:val="bottom"/>
          </w:tcPr>
          <w:p>
            <w:pPr>
              <w:spacing w:after="0"/>
              <w:rPr>
                <w:sz w:val="21"/>
                <w:szCs w:val="2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89"/>
        </w:trPr>
        <w:tc>
          <w:tcPr>
            <w:tcW w:w="8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8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95"/>
        </w:trPr>
        <w:tc>
          <w:tcPr>
            <w:tcW w:w="8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Core price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7"/>
              </w:rPr>
              <w:t>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Average yield is defined as revenue growth from the change in average price per unit of service, expressed as a percentage. Core price is defined as price increases to our customers and fees, excluding fuel recovery, net of price decreases to retain customers. We also measure changes in average yield and core price as a percentage of related-business revenue, defined as total revenue excluding recycled commodities and fuel recovery fees, to determine the effectiveness of our pricing strategies. Average yield as a percentage of related-business revenue was 2.9% and 2.5% 2019 and 2018, respectively. Core price as a percentage of related-business revenue was 5.0% and 4.2% for 2019 and 2018,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During 2019, we experienced the following changes in our revenue as compared to 2018:</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yield increased revenue by 2.8% due to positive pricing in all lines of business.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right="320" w:hanging="328"/>
        <w:spacing w:after="0" w:line="342"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fuel recovery fee program, which mitigates our exposure to increases in fuel prices, increased revenue due to an increase in the total revenue subject to the fuel recovery fees. This increase was entirely offset by a decrease in fuel prices during 2019, compared to the same period in 2018.</w:t>
      </w:r>
    </w:p>
    <w:p>
      <w:pPr>
        <w:spacing w:after="0" w:line="15" w:lineRule="exact"/>
        <w:rPr>
          <w:rFonts w:ascii="Arial" w:cs="Arial" w:eastAsia="Arial" w:hAnsi="Arial"/>
          <w:sz w:val="16"/>
          <w:szCs w:val="16"/>
          <w:color w:val="auto"/>
        </w:rPr>
      </w:pPr>
    </w:p>
    <w:p>
      <w:pPr>
        <w:ind w:left="660" w:right="500" w:hanging="328"/>
        <w:spacing w:after="0" w:line="25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Volume decreased revenue by (0.4)% primarily due to declines in our residential and small-container collection lines of business. The volume declines in our collection lines of business were primarily due to certain non-regrettable losses during the year ended December 31, 2019 as compared to the same period in 2018. The volume decrease was partially offset by volume growth in our landfill and transfer station lines of business. The volume increase in our landfill line of business is primarily attributable to increased construction and demolition and solid waste volumes, which was partially offset by a decline in special waste volume.</w:t>
      </w:r>
    </w:p>
    <w:p>
      <w:pPr>
        <w:spacing w:after="0" w:line="66"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Recycling processing and commodity sales decreased revenue by (0.3)% primarily due to a decline in recycled commodity prices as compared to the same period in 2018. The average price for recycled commodities, excluding glass and organics for 2019 was $77 per ton compared to $104 per ton for 2018. During 2019 and 2018, 2.2 million and 2.4 million tons, excluding glass and organics, respectively, were sold after being processed in our recycling processing centers.</w:t>
      </w:r>
    </w:p>
    <w:p>
      <w:pPr>
        <w:spacing w:after="0" w:line="78" w:lineRule="exact"/>
        <w:rPr>
          <w:rFonts w:ascii="Arial" w:cs="Arial" w:eastAsia="Arial" w:hAnsi="Arial"/>
          <w:sz w:val="18"/>
          <w:szCs w:val="18"/>
          <w:color w:val="auto"/>
        </w:rPr>
      </w:pPr>
    </w:p>
    <w:p>
      <w:pPr>
        <w:ind w:left="660" w:right="100"/>
        <w:spacing w:after="0" w:line="264" w:lineRule="auto"/>
        <w:rPr>
          <w:rFonts w:ascii="Arial" w:cs="Arial" w:eastAsia="Arial" w:hAnsi="Arial"/>
          <w:sz w:val="18"/>
          <w:szCs w:val="18"/>
          <w:color w:val="auto"/>
        </w:rPr>
      </w:pPr>
      <w:r>
        <w:rPr>
          <w:rFonts w:ascii="Arial" w:cs="Arial" w:eastAsia="Arial" w:hAnsi="Arial"/>
          <w:sz w:val="18"/>
          <w:szCs w:val="18"/>
          <w:color w:val="auto"/>
        </w:rPr>
        <w:t>Changing market demand for recycled commodities causes volatility in commodity prices. At current volumes and mix of materials, we believe a $10 per ton change in the price of recycled commodities would change annual revenue and operating income by approximately $13 million and $13 million, respectively.</w:t>
      </w:r>
    </w:p>
    <w:p>
      <w:pPr>
        <w:spacing w:after="0" w:line="73"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services revenue decreased by (0.3)% primarily due to a decline in upstream exploration and production drilling activity and increased competition in the Permian Basin.</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net of divestitures, increased revenue by 0.8% due to our continued growth strategy of acquiring privately held solid waste, recycling and environmental services companies that complement our existing business platform.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Operations</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Cost of operations includes labor and related benefits, which consists of salaries and wages, health and welfare benefits, incentive compensation and payroll taxes. It also includes transfer and disposal costs representing tipping fees paid to third party disposal facilities and transfer stations; maintenance and repairs relating to our vehicles, equipment and containers, including related labor and benefit costs; transportation and subcontractor costs, which include costs for independent haulers that transport our waste to disposal facilities and costs for local operators who provide waste handling services associated with our National Accounts in markets outside our standard operating areas; fuel, which includes the direct cost of fuel used by our vehicles, net of fuel tax credits; disposal fees and taxes, consisting of landfill taxes, host community fees and royalties; landfill operating costs, which includes financial assurance, leachate disposal, remediation charges and other landfill maintenance costs; risk management costs, which include insurance premiums and claims; cost of goods sold, which includes material costs paid to suppliers; and other, which includes expenses such as facility operating costs, equipment rent and gains or losses on sale of assets used in our operations.</w:t>
      </w:r>
    </w:p>
    <w:p>
      <w:pPr>
        <w:spacing w:after="0" w:line="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the major components of our cost of operations for the years ended December 31, 2019 and 2018 (in millions of dollars and as a percentage of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3"/>
          </w:tcPr>
          <w:p>
            <w:pPr>
              <w:jc w:val="right"/>
              <w:ind w:right="830"/>
              <w:spacing w:after="0"/>
              <w:rPr>
                <w:sz w:val="20"/>
                <w:szCs w:val="20"/>
                <w:color w:val="auto"/>
              </w:rPr>
            </w:pPr>
            <w:r>
              <w:rPr>
                <w:rFonts w:ascii="Arial" w:cs="Arial" w:eastAsia="Arial" w:hAnsi="Arial"/>
                <w:sz w:val="18"/>
                <w:szCs w:val="18"/>
                <w:color w:val="auto"/>
                <w:w w:val="84"/>
              </w:rPr>
              <w:t>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3"/>
          </w:tcPr>
          <w:p>
            <w:pPr>
              <w:jc w:val="right"/>
              <w:ind w:right="830"/>
              <w:spacing w:after="0"/>
              <w:rPr>
                <w:sz w:val="20"/>
                <w:szCs w:val="20"/>
                <w:color w:val="auto"/>
              </w:rPr>
            </w:pPr>
            <w:r>
              <w:rPr>
                <w:rFonts w:ascii="Arial" w:cs="Arial" w:eastAsia="Arial" w:hAnsi="Arial"/>
                <w:sz w:val="18"/>
                <w:szCs w:val="18"/>
                <w:color w:val="auto"/>
                <w:w w:val="84"/>
              </w:rPr>
              <w:t>2018</w:t>
            </w:r>
          </w:p>
        </w:tc>
        <w:tc>
          <w:tcPr>
            <w:tcW w:w="180" w:type="dxa"/>
            <w:vAlign w:val="bottom"/>
          </w:tcPr>
          <w:p>
            <w:pPr>
              <w:spacing w:after="0"/>
              <w:rPr>
                <w:sz w:val="20"/>
                <w:szCs w:val="20"/>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Labor and related benefits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2,202.4</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2,144.3</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6180" w:type="dxa"/>
            <w:vAlign w:val="bottom"/>
          </w:tcPr>
          <w:p>
            <w:pPr>
              <w:ind w:left="120"/>
              <w:spacing w:after="0"/>
              <w:rPr>
                <w:sz w:val="20"/>
                <w:szCs w:val="20"/>
                <w:color w:val="auto"/>
              </w:rPr>
            </w:pPr>
            <w:r>
              <w:rPr>
                <w:rFonts w:ascii="Arial" w:cs="Arial" w:eastAsia="Arial" w:hAnsi="Arial"/>
                <w:sz w:val="18"/>
                <w:szCs w:val="18"/>
                <w:color w:val="auto"/>
              </w:rPr>
              <w:t>Transfer and disposal costs</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841.7</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829.3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Maintenance and repairs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1,006.2</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20"/>
              <w:spacing w:after="0"/>
              <w:rPr>
                <w:sz w:val="20"/>
                <w:szCs w:val="20"/>
                <w:color w:val="auto"/>
              </w:rPr>
            </w:pPr>
            <w:r>
              <w:rPr>
                <w:rFonts w:ascii="Arial" w:cs="Arial" w:eastAsia="Arial" w:hAnsi="Arial"/>
                <w:sz w:val="18"/>
                <w:szCs w:val="18"/>
                <w:color w:val="auto"/>
              </w:rPr>
              <w:t>Transportation and subcontract costs</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Fuel</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Disposal fees and taxes</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325.7</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Landfill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20"/>
              <w:spacing w:after="0"/>
              <w:rPr>
                <w:sz w:val="20"/>
                <w:szCs w:val="20"/>
                <w:color w:val="auto"/>
              </w:rPr>
            </w:pPr>
            <w:r>
              <w:rPr>
                <w:rFonts w:ascii="Arial" w:cs="Arial" w:eastAsia="Arial" w:hAnsi="Arial"/>
                <w:sz w:val="18"/>
                <w:szCs w:val="18"/>
                <w:color w:val="auto"/>
              </w:rPr>
              <w:t>Risk management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230.7</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61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6,314.8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6,190.0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Fire-damage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40"/>
              <w:spacing w:after="0"/>
              <w:rPr>
                <w:sz w:val="20"/>
                <w:szCs w:val="20"/>
                <w:color w:val="auto"/>
              </w:rPr>
            </w:pPr>
            <w:r>
              <w:rPr>
                <w:rFonts w:ascii="Arial" w:cs="Arial" w:eastAsia="Arial" w:hAnsi="Arial"/>
                <w:sz w:val="18"/>
                <w:szCs w:val="18"/>
                <w:color w:val="auto"/>
              </w:rPr>
              <w:t>Bridgeton insurance recovery</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9"/>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6,298.4</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6,150.0</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cost categories may change from time to time and may not be comparable to similarly titled categories used by other companies. As such, you should take care when comparing our cost of operations by cost component to that of other companies.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cost of operations increased in aggregate dollars for the year ended December 31, 2019 compared to the same period in 2018 as a result of the following:</w:t>
      </w:r>
    </w:p>
    <w:p>
      <w:pPr>
        <w:spacing w:after="0" w:line="140" w:lineRule="exact"/>
        <w:rPr>
          <w:sz w:val="20"/>
          <w:szCs w:val="20"/>
          <w:color w:val="auto"/>
        </w:rPr>
      </w:pPr>
    </w:p>
    <w:p>
      <w:pPr>
        <w:ind w:left="660" w:right="3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 and related benefits increased in aggregate dollars due to higher hourly and salaried wages as a result of annual merit increases along with additional headcount attributable to acquisition-related growth.</w:t>
      </w:r>
    </w:p>
    <w:p>
      <w:pPr>
        <w:spacing w:after="0" w:line="62" w:lineRule="exact"/>
        <w:rPr>
          <w:rFonts w:ascii="Arial" w:cs="Arial" w:eastAsia="Arial" w:hAnsi="Arial"/>
          <w:sz w:val="18"/>
          <w:szCs w:val="18"/>
          <w:color w:val="auto"/>
        </w:rPr>
      </w:pPr>
    </w:p>
    <w:p>
      <w:pPr>
        <w:ind w:left="660" w:right="120" w:hanging="328"/>
        <w:spacing w:after="0" w:line="26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and disposal costs increased in aggregate dollars primarily due to an increase in third party disposal rates and volumes disposed at third party facilities. During both the years ended December 31, 2019 and 2018, approximately 68% of the total waste volume we collected was disposed at landfill sites that we own or operate (internalization).</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Maintenance and repairs expense remained relatively consistent year over year as a percentage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Transportation and subcontract costs increased primarily due to increased third party transportation rates and acquisition related activity.</w:t>
      </w:r>
    </w:p>
    <w:p>
      <w:pPr>
        <w:spacing w:after="0" w:line="128" w:lineRule="exact"/>
        <w:rPr>
          <w:rFonts w:ascii="Arial" w:cs="Arial" w:eastAsia="Arial" w:hAnsi="Arial"/>
          <w:sz w:val="17"/>
          <w:szCs w:val="17"/>
          <w:color w:val="auto"/>
        </w:rPr>
      </w:pPr>
    </w:p>
    <w:p>
      <w:pPr>
        <w:ind w:left="660" w:right="100" w:hanging="328"/>
        <w:spacing w:after="0" w:line="26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Fuel costs decreased due to a decline in both fuel prices and collection volumes as well as compressed natural gas (CNG) tax credits that were enacted in December 2019, retroactively effective to January 2018, and recognized during the three months ended December 31, 2019. The national average cost per gallon for diesel fuel in 2019 was $3.06 compared to $3.18 for 2018.</w:t>
      </w:r>
    </w:p>
    <w:p>
      <w:pPr>
        <w:spacing w:after="0" w:line="73" w:lineRule="exact"/>
        <w:rPr>
          <w:rFonts w:ascii="Arial" w:cs="Arial" w:eastAsia="Arial" w:hAnsi="Arial"/>
          <w:sz w:val="18"/>
          <w:szCs w:val="18"/>
          <w:color w:val="auto"/>
        </w:rPr>
      </w:pPr>
    </w:p>
    <w:p>
      <w:pPr>
        <w:ind w:left="660" w:right="160"/>
        <w:spacing w:after="0" w:line="259" w:lineRule="auto"/>
        <w:rPr>
          <w:rFonts w:ascii="Arial" w:cs="Arial" w:eastAsia="Arial" w:hAnsi="Arial"/>
          <w:sz w:val="18"/>
          <w:szCs w:val="18"/>
          <w:color w:val="auto"/>
        </w:rPr>
      </w:pPr>
      <w:r>
        <w:rPr>
          <w:rFonts w:ascii="Arial" w:cs="Arial" w:eastAsia="Arial" w:hAnsi="Arial"/>
          <w:sz w:val="18"/>
          <w:szCs w:val="18"/>
          <w:color w:val="auto"/>
        </w:rPr>
        <w:t>At current consumption levels, we believe a twenty-cent per gallon change in the price of diesel fuel would change our fuel costs by approximately $26 million per year. Offsetting these changes in fuel expense would be changes in our fuel recovery fee charged to our customers. At current participation rates, we believe a twenty-cent per gallon change in the price of diesel fuel would change our fuel recovery fee by approximately $26 million per year.</w:t>
      </w:r>
    </w:p>
    <w:p>
      <w:pPr>
        <w:spacing w:after="0" w:line="78"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Landfill operating expenses increased in aggregate dollars due to increased leachate treatment, transportation and disposal costs, partially offset by certain favorable remediation adjustments.</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management expenses increased primarily due to an increase in premiums for our current year programs in part due to our acquisition-related activity.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costs of operations increased during 2019 primarily due to an increase in occupancy and facility costs. In addition, we recognized a gain on the sale of one of our operating facilities in 2018, which did not recur in 2019.</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three months ended December 31, 2019, we recognized $7.6 million of fire-related damage costs in our cost of operations that resulted from damage to our leased or owned property, plant and equipment in our Group 1 segment.</w:t>
      </w:r>
    </w:p>
    <w:p>
      <w:pPr>
        <w:spacing w:after="0" w:line="62" w:lineRule="exact"/>
        <w:rPr>
          <w:rFonts w:ascii="Arial" w:cs="Arial" w:eastAsia="Arial" w:hAnsi="Arial"/>
          <w:sz w:val="18"/>
          <w:szCs w:val="18"/>
          <w:color w:val="auto"/>
        </w:rPr>
      </w:pPr>
    </w:p>
    <w:p>
      <w:pPr>
        <w:ind w:left="660" w:right="100" w:hanging="328"/>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2019 and 2018, we collected favorable insurance recoveries of $24.0 million and $40.0 million, respectively, related to our closed Bridgeton Landfill. As such, we recorded a reduction of remediation expenses in our consolidated statements of income for the applicable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Depletion of Property and Equipment</w:t>
      </w:r>
    </w:p>
    <w:p>
      <w:pPr>
        <w:spacing w:after="0" w:line="1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depreciation, amortization and depletion of property and equipment for the years ended December 31, 2019 and 2018 (in millions of dollars and as a percentage of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3"/>
          </w:tcPr>
          <w:p>
            <w:pPr>
              <w:jc w:val="right"/>
              <w:ind w:right="760"/>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20"/>
                <w:szCs w:val="20"/>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property and equipment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Landfill depletion and amortization</w:t>
            </w:r>
          </w:p>
        </w:tc>
        <w:tc>
          <w:tcPr>
            <w:tcW w:w="32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325.6</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amortization and depletion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985.8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Depreciation and amortization of property and equipment increased in aggregate dollars primarily due to additional assets acquired with our acquisitions, partially offset by the full depreciation of certain assets recognized in our 2008 acquisition of Allied Waste Industries, Inc.</w:t>
      </w:r>
    </w:p>
    <w:p>
      <w:pPr>
        <w:spacing w:after="0" w:line="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Landfill depletion and amortization increased due to higher landfill disposal volumes primarily driven by increased construction and demolition and solid waste volumes coupled with an overall increase in our average depletion rate per ton.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Other Intangible Assets</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Expenses for amortization of other intangible assets were $20.4 million and $56.4 million for the years ended December 31, 2019 and 2018, respectively, or 0.2% of revenue for 2019 and 0.6% for 2018. Our other intangible assets primarily relate to customer relationships and, to a lesser extent, non-compete agreements. Amortization expense decreased primarily due to the full amortization of certain intangible assets recognized in our 2008 acquisition of Allied Waste Industries, Inc, partially offset by additional assets acquired in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Other Assets</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Expenses for amortization of other assets were $34.3 million, or 0.3% of revenue, for the year ended December 31, 2019, compared to $7.9 million, or 0.1% of revenue, for the same period in 2018. Our other assets primarily relate to the prepayment of fees and capitalized implementation costs associated with cloud-based hosting arrangements. Effective January 1, 2019, we adopted ASU 2018-15, </w:t>
      </w:r>
      <w:r>
        <w:rPr>
          <w:rFonts w:ascii="Arial" w:cs="Arial" w:eastAsia="Arial" w:hAnsi="Arial"/>
          <w:sz w:val="16"/>
          <w:szCs w:val="16"/>
          <w:i w:val="1"/>
          <w:iCs w:val="1"/>
          <w:color w:val="auto"/>
        </w:rPr>
        <w:t>Intangibles—Goodwill and Other—Internal-Use Software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350-40) No. 2018-15 Customer’s Accounting for Implementation Costs Incurred in a Cloud Computing Arrangement That Is a Service Contract </w:t>
      </w:r>
      <w:r>
        <w:rPr>
          <w:rFonts w:ascii="Arial" w:cs="Arial" w:eastAsia="Arial" w:hAnsi="Arial"/>
          <w:sz w:val="16"/>
          <w:szCs w:val="16"/>
          <w:color w:val="auto"/>
        </w:rPr>
        <w:t>(ASU 2018-</w:t>
      </w:r>
    </w:p>
    <w:p>
      <w:pPr>
        <w:spacing w:after="0" w:line="2" w:lineRule="exact"/>
        <w:rPr>
          <w:sz w:val="20"/>
          <w:szCs w:val="20"/>
          <w:color w:val="auto"/>
        </w:rPr>
      </w:pPr>
    </w:p>
    <w:p>
      <w:pPr>
        <w:ind w:right="480" w:firstLine="8"/>
        <w:spacing w:after="0" w:line="255" w:lineRule="auto"/>
        <w:tabs>
          <w:tab w:leader="none" w:pos="2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 prospective basis. During the year ended December 31, 2018, we recognized $20.2 million of amortization related to the prepayment of fees as selling, general and administrative expenses. During 2019, we recognized $23.8 million of amortization related to the prepayment of similar fees in amortization of other assets.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Expense</w:t>
      </w:r>
    </w:p>
    <w:p>
      <w:pPr>
        <w:spacing w:after="0" w:line="10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Accretion expense was $81.9 million and $80.7 million, or 0.8% of revenue, for the years ended December 31, 2019 and 2018, respectively. Accretion expense has remained relatively unchanged as our asset retirement obligations remained relatively consistent period over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Selling, general and administrative expenses include salaries, health and welfare benefits, and incentive compensation for corporate and field general management, field support functions, sales force, accounting and finance, legal, management information systems, and clerical and administrative departments. Other expenses include rent and office costs, fees for professional services provided by third parties, legal settlements, marketing, investor and community relations services, directors’ and officers’ insurance, general employee relocation, travel, entertainment and bank charges. Restructuring charges are excluded from selling, general and administrative expenses and are discussed separately.</w:t>
      </w:r>
    </w:p>
    <w:p>
      <w:pPr>
        <w:spacing w:after="0" w:line="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selling, general and administrative expenses for the years ended December 31, 2019 and 2018 (in millions of dollars and as a percentage of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gridSpan w:val="3"/>
          </w:tcPr>
          <w:p>
            <w:pPr>
              <w:jc w:val="right"/>
              <w:ind w:right="690"/>
              <w:spacing w:after="0"/>
              <w:rPr>
                <w:sz w:val="20"/>
                <w:szCs w:val="20"/>
                <w:color w:val="auto"/>
              </w:rPr>
            </w:pPr>
            <w:r>
              <w:rPr>
                <w:rFonts w:ascii="Arial" w:cs="Arial" w:eastAsia="Arial" w:hAnsi="Arial"/>
                <w:sz w:val="18"/>
                <w:szCs w:val="18"/>
                <w:color w:val="auto"/>
                <w:w w:val="84"/>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gridSpan w:val="3"/>
          </w:tcPr>
          <w:p>
            <w:pPr>
              <w:jc w:val="right"/>
              <w:ind w:right="670"/>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20"/>
                <w:szCs w:val="20"/>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67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1,047.5</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 integration and deal costs</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Bridgeton insurance recovery related costs</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selling, general and administrative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These cost categories may change from time to time and may not be comparable to similarly titled categories used by other companies. As such, you should take care when comparing our selling, general and administrative expenses by cost component to those of other companies.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our selling, general and administrative expenses during 2019 as compared to 2018 are summarized below:</w:t>
      </w:r>
    </w:p>
    <w:p>
      <w:pPr>
        <w:spacing w:after="0" w:line="117" w:lineRule="exact"/>
        <w:rPr>
          <w:sz w:val="20"/>
          <w:szCs w:val="20"/>
          <w:color w:val="auto"/>
        </w:rPr>
      </w:pPr>
    </w:p>
    <w:p>
      <w:pPr>
        <w:ind w:left="660" w:right="2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Salaries increased primarily due to higher incentive pay and wages, benefits, and other payroll related items resulting from annual merit increases, excluding the $9.6 million of incremental costs we incurred attributable to the Bridgeton Landfill insurance recovery.</w:t>
      </w:r>
    </w:p>
    <w:p>
      <w:pPr>
        <w:spacing w:after="0" w:line="62" w:lineRule="exact"/>
        <w:rPr>
          <w:rFonts w:ascii="Arial" w:cs="Arial" w:eastAsia="Arial" w:hAnsi="Arial"/>
          <w:sz w:val="18"/>
          <w:szCs w:val="18"/>
          <w:color w:val="auto"/>
        </w:rPr>
      </w:pPr>
    </w:p>
    <w:p>
      <w:pPr>
        <w:ind w:left="660" w:right="18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selling, general, and administrative expenses decreased primarily due to our adoption of ASU 2018-15. During the year ended December 31, 2018, we recognized $20.2 million of amortization related to the prepayment of certain fees as selling, general, and administrative expenses. The amortization for prepayments of similar fees was recognized as amortization of other assets during 2019. The decrease was partially offset by unfavorable legal settlements and consulting fees.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2019, we recognized $6.3 million of acquisition integration and deal costs as 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business divestitures and impairments, net</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strive to have a number one or number two market position in each of the markets we serve, or have a clear path on how we will achieve a leading market position over time. Where we cannot establish a leading market position, or where operations are not generating acceptable returns, we may decide to divest certain assets and reallocate resources to other markets. Asset or business divestitures could result in gains, losses or asset impairment charges that may be material to our results of operations in a given period.</w:t>
      </w:r>
    </w:p>
    <w:p>
      <w:pPr>
        <w:spacing w:after="0" w:line="52" w:lineRule="exact"/>
        <w:rPr>
          <w:sz w:val="20"/>
          <w:szCs w:val="20"/>
          <w:color w:val="auto"/>
        </w:rPr>
      </w:pPr>
    </w:p>
    <w:p>
      <w:pPr>
        <w:ind w:right="940"/>
        <w:spacing w:after="0" w:line="399" w:lineRule="auto"/>
        <w:rPr>
          <w:sz w:val="20"/>
          <w:szCs w:val="20"/>
          <w:color w:val="auto"/>
        </w:rPr>
      </w:pPr>
      <w:r>
        <w:rPr>
          <w:rFonts w:ascii="Arial" w:cs="Arial" w:eastAsia="Arial" w:hAnsi="Arial"/>
          <w:sz w:val="18"/>
          <w:szCs w:val="18"/>
          <w:color w:val="auto"/>
        </w:rPr>
        <w:t xml:space="preserve">During 2019 and 2018, we recorded a net gain on business divestitures, net of asset impairments of $14.7 million and $44.9 million, respectively. </w:t>
      </w:r>
      <w:r>
        <w:rPr>
          <w:rFonts w:ascii="Arial" w:cs="Arial" w:eastAsia="Arial" w:hAnsi="Arial"/>
          <w:sz w:val="18"/>
          <w:szCs w:val="18"/>
          <w:b w:val="1"/>
          <w:bCs w:val="1"/>
          <w:i w:val="1"/>
          <w:iCs w:val="1"/>
          <w:color w:val="auto"/>
        </w:rPr>
        <w:t>Restructuring Charges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January 2018, we eliminated certain positions following the consolidation of select back-office functions, including but not limited to the integration of our National Accounts support functions into our existing corporate support functions. These changes include a reduction in administrative staffing and the closure of certain office locations. During 2019, we incurred restructuring charges of $14.2 million that primarily related to the redesign of our back-office software systems. During 2018, we incurred restructuring charges of $26.4 million, that primarily consisted of severance and other employee termination benefits and the closure of offices with non-cancelable terms. We paid $10.6 million and $24.7 million during 2019 and 2018, respectively, related to these restructuring efforts.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the components of interest expense, including accretion of debt discounts and accretion of discounts primarily associated with environmental and risk insurance liabilities assumed in acquisitions (in millions of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349.4</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Non-cash interest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41.2</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r>
      <w:tr>
        <w:trPr>
          <w:trHeight w:val="237"/>
        </w:trPr>
        <w:tc>
          <w:tcPr>
            <w:tcW w:w="866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383.8</w:t>
            </w:r>
          </w:p>
        </w:tc>
      </w:tr>
      <w:tr>
        <w:trPr>
          <w:trHeight w:val="27"/>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Effective January 1, 2019, we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842 or the new leasing standard) using the optional transition method prescribed by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Under the new leasing standard, we will present variable lease costs associated with our finance leases as a component of non-cash interest expense. Variable lease costs are recognized in our consolidated statement of income in the period incurred. As such, we expect non-cash interest expense to fluctuate each period as the variable elements of these arrangements become known and the cost is incurred.</w:t>
      </w:r>
    </w:p>
    <w:p>
      <w:pPr>
        <w:spacing w:after="0" w:line="5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Total interest expense for 2019 increased compared to 2018 primarily due to the increase in variable lease payments made in accordance with certain of our finance leases. During 2019 and 2018, cash paid for interest, excluding net swap settlements for our fixed to floating interest rate swaps, was $346.8 million and $351.0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2019, we incurred no non-cash loss on the early extinguishment of debt. During 2018, we incurred a $0.3 million loss on the extinguishment of certain financing arrangements.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provision for income taxes was $222.0 million and $283.3 million for 2019 and 2018, respectively. Our effective income tax rate was 17.1% and 21.5% for 2019 and 2018, respectively. We made income tax payments (net of refunds) of approximately $31 million and $210 million for 2019 and 2018, respectively. Cash paid for income taxes (net of refunds) for 2019 was favorably affected by 100% equipment deductions and tax credits related to our investment in solar energy assets.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During 2019, we acquired non-controlling interests in limited liability companies established to construct solar energy assets that qualified for investment tax credits under Section 48 of the Internal Revenue Code. We account for these investments using the equity method of accounting and recognize our share of income or loss and other reductions in the value of our investments in the </w:t>
      </w:r>
      <w:r>
        <w:rPr>
          <w:rFonts w:ascii="Arial" w:cs="Arial" w:eastAsia="Arial" w:hAnsi="Arial"/>
          <w:sz w:val="17"/>
          <w:szCs w:val="17"/>
          <w:i w:val="1"/>
          <w:iCs w:val="1"/>
          <w:color w:val="auto"/>
        </w:rPr>
        <w:t>Loss from unconsolidated equity method investments</w:t>
      </w:r>
      <w:r>
        <w:rPr>
          <w:rFonts w:ascii="Arial" w:cs="Arial" w:eastAsia="Arial" w:hAnsi="Arial"/>
          <w:sz w:val="17"/>
          <w:szCs w:val="17"/>
          <w:color w:val="auto"/>
        </w:rPr>
        <w:t xml:space="preserve"> within our consolidated statements of income. For further discussion regarding our equity method accounting, see Note 3, </w:t>
      </w:r>
      <w:r>
        <w:rPr>
          <w:rFonts w:ascii="Arial" w:cs="Arial" w:eastAsia="Arial" w:hAnsi="Arial"/>
          <w:sz w:val="17"/>
          <w:szCs w:val="17"/>
          <w:i w:val="1"/>
          <w:iCs w:val="1"/>
          <w:color w:val="auto"/>
        </w:rPr>
        <w:t>Business Acquisitions, Investments and Restructuring</w:t>
      </w:r>
      <w:r>
        <w:rPr>
          <w:rFonts w:ascii="Arial" w:cs="Arial" w:eastAsia="Arial" w:hAnsi="Arial"/>
          <w:sz w:val="17"/>
          <w:szCs w:val="17"/>
          <w:color w:val="auto"/>
        </w:rPr>
        <w:t xml:space="preserve"> </w:t>
      </w:r>
      <w:r>
        <w:rPr>
          <w:rFonts w:ascii="Arial" w:cs="Arial" w:eastAsia="Arial" w:hAnsi="Arial"/>
          <w:sz w:val="17"/>
          <w:szCs w:val="17"/>
          <w:i w:val="1"/>
          <w:iCs w:val="1"/>
          <w:color w:val="auto"/>
        </w:rPr>
        <w:t>Charges</w:t>
      </w:r>
      <w:r>
        <w:rPr>
          <w:rFonts w:ascii="Arial" w:cs="Arial" w:eastAsia="Arial" w:hAnsi="Arial"/>
          <w:sz w:val="17"/>
          <w:szCs w:val="17"/>
          <w:color w:val="auto"/>
        </w:rPr>
        <w:t>, of the notes to our consolidated financial statements in Item 8 of this Form 10-K. Our 2019 tax provision reflects a benefit of approximately $84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due to the tax credits related to these investments. In addition, our 2019 tax provision was reduced by $13.4 million due to the realization of additional federal and state benefits as well as adjustments to deferred taxes due to the completion of our 2018 tax returns and also reduced by $12.3 million due to excess tax benefits related to stock compensation.</w:t>
      </w:r>
    </w:p>
    <w:p>
      <w:pPr>
        <w:spacing w:after="0" w:line="4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2018 tax provision was reduced by $12.1 million due to excess tax benefits, approximately $50 million related to the tax credits from our non-controlling interests in limited liability companies established to construct solar energy assets, and approximately $6 million due to the realization of tax credits and lower state rates due to changes in estimates following the completion of our 2017 tax returns.</w:t>
      </w:r>
    </w:p>
    <w:p>
      <w:pPr>
        <w:spacing w:after="0" w:line="6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have deferred tax assets related to state net operating loss carryforwards with an estimated tax effect of approximately $111 million available as of December 31, 2019. These state net operating loss carryforwards expire at various times between 2019 and 2039. We believe that it is more likely than not that the benefit from some of our state net operating loss carryforwards will not be realized due to limitations on these loss carryforwards in certain states. In recognition of this risk, as of December 31, 2019, we have provided a valuation allowance of approximately $67 million.</w:t>
      </w:r>
    </w:p>
    <w:p>
      <w:pPr>
        <w:spacing w:after="0" w:line="5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a result of the recent changes in U.S. tax law, as well as our ongoing efforts to streamline and maximize the efficiency of our tax footprint, we could further adjust our valuation allowance in a future period if there is sufficient evidence to support a conclusion that it is more likely than not that certain of the state net operating loss carryforwards, on which we currently provide a valuation allowance, would be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senior management evaluates, oversees and manages the financial performance of our operations through two field groups, referred to as Group 1 and Group 2. Group 1 primarily consists of geographic areas located in the western United States, and Group 2 primarily consists of geographic areas located in the southeastern and mid-western United States, and the eastern seaboard of the United States.</w:t>
      </w:r>
    </w:p>
    <w:p>
      <w:pPr>
        <w:spacing w:after="0" w:line="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two field groups, Group 1 and Group 2, are presented below as our reportable segments, which provide integrated waste management services consisting of non-hazardous solid waste collection, transfer, recycling, disposal and environmental services.</w:t>
      </w:r>
    </w:p>
    <w:p>
      <w:pPr>
        <w:spacing w:after="0" w:line="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years ended December 31, 2019 and 2018 is shown in the following table (in millions of dollars and as a percentage of revenue in the case of operating margin):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Depreciation,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Adjustments to</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Depletion and</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Amortization</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Accretion Before</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Expense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Depreciation,</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Gain (Loss) on</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Adjustments for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for Asset</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Amortization,</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Disposition of</w:t>
            </w:r>
          </w:p>
        </w:tc>
        <w:tc>
          <w:tcPr>
            <w:tcW w:w="220" w:type="dxa"/>
            <w:vAlign w:val="bottom"/>
          </w:tcPr>
          <w:p>
            <w:pPr>
              <w:spacing w:after="0"/>
              <w:rPr>
                <w:sz w:val="12"/>
                <w:szCs w:val="12"/>
                <w:color w:val="auto"/>
              </w:rPr>
            </w:pPr>
          </w:p>
        </w:tc>
        <w:tc>
          <w:tcPr>
            <w:tcW w:w="10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Operating</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Asset Retirement</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Retirement</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Depletion and</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Assets and</w:t>
            </w:r>
          </w:p>
        </w:tc>
        <w:tc>
          <w:tcPr>
            <w:tcW w:w="220" w:type="dxa"/>
            <w:vAlign w:val="bottom"/>
          </w:tcPr>
          <w:p>
            <w:pPr>
              <w:spacing w:after="0"/>
              <w:rPr>
                <w:sz w:val="12"/>
                <w:szCs w:val="12"/>
                <w:color w:val="auto"/>
              </w:rPr>
            </w:pPr>
          </w:p>
        </w:tc>
        <w:tc>
          <w:tcPr>
            <w:tcW w:w="10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1"/>
              </w:rPr>
              <w:t>Income</w:t>
            </w:r>
          </w:p>
        </w:tc>
        <w:tc>
          <w:tcPr>
            <w:tcW w:w="120" w:type="dxa"/>
            <w:vAlign w:val="bottom"/>
          </w:tcPr>
          <w:p>
            <w:pPr>
              <w:spacing w:after="0"/>
              <w:rPr>
                <w:sz w:val="12"/>
                <w:szCs w:val="12"/>
                <w:color w:val="auto"/>
              </w:rPr>
            </w:pPr>
          </w:p>
        </w:tc>
        <w:tc>
          <w:tcPr>
            <w:tcW w:w="11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Operating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Revenue</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Obligations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Obligations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Accretion</w:t>
            </w: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Impairments, Net</w:t>
            </w:r>
          </w:p>
        </w:tc>
        <w:tc>
          <w:tcPr>
            <w:tcW w:w="220" w:type="dxa"/>
            <w:vAlign w:val="bottom"/>
          </w:tcPr>
          <w:p>
            <w:pPr>
              <w:spacing w:after="0"/>
              <w:rPr>
                <w:sz w:val="16"/>
                <w:szCs w:val="16"/>
                <w:color w:val="auto"/>
              </w:rPr>
            </w:pP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7"/>
              </w:rPr>
              <w:t>(Loss)</w:t>
            </w:r>
          </w:p>
        </w:tc>
        <w:tc>
          <w:tcPr>
            <w:tcW w:w="120" w:type="dxa"/>
            <w:vAlign w:val="bottom"/>
          </w:tcPr>
          <w:p>
            <w:pPr>
              <w:spacing w:after="0"/>
              <w:rPr>
                <w:sz w:val="16"/>
                <w:szCs w:val="16"/>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Margin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20" w:type="dxa"/>
            <w:vAlign w:val="bottom"/>
          </w:tcPr>
          <w:p>
            <w:pPr>
              <w:ind w:left="180"/>
              <w:spacing w:after="0"/>
              <w:rPr>
                <w:sz w:val="20"/>
                <w:szCs w:val="20"/>
                <w:color w:val="auto"/>
              </w:rPr>
            </w:pPr>
            <w:r>
              <w:rPr>
                <w:rFonts w:ascii="Arial" w:cs="Arial" w:eastAsia="Arial" w:hAnsi="Arial"/>
                <w:sz w:val="14"/>
                <w:szCs w:val="14"/>
                <w:color w:val="auto"/>
              </w:rPr>
              <w:t>Group 1</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5,001.9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506.0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center"/>
              <w:ind w:left="488"/>
              <w:spacing w:after="0"/>
              <w:rPr>
                <w:sz w:val="20"/>
                <w:szCs w:val="20"/>
                <w:color w:val="auto"/>
              </w:rPr>
            </w:pPr>
            <w:r>
              <w:rPr>
                <w:rFonts w:ascii="Arial" w:cs="Arial" w:eastAsia="Arial" w:hAnsi="Arial"/>
                <w:sz w:val="14"/>
                <w:szCs w:val="14"/>
                <w:color w:val="auto"/>
                <w:w w:val="92"/>
              </w:rPr>
              <w:t>(12.2)</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493.8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1,234.6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24.7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9"/>
        </w:trPr>
        <w:tc>
          <w:tcPr>
            <w:tcW w:w="1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Group 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5,142.5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2"/>
              </w:rPr>
              <w:t>(21.5)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7"/>
        </w:trPr>
        <w:tc>
          <w:tcPr>
            <w:tcW w:w="18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Corporate entities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w w:val="87"/>
              </w:rPr>
              <w:t>22.8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(408.8)</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10,299.4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1,133.3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w w:val="92"/>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1,122.4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1,787.2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Group 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2"/>
              </w:rPr>
              <w:t>(15.5)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1,156.9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7"/>
        </w:trPr>
        <w:tc>
          <w:tcPr>
            <w:tcW w:w="1820" w:type="dxa"/>
            <w:vAlign w:val="bottom"/>
          </w:tcPr>
          <w:p>
            <w:pPr>
              <w:ind w:left="180"/>
              <w:spacing w:after="0"/>
              <w:rPr>
                <w:sz w:val="20"/>
                <w:szCs w:val="20"/>
                <w:color w:val="auto"/>
              </w:rPr>
            </w:pPr>
            <w:r>
              <w:rPr>
                <w:rFonts w:ascii="Arial" w:cs="Arial" w:eastAsia="Arial" w:hAnsi="Arial"/>
                <w:sz w:val="14"/>
                <w:szCs w:val="14"/>
                <w:color w:val="auto"/>
              </w:rPr>
              <w:t>Group 2</w:t>
            </w:r>
          </w:p>
        </w:tc>
        <w:tc>
          <w:tcPr>
            <w:tcW w:w="2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5,071.0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511.5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left="488"/>
              <w:spacing w:after="0"/>
              <w:rPr>
                <w:sz w:val="20"/>
                <w:szCs w:val="20"/>
                <w:color w:val="auto"/>
              </w:rPr>
            </w:pPr>
            <w:r>
              <w:rPr>
                <w:rFonts w:ascii="Arial" w:cs="Arial" w:eastAsia="Arial" w:hAnsi="Arial"/>
                <w:sz w:val="14"/>
                <w:szCs w:val="14"/>
                <w:color w:val="auto"/>
                <w:w w:val="92"/>
              </w:rPr>
              <w:t>(17.8)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493.7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938.5</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18.5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9"/>
        </w:trPr>
        <w:tc>
          <w:tcPr>
            <w:tcW w:w="1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entities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08"/>
              <w:spacing w:after="0"/>
              <w:rPr>
                <w:sz w:val="20"/>
                <w:szCs w:val="20"/>
                <w:color w:val="auto"/>
              </w:rPr>
            </w:pPr>
            <w:r>
              <w:rPr>
                <w:rFonts w:ascii="Arial" w:cs="Arial" w:eastAsia="Arial" w:hAnsi="Arial"/>
                <w:sz w:val="14"/>
                <w:szCs w:val="14"/>
                <w:color w:val="auto"/>
                <w:w w:val="87"/>
              </w:rPr>
              <w:t>20.1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(359.6)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20" w:type="dxa"/>
            <w:vAlign w:val="bottom"/>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10,040.9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1,127.3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w w:val="92"/>
              </w:rPr>
              <w:t>(13.2)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1,114.1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1,735.8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Corporate entities include legal, tax, treasury, information technology, risk management, human resources, closed landfills and other administrative functions. National Accounts revenue included in corporate entities represents the portion of revenue generated from nationwide and regional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760"/>
        <w:spacing w:after="0" w:line="391" w:lineRule="auto"/>
        <w:rPr>
          <w:sz w:val="20"/>
          <w:szCs w:val="20"/>
          <w:color w:val="auto"/>
        </w:rPr>
      </w:pPr>
      <w:r>
        <w:rPr>
          <w:rFonts w:ascii="Arial" w:cs="Arial" w:eastAsia="Arial" w:hAnsi="Arial"/>
          <w:sz w:val="18"/>
          <w:szCs w:val="18"/>
          <w:color w:val="auto"/>
        </w:rPr>
        <w:t xml:space="preserve">Significant changes in the revenue and operating margins of our reportable segments for 2019 compared to 2018 are discussed below. </w:t>
      </w:r>
      <w:r>
        <w:rPr>
          <w:rFonts w:ascii="Arial" w:cs="Arial" w:eastAsia="Arial" w:hAnsi="Arial"/>
          <w:sz w:val="18"/>
          <w:szCs w:val="18"/>
          <w:i w:val="1"/>
          <w:iCs w:val="1"/>
          <w:color w:val="auto"/>
        </w:rPr>
        <w:t>Group 1</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for 2019 increased 3.9% from 2018 primarily due to an increase in average yield in all lines of business and increased volumes in our collection and transfer station lines of business. These increases were partially offset by volume declines in our landfill line of business, primarily attributable to special waste volumes.</w:t>
      </w:r>
    </w:p>
    <w:p>
      <w:pPr>
        <w:spacing w:after="0" w:line="6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income for Group 1 increased from $1,156.9 million for 2018, or a 24.0% operating margin, to $1,234.6 million for 2019, or a 24.7% operating margin. The following cost categories impacted our operating income margin:</w:t>
      </w:r>
    </w:p>
    <w:p>
      <w:pPr>
        <w:spacing w:after="0" w:line="62" w:lineRule="exact"/>
        <w:rPr>
          <w:sz w:val="20"/>
          <w:szCs w:val="20"/>
          <w:color w:val="auto"/>
        </w:rPr>
      </w:pPr>
    </w:p>
    <w:p>
      <w:pPr>
        <w:jc w:val="both"/>
        <w:ind w:left="660" w:right="120" w:hanging="328"/>
        <w:spacing w:after="0" w:line="26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operations favorably impacted operating income margin during 2019, primarily due to a decrease in labor and related benefits, maintenance and repairs expenses, and fuel costs as a result of CNG tax credits that were enacted in December 2019 and retroactively effective to January 2018, offset by an increase in transportation and subcontract costs and landfill operating expenses.</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Landfill depletion and amortization favorably impacted operating income margin during 2019, primarily due to a decline in overall landfill volumes. The decrease was partially offset by an increase in our overall depletion rate and favorable amortization adjustments related to our asset retirement obligations during 2018 compared to the adjustments recognized in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Group 2</w:t>
      </w:r>
    </w:p>
    <w:p>
      <w:pPr>
        <w:spacing w:after="0" w:line="10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Revenue for 2019 increased 1.4% from 2018 primarily due to positive pricing in all lines of business and an increase in volume in our landfill line of business, which was partially offset by volume declines in our collection and transfer station lines of business.</w:t>
      </w:r>
    </w:p>
    <w:p>
      <w:pPr>
        <w:spacing w:after="0" w:line="3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Operating income for Group 2 increased from $938.5 million for 2018, or a 18.5% operating margin, to $961.4 million for 2019, or an 18.7% operating margin. The following cost categories impacted our operating income margin:</w:t>
      </w:r>
    </w:p>
    <w:p>
      <w:pPr>
        <w:spacing w:after="0" w:line="62" w:lineRule="exact"/>
        <w:rPr>
          <w:sz w:val="20"/>
          <w:szCs w:val="20"/>
          <w:color w:val="auto"/>
        </w:rPr>
      </w:pPr>
    </w:p>
    <w:p>
      <w:pPr>
        <w:ind w:left="660" w:hanging="328"/>
        <w:spacing w:after="0" w:line="26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operations favorably impacted operating income margin during 2019, primarily due to declines in our transfer and disposal costs and fuel costs as a result of CNG tax credits that were enacted in December 2019 and retroactively effective to January 2018, partially offset by an increase in landfill operating expenses.</w:t>
      </w:r>
    </w:p>
    <w:p>
      <w:pPr>
        <w:spacing w:after="0" w:line="73" w:lineRule="exact"/>
        <w:rPr>
          <w:rFonts w:ascii="Arial" w:cs="Arial" w:eastAsia="Arial" w:hAnsi="Arial"/>
          <w:sz w:val="18"/>
          <w:szCs w:val="18"/>
          <w:color w:val="auto"/>
        </w:rPr>
      </w:pPr>
    </w:p>
    <w:p>
      <w:pPr>
        <w:ind w:left="660" w:right="80" w:hanging="328"/>
        <w:spacing w:after="0" w:line="26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Landfill depletion and amortization unfavorably impacted operating income margin during 2019, primarily due to an increase in our overall average depletion rate, partially offset by favorable amortization adjustments to our asset retirement obligations during 2019 compared to the adjustments recognized in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Entities</w:t>
      </w:r>
    </w:p>
    <w:p>
      <w:pPr>
        <w:spacing w:after="0" w:line="104"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Operating loss in our Corporate Entities increased from $359.6 million for 2018 to $408.8 million for 2019. The operating loss for 2019 was unfavorably impacted by a lower gain on the disposition of assets in 2019 as compared to the same period in 2018. Additionally, we collected an insurance recovery of $24.0 million related to our closed Bridgeton Landfill during 2019, as compared to the insurance recovery $40.0 million recognized in the same period in 2018. These recoveries were offset by $9.6 million and $12.0 million, respectfully, of incremental costs attributable to the recoveries.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and Environmental Matters</w:t>
      </w:r>
    </w:p>
    <w:p>
      <w:pPr>
        <w:spacing w:after="0" w:line="10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landfill costs include daily operating expenses, costs of capital for cell development, costs for final capping, closure and post-closure, and the legal and administrative costs of ongoing environmental compliance. Daily operating expenses include leachate treatment, transportation and disposal costs, methane gas and groundwater monitoring and system maintenance costs, interim cap maintenance costs, and costs associated with applying daily cover materials. We expense all indirect landfill development costs as they are incurred. We use life cycle accounting and the units-of-consumption method to recognize certain direct landfill costs related to landfill development. In life cycle accounting, certain direct costs are capitalized and charged to depletion expense based on the consumption of cubic yards of available airspace. These costs include all costs to acquire and construct a site, including excavation, natural and synthetic liners, construction of leachate collection systems, installation of methane gas collection and monitoring systems, installation of groundwater monitoring wells, and other costs associated with acquiring and developing the site. Obligations associated with final capping, closure and post-closure are capitalized and amortized on a units-of-consumption basis as airspace is consumed.</w:t>
      </w:r>
    </w:p>
    <w:p>
      <w:pPr>
        <w:spacing w:after="0" w:line="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Cost and airspace estimates are developed at least annually by engineers. Our operating and accounting personnel use these estimates to adjust the rates we use to expense capitalized costs. Changes in these estimates primarily relate to changes in costs, available airspace, inflation and applicable regulations. Changes in available airspace include changes in engineering estimates, changes in design and changes due to the addition of airspace lying in expansion areas that we believe have a probable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likelihood of being permitted. Changes in engineering estimates typically include modifications to the available disposal capacity of a landfill based on a refinement of the capacity calculations resulting from updated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Airspace</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2019 and 2018 we owned or operated 189 and 190 active solid waste landfills, respectively, with total available disposal capacity estimated to be 5.0 billion and 5.1 billion in-place cubic yards, respectively. For these landfills, the following table reflects changes in capacity and remaining capacity, as measured in cubic yards of airspace: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Landfills</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Balance as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9"/>
              </w:rPr>
              <w:t>New</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Acquired,</w:t>
            </w:r>
          </w:p>
        </w:tc>
        <w:tc>
          <w:tcPr>
            <w:tcW w:w="164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Permits Granted /</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Changes in</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Expansions</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Net of</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2"/>
              </w:rPr>
              <w:t>New Sites,</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Airspace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Engineering</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Balance as of</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Undertaken</w:t>
            </w: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Divestitures</w:t>
            </w:r>
          </w:p>
        </w:tc>
        <w:tc>
          <w:tcPr>
            <w:tcW w:w="1640" w:type="dxa"/>
            <w:vAlign w:val="bottom"/>
          </w:tcPr>
          <w:p>
            <w:pPr>
              <w:jc w:val="center"/>
              <w:spacing w:after="0"/>
              <w:rPr>
                <w:sz w:val="20"/>
                <w:szCs w:val="20"/>
                <w:color w:val="auto"/>
              </w:rPr>
            </w:pPr>
            <w:r>
              <w:rPr>
                <w:rFonts w:ascii="Arial" w:cs="Arial" w:eastAsia="Arial" w:hAnsi="Arial"/>
                <w:sz w:val="14"/>
                <w:szCs w:val="14"/>
                <w:color w:val="auto"/>
                <w:w w:val="93"/>
              </w:rPr>
              <w:t>Net of Closures</w:t>
            </w: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Consumed</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Estimates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December 31, 2019</w:t>
            </w:r>
          </w:p>
        </w:tc>
        <w:tc>
          <w:tcPr>
            <w:tcW w:w="0" w:type="dxa"/>
            <w:vAlign w:val="bottom"/>
          </w:tcPr>
          <w:p>
            <w:pPr>
              <w:spacing w:after="0"/>
              <w:rPr>
                <w:sz w:val="1"/>
                <w:szCs w:val="1"/>
                <w:color w:val="auto"/>
              </w:rPr>
            </w:pPr>
          </w:p>
        </w:tc>
      </w:tr>
      <w:tr>
        <w:trPr>
          <w:trHeight w:val="189"/>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Cubic yards (in millions):</w:t>
            </w: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80" w:type="dxa"/>
            <w:vAlign w:val="bottom"/>
          </w:tcPr>
          <w:p>
            <w:pPr>
              <w:ind w:left="120"/>
              <w:spacing w:after="0"/>
              <w:rPr>
                <w:sz w:val="20"/>
                <w:szCs w:val="20"/>
                <w:color w:val="auto"/>
              </w:rPr>
            </w:pPr>
            <w:r>
              <w:rPr>
                <w:rFonts w:ascii="Arial" w:cs="Arial" w:eastAsia="Arial" w:hAnsi="Arial"/>
                <w:sz w:val="14"/>
                <w:szCs w:val="14"/>
                <w:color w:val="auto"/>
              </w:rPr>
              <w:t>Permitted airspace</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4,736.8</w:t>
            </w:r>
          </w:p>
        </w:tc>
        <w:tc>
          <w:tcPr>
            <w:tcW w:w="1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35.0</w:t>
            </w:r>
          </w:p>
        </w:tc>
        <w:tc>
          <w:tcPr>
            <w:tcW w:w="1200" w:type="dxa"/>
            <w:vAlign w:val="bottom"/>
            <w:gridSpan w:val="2"/>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4,673.0</w:t>
            </w: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Probable expansion airspace</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341.2</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321.7</w:t>
            </w: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Arial" w:cs="Arial" w:eastAsia="Arial" w:hAnsi="Arial"/>
                <w:sz w:val="14"/>
                <w:szCs w:val="14"/>
                <w:color w:val="auto"/>
              </w:rPr>
              <w:t>Total cubic yards (in millions)</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5,078.0</w:t>
            </w:r>
          </w:p>
        </w:tc>
        <w:tc>
          <w:tcPr>
            <w:tcW w:w="12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16.9</w:t>
            </w:r>
          </w:p>
        </w:tc>
        <w:tc>
          <w:tcPr>
            <w:tcW w:w="1200" w:type="dxa"/>
            <w:vAlign w:val="bottom"/>
            <w:gridSpan w:val="2"/>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6"/>
                <w:szCs w:val="16"/>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4,994.7</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sites:</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tcPr>
          <w:p>
            <w:pPr>
              <w:ind w:left="120"/>
              <w:spacing w:after="0"/>
              <w:rPr>
                <w:sz w:val="20"/>
                <w:szCs w:val="20"/>
                <w:color w:val="auto"/>
              </w:rPr>
            </w:pPr>
            <w:r>
              <w:rPr>
                <w:rFonts w:ascii="Arial" w:cs="Arial" w:eastAsia="Arial" w:hAnsi="Arial"/>
                <w:sz w:val="14"/>
                <w:szCs w:val="14"/>
                <w:color w:val="auto"/>
              </w:rPr>
              <w:t>Permitted airspace</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Probable expansion airspace</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color w:val="auto"/>
              </w:rPr>
              <w:t>Landfills</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1"/>
        </w:trPr>
        <w:tc>
          <w:tcPr>
            <w:tcW w:w="2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Balance as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9"/>
              </w:rPr>
              <w:t>New</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Acquired,</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2"/>
              </w:rPr>
              <w:t>Permits Granted /</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Changes in</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Expansions</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Net of</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2"/>
              </w:rPr>
              <w:t>New Sites,</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Airspace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Engineering</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Balance as of</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Undertaken</w:t>
            </w: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Divestitures</w:t>
            </w:r>
          </w:p>
        </w:tc>
        <w:tc>
          <w:tcPr>
            <w:tcW w:w="1640" w:type="dxa"/>
            <w:vAlign w:val="bottom"/>
          </w:tcPr>
          <w:p>
            <w:pPr>
              <w:jc w:val="center"/>
              <w:spacing w:after="0"/>
              <w:rPr>
                <w:sz w:val="20"/>
                <w:szCs w:val="20"/>
                <w:color w:val="auto"/>
              </w:rPr>
            </w:pPr>
            <w:r>
              <w:rPr>
                <w:rFonts w:ascii="Arial" w:cs="Arial" w:eastAsia="Arial" w:hAnsi="Arial"/>
                <w:sz w:val="14"/>
                <w:szCs w:val="14"/>
                <w:color w:val="auto"/>
                <w:w w:val="93"/>
              </w:rPr>
              <w:t>Net of Closures</w:t>
            </w: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Consumed</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Estimates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December 31, 2018</w:t>
            </w:r>
          </w:p>
        </w:tc>
        <w:tc>
          <w:tcPr>
            <w:tcW w:w="0" w:type="dxa"/>
            <w:vAlign w:val="bottom"/>
          </w:tcPr>
          <w:p>
            <w:pPr>
              <w:spacing w:after="0"/>
              <w:rPr>
                <w:sz w:val="1"/>
                <w:szCs w:val="1"/>
                <w:color w:val="auto"/>
              </w:rPr>
            </w:pPr>
          </w:p>
        </w:tc>
      </w:tr>
      <w:tr>
        <w:trPr>
          <w:trHeight w:val="189"/>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Cubic yards (in millions):</w:t>
            </w: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80" w:type="dxa"/>
            <w:vAlign w:val="bottom"/>
          </w:tcPr>
          <w:p>
            <w:pPr>
              <w:ind w:left="120"/>
              <w:spacing w:after="0"/>
              <w:rPr>
                <w:sz w:val="20"/>
                <w:szCs w:val="20"/>
                <w:color w:val="auto"/>
              </w:rPr>
            </w:pPr>
            <w:r>
              <w:rPr>
                <w:rFonts w:ascii="Arial" w:cs="Arial" w:eastAsia="Arial" w:hAnsi="Arial"/>
                <w:sz w:val="14"/>
                <w:szCs w:val="14"/>
                <w:color w:val="auto"/>
              </w:rPr>
              <w:t>Permitted airspace</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4,735.7</w:t>
            </w:r>
          </w:p>
        </w:tc>
        <w:tc>
          <w:tcPr>
            <w:tcW w:w="1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85.1</w:t>
            </w:r>
          </w:p>
        </w:tc>
        <w:tc>
          <w:tcPr>
            <w:tcW w:w="1200" w:type="dxa"/>
            <w:vAlign w:val="bottom"/>
            <w:gridSpan w:val="2"/>
          </w:tcPr>
          <w:p>
            <w:pPr>
              <w:jc w:val="right"/>
              <w:ind w:right="2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4,736.8</w:t>
            </w: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Probable expansion airspace</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350.3</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57.3</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341.2</w:t>
            </w: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Arial" w:cs="Arial" w:eastAsia="Arial" w:hAnsi="Arial"/>
                <w:sz w:val="14"/>
                <w:szCs w:val="14"/>
                <w:color w:val="auto"/>
              </w:rPr>
              <w:t>Total cubic yards (in millions)</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5,086.0</w:t>
            </w:r>
          </w:p>
        </w:tc>
        <w:tc>
          <w:tcPr>
            <w:tcW w:w="12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57.3</w:t>
            </w: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18.7</w:t>
            </w:r>
          </w:p>
        </w:tc>
        <w:tc>
          <w:tcPr>
            <w:tcW w:w="1200" w:type="dxa"/>
            <w:vAlign w:val="bottom"/>
            <w:gridSpan w:val="2"/>
          </w:tcPr>
          <w:p>
            <w:pPr>
              <w:jc w:val="right"/>
              <w:ind w:right="2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5,078.0</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sites:</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tcPr>
          <w:p>
            <w:pPr>
              <w:ind w:left="120"/>
              <w:spacing w:after="0"/>
              <w:rPr>
                <w:sz w:val="20"/>
                <w:szCs w:val="20"/>
                <w:color w:val="auto"/>
              </w:rPr>
            </w:pPr>
            <w:r>
              <w:rPr>
                <w:rFonts w:ascii="Arial" w:cs="Arial" w:eastAsia="Arial" w:hAnsi="Arial"/>
                <w:sz w:val="14"/>
                <w:szCs w:val="14"/>
                <w:color w:val="auto"/>
              </w:rPr>
              <w:t>Permitted airspace</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Probable expansion airspace</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Total available disposal capacity represents the sum of estimated permitted airspace plus an estimate of probable expansion airspace. Engineers develop these estimates at least annually using information provided by annual aerial surveys. Before airspace included in an expansion area is determined to be probable expansion airspace and, therefore, included in our calculation of total available disposal capacity, it must meet all of our expansion criteria. See Note 2,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and Note 8,</w:t>
      </w:r>
      <w:r>
        <w:rPr>
          <w:rFonts w:ascii="Arial" w:cs="Arial" w:eastAsia="Arial" w:hAnsi="Arial"/>
          <w:sz w:val="18"/>
          <w:szCs w:val="18"/>
          <w:i w:val="1"/>
          <w:iCs w:val="1"/>
          <w:color w:val="auto"/>
        </w:rPr>
        <w:t xml:space="preserve"> Landfill and Environmental Costs</w:t>
      </w:r>
      <w:r>
        <w:rPr>
          <w:rFonts w:ascii="Arial" w:cs="Arial" w:eastAsia="Arial" w:hAnsi="Arial"/>
          <w:sz w:val="18"/>
          <w:szCs w:val="18"/>
          <w:color w:val="auto"/>
        </w:rPr>
        <w:t>, of the notes to our consolidated financial statements in Item 8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this Form 10-K for further information. Also see our </w:t>
      </w:r>
      <w:r>
        <w:rPr>
          <w:rFonts w:ascii="Arial" w:cs="Arial" w:eastAsia="Arial" w:hAnsi="Arial"/>
          <w:sz w:val="18"/>
          <w:szCs w:val="18"/>
          <w:i w:val="1"/>
          <w:iCs w:val="1"/>
          <w:color w:val="auto"/>
        </w:rPr>
        <w:t>Critical Accounting Judgments and Estimates</w:t>
      </w:r>
      <w:r>
        <w:rPr>
          <w:rFonts w:ascii="Arial" w:cs="Arial" w:eastAsia="Arial" w:hAnsi="Arial"/>
          <w:sz w:val="18"/>
          <w:szCs w:val="18"/>
          <w:color w:val="auto"/>
        </w:rPr>
        <w:t xml:space="preserve"> section of this Management's Discussion and Analysis of Financial Condition and Results of Operations.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2019, 12 of our landfills met all of our criteria for including their probable expansion airspace in their total available disposal capacity. At projected annual volumes, these 12 landfills have an estimated remaining average site life of 57 years, including probable expansion airspace. The average estimated remaining life of all of our landfills is 62 years. We have other expansion opportunities that are not included in our total available airspace because they do not meet all of our criteria for treatment as probable expansion airspace.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reflects the estimated operating lives of our active landfill sites based on available and probable disposal capacity using current annual volumes as of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Number</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of Sites</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of Sites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without</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with</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Probable</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Probable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86"/>
              </w:rPr>
              <w:t>Percent</w:t>
            </w:r>
          </w:p>
        </w:tc>
        <w:tc>
          <w:tcPr>
            <w:tcW w:w="2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Expansion</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Expansion</w:t>
            </w: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200" w:type="dxa"/>
            <w:vAlign w:val="bottom"/>
          </w:tcPr>
          <w:p>
            <w:pPr>
              <w:jc w:val="center"/>
              <w:ind w:left="110"/>
              <w:spacing w:after="0"/>
              <w:rPr>
                <w:sz w:val="20"/>
                <w:szCs w:val="20"/>
                <w:color w:val="auto"/>
              </w:rPr>
            </w:pPr>
            <w:r>
              <w:rPr>
                <w:rFonts w:ascii="Arial" w:cs="Arial" w:eastAsia="Arial" w:hAnsi="Arial"/>
                <w:sz w:val="18"/>
                <w:szCs w:val="18"/>
                <w:color w:val="auto"/>
              </w:rPr>
              <w:t>of</w:t>
            </w:r>
          </w:p>
        </w:tc>
        <w:tc>
          <w:tcPr>
            <w:tcW w:w="20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Airspace</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Airspace</w:t>
            </w:r>
          </w:p>
        </w:tc>
        <w:tc>
          <w:tcPr>
            <w:tcW w:w="1400" w:type="dxa"/>
            <w:vAlign w:val="bottom"/>
            <w:gridSpan w:val="2"/>
          </w:tcPr>
          <w:p>
            <w:pPr>
              <w:ind w:left="480"/>
              <w:spacing w:after="0"/>
              <w:rPr>
                <w:sz w:val="20"/>
                <w:szCs w:val="20"/>
                <w:color w:val="auto"/>
              </w:rPr>
            </w:pPr>
            <w:r>
              <w:rPr>
                <w:rFonts w:ascii="Arial" w:cs="Arial" w:eastAsia="Arial" w:hAnsi="Arial"/>
                <w:sz w:val="18"/>
                <w:szCs w:val="18"/>
                <w:color w:val="auto"/>
              </w:rPr>
              <w:t>Sites</w:t>
            </w:r>
          </w:p>
        </w:tc>
        <w:tc>
          <w:tcPr>
            <w:tcW w:w="1200" w:type="dxa"/>
            <w:vAlign w:val="bottom"/>
          </w:tcPr>
          <w:p>
            <w:pPr>
              <w:jc w:val="center"/>
              <w:ind w:left="11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20"/>
                <w:szCs w:val="20"/>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 to 5 years</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6 to 10 years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 to 20 years</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21 to 40 years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41+ years</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7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
        </w:trPr>
        <w:tc>
          <w:tcPr>
            <w:tcW w:w="5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9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As of December 31, 2019, accrued final capping, closure and post-closure costs were $1,335.6 million, of which $75.8 million were current and $1,259.8 million were long-term as reflected in our consolidated balance sheets in accrued landfill and environmental costs included in Item 8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and Other Charges for Landfill Matters</w:t>
      </w:r>
    </w:p>
    <w:p>
      <w:pPr>
        <w:spacing w:after="0" w:line="10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It is reasonably possible that we will need to adjust our accrued landfill and environmental liabilities to reflect the effects of new or additional information, to the extent that such information impacts the costs, timing or duration of the required actions. Future changes in our estimates of the costs, timing or duration of the required actions could have a material adverse effect on our consolidated financial position, results of operations and cash flows.</w:t>
      </w:r>
    </w:p>
    <w:p>
      <w:pPr>
        <w:spacing w:after="0" w:line="25" w:lineRule="exact"/>
        <w:rPr>
          <w:sz w:val="20"/>
          <w:szCs w:val="20"/>
          <w:color w:val="auto"/>
        </w:rPr>
      </w:pPr>
    </w:p>
    <w:p>
      <w:pPr>
        <w:ind w:right="100"/>
        <w:spacing w:after="0" w:line="334" w:lineRule="auto"/>
        <w:rPr>
          <w:sz w:val="20"/>
          <w:szCs w:val="20"/>
          <w:color w:val="auto"/>
        </w:rPr>
      </w:pPr>
      <w:r>
        <w:rPr>
          <w:rFonts w:ascii="Arial" w:cs="Arial" w:eastAsia="Arial" w:hAnsi="Arial"/>
          <w:sz w:val="16"/>
          <w:szCs w:val="16"/>
          <w:color w:val="auto"/>
        </w:rPr>
        <w:t>During 2019 and 2018, we collected insurance recoveries of $24.0 million and $40.0 million, respectively, related to our closed Bridgeton Landfill in Missouri. As such, we recorded a reduction of remediation expenses included in our cost of operations during the years ended December 31, 2019 and 2018.</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For a description of our significant remediation matters, see Note 8,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xml:space="preserve"> of the notes to our consolidated financial statements in Item 8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Landfills</w:t>
      </w:r>
    </w:p>
    <w:p>
      <w:pPr>
        <w:spacing w:after="0" w:line="10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of December 31, 2019, we expect to spend an estimated additional $9.5 billion on existing landfills, primarily related to cell construction and environmental structures, over their remaining lives. Our total expected investment, excluding non-depletable land, estimated to be $13.4 billion, or $2.68 per cubic yard, is used in determining our depletion and amortization expense based on airspace consumed using the units-of-consumption method.</w:t>
      </w:r>
    </w:p>
    <w:p>
      <w:pPr>
        <w:sectPr>
          <w:pgSz w:w="11900" w:h="16838" w:orient="portrait"/>
          <w:cols w:equalWidth="0" w:num="1">
            <w:col w:w="11380"/>
          </w:cols>
          <w:pgMar w:left="240" w:top="118" w:right="27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our future expected investment as of December 31, 2019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1348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48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Non-depletable landfill land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Landfill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486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Construction-in-progress - landfill</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Accumulated depletion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486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4860" cy="15430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investment in landfill land and development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Balance as of</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Expected</w:t>
            </w:r>
          </w:p>
        </w:tc>
        <w:tc>
          <w:tcPr>
            <w:tcW w:w="200" w:type="dxa"/>
            <w:vAlign w:val="bottom"/>
          </w:tcPr>
          <w:p>
            <w:pPr>
              <w:spacing w:after="0"/>
              <w:rPr>
                <w:sz w:val="14"/>
                <w:szCs w:val="14"/>
                <w:color w:val="auto"/>
              </w:rPr>
            </w:pP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6"/>
              </w:rPr>
              <w:t>Total</w:t>
            </w:r>
          </w:p>
        </w:tc>
      </w:tr>
      <w:tr>
        <w:trPr>
          <w:trHeight w:val="149"/>
        </w:trPr>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December 31,</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Future</w:t>
            </w:r>
          </w:p>
        </w:tc>
        <w:tc>
          <w:tcPr>
            <w:tcW w:w="200" w:type="dxa"/>
            <w:vAlign w:val="bottom"/>
          </w:tcPr>
          <w:p>
            <w:pPr>
              <w:spacing w:after="0"/>
              <w:rPr>
                <w:sz w:val="12"/>
                <w:szCs w:val="12"/>
                <w:color w:val="auto"/>
              </w:rPr>
            </w:pPr>
          </w:p>
        </w:tc>
        <w:tc>
          <w:tcPr>
            <w:tcW w:w="10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2"/>
              </w:rPr>
              <w:t>Expected</w:t>
            </w:r>
          </w:p>
        </w:tc>
      </w:tr>
      <w:tr>
        <w:trPr>
          <w:trHeight w:val="188"/>
        </w:trPr>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color w:val="auto"/>
                <w:w w:val="93"/>
              </w:rPr>
              <w:t>Investment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3"/>
              </w:rPr>
              <w:t>Investment</w:t>
            </w:r>
          </w:p>
        </w:tc>
      </w:tr>
      <w:tr>
        <w:trPr>
          <w:trHeight w:val="190"/>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170.5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170.5</w:t>
            </w:r>
          </w:p>
        </w:tc>
      </w:tr>
      <w:tr>
        <w:trPr>
          <w:trHeight w:val="203"/>
        </w:trPr>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7,474.7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4"/>
                <w:szCs w:val="14"/>
                <w:color w:val="auto"/>
              </w:rPr>
              <w:t>9,494.3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16,969.0</w:t>
            </w:r>
          </w:p>
        </w:tc>
      </w:tr>
      <w:tr>
        <w:trPr>
          <w:trHeight w:val="270"/>
        </w:trPr>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366.8</w:t>
            </w:r>
          </w:p>
        </w:tc>
      </w:tr>
      <w:tr>
        <w:trPr>
          <w:trHeight w:val="276"/>
        </w:trPr>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(3,968.6)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(3,968.6)</w:t>
            </w:r>
          </w:p>
        </w:tc>
      </w:tr>
      <w:tr>
        <w:trPr>
          <w:trHeight w:val="196"/>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4,043.4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4"/>
                <w:szCs w:val="14"/>
                <w:color w:val="auto"/>
              </w:rPr>
              <w:t>9,494.3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13,537.7</w:t>
            </w:r>
          </w:p>
        </w:tc>
      </w:tr>
      <w:tr>
        <w:trPr>
          <w:trHeight w:val="27"/>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20" w:space="520"/>
            <w:col w:w="3740"/>
          </w:cols>
          <w:pgMar w:left="240" w:top="118" w:right="27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reflects our net investment in our landfills, excluding non-depletable land, and our depletion, amortization and accretion expense for the years ended December 31,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landfills owned or operated</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investment, excluding non-depletable land (in millions)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80" w:type="dxa"/>
            <w:vAlign w:val="bottom"/>
            <w:vMerge w:val="continue"/>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3,872.9</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3,758.0</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estimated available disposal capacity (in millions of cubic yards)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4,994.7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5,078.0</w:t>
            </w:r>
          </w:p>
        </w:tc>
        <w:tc>
          <w:tcPr>
            <w:tcW w:w="0" w:type="dxa"/>
            <w:vAlign w:val="bottom"/>
          </w:tcPr>
          <w:p>
            <w:pPr>
              <w:spacing w:after="0"/>
              <w:rPr>
                <w:sz w:val="1"/>
                <w:szCs w:val="1"/>
                <w:color w:val="auto"/>
              </w:rPr>
            </w:pPr>
          </w:p>
        </w:tc>
      </w:tr>
      <w:tr>
        <w:trPr>
          <w:trHeight w:val="190"/>
        </w:trPr>
        <w:tc>
          <w:tcPr>
            <w:tcW w:w="8680" w:type="dxa"/>
            <w:vAlign w:val="bottom"/>
          </w:tcPr>
          <w:p>
            <w:pPr>
              <w:ind w:left="20"/>
              <w:spacing w:after="0"/>
              <w:rPr>
                <w:sz w:val="20"/>
                <w:szCs w:val="20"/>
                <w:color w:val="auto"/>
              </w:rPr>
            </w:pPr>
            <w:r>
              <w:rPr>
                <w:rFonts w:ascii="Arial" w:cs="Arial" w:eastAsia="Arial" w:hAnsi="Arial"/>
                <w:sz w:val="14"/>
                <w:szCs w:val="14"/>
                <w:color w:val="auto"/>
              </w:rPr>
              <w:t>Net investment per cubic yard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0.78</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Landfill depletion and amortization expense (in millions)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333.0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325.6</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Accretion expense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414.9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406.3</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Airspace consumed (in millions of cubic yards)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Depletion, amortization and accretion expense per cubic yard of airspace consumed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During 2019 and 2018, our average compaction rate was approximately 2,000 pounds per cubic yard based on a three-year historical moving average.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reflect the activity in our property and equipment accounts for the years ended December 31, 2019 and 2018 (in millions of dollars):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Land</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Non-depletable landfill land</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Landfill development costs</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Vehicles and equipment </w:t>
      </w:r>
      <w:r>
        <w:rPr>
          <w:rFonts w:ascii="Arial" w:cs="Arial" w:eastAsia="Arial" w:hAnsi="Arial"/>
          <w:sz w:val="9"/>
          <w:szCs w:val="9"/>
          <w:color w:val="auto"/>
        </w:rPr>
        <w:t>(1)</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4"/>
          <w:szCs w:val="14"/>
          <w:color w:val="auto"/>
        </w:rPr>
        <w:t>Buildings and improvements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Construction-in-progress - landfill</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 xml:space="preserve">Construction-in-progress - other </w:t>
      </w:r>
      <w:r>
        <w:rPr>
          <w:rFonts w:ascii="Arial" w:cs="Arial" w:eastAsia="Arial" w:hAnsi="Arial"/>
          <w:sz w:val="8"/>
          <w:szCs w:val="8"/>
          <w:color w:val="auto"/>
        </w:rPr>
        <w:t>(1)</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Gross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58229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Non-Cash</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Adjustments</w:t>
            </w: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Impairments,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Balance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for</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Transfers</w:t>
            </w:r>
          </w:p>
        </w:tc>
        <w:tc>
          <w:tcPr>
            <w:tcW w:w="12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Balance</w:t>
            </w:r>
          </w:p>
        </w:tc>
      </w:tr>
      <w:tr>
        <w:trPr>
          <w:trHeight w:val="149"/>
        </w:trPr>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as of</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Acquisitions,</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for Asset</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and</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r>
      <w:tr>
        <w:trPr>
          <w:trHeight w:val="149"/>
        </w:trPr>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2"/>
                <w:szCs w:val="12"/>
                <w:color w:val="auto"/>
              </w:rPr>
            </w:pPr>
          </w:p>
        </w:tc>
        <w:tc>
          <w:tcPr>
            <w:tcW w:w="8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Net of</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3"/>
              </w:rPr>
              <w:t>December 31,</w:t>
            </w:r>
          </w:p>
        </w:tc>
      </w:tr>
      <w:tr>
        <w:trPr>
          <w:trHeight w:val="188"/>
        </w:trPr>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Retirements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Divestitures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Obligations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7"/>
              </w:rPr>
              <w:t>Obligations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Adjustments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2019</w:t>
            </w:r>
          </w:p>
        </w:tc>
      </w:tr>
      <w:tr>
        <w:trPr>
          <w:trHeight w:val="190"/>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443.6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448.3</w:t>
            </w:r>
          </w:p>
        </w:tc>
      </w:tr>
      <w:tr>
        <w:trPr>
          <w:trHeight w:val="203"/>
        </w:trPr>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170.5</w:t>
            </w:r>
          </w:p>
        </w:tc>
      </w:tr>
      <w:tr>
        <w:trPr>
          <w:trHeight w:val="203"/>
        </w:trPr>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7,106.0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318.7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7,474.7</w:t>
            </w:r>
          </w:p>
        </w:tc>
      </w:tr>
      <w:tr>
        <w:trPr>
          <w:trHeight w:val="203"/>
        </w:trPr>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7,377.3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679.2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7,766.0</w:t>
            </w:r>
          </w:p>
        </w:tc>
      </w:tr>
      <w:tr>
        <w:trPr>
          <w:trHeight w:val="203"/>
        </w:trPr>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1,279.8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1,342.6</w:t>
            </w:r>
          </w:p>
        </w:tc>
      </w:tr>
      <w:tr>
        <w:trPr>
          <w:trHeight w:val="203"/>
        </w:trPr>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287.9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399.2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366.8</w:t>
            </w:r>
          </w:p>
        </w:tc>
      </w:tr>
      <w:tr>
        <w:trPr>
          <w:trHeight w:val="222"/>
        </w:trPr>
        <w:tc>
          <w:tcPr>
            <w:tcW w:w="120" w:type="dxa"/>
            <w:vAlign w:val="bottom"/>
          </w:tcPr>
          <w:p>
            <w:pPr>
              <w:spacing w:after="0"/>
              <w:rPr>
                <w:sz w:val="19"/>
                <w:szCs w:val="19"/>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87.7</w:t>
            </w:r>
          </w:p>
        </w:tc>
      </w:tr>
      <w:tr>
        <w:trPr>
          <w:trHeight w:val="196"/>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16,752.0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1,217.6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(414.4)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17,656.6</w:t>
            </w:r>
          </w:p>
        </w:tc>
      </w:tr>
      <w:tr>
        <w:trPr>
          <w:trHeight w:val="27"/>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-1088390</wp:posOffset>
            </wp:positionV>
            <wp:extent cx="718629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295" cy="13716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-822960</wp:posOffset>
            </wp:positionV>
            <wp:extent cx="718629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295" cy="128905"/>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-565150</wp:posOffset>
            </wp:positionV>
            <wp:extent cx="718629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86295" cy="128905"/>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-307975</wp:posOffset>
            </wp:positionV>
            <wp:extent cx="718629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86295" cy="13716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Accumulated Depreciation, Amortization and Depletion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20955</wp:posOffset>
            </wp:positionV>
            <wp:extent cx="5145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2080" w:space="120"/>
            <w:col w:w="922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Adjustments</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Impairments,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Balance</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Additions</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for</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Transfers</w:t>
            </w:r>
          </w:p>
        </w:tc>
        <w:tc>
          <w:tcPr>
            <w:tcW w:w="12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Balance</w:t>
            </w: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as of</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Charged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Acquisitions,</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Asset</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and</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to</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Net of</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December 31,</w:t>
            </w:r>
          </w:p>
        </w:tc>
      </w:tr>
      <w:tr>
        <w:trPr>
          <w:trHeight w:val="188"/>
        </w:trPr>
        <w:tc>
          <w:tcPr>
            <w:tcW w:w="3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1"/>
              </w:rPr>
              <w:t>Expense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Retirements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5"/>
              </w:rPr>
              <w:t>Divestitures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Obligations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Adjustments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2019</w:t>
            </w:r>
          </w:p>
        </w:tc>
      </w:tr>
      <w:tr>
        <w:trPr>
          <w:trHeight w:val="202"/>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(3,968.6)</w:t>
            </w:r>
          </w:p>
        </w:tc>
      </w:tr>
      <w:tr>
        <w:trPr>
          <w:trHeight w:val="197"/>
        </w:trPr>
        <w:tc>
          <w:tcPr>
            <w:tcW w:w="3260" w:type="dxa"/>
            <w:vAlign w:val="bottom"/>
          </w:tcPr>
          <w:p>
            <w:pPr>
              <w:ind w:left="20"/>
              <w:spacing w:after="0"/>
              <w:rPr>
                <w:sz w:val="20"/>
                <w:szCs w:val="20"/>
                <w:color w:val="auto"/>
              </w:rPr>
            </w:pPr>
            <w:r>
              <w:rPr>
                <w:rFonts w:ascii="Arial" w:cs="Arial" w:eastAsia="Arial" w:hAnsi="Arial"/>
                <w:sz w:val="14"/>
                <w:szCs w:val="14"/>
                <w:color w:val="auto"/>
              </w:rPr>
              <w:t xml:space="preserve">Vehicles and equipment </w:t>
            </w:r>
            <w:r>
              <w:rPr>
                <w:rFonts w:ascii="Arial" w:cs="Arial" w:eastAsia="Arial" w:hAnsi="Arial"/>
                <w:sz w:val="9"/>
                <w:szCs w:val="9"/>
                <w:color w:val="auto"/>
              </w:rPr>
              <w:t>(1)</w:t>
            </w:r>
          </w:p>
        </w:tc>
        <w:tc>
          <w:tcPr>
            <w:tcW w:w="1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(4,571.1)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390.7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(4,728.2)</w:t>
            </w: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(576.3)</w:t>
            </w:r>
          </w:p>
        </w:tc>
      </w:tr>
      <w:tr>
        <w:trPr>
          <w:trHeight w:val="202"/>
        </w:trPr>
        <w:tc>
          <w:tcPr>
            <w:tcW w:w="326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(8,731.9)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(999.1)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398.4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(9,273.1)</w:t>
            </w:r>
          </w:p>
        </w:tc>
      </w:tr>
      <w:tr>
        <w:trPr>
          <w:trHeight w:val="21"/>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500" w:firstLine="8"/>
        <w:spacing w:after="0" w:line="273" w:lineRule="auto"/>
        <w:tabs>
          <w:tab w:leader="none" w:pos="145" w:val="left"/>
        </w:tabs>
        <w:numPr>
          <w:ilvl w:val="0"/>
          <w:numId w:val="27"/>
        </w:numPr>
        <w:rPr>
          <w:rFonts w:ascii="Arial" w:cs="Arial" w:eastAsia="Arial" w:hAnsi="Arial"/>
          <w:sz w:val="9"/>
          <w:szCs w:val="9"/>
          <w:color w:val="auto"/>
        </w:rPr>
      </w:pPr>
      <w:r>
        <w:rPr>
          <w:rFonts w:ascii="Arial" w:cs="Arial" w:eastAsia="Arial" w:hAnsi="Arial"/>
          <w:sz w:val="14"/>
          <w:szCs w:val="14"/>
          <w:color w:val="auto"/>
        </w:rPr>
        <w:t>In accordance with our adoption of ASU 2018-15, capitalized implementation costs for cloud-based hosting arrangements were transferred out of property and equipment, net and are now presented as a component of other assets on our consolidated balance sheets as of December 31, 2019.</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2200" w:type="dxa"/>
            <w:vAlign w:val="bottom"/>
            <w:gridSpan w:val="3"/>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189"/>
        </w:trPr>
        <w:tc>
          <w:tcPr>
            <w:tcW w:w="4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color w:val="auto"/>
                <w:w w:val="98"/>
              </w:rPr>
              <w:t>Gross Property and Equipment</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6"/>
        </w:trPr>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5"/>
              </w:rPr>
              <w:t>Non-Cash</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6"/>
              </w:rPr>
              <w:t>Adjustments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220"/>
              <w:spacing w:after="0" w:line="157" w:lineRule="exact"/>
              <w:rPr>
                <w:sz w:val="20"/>
                <w:szCs w:val="20"/>
                <w:color w:val="auto"/>
              </w:rPr>
            </w:pPr>
            <w:r>
              <w:rPr>
                <w:rFonts w:ascii="Arial" w:cs="Arial" w:eastAsia="Arial" w:hAnsi="Arial"/>
                <w:sz w:val="14"/>
                <w:szCs w:val="14"/>
                <w:color w:val="auto"/>
                <w:w w:val="93"/>
              </w:rPr>
              <w:t>Impairments,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0"/>
              </w:rPr>
              <w:t>Balance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Additions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for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1"/>
              </w:rPr>
              <w:t>Transfers</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Balance</w:t>
            </w: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2"/>
              </w:rPr>
              <w:t>as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Acquisitions,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for Asset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Asset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Net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Retirement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Retirement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December 31,</w:t>
            </w:r>
          </w:p>
        </w:tc>
      </w:tr>
      <w:tr>
        <w:trPr>
          <w:trHeight w:val="188"/>
        </w:trPr>
        <w:tc>
          <w:tcPr>
            <w:tcW w:w="40" w:type="dxa"/>
            <w:vAlign w:val="bottom"/>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2017</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7"/>
              </w:rPr>
              <w:t>Additions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Retirements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5"/>
              </w:rPr>
              <w:t>Divestitures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7"/>
              </w:rPr>
              <w:t>Obligations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4"/>
              </w:rPr>
              <w:t>Obligations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3"/>
              </w:rPr>
              <w:t>Adjustments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2018</w:t>
            </w:r>
          </w:p>
        </w:tc>
      </w:tr>
      <w:tr>
        <w:trPr>
          <w:trHeight w:val="202"/>
        </w:trPr>
        <w:tc>
          <w:tcPr>
            <w:tcW w:w="40" w:type="dxa"/>
            <w:vAlign w:val="bottom"/>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443.6</w:t>
            </w:r>
          </w:p>
        </w:tc>
      </w:tr>
      <w:tr>
        <w:trPr>
          <w:trHeight w:val="197"/>
        </w:trPr>
        <w:tc>
          <w:tcPr>
            <w:tcW w:w="4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Non-depletable landfill land</w:t>
            </w:r>
          </w:p>
        </w:tc>
        <w:tc>
          <w:tcPr>
            <w:tcW w:w="1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166.9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167.5</w:t>
            </w:r>
          </w:p>
        </w:tc>
      </w:tr>
      <w:tr>
        <w:trPr>
          <w:trHeight w:val="209"/>
        </w:trPr>
        <w:tc>
          <w:tcPr>
            <w:tcW w:w="4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Landfill development costs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7,106.0</w:t>
            </w:r>
          </w:p>
        </w:tc>
      </w:tr>
      <w:tr>
        <w:trPr>
          <w:trHeight w:val="197"/>
        </w:trPr>
        <w:tc>
          <w:tcPr>
            <w:tcW w:w="4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Vehicles and equipment</w:t>
            </w:r>
          </w:p>
        </w:tc>
        <w:tc>
          <w:tcPr>
            <w:tcW w:w="1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6,954.3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665.0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7,377.3</w:t>
            </w:r>
          </w:p>
        </w:tc>
      </w:tr>
      <w:tr>
        <w:trPr>
          <w:trHeight w:val="209"/>
        </w:trPr>
        <w:tc>
          <w:tcPr>
            <w:tcW w:w="4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Buildings and improvements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1,279.8</w:t>
            </w:r>
          </w:p>
        </w:tc>
      </w:tr>
      <w:tr>
        <w:trPr>
          <w:trHeight w:val="197"/>
        </w:trPr>
        <w:tc>
          <w:tcPr>
            <w:tcW w:w="4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Construction-in-progress - landfill</w:t>
            </w:r>
          </w:p>
        </w:tc>
        <w:tc>
          <w:tcPr>
            <w:tcW w:w="1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233.2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356.4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(301.7)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287.9</w:t>
            </w:r>
          </w:p>
        </w:tc>
      </w:tr>
      <w:tr>
        <w:trPr>
          <w:trHeight w:val="209"/>
        </w:trPr>
        <w:tc>
          <w:tcPr>
            <w:tcW w:w="4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Construction-in-progress - other</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89.9</w:t>
            </w:r>
          </w:p>
        </w:tc>
      </w:tr>
      <w:tr>
        <w:trPr>
          <w:trHeight w:val="190"/>
        </w:trPr>
        <w:tc>
          <w:tcPr>
            <w:tcW w:w="4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15,822.1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1,159.0</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(283.2)</w:t>
            </w:r>
          </w:p>
        </w:tc>
        <w:tc>
          <w:tcPr>
            <w:tcW w:w="2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32.2</w:t>
            </w:r>
          </w:p>
        </w:tc>
        <w:tc>
          <w:tcPr>
            <w:tcW w:w="6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c>
          <w:tcPr>
            <w:tcW w:w="4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w:t>
            </w:r>
          </w:p>
        </w:tc>
        <w:tc>
          <w:tcPr>
            <w:tcW w:w="4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16,752.0</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784"/>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color w:val="auto"/>
                <w:w w:val="96"/>
              </w:rPr>
              <w:t>Accumulated Depreciation, Amortization and Depletion</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6"/>
        </w:trPr>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80"/>
              <w:spacing w:after="0" w:line="157" w:lineRule="exact"/>
              <w:rPr>
                <w:sz w:val="20"/>
                <w:szCs w:val="20"/>
                <w:color w:val="auto"/>
              </w:rPr>
            </w:pPr>
            <w:r>
              <w:rPr>
                <w:rFonts w:ascii="Arial" w:cs="Arial" w:eastAsia="Arial" w:hAnsi="Arial"/>
                <w:sz w:val="14"/>
                <w:szCs w:val="14"/>
                <w:color w:val="auto"/>
                <w:w w:val="93"/>
              </w:rPr>
              <w:t>Adjustments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260"/>
              <w:spacing w:after="0" w:line="157" w:lineRule="exact"/>
              <w:rPr>
                <w:sz w:val="20"/>
                <w:szCs w:val="20"/>
                <w:color w:val="auto"/>
              </w:rPr>
            </w:pPr>
            <w:r>
              <w:rPr>
                <w:rFonts w:ascii="Arial" w:cs="Arial" w:eastAsia="Arial" w:hAnsi="Arial"/>
                <w:sz w:val="14"/>
                <w:szCs w:val="14"/>
                <w:color w:val="auto"/>
                <w:w w:val="93"/>
              </w:rPr>
              <w:t>Impairments,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Balance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Additions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for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1"/>
              </w:rPr>
              <w:t>Transfers</w:t>
            </w:r>
          </w:p>
        </w:tc>
        <w:tc>
          <w:tcPr>
            <w:tcW w:w="12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Balance</w:t>
            </w: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5"/>
              </w:rPr>
              <w:t>as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Charged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Acquisitions,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Asset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as of</w:t>
            </w: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to</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Net of</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Retirement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3"/>
              </w:rPr>
              <w:t>December 31,</w:t>
            </w:r>
          </w:p>
        </w:tc>
      </w:tr>
      <w:tr>
        <w:trPr>
          <w:trHeight w:val="188"/>
        </w:trPr>
        <w:tc>
          <w:tcPr>
            <w:tcW w:w="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6"/>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88"/>
              </w:rPr>
              <w:t>Expense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Retirements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5"/>
              </w:rPr>
              <w:t>Divestitures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7"/>
              </w:rPr>
              <w:t>Obligations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3"/>
              </w:rPr>
              <w:t>Adjustments</w:t>
            </w:r>
          </w:p>
        </w:tc>
        <w:tc>
          <w:tcPr>
            <w:tcW w:w="12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2018</w:t>
            </w:r>
          </w:p>
        </w:tc>
      </w:tr>
      <w:tr>
        <w:trPr>
          <w:trHeight w:val="202"/>
        </w:trPr>
        <w:tc>
          <w:tcPr>
            <w:tcW w:w="22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(338.8)</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(3,635.9)</w:t>
            </w:r>
          </w:p>
        </w:tc>
      </w:tr>
      <w:tr>
        <w:trPr>
          <w:trHeight w:val="197"/>
        </w:trPr>
        <w:tc>
          <w:tcPr>
            <w:tcW w:w="2200" w:type="dxa"/>
            <w:vAlign w:val="bottom"/>
            <w:gridSpan w:val="3"/>
          </w:tcPr>
          <w:p>
            <w:pPr>
              <w:ind w:left="20"/>
              <w:spacing w:after="0"/>
              <w:rPr>
                <w:sz w:val="20"/>
                <w:szCs w:val="20"/>
                <w:color w:val="auto"/>
              </w:rPr>
            </w:pPr>
            <w:r>
              <w:rPr>
                <w:rFonts w:ascii="Arial" w:cs="Arial" w:eastAsia="Arial" w:hAnsi="Arial"/>
                <w:sz w:val="14"/>
                <w:szCs w:val="14"/>
                <w:color w:val="auto"/>
              </w:rPr>
              <w:t>Vehicles and equipment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(4,259.7)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(591.5)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267.3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(4,571.1)</w:t>
            </w:r>
          </w:p>
        </w:tc>
      </w:tr>
      <w:tr>
        <w:trPr>
          <w:trHeight w:val="203"/>
        </w:trPr>
        <w:tc>
          <w:tcPr>
            <w:tcW w:w="22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(467.7)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(524.9)</w:t>
            </w:r>
          </w:p>
        </w:tc>
      </w:tr>
      <w:tr>
        <w:trPr>
          <w:trHeight w:val="202"/>
        </w:trPr>
        <w:tc>
          <w:tcPr>
            <w:tcW w:w="220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(8,044.7)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(991.3)</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269.7</w:t>
            </w:r>
          </w:p>
        </w:tc>
        <w:tc>
          <w:tcPr>
            <w:tcW w:w="6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21.2</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13.2</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(8,731.9)</w:t>
            </w:r>
          </w:p>
        </w:tc>
      </w:tr>
      <w:tr>
        <w:trPr>
          <w:trHeight w:val="21"/>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and cash equivalents and restricted cash and marketable securities balances as of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2018</w:t>
            </w:r>
          </w:p>
        </w:tc>
      </w:tr>
      <w:tr>
        <w:trPr>
          <w:trHeight w:val="27"/>
        </w:trPr>
        <w:tc>
          <w:tcPr>
            <w:tcW w:w="7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70.5</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Restricted cash and marketable securities</w:t>
            </w:r>
          </w:p>
        </w:tc>
        <w:tc>
          <w:tcPr>
            <w:tcW w:w="116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179.4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108.1</w:t>
            </w:r>
          </w:p>
        </w:tc>
      </w:tr>
      <w:tr>
        <w:trPr>
          <w:trHeight w:val="27"/>
        </w:trPr>
        <w:tc>
          <w:tcPr>
            <w:tcW w:w="7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restricted marketable securities</w:t>
            </w:r>
          </w:p>
        </w:tc>
        <w:tc>
          <w:tcPr>
            <w:tcW w:w="1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64"/>
        </w:trPr>
        <w:tc>
          <w:tcPr>
            <w:tcW w:w="7740" w:type="dxa"/>
            <w:vAlign w:val="bottom"/>
          </w:tcPr>
          <w:p>
            <w:pPr>
              <w:ind w:left="20"/>
              <w:spacing w:after="0"/>
              <w:rPr>
                <w:sz w:val="20"/>
                <w:szCs w:val="20"/>
                <w:color w:val="auto"/>
              </w:rPr>
            </w:pPr>
            <w:r>
              <w:rPr>
                <w:rFonts w:ascii="Arial" w:cs="Arial" w:eastAsia="Arial" w:hAnsi="Arial"/>
                <w:sz w:val="18"/>
                <w:szCs w:val="18"/>
                <w:color w:val="auto"/>
              </w:rPr>
              <w:t>Cash, cash equivalents, restricted cash and restricted cash equivalents</w:t>
            </w: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133.3</w:t>
            </w:r>
          </w:p>
        </w:tc>
      </w:tr>
      <w:tr>
        <w:trPr>
          <w:trHeight w:val="21"/>
        </w:trPr>
        <w:tc>
          <w:tcPr>
            <w:tcW w:w="7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restricted cash and marketable securities include, among other things, restricted cash and marketable securities pledged to regulatory agencies and governmental entities as financial guarantees of our performance under certain collection, landfill and transfer station contracts and permits, and relating to our final capping, closure and post-closure obligations at our landfills, restricted cash and marketable securities related to our insurance obligations, and restricted cash related to a payment for a certain maturing tax-exempt financing.</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cash and marketable securities as of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7"/>
        </w:trPr>
        <w:tc>
          <w:tcPr>
            <w:tcW w:w="8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for maturing tax-exempt financing</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Capping, closure and post-closure obligations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29.5</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78.6</w:t>
            </w:r>
          </w:p>
        </w:tc>
      </w:tr>
      <w:tr>
        <w:trPr>
          <w:trHeight w:val="237"/>
        </w:trPr>
        <w:tc>
          <w:tcPr>
            <w:tcW w:w="8620" w:type="dxa"/>
            <w:vAlign w:val="bottom"/>
          </w:tcPr>
          <w:p>
            <w:pPr>
              <w:ind w:left="20"/>
              <w:spacing w:after="0"/>
              <w:rPr>
                <w:sz w:val="20"/>
                <w:szCs w:val="20"/>
                <w:color w:val="auto"/>
              </w:rPr>
            </w:pPr>
            <w:r>
              <w:rPr>
                <w:rFonts w:ascii="Arial" w:cs="Arial" w:eastAsia="Arial" w:hAnsi="Arial"/>
                <w:sz w:val="18"/>
                <w:szCs w:val="18"/>
                <w:color w:val="auto"/>
              </w:rPr>
              <w:t>Total restricted cash and marketable securities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108.1</w:t>
            </w:r>
          </w:p>
        </w:tc>
      </w:tr>
      <w:tr>
        <w:trPr>
          <w:trHeight w:val="27"/>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Intended Uses of Cash</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intend to use excess cash on hand and cash from operating activities to fund capital expenditures, acquisitions, dividend payments, share repurchases and debt repayments. Debt repayments may include purchases of our outstanding indebtedness in the secondary market or otherwise. We believe that our excess cash, cash from operating activities and our availability to draw from our credit facilities provide us with sufficient financial resources to meet our anticipated capital requirements and maturing obligations as they come due.</w:t>
      </w:r>
    </w:p>
    <w:p>
      <w:pPr>
        <w:spacing w:after="0" w:line="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choose to voluntarily retire certain portions of our outstanding debt before their maturity dates using cash from operations or additional borrowings. We may also explore opportunities in the capital markets to fund redemptions should market conditions be favorable. Early extinguishment of debt will result in an impairment charge in the period in which the debt is repaid. The loss on early extinguishment of debt relates to premiums paid to effectuate the repurchase and the relative portion of unamortized note discounts and debt issue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0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major components of changes in cash flows for 2019 and 2018 are discussed in the following paragraphs. The following table summarizes our cash flow from operating activities, investing activities and financing activities for the years ended December 31, 2019 and 2018 (in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2,242.8</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(1,719.0)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1"/>
              </w:rPr>
              <w:t>(1,229.1)</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(1,059.5)</w:t>
            </w:r>
          </w:p>
        </w:tc>
      </w:tr>
      <w:tr>
        <w:trPr>
          <w:trHeight w:val="27"/>
        </w:trPr>
        <w:tc>
          <w:tcPr>
            <w:tcW w:w="8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Changes in assets and liabilities, net of effects from business acquisitions and divestitures, decreased our cash flow from operations by $227.6 million in 2019, compared to a decrease of $216.3 million in 2018, primarily as a result of the following:</w:t>
      </w:r>
    </w:p>
    <w:p>
      <w:pPr>
        <w:spacing w:after="0" w:line="62" w:lineRule="exact"/>
        <w:rPr>
          <w:sz w:val="20"/>
          <w:szCs w:val="20"/>
          <w:color w:val="auto"/>
        </w:rPr>
      </w:pPr>
    </w:p>
    <w:p>
      <w:pPr>
        <w:ind w:left="660" w:right="300" w:hanging="328"/>
        <w:spacing w:after="0" w:line="31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accounts receivable, exclusive of the change in allowance for doubtful accounts and customer credits, increased $38.3 million during 2019 primarily due to growth in our revenue, compared to a $29.6 million increase in 2018. As of December 31, 2019, our days sales outstanding were 39.8, or 27.9 days net of deferred revenue, compared to 39.7, or 27.5 days net of deferred revenue, as of December 31, 2018.</w:t>
      </w:r>
    </w:p>
    <w:p>
      <w:pPr>
        <w:spacing w:after="0" w:line="38" w:lineRule="exact"/>
        <w:rPr>
          <w:rFonts w:ascii="Arial" w:cs="Arial" w:eastAsia="Arial" w:hAnsi="Arial"/>
          <w:sz w:val="16"/>
          <w:szCs w:val="16"/>
          <w:color w:val="auto"/>
        </w:rPr>
      </w:pPr>
    </w:p>
    <w:p>
      <w:pPr>
        <w:ind w:left="660" w:right="200" w:hanging="328"/>
        <w:spacing w:after="0" w:line="297"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prepaid expenses and other assets increased $109.7 million in 2019 compared to an increase of $152.5 million in 2018, primarily due to the timing of our estimated tax payments. Cash paid for income taxes (net of refunds) was approximately $31 million and $210 million for 2019 and 2018, respectively. Cash paid for income taxes (net of refunds) for 2019 was favorably affected by 100% equipment deductions, primarily attributable to capital expenditures and acquisition-related activity during the year, and tax credits related to our investments in solar energy assets. Income taxes paid (net of refunds) in 2018 was favorably affected by the Tax Act and tax credits related to our investments in solar energy assets.</w:t>
      </w:r>
    </w:p>
    <w:p>
      <w:pPr>
        <w:spacing w:after="0" w:line="50"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accounts payable increased $6.4 million during 2019 compared to an increase of $85.9 million during 2018, due to the timing of payments.</w:t>
      </w:r>
    </w:p>
    <w:p>
      <w:pPr>
        <w:spacing w:after="0" w:line="128" w:lineRule="exact"/>
        <w:rPr>
          <w:rFonts w:ascii="Arial" w:cs="Arial" w:eastAsia="Arial" w:hAnsi="Arial"/>
          <w:sz w:val="17"/>
          <w:szCs w:val="17"/>
          <w:color w:val="auto"/>
        </w:rPr>
      </w:pPr>
    </w:p>
    <w:p>
      <w:pPr>
        <w:ind w:left="660" w:right="32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Cash paid for capping, closure and post-closure obligations was $6.3 million higher during 2019 compared to 2018. The increase in cash paid for capping, closure and post-closure obligations is primarily due to the timing of capping and post-closure payments at certain of our landfill sites.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paid for remediation obligations was $0.3 million higher during 2019 compared to 2018 primarily due to the timing of obligations.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cash paid for interest was $346.8 million and $351.0 million, excluding net swap settlements for our fixed to floating interest rate swaps, for 2019 and 2018,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use cash flows from operations to fund capital expenditures, acquisitions, dividend payments, share repurchases and debt repayments.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the comparison of our cash flows used in investing activities for 2019 and 2018 are summarized below:</w:t>
      </w:r>
    </w:p>
    <w:p>
      <w:pPr>
        <w:spacing w:after="0" w:line="117" w:lineRule="exact"/>
        <w:rPr>
          <w:sz w:val="20"/>
          <w:szCs w:val="20"/>
          <w:color w:val="auto"/>
        </w:rPr>
      </w:pPr>
    </w:p>
    <w:p>
      <w:pPr>
        <w:ind w:left="660" w:right="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expenditures during 2019 were $1,207.1 million as compared to $1,071.8 million for 2018. During 2019, we entered into finance leases with future lease liabilities of $15.9 million, including finance leases acquired in business combination acquisitions.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Proceeds from sales of property and equipment during 2019 were $21.7 million as compared to $31.6 million for 2018.</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2019 and 2018, we used $575.1 million and $277.3 million, respectively, for acquisitions and investments, net of cash acquired. During 2019 and 2018, we received $42.8 million and $89.2 million for business divestitures, respectively.</w:t>
      </w:r>
    </w:p>
    <w:p>
      <w:pPr>
        <w:spacing w:after="0" w:line="116"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intend to finance capital expenditures and acquisitions through cash on hand, restricted cash held for capital expenditures, cash flows from operations, our revolving credit facilities, and tax-exempt bonds and other financings. We expect to primarily use cash for consideration paid for future business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the comparison of our cash flows used in financing activities for 2019 and 2018 are summarized below:</w:t>
      </w:r>
    </w:p>
    <w:p>
      <w:pPr>
        <w:spacing w:after="0" w:line="117" w:lineRule="exact"/>
        <w:rPr>
          <w:sz w:val="20"/>
          <w:szCs w:val="20"/>
          <w:color w:val="auto"/>
        </w:rPr>
      </w:pPr>
    </w:p>
    <w:p>
      <w:pPr>
        <w:jc w:val="both"/>
        <w:ind w:left="660" w:hanging="328"/>
        <w:spacing w:after="0" w:line="279"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During 2019, we issued $900.0 million of senior notes for cash proceeds, net of discounts and fees of $891.1 million. During 2018, we issued $800.0 million of senior notes for cash proceeds, net of discounts and fees of $781.8 million. Net payments of notes payable and long-term debt were $581.4 million during 2019, compared to net payments of $653.1 million in 2018. For a more detailed discussion, see the </w:t>
      </w:r>
      <w:r>
        <w:rPr>
          <w:rFonts w:ascii="Arial" w:cs="Arial" w:eastAsia="Arial" w:hAnsi="Arial"/>
          <w:sz w:val="17"/>
          <w:szCs w:val="17"/>
          <w:i w:val="1"/>
          <w:iCs w:val="1"/>
          <w:color w:val="auto"/>
        </w:rPr>
        <w:t>Financial Condition</w:t>
      </w:r>
      <w:r>
        <w:rPr>
          <w:rFonts w:ascii="Arial" w:cs="Arial" w:eastAsia="Arial" w:hAnsi="Arial"/>
          <w:sz w:val="17"/>
          <w:szCs w:val="17"/>
          <w:color w:val="auto"/>
        </w:rPr>
        <w:t xml:space="preserve"> section of this Management’s Discussion and Analysis of Financial Condition and Results of Operations.</w:t>
      </w:r>
    </w:p>
    <w:p>
      <w:pPr>
        <w:spacing w:after="0" w:line="63"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2019, we repurchased 4.9 million shares of our stock for $399.4 million. During 2018, we repurchased 10.7 million shares of our stock for</w:t>
      </w:r>
    </w:p>
    <w:p>
      <w:pPr>
        <w:spacing w:after="0" w:line="46" w:lineRule="exact"/>
        <w:rPr>
          <w:rFonts w:ascii="Arial" w:cs="Arial" w:eastAsia="Arial" w:hAnsi="Arial"/>
          <w:sz w:val="16"/>
          <w:szCs w:val="16"/>
          <w:color w:val="auto"/>
        </w:rPr>
      </w:pPr>
    </w:p>
    <w:p>
      <w:pPr>
        <w:ind w:left="660" w:right="60"/>
        <w:spacing w:after="0" w:line="261" w:lineRule="auto"/>
        <w:rPr>
          <w:rFonts w:ascii="Arial" w:cs="Arial" w:eastAsia="Arial" w:hAnsi="Arial"/>
          <w:sz w:val="16"/>
          <w:szCs w:val="16"/>
          <w:color w:val="auto"/>
        </w:rPr>
      </w:pPr>
      <w:r>
        <w:rPr>
          <w:rFonts w:ascii="Arial" w:cs="Arial" w:eastAsia="Arial" w:hAnsi="Arial"/>
          <w:sz w:val="18"/>
          <w:szCs w:val="18"/>
          <w:color w:val="auto"/>
        </w:rPr>
        <w:t>$736.9 million. In October 2017, our Board of Directors added $2.0 billion to the existing share repurchase authorization. As of December 31, 2019, there was $704.6 million remaining under our share repurchase authorization.</w:t>
      </w:r>
    </w:p>
    <w:p>
      <w:pPr>
        <w:spacing w:after="0" w:line="62" w:lineRule="exact"/>
        <w:rPr>
          <w:rFonts w:ascii="Arial" w:cs="Arial" w:eastAsia="Arial" w:hAnsi="Arial"/>
          <w:sz w:val="16"/>
          <w:szCs w:val="16"/>
          <w:color w:val="auto"/>
        </w:rPr>
      </w:pPr>
    </w:p>
    <w:p>
      <w:pPr>
        <w:ind w:left="660" w:right="3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July 2019, our Board of Directors approved an increase in our quarterly dividend to $0.405 per share. Dividends paid were $491.2 million and $461.8 million for 2019 and 2018, respectively.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During 2019 and 2018, cash paid for purchase price holdback releases related to acquisitions was $17.2 million and $12.1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Changes in our outstanding principal debt balances from December 31, 2018 to December 31, 2019 were primarily attributable to debt cash borrowings, net of principal debt payments, of $333.6 million and new finance leases, which increased our debt obligations by $15.9 million.</w:t>
      </w:r>
    </w:p>
    <w:p>
      <w:pPr>
        <w:spacing w:after="0" w:line="3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December 31, 2019, we had $930.7 million of principal debt maturing within the next 12 months, which includes certain senior notes, variable rate tax-exempt financings and finance lease obligations. All of our tax-exempt financings are remarketed quarterly by remarketing agents to effectively maintain a variable yield. The holders of the bonds can put them back to the remarketing agents at the end of each interest period. To date, the remarketing agents have been able to remarket our variable rate unsecured tax-exempt bonds and we currently expect future remarketings to be successful. However, if the remarketing agent is unable to remarket our bonds, the remarketing agent can put the bonds to us. In the event of a failed remarketing, we currently have availability under our $2.25 billion unsecured revolving credit facility to fund these bonds until they are remarketed successfully. Accordingly, we have classified these borrowings as long-term in our consolidated balance sheet as of December 31, 2019.</w:t>
      </w:r>
    </w:p>
    <w:p>
      <w:pPr>
        <w:spacing w:after="0" w:line="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For further discussion of the components of our overall debt, see Note 9, </w:t>
      </w:r>
      <w:r>
        <w:rPr>
          <w:rFonts w:ascii="Arial" w:cs="Arial" w:eastAsia="Arial" w:hAnsi="Arial"/>
          <w:sz w:val="18"/>
          <w:szCs w:val="18"/>
          <w:i w:val="1"/>
          <w:iCs w:val="1"/>
          <w:color w:val="auto"/>
        </w:rPr>
        <w:t>Debt</w:t>
      </w:r>
      <w:r>
        <w:rPr>
          <w:rFonts w:ascii="Arial" w:cs="Arial" w:eastAsia="Arial" w:hAnsi="Arial"/>
          <w:sz w:val="18"/>
          <w:szCs w:val="18"/>
          <w:color w:val="auto"/>
        </w:rPr>
        <w:t>, of the notes to our consolidated financial statements in Item 8 of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June 2018, we entered into a $2.25 billion unsecured revolving credit facility (the Credit Facility), which replaced our $1.0 billion and $1.25 billion unsecured credit facilities that would have matured in May 2021 and June 2019, respectively (the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Replaced Credit Facilities). The Credit Facility matures in June 2023. We may request two one-year extensions of the maturity date but none of the lenders are committed to participate in such extension. The Credit Facility also includes a feature that allows us to increase availability, at our option, by an aggregate amount of up to $1.0 billion through increased commitments from existing lenders or the addition of new lenders. At our option, borrowings under the Credit Facility bear interest at a Base Rate, or a Eurodollar Rate, plus an applicable margin based on our Debt Ratings (all as defined in the Credit Facility agreement).</w:t>
      </w:r>
    </w:p>
    <w:p>
      <w:pPr>
        <w:spacing w:after="0" w:line="5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Credit Facility requires us to comply with financial and other covenants. To the extent we are not in compliance with these covenants, we cannot pay dividends or repurchase common stock. Compliance with covenants also is a condition for any incremental borrowings under our Credit Facility, and failure to meet these covenants would enable the lenders to require repayment of any outstanding loans (which would adversely affect our liquidity). As of December 31, 2019, our EBITDA to interest ratio was 7.54 compared to the 3.00 minimum required by the covenants, and our total debt to EBITDA ratio was 2.99 compared to the 3.50 maximum allowed by the covenants. As of December 31, 2019, we were in compliance with the covenants under our Credit Facility, and we expect to be in compliance throughout 2020.</w:t>
      </w:r>
    </w:p>
    <w:p>
      <w:pPr>
        <w:spacing w:after="0" w:line="7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EBITDA, which is a non-U.S. GAAP measure, is calculated as defined in our Credit Facility agreement. In this context, EBITDA is used solely to provide information regarding the extent to which we are in compliance with debt covenants and is not comparable to EBITDA used by other companies or used by us for other purposes.</w:t>
      </w:r>
    </w:p>
    <w:p>
      <w:pPr>
        <w:spacing w:after="0" w:line="6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Failure to comply with the financial and other covenants under our Credit Facility, as well as the occurrence of certain material adverse events, would constitute defaults and would allow the lenders under our Credit Facility to accelerate the maturity of all indebtedness under the related agreement. This could also have an adverse effect on the availability of financial assurances. In addition, maturity acceleration on our Credit Facility constitutes an event of default under our other debt instruments, including our senior notes, and, therefore, our senior notes would also be subject to acceleration of maturity. If such acceleration were to occur, we would not have sufficient liquidity available to repay the indebtedness. We would likely have to seek an amendment under our Credit Facility for relief from the financial covenants or repay the debt with proceeds from the issuance of new debt or equity, or asset sales, if necessary. We may be unable to amend our Credit Facility or raise sufficient capital to repay such obligations in the event the maturity is accelerated.</w:t>
      </w:r>
    </w:p>
    <w:p>
      <w:pPr>
        <w:spacing w:after="0" w:line="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Availability under our Credit Facility totaled $1,696.9 million and $1,694.1 million as of December 31, 2019 and 2018, respectively. The Credit Facility can be used for working capital, capital expenditures, acquisitions, letters of credit and other general corporate purposes. As of December 31, 2019 and 2018, we had $184.4 million and $159.0 million of borrowings under our Credit Facility, respectively. We had $351.4 million and $379.6 million of letters of credit outstanding under our Credit Facility as of December 31, 2019 and 2018, respectively.</w:t>
      </w:r>
    </w:p>
    <w:p>
      <w:pPr>
        <w:spacing w:after="0" w:line="6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also have an Uncommitted Credit Facility, which bears interest at LIBOR, plus an applicable margin. We can use borrowings under the Uncommitted Credit Facility for working capital and other general corporate purposes. The agreements governing our Uncommitted Credit Facility require us to comply with covenants. The Uncommitted Credit Facility may be terminated by either party at any time. As of December 31, 2019 and 2018, we had $11.6 million and $33.4 million of borrowings under our Uncommitted Credit Facility,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Debentures</w:t>
      </w:r>
    </w:p>
    <w:p>
      <w:pPr>
        <w:spacing w:after="0" w:line="10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As of December 31, 2019, we had $7,257.0 million of unsecured senior notes and debentures outstanding with maturities ranging from 2020 to 2041. As of December 31, 2018, we had $6,998.8 million of unsecured senior notes and debentures outstanding with maturities ranging from 2019 to 2041. Our senior notes are general senior unsecured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2019, we issued $900.0 million of 2.500% senior notes due 2024 (the 2.500% Notes). We used the net proceeds from the 2.500% Notes to repay</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$650.0 million of 5.500% senior notes that matured in September 2019. The remaining proceeds were used to repay amounts outstanding under our unsecured credit facilities as well as for general corporate purposes.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2018, we issued $800.0 million of 3.950% senior notes due 2028 (the 3.950% Notes). We used the net proceeds from the 3.950% Notes to repay $700.0 million of 3.800% senior notes that matured in May 2018, and the remaining proceeds were used to repay borrowings under our Replaced Credit Facilities. In connection with this offering, we terminated interest rate lock agreements with a notional value of $600.0 million resulting in net proceeds of $31.1 million. The proceeds will amortize over the term of the 3.950% Notes using the effective interest method. There was no ineffectiveness recognized in the termination of these cash flow hedges.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and Lock Agreements</w:t>
      </w:r>
    </w:p>
    <w:p>
      <w:pPr>
        <w:spacing w:after="0" w:line="10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second half of 2013, we entered into various interest rate swap agreements relative to our 4.750% fixed rate senior notes due in May 2023. The goal was to reduce overall borrowing costs and rebalance our debt portfolio's ratio of fixed to floating interest rates. As of December 31, 2019, these swap agreements have a total notional value of $300.0 million and require us to pay interest at floating rates based on changes in LIBOR, and receive interest at a fixed rate of 4.750%. For 2019</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2018, we recognized $1.0 million and $1.9 million, respectively, as offsetting benefits to our interest expense from these swap agreements, which mature in May 2023.</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2019, our interest rate lock agreements had an aggregate notional value of $575.0 million with fixed interest rates ranging from 1.330% to 3.000%. As of December 31, 2018 our interest rate lock agreements had an aggregate notional value of $725.0 million with fixed interest rates ranging from 1.900% to 3.250%. We entered into these transactions to manage exposure to fluctuations in interest rates in anticipation of planned future issuances of senior notes in 2019 through 2021. Upon the expected issuance of the senior notes, we will terminate the interest rate locks and settle with our counterparties. The aggregate fair value of the outstanding interest rate locks as of December 31, 2019 were assets of $3.6 million, which were recorded in prepaid expenses and other current assets in our consolidated balance sheet, and liabilities of $15.7 million, which were recorded in other accrued liabilities and other long-term liabilities in our consolidated balance sheet. The aggregate fair value of the outstanding interest rate locks as of December 31, 2018 was $10.3 million and was recorded in other long-term assets in our consolidated balance sheet.</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See Note 18, </w:t>
      </w:r>
      <w:r>
        <w:rPr>
          <w:rFonts w:ascii="Arial" w:cs="Arial" w:eastAsia="Arial" w:hAnsi="Arial"/>
          <w:sz w:val="18"/>
          <w:szCs w:val="18"/>
          <w:i w:val="1"/>
          <w:iCs w:val="1"/>
          <w:color w:val="auto"/>
        </w:rPr>
        <w:t>Financial Instruments</w:t>
      </w:r>
      <w:r>
        <w:rPr>
          <w:rFonts w:ascii="Arial" w:cs="Arial" w:eastAsia="Arial" w:hAnsi="Arial"/>
          <w:sz w:val="18"/>
          <w:szCs w:val="18"/>
          <w:color w:val="auto"/>
        </w:rPr>
        <w:t>, of the notes to our consolidated financial statements in Item 8 of this Form 10-K for further detail regarding the effect of our fair value and cash flow hedging on interest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Contracts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Contemporaneously with the issuance of our 2.500% Notes in August 2019, we amended interest rate lock agreements with a notional value of</w:t>
      </w:r>
    </w:p>
    <w:p>
      <w:pPr>
        <w:spacing w:after="0" w:line="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$375.0 million, extending the mandatory maturity date from 2019 to 2024 and dedesignated them as cash flow hedges (the Extended Interest Rate Swaps). There was no ineffectiveness recognized in the termination of these cash flow hedges. In addition, we entered into an offsetting interest rate swap to offset future exposures to fair value fluctuations of the Extended Interest Rate Swaps (the Offsetting Interest Rate Swaps). The fair value of these free standing derivatives was determined using standard valuation models with assumptions about interest rates being based on those observed in underlying markets (Level 2 in the fair value hierarchy).</w:t>
      </w:r>
    </w:p>
    <w:p>
      <w:pPr>
        <w:spacing w:after="0" w:line="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2019, the fair value of the Extended Interest Rate Swaps was a liability of $22.2 million which was included in other long-term liabilities in our consolidated balance sheet, and the fair value of the Offsetting Interest Rate Swaps was an asset of $2.9 million and was included in other assets in our consolidated balance sheet. For the year ended December 31, 2019, we recognized a loss of $3.4 million on the change in fair value of the Extended Interest Rate Swaps, with an offsetting gain of $2.9 million on the Offsetting Interest Rate Swaps. The change in fair value was recorded directly in earnings as an adjustment to interest expense in our consolidated statements of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0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2019, we had $1,116.2 million of certain fixed and variable rate tax-exempt financings outstanding with maturities ranging from 2020 to 2049. As of December 31, 2018, we had $1,036.8 million of certain fixed and variable rate tax-exempt financings outstanding with maturities ranging from 2019 to 2044.</w:t>
      </w:r>
    </w:p>
    <w:p>
      <w:pPr>
        <w:spacing w:after="0" w:line="6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the year ended December 31, 2019, we refinanced $35.0 million of tax-exempt financings and issued $30.0 million of new tax-exempt financings. In addition, during the three months ended December 31, 2019, we issued $50.0 million of variable-rate tax-exempt debt. The proceeds from the issuance were used to fund qualifying landfill-related capital expenditures in the state of California.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had finance lease liabilities of $119.3 million and $109.5 million as of December 31, 2019 and 2018, respectively, with maturities ranging from 2020 to 2049 and 2019 to 2046, respectively.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estimated contractual obligations as of December 31, 2019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Maturities of</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Notes Payable,</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Scheduled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Finance Leases</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Interest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Final Capping,</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Unconditional</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460" w:type="dxa"/>
            <w:vAlign w:val="bottom"/>
          </w:tcPr>
          <w:p>
            <w:pPr>
              <w:ind w:left="220"/>
              <w:spacing w:after="0"/>
              <w:rPr>
                <w:sz w:val="20"/>
                <w:szCs w:val="20"/>
                <w:color w:val="auto"/>
              </w:rPr>
            </w:pPr>
            <w:r>
              <w:rPr>
                <w:rFonts w:ascii="Arial" w:cs="Arial" w:eastAsia="Arial" w:hAnsi="Arial"/>
                <w:sz w:val="18"/>
                <w:szCs w:val="18"/>
                <w:color w:val="auto"/>
              </w:rPr>
              <w:t>Year Ending</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Operating</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and Other Long-</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Payment</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Closure and</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Purchase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460" w:type="dxa"/>
            <w:vAlign w:val="bottom"/>
          </w:tcPr>
          <w:p>
            <w:pPr>
              <w:ind w:left="18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Leases</w:t>
            </w: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Term Debt</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Obligations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Post-Closure</w:t>
            </w:r>
          </w:p>
        </w:tc>
        <w:tc>
          <w:tcPr>
            <w:tcW w:w="16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Remediation</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Commitments</w:t>
            </w: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r>
      <w:tr>
        <w:trPr>
          <w:trHeight w:val="27"/>
        </w:trPr>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1,567.2</w:t>
            </w: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770.2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1,307.9</w:t>
            </w:r>
          </w:p>
        </w:tc>
      </w:tr>
      <w:tr>
        <w:trPr>
          <w:trHeight w:val="27"/>
        </w:trPr>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1,348.7</w:t>
            </w: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922.6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1,345.5</w:t>
            </w:r>
          </w:p>
        </w:tc>
      </w:tr>
      <w:tr>
        <w:trPr>
          <w:trHeight w:val="27"/>
        </w:trPr>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1,294.7</w:t>
            </w: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4,378.0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1,360.6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6,267.9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w w:val="99"/>
              </w:rPr>
              <w:t>12,804.5</w:t>
            </w:r>
          </w:p>
        </w:tc>
      </w:tr>
      <w:tr>
        <w:trPr>
          <w:trHeight w:val="27"/>
        </w:trPr>
        <w:tc>
          <w:tcPr>
            <w:tcW w:w="1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8,788.6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6,625.8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686.5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629.9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19,668.5</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Scheduled interest payment obligations in the above table were calculated using stated coupon rates for fixed rate debt and interest rates applicable as of December 31, 2019 for variable rate debt. The effect of our outstanding interest rate swaps on the interest payments of our 4.750% fixed rate senior notes due in May 2023 is also included based on the floating rates in effect as of December 31, 2019.</w:t>
      </w:r>
    </w:p>
    <w:p>
      <w:pPr>
        <w:spacing w:after="0" w:line="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estimated remaining final capping, closure and post-closure and remediation expenditures presented above are not inflated or discounted and reflect the estimated future payments for liabilities incurred and recorded as of December 31, 2019 and for liabilities yet to be incurred over the remaining life of our landfills.</w:t>
      </w:r>
    </w:p>
    <w:p>
      <w:pPr>
        <w:spacing w:after="0" w:line="6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Unconditional purchase commitments consist primarily of (1) disposal related agreements that include fixed or minimum royalty payments, host agreements and take-or-pay and put-or-pay agreements and (2) other obligations including committed capital expenditures and consulting service agreements.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w:t>
      </w:r>
    </w:p>
    <w:p>
      <w:pPr>
        <w:spacing w:after="0" w:line="1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must provide financial assurance to governmental agencies and a variety of other entities under applicable environmental regulations relating to our landfill operations for capping, closure and post-closure costs, and related to our performance under certain collection, landfill and transfer station contracts. We satisfy these financial assurance requirements by providing surety bonds, letters of credit, or insurance policies (Financial Assurance Instruments), or trust deposits, which are included in restricted cash and marketable securities and other assets in our consolidated balance sheets. The amount of the financial assurance requirements for capping, closure and post-closure costs is determined by applicable state environmental regulations. The financial assurance requirements for capping, closure and post-closure costs may be associated with a portion of the landfill or the entire landfill. Generally, states require a third-party engineering specialist to determine the estimated capping, closure and post-closure costs that are used to determine the required amount of financial assurance for a landfill. The amount of financial assurance required can, and generally will, differ from the obligation determined and recorded under</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U.S. GAAP. The amount of the financial assurance requirements related to contract performance varies by contract. Additionally, we must provide financial assurance for our insurance program and collateral for certain performance obligations. We do not expect a material increase in financial assurance requirements during 2020, although the mix of Financial Assurance Instruments may change.</w:t>
      </w:r>
    </w:p>
    <w:p>
      <w:pPr>
        <w:spacing w:after="0" w:line="5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These Financial Assurance Instruments are issued in the normal course of business and are not classified as indebtedness. Because we currently have no liability for the Financial Assurance Instruments, they are not reflected in our consolidated balance sheets; however, we record capping, closure and post-closure liabilities and insurance liabilities as they are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For a description of our commitments and contingencies, see Note 8,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xml:space="preserve">, Note 11,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and Note 19,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 of the notes to our consolidated financial statements in Item 8 of this Form 10-K.</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consolidated financial statements have been prepared in accordance with U.S. GAAP and necessarily include certain estimates and judgments made by management. 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Such critical accounting policies, estimates and judgments are applicable to all of our operating segments.</w:t>
      </w:r>
    </w:p>
    <w:p>
      <w:pPr>
        <w:spacing w:after="0" w:line="3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have noted examples of the residual accounting and business risks inherent in the accounting for these areas. Residual accounting and business risks are defined as the inherent risks that we face after the application of our policies and processes that are generally outside of our control or ability to forecast.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Landfill operating costs are treated as period expenses and are not discussed further in this section.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landfill assets and liabilities fall into the following two categories, each of which requires accounting judgments and estimates:</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Landfill development costs that are capitalized as an asset.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Landfill retirement obligations relating to our capping, closure and post-closure liabilities that result in a corresponding landfill retirement asset.</w:t>
      </w:r>
    </w:p>
    <w:p>
      <w:pPr>
        <w:spacing w:after="0" w:line="18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use life-cycle accounting and the units-of-consumption method to recognize landfill development costs over the life of the site. In life-cycle accounting, all current and future capitalized costs to acquire and construct a site are calculated, and charged to expense based on the consumption of cubic yards of available airspace. Obligations associated with final capping, closure and post-closure are also capitalized, and amortized on a units-of-consumption basis as airspace is consumed. Cost and airspace estimates are developed at least annually by engineers.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Landfill Development Costs</w:t>
      </w:r>
    </w:p>
    <w:p>
      <w:pPr>
        <w:spacing w:after="0" w:line="17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Site permits. </w:t>
      </w:r>
      <w:r>
        <w:rPr>
          <w:rFonts w:ascii="Arial" w:cs="Arial" w:eastAsia="Arial" w:hAnsi="Arial"/>
          <w:sz w:val="16"/>
          <w:szCs w:val="16"/>
          <w:color w:val="auto"/>
        </w:rPr>
        <w:t>To develop, construct and operate a landfill, we must obtain permits from various regulatory agencies at the local, state and federal levels.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permitting process requires an initial site study to determine whether the location is feasible for landfill operations. The initial studies are reviewed by our environmental management group and then submitted to the regulatory agencies for approval. During the development stage we capitalize certain costs that we incur after site selection but before the receipt of all required permits if we believe that it is probable that the site will be permitted.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4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may cause changes to the landfill site permitting process. These changes could make it more difficult and costly to obtain and maintain a landfill permit.</w:t>
      </w:r>
    </w:p>
    <w:p>
      <w:pPr>
        <w:spacing w:after="0" w:line="62" w:lineRule="exact"/>
        <w:rPr>
          <w:rFonts w:ascii="Arial" w:cs="Arial" w:eastAsia="Arial" w:hAnsi="Arial"/>
          <w:sz w:val="18"/>
          <w:szCs w:val="18"/>
          <w:color w:val="auto"/>
        </w:rPr>
      </w:pPr>
    </w:p>
    <w:p>
      <w:pPr>
        <w:ind w:left="660" w:hanging="328"/>
        <w:spacing w:after="0" w:line="264"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Studies performed could be inaccurate, which could result in the denial or revocation of a permit and changes to accounting assumptions. Conditions could exist that were not identified in the study, which may make the location not feasible for a landfill and could result in the denial of a permit. Denial or revocation of a permit could impair the recorded value of the landfill asset.</w:t>
      </w:r>
    </w:p>
    <w:p>
      <w:pPr>
        <w:spacing w:after="0" w:line="73" w:lineRule="exact"/>
        <w:rPr>
          <w:rFonts w:ascii="Arial" w:cs="Arial" w:eastAsia="Arial" w:hAnsi="Arial"/>
          <w:sz w:val="18"/>
          <w:szCs w:val="18"/>
          <w:color w:val="auto"/>
        </w:rPr>
      </w:pPr>
    </w:p>
    <w:p>
      <w:pPr>
        <w:ind w:left="660" w:right="80" w:hanging="328"/>
        <w:spacing w:after="0" w:line="302"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Actions by neighboring parties, private citizen groups or others to oppose our efforts to obtain, maintain or expand permits could result in denial, revocation or suspension of a permit, which could adversely impact the economic viability of the landfill and could impair the recorded value of the landfill. As a result of opposition to our obtaining a permit, improved technical information as a project progresses, or changes in the anticipated economics associated with a project, we may decide to reduce the scope of, or abandon, a project, which could result in an asset impairment.</w:t>
      </w:r>
    </w:p>
    <w:p>
      <w:pPr>
        <w:spacing w:after="0" w:line="100"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i w:val="1"/>
          <w:iCs w:val="1"/>
          <w:color w:val="auto"/>
        </w:rPr>
        <w:t xml:space="preserve">Technical landfill design. </w:t>
      </w:r>
      <w:r>
        <w:rPr>
          <w:rFonts w:ascii="Arial" w:cs="Arial" w:eastAsia="Arial" w:hAnsi="Arial"/>
          <w:sz w:val="18"/>
          <w:szCs w:val="18"/>
          <w:color w:val="auto"/>
        </w:rPr>
        <w:t>Upon receipt of initial regulatory approval, technical landfill designs are prepared. The technical designs, which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specifications to develop and construct all components of the landfill including the types and quantities of materials that will be required, are reviewed by our environmental management group. The technical designs are submitted to the regulatory agencies for approval. Upon approval of the technical designs, the regulatory agencies issue permits to develop and operate the landfill.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1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may require changes in the landfill technical designs. These changes could make it more difficult and costly to meet new design standards.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Technical design requirements, as approved, may need modifications at some future point in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Technical designs could be inaccurate and could result in increased construction costs, difficulty in obtaining a permit or the use of rates to recognize the amortization of landfill development costs and asset retirement obligations that are not appropriate.</w:t>
      </w:r>
    </w:p>
    <w:p>
      <w:pPr>
        <w:spacing w:after="0" w:line="11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Permitted and probable landfill disposal capacity. </w:t>
      </w:r>
      <w:r>
        <w:rPr>
          <w:rFonts w:ascii="Arial" w:cs="Arial" w:eastAsia="Arial" w:hAnsi="Arial"/>
          <w:sz w:val="16"/>
          <w:szCs w:val="16"/>
          <w:color w:val="auto"/>
        </w:rPr>
        <w:t>Included in the technical designs are factors that determine the ultimate disposal capacity of the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These factors include the area over which the landfill will be developed, such as the depth of excavation, the height of the landfill elevation and the angle of the side-slope construction. The disposal capacity of the landfill is calculated in cubic yards. This measurement of volume is then converted to a disposal capacity expressed in tons based on a site-specific expected density to be achieved over the remaining operating life of the landfill.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Estimates of future disposal capacity may change as a result of changes in legislative or regulatory design requirements.</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density of waste may vary due to variations in operating conditions, including waste compaction practices, site design, climate and the nature of the waste.</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Capacity is defined in cubic yards but waste received is measured in tons. The number of tons per cubic yard varies by type of waste and our rate of compaction.</w:t>
      </w:r>
    </w:p>
    <w:p>
      <w:pPr>
        <w:spacing w:after="0" w:line="116"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i w:val="1"/>
          <w:iCs w:val="1"/>
          <w:color w:val="auto"/>
        </w:rPr>
        <w:t xml:space="preserve">Development costs. </w:t>
      </w:r>
      <w:r>
        <w:rPr>
          <w:rFonts w:ascii="Arial" w:cs="Arial" w:eastAsia="Arial" w:hAnsi="Arial"/>
          <w:sz w:val="16"/>
          <w:szCs w:val="16"/>
          <w:color w:val="auto"/>
        </w:rPr>
        <w:t>The types of costs that are detailed in the technical design specifications generally include excavation, natural and synthetic liners,</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of leachate collection systems, installation of methane gas collection systems and monitoring probes, installation of groundwater monitoring wells, construction of leachate management facilities and other costs associated with the development of the site. We review the adequacy of our cost estimates on an annual basis by comparing estimated costs with third-party bids or contractual arrangements, reviewing the changes in year-over-year cost estimates for reasonableness, and comparing our resulting development cost per acre with prior period costs. These development costs, together with any costs incurred to acquire, design and permit the landfill, including capitalized interest, are recorded to the landfill asset on the balance sheet as incurred.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jc w:val="both"/>
        <w:ind w:left="660" w:right="40" w:hanging="328"/>
        <w:spacing w:after="0" w:line="264"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future costs of construction materials and third-party labor could differ from the costs we have estimated because of the level of demand and the availability of the required materials and labor. Technical designs could be altered due to unexpected operating conditions, regulatory changes or legislative changes.</w:t>
      </w:r>
    </w:p>
    <w:p>
      <w:pPr>
        <w:spacing w:after="0" w:line="12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Landfill development asset amortization. </w:t>
      </w:r>
      <w:r>
        <w:rPr>
          <w:rFonts w:ascii="Arial" w:cs="Arial" w:eastAsia="Arial" w:hAnsi="Arial"/>
          <w:sz w:val="16"/>
          <w:szCs w:val="16"/>
          <w:color w:val="auto"/>
        </w:rPr>
        <w:t>To match the expense related to the landfill asset with the revenue generated by the landfill operations, we amortize</w:t>
      </w:r>
      <w:r>
        <w:rPr>
          <w:rFonts w:ascii="Arial" w:cs="Arial" w:eastAsia="Arial" w:hAnsi="Arial"/>
          <w:sz w:val="16"/>
          <w:szCs w:val="16"/>
          <w:i w:val="1"/>
          <w:iCs w:val="1"/>
          <w:color w:val="auto"/>
        </w:rPr>
        <w:t xml:space="preserve"> </w:t>
      </w:r>
      <w:r>
        <w:rPr>
          <w:rFonts w:ascii="Arial" w:cs="Arial" w:eastAsia="Arial" w:hAnsi="Arial"/>
          <w:sz w:val="16"/>
          <w:szCs w:val="16"/>
          <w:color w:val="auto"/>
        </w:rPr>
        <w:t>the landfill development asset over its operating life on a per-ton basis as waste is accepted at the landfill. The landfill asset is fully amortized at the end of a landfill’s operating life. The per-ton rate is calculated by dividing the sum of the landfill development asset net book value plus estimated future development costs (as described above) for the landfill, by the landfill’s estimated remaining disposal capacity. The expected future development costs are not inflated or discounted, but rather expressed in nominal dollars. This rate is applied to each ton accepted at the landfill to arrive at amortization expense for the period.</w:t>
      </w:r>
    </w:p>
    <w:p>
      <w:pPr>
        <w:spacing w:after="0" w:line="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Amortization rates are influenced by the original cost basis of the landfill, including acquisition costs, which in turn is determined by geographic location and market values. We secure significant landfill assets through business acquisitions and value them at the time of acquisition based on fair value. Amortization rates are also influenced by site-specific engineering and cost factors.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jc w:val="both"/>
        <w:ind w:left="660" w:right="60" w:hanging="328"/>
        <w:spacing w:after="0" w:line="264"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future development cost estimates or our disposal capacity will normally result in a change in our amortization rates and will impact amortization expense prospectively. An unexpected significant increase in estimated costs or reduction in disposal capacity could affect the ongoing economic viability of the landfill and result in asset impairment.</w:t>
      </w:r>
    </w:p>
    <w:p>
      <w:pPr>
        <w:spacing w:after="0" w:line="12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On at least an annual basis, we update the estimates of future development costs and remaining disposal capacity for each landfill. These costs and disposal capacity estimates are reviewed and approved by senior operations management annually. Changes in cost estimates and disposal capacity are reflected prospectively in the landfill amortization rates that are updated annually. See our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section in this Management's Discussion and Analysis of Financial Condition and Results of Operations for discussion on changes to our landfill depletion and amortization.</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Landfill Asset Retirement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two types of retirement obligations related to landfills: (1) capping and (2) closure and post-closure.</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Obligations associated with final capping activities that occur during the operating life of the landfill are recognized on a units-of-consumption basis as airspace is consumed within each discrete capping event. Obligations related to closure and post-closure activities that occur after the landfill has ceased operations are recognized on a units-of-consumption basis as airspace is consumed throughout the entire life of the landfill. Landfill retirement obligations are capitalized as the related liabilities are recognized and amortized using the units-of-consumption method over the airspace consumed within the capping event or the airspace consumed within the entire landfill, depending on the nature of the obligation. All obligations are initially measured at estimated fair value. Fair value is calculated on a present value basis using an inflation rate and our credit-adjusted, risk-free rate in effect at the time the liabilities were incurred. Future costs for final capping, closure and post-closure are developed at least annually by engineers, and are inflated to future value using estimated future payment dates and inflation rate projections.</w:t>
      </w:r>
    </w:p>
    <w:p>
      <w:pPr>
        <w:spacing w:after="0" w:line="1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Landfill capping. </w:t>
      </w:r>
      <w:r>
        <w:rPr>
          <w:rFonts w:ascii="Arial" w:cs="Arial" w:eastAsia="Arial" w:hAnsi="Arial"/>
          <w:sz w:val="18"/>
          <w:szCs w:val="18"/>
          <w:color w:val="auto"/>
        </w:rPr>
        <w:t>As individual areas within each landfill reach capacity, we must cap and close the areas in accordance with the landfill site permit. These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are detailed in the technical design of the landfill site process previously described.</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Closure and post-closure. </w:t>
      </w:r>
      <w:r>
        <w:rPr>
          <w:rFonts w:ascii="Arial" w:cs="Arial" w:eastAsia="Arial" w:hAnsi="Arial"/>
          <w:sz w:val="17"/>
          <w:szCs w:val="17"/>
          <w:color w:val="auto"/>
        </w:rPr>
        <w:t>Closure costs are costs incurred after a landfill stops receiving waste, but prior to being certified as closed. After the entire landfill</w:t>
      </w:r>
      <w:r>
        <w:rPr>
          <w:rFonts w:ascii="Arial" w:cs="Arial" w:eastAsia="Arial" w:hAnsi="Arial"/>
          <w:sz w:val="17"/>
          <w:szCs w:val="17"/>
          <w:i w:val="1"/>
          <w:iCs w:val="1"/>
          <w:color w:val="auto"/>
        </w:rPr>
        <w:t xml:space="preserve"> </w:t>
      </w:r>
      <w:r>
        <w:rPr>
          <w:rFonts w:ascii="Arial" w:cs="Arial" w:eastAsia="Arial" w:hAnsi="Arial"/>
          <w:sz w:val="17"/>
          <w:szCs w:val="17"/>
          <w:color w:val="auto"/>
        </w:rPr>
        <w:t>has reached capacity and is certified closed, we must continue to maintain and monitor the site for a post-closure period, which generally extends for 30 years. Costs associated with closure and post-closure requirements generally include maintenance of the site, the monitoring of methane gas collection systems and groundwater systems, and other activities that occur after the site has ceased accepting waste. Costs associated with post-closure monitoring generally include groundwater sampling, analysis and statistical reports, third-party labor associated with gas system operations and maintenance, transportation and disposal of leachate, and erosion control costs related to the final cap.</w:t>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Landfill retirement obligation liabilities and assets. </w:t>
      </w:r>
      <w:r>
        <w:rPr>
          <w:rFonts w:ascii="Arial" w:cs="Arial" w:eastAsia="Arial" w:hAnsi="Arial"/>
          <w:sz w:val="18"/>
          <w:szCs w:val="18"/>
          <w:color w:val="auto"/>
        </w:rPr>
        <w:t>Estimates of the total future costs required to cap, close and monitor each landfill as specified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permit are updated annually. The estimates include inflation, the specific timing of future cash outflows, and the anticipated waste flow into the capping events. Our cost estimates are inflated to the period of performance using an estimate of inflation, which is updated annually and is based upon the ten year average consumer price index (1.7% in 2019 and 2018).</w:t>
      </w:r>
    </w:p>
    <w:p>
      <w:pPr>
        <w:spacing w:after="0" w:line="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present value of the remaining capping costs for specific capping events and the remaining closure and post-closure costs for each landfill are recorded as incurred on a per-ton basis. These liabilities are incurred as disposal capacity is consumed at the landfill.</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Capping, closure and post-closure liabilities are recorded in layers and discounted using our credit-adjusted risk-free rate in effect at the time the obligation is incurred (4.3% in 2019 and 2018).</w:t>
      </w:r>
    </w:p>
    <w:p>
      <w:pPr>
        <w:spacing w:after="0" w:line="3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Retirement obligations are increased each year to reflect the passage of time by accreting the balance at the weighted average credit-adjusted risk-free rate that was used to calculate each layer of the recorded liabilities. This accretion is charged to operating expenses. Actual cash expenditures reduce the asset retirement obligation liabilities as they are made.</w:t>
      </w:r>
    </w:p>
    <w:p>
      <w:pPr>
        <w:spacing w:after="0" w:line="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Corresponding retirement obligation assets are recorded for the same value as the additions to the capping, closure and post-closure liabilities. The retirement obligation assets are amortized to expense on a per-ton basis as disposal capacity is consumed. The per-ton rate is calculated by dividing the sum of each of the recorded retirement obligation asset’s net book value and expected future additions to the retirement obligation asset by the remaining disposal capacity. A per-ton rate is determined for each separate capping event based on the disposal capacity relating to that event. Closure and post-closure per-ton rates are based on the total disposal capacity of the landfill.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2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including changes in capping, closure activities or post-closure monitoring activities, types and quantities of materials used, or term of post-closure care, could cause changes in our cost estimates.</w:t>
      </w:r>
    </w:p>
    <w:p>
      <w:pPr>
        <w:spacing w:after="0" w:line="62" w:lineRule="exact"/>
        <w:rPr>
          <w:rFonts w:ascii="Arial" w:cs="Arial" w:eastAsia="Arial" w:hAnsi="Arial"/>
          <w:sz w:val="18"/>
          <w:szCs w:val="18"/>
          <w:color w:val="auto"/>
        </w:rPr>
      </w:pPr>
    </w:p>
    <w:p>
      <w:pPr>
        <w:ind w:left="660" w:right="160" w:hanging="328"/>
        <w:spacing w:after="0" w:line="26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landfill retirement obligation due to changes in the anticipated waste flow, changes in airspace compaction estimates or changes in the timing of expenditures for closed landfills and fully incurred but unpaid capping events are recorded in results of operations prospectively. This could result in unanticipated increases or decreases in expense.</w:t>
      </w:r>
    </w:p>
    <w:p>
      <w:pPr>
        <w:spacing w:after="0" w:line="7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timing of disposal capacity utilization could differ from projected timing, causing differences in timing of when amortization and accretion expense is recognized for capping, closure and post-closure liabilities.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inflation rates could impact our actual future costs and our total liabilities.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48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capital structure or market conditions could result in changes to the credit-adjusted risk-free rate used to discount the liabilities, which could cause changes in future recorded liabilities, assets and expense.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Amortization rates could change in the future based on the evaluation of new facts and circumstances relating to landfill capping design, post-closure monitoring requirements, or the inflation or discount rate.</w:t>
      </w:r>
    </w:p>
    <w:p>
      <w:pPr>
        <w:spacing w:after="0" w:line="11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On an annual basis, we update our estimates of future capping, closure and post-closure costs and of future disposal capacity for each landfill. Revisions in estimates of our costs or timing of expenditures are recognized immediately as increases or decreases to the capping, closure and post-closure liabilities and the corresponding retirement obligation assets. Changes in the assets result in changes to the amortization rates which are applied prospectively, except for fully incurred capping events and closed landfills, where the changes are recorded immediately in results of operations since the associated disposal capacity has already been consumed. See our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section in this Management's Discussion and Analysis of Financial Condition and Results of Operations for discussion on changes to our landfill depletion and amortization.</w:t>
      </w:r>
    </w:p>
    <w:p>
      <w:pPr>
        <w:spacing w:after="0" w:line="12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i w:val="1"/>
          <w:iCs w:val="1"/>
          <w:color w:val="auto"/>
        </w:rPr>
        <w:t xml:space="preserve">Permitted and probable disposal capacity. </w:t>
      </w:r>
      <w:r>
        <w:rPr>
          <w:rFonts w:ascii="Arial" w:cs="Arial" w:eastAsia="Arial" w:hAnsi="Arial"/>
          <w:sz w:val="17"/>
          <w:szCs w:val="17"/>
          <w:color w:val="auto"/>
        </w:rPr>
        <w:t>Disposal capacity is determined by the specifications detailed in the landfill permit. We classify this disposal</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permitted. We also include probable expansion disposal capacity in our remaining disposal capacity estimates, thus including additional disposal capacity being sought through means of a permit expansion. Probable expansion disposal capacity has not yet received final approval from the applicable regulatory agencies, but we have determined that certain critical criteria have been met and that the successful completion of the expansion is probable. We have developed six criteria that must be met before an expansion area is designated as probable expansion airspace. We believe that satisfying all of these criteria demonstrates a high likelihood that expansion airspace that is incorporated in our landfill costing will be permitted. However, because some of these criteria are judgmental, they may exclude expansion airspace that will eventually be permitted or include expansion airspace that will not be permitted. In either of these scenarios, our amortization, depletion and accretion expense could change significantly. Our internal criteria to classify disposal capacity as probable expansion airspace are as follows:</w:t>
      </w:r>
    </w:p>
    <w:p>
      <w:pPr>
        <w:spacing w:after="0" w:line="7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own the land associated with the expansion airspace or control it pursuant to an option agreement;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committed to supporting the expansion project financially and with appropriate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are no identified fatal flaws or impediments associated with the project, including political impediments;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Progress is being made on the project;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expansion is attainable within a reasonable time frame;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believe it is likely we will receive the expansion permit.</w:t>
      </w:r>
    </w:p>
    <w:p>
      <w:pPr>
        <w:spacing w:after="0" w:line="17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After successfully meeting these criteria, the disposal capacity that will result from the planned expansion is included in our remaining disposal capacity estimates. Additionally, for purposes of calculating landfill amortization and capping, closure and post-closure rates, we include the incremental costs to develop, construct, close and monitor the related probable expansion disposal capacity.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Residual risk:</w:t>
      </w:r>
    </w:p>
    <w:p>
      <w:pPr>
        <w:spacing w:after="0" w:line="117" w:lineRule="exact"/>
        <w:rPr>
          <w:sz w:val="20"/>
          <w:szCs w:val="20"/>
          <w:color w:val="auto"/>
        </w:rPr>
      </w:pPr>
    </w:p>
    <w:p>
      <w:pPr>
        <w:ind w:left="660" w:right="60" w:hanging="328"/>
        <w:spacing w:after="0" w:line="25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unsuccessful in obtaining permits for probable expansion disposal capacity because of the failure to obtain the final local, state or federal permits or due to other unknown reasons. If we are unsuccessful in obtaining permits for probable expansion disposal capacity, or the disposal capacity for which we obtain approvals is less than what was estimated, both our estimated total costs and disposal capacity will be reduced, which generally increases the rates we charge for landfill amortization and capping, closure and post-closure accruals. An unexpected decrease in disposal capacity could also cause an asset impairment.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and the related legal costs.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We accrue for costs associated with environmental remediation obligations when such costs are probable and reasonably estimable in accordance with accounting for loss contingencies. We periodically review the status of all environmental matters and update our estimates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of the likelihood of and future expenditures for remediation as necessary. Changes in the liabilities resulting from these reviews are recognized currently in earnings in the period in which the adjustment is known. Adjustments to estimates are reasonably possible in the near term and may result in changes to recorded amounts. With the exception of those obligations assumed in the acquisition of Allied, environmental obligations are recorded on an undiscounted basis. Environmental obligations assumed in the acquisition of Allied, which were initially estimated on a discounted basis, are accreted to full value over time through charges to interest expense.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See our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section in this Management's Discussion and Analysis of Financial Condition and Results of Operations for discussion on our remediation adjustments. We have not reduced the liabilities we have recorded for recoveries from other potentially responsible parties or insurance companies.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hanging="328"/>
        <w:spacing w:after="0" w:line="255"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cannot determine with precision the ultimate amounts of our environmental remediation liabilities. Our estimates of these liabilities require assumptions about uncertain future events. Thus, our estimates could change substantially as additional information becomes available regarding the nature or extent of contamination, the required remediation methods, timing of expenditures, the final apportionment of responsibility among the potentially responsible parties identified, the financial viability of those parties, and the actions of governmental agencies or private parties with interests in the matter. The actual environmental costs may exceed our current and future accruals for these costs, and any adjustments could be material.</w:t>
      </w:r>
    </w:p>
    <w:p>
      <w:pPr>
        <w:spacing w:after="0" w:line="85"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amounts could differ from the estimated liabilities as a result of changes in estimated future litigation costs to pursue the matter to ultimate resolution.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unanticipated environmental liability that arises could result in a material charge to our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 and Related Costs</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insurance policies for workers' compensation, commercial general liability, commercial auto liability and environmental liability are high deductible, or retention programs. The deductibles, or retentions, range from $3 million to $10 million. The employee-related health benefits are also subject to a high deductible insurance policy. Accruals for deductibles or retentions are based on claims filed and actuarial estimates of claims development and claims incurred but not reported.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Residual risks:</w:t>
      </w:r>
    </w:p>
    <w:p>
      <w:pPr>
        <w:spacing w:after="0" w:line="117" w:lineRule="exact"/>
        <w:rPr>
          <w:sz w:val="20"/>
          <w:szCs w:val="20"/>
          <w:color w:val="auto"/>
        </w:rPr>
      </w:pPr>
    </w:p>
    <w:p>
      <w:pPr>
        <w:ind w:left="660" w:right="60" w:hanging="328"/>
        <w:spacing w:after="0" w:line="342"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Incident rates, including frequency and severity, and other actuarial assumptions could change causing our current and future actuarially determined obligations to change, which would be reflected in our consolidated statements of income in the period in which such adjustment is known.</w:t>
      </w:r>
    </w:p>
    <w:p>
      <w:pPr>
        <w:spacing w:after="0" w:line="15" w:lineRule="exact"/>
        <w:rPr>
          <w:rFonts w:ascii="Arial" w:cs="Arial" w:eastAsia="Arial" w:hAnsi="Arial"/>
          <w:sz w:val="16"/>
          <w:szCs w:val="16"/>
          <w:color w:val="auto"/>
        </w:rPr>
      </w:pPr>
    </w:p>
    <w:p>
      <w:pPr>
        <w:ind w:left="660" w:right="300" w:hanging="328"/>
        <w:spacing w:after="0" w:line="308"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Recorded reserves may not be adequate to cover the future payment of claims. Adjustments, if any, to estimates recorded resulting from ultimate claim payments would be reflected in the consolidated statements of income in the periods in which such adjustments are known.</w:t>
      </w:r>
    </w:p>
    <w:p>
      <w:pPr>
        <w:spacing w:after="0" w:line="38"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settlement costs to discharge our obligations, including legal and health care costs, could increase or decrease causing current estimates of our insurance reserves to 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For a description of new accounting standards that may affect us,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our consolidated financial statements in Item 8 of this Form 10-K.</w:t>
      </w:r>
    </w:p>
    <w:p>
      <w:pPr>
        <w:spacing w:after="0" w:line="166" w:lineRule="exact"/>
        <w:rPr>
          <w:sz w:val="20"/>
          <w:szCs w:val="20"/>
          <w:color w:val="auto"/>
        </w:rPr>
      </w:pPr>
    </w:p>
    <w:p>
      <w:pPr>
        <w:ind w:right="4100"/>
        <w:spacing w:after="0" w:line="401" w:lineRule="auto"/>
        <w:rPr>
          <w:sz w:val="20"/>
          <w:szCs w:val="20"/>
          <w:color w:val="auto"/>
        </w:rPr>
      </w:pPr>
      <w:r>
        <w:rPr>
          <w:rFonts w:ascii="Arial" w:cs="Arial" w:eastAsia="Arial" w:hAnsi="Arial"/>
          <w:sz w:val="18"/>
          <w:szCs w:val="18"/>
          <w:b w:val="1"/>
          <w:bCs w:val="1"/>
          <w:color w:val="auto"/>
        </w:rPr>
        <w:t>ITEM 7A.QUANTITATIVE AND QUALITATIVE DISCLOSURES ABOUT MARKET RISK Interest Rate Risk</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major market risk exposure of our financial instruments is changing interest rates in the United States and fluctuations in LIBOR. We intend to manage interest rate risk through the use of a combination of fixed and floating rate debt. The carrying value of our variable rate debt approximates fair value because interest rates are variable and, accordingly, approximates current market rates for instruments with similar risk and maturities. The fair value of our debt is determined as of the balance sheet date and is subject to change.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certain of our market-sensitive financial instruments and constitutes a forward-looking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5"/>
          </w:tcPr>
          <w:p>
            <w:pPr>
              <w:jc w:val="center"/>
              <w:ind w:right="40"/>
              <w:spacing w:after="0"/>
              <w:rPr>
                <w:sz w:val="20"/>
                <w:szCs w:val="20"/>
                <w:color w:val="auto"/>
              </w:rPr>
            </w:pPr>
            <w:r>
              <w:rPr>
                <w:rFonts w:ascii="Arial" w:cs="Arial" w:eastAsia="Arial" w:hAnsi="Arial"/>
                <w:sz w:val="18"/>
                <w:szCs w:val="18"/>
                <w:color w:val="auto"/>
                <w:w w:val="92"/>
              </w:rPr>
              <w:t>Expected Maturity Date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86"/>
              </w:rPr>
              <w:t>as 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 debt: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120"/>
              <w:spacing w:after="0"/>
              <w:rPr>
                <w:sz w:val="20"/>
                <w:szCs w:val="20"/>
                <w:color w:val="auto"/>
              </w:rPr>
            </w:pPr>
            <w:r>
              <w:rPr>
                <w:rFonts w:ascii="Arial" w:cs="Arial" w:eastAsia="Arial" w:hAnsi="Arial"/>
                <w:sz w:val="18"/>
                <w:szCs w:val="18"/>
                <w:color w:val="auto"/>
              </w:rPr>
              <w:t>Amount outstanding (in</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20"/>
              <w:spacing w:after="0"/>
              <w:rPr>
                <w:sz w:val="20"/>
                <w:szCs w:val="20"/>
                <w:color w:val="auto"/>
              </w:rPr>
            </w:pPr>
            <w:r>
              <w:rPr>
                <w:rFonts w:ascii="Arial" w:cs="Arial" w:eastAsia="Arial" w:hAnsi="Arial"/>
                <w:sz w:val="18"/>
                <w:szCs w:val="18"/>
                <w:color w:val="auto"/>
              </w:rPr>
              <w:t>millions)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859.5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643.2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859.1</w:t>
            </w:r>
          </w:p>
        </w:tc>
        <w:tc>
          <w:tcPr>
            <w:tcW w:w="10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3,618.7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7,470.2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8,130.6</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120"/>
              <w:spacing w:after="0"/>
              <w:rPr>
                <w:sz w:val="20"/>
                <w:szCs w:val="20"/>
                <w:color w:val="auto"/>
              </w:rPr>
            </w:pPr>
            <w:r>
              <w:rPr>
                <w:rFonts w:ascii="Arial" w:cs="Arial" w:eastAsia="Arial" w:hAnsi="Arial"/>
                <w:sz w:val="18"/>
                <w:szCs w:val="18"/>
                <w:color w:val="auto"/>
              </w:rPr>
              <w:t>Amount outstanding (in</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20"/>
              <w:spacing w:after="0"/>
              <w:rPr>
                <w:sz w:val="20"/>
                <w:szCs w:val="20"/>
                <w:color w:val="auto"/>
              </w:rPr>
            </w:pPr>
            <w:r>
              <w:rPr>
                <w:rFonts w:ascii="Arial" w:cs="Arial" w:eastAsia="Arial" w:hAnsi="Arial"/>
                <w:sz w:val="18"/>
                <w:szCs w:val="18"/>
                <w:color w:val="auto"/>
              </w:rPr>
              <w:t>millions)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1,318.4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1,312.2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fixed and variable rate debt amounts above exclude the remaining non-cash discounts, premiums and adjustments to fair value totaling $100.1 million.</w:t>
      </w:r>
    </w:p>
    <w:p>
      <w:pPr>
        <w:spacing w:after="0" w:line="11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the second half of 2013, we entered into various interest rate swap agreements relative to our 4.750% fixed rate senior notes due in May 2023. The goal was to reduce overall borrowing costs and rebalance our debt portfolio's ratio of fixed to floating interest rates. These swap agreements, which were designated as fair value hedges, have a total notional value of $300.0 million as of December 31, 2019. Our interest rate swap contracts have been authorized pursuant to our policies and procedures. We do not use financial instruments for trading purposes and are not a party to any leveraged derivatives.</w:t>
      </w:r>
    </w:p>
    <w:p>
      <w:pPr>
        <w:spacing w:after="0" w:line="3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of December 31, 2019, our interest rate lock agreements had an aggregate notional value of $575.0 million with fixed interest rates ranging from 1.330% to 3.000%. As of December 31, 2018, our interest rate lock agreements had an aggregate notional value of $725.0 million with fixed interest rates ranging from 1.900% to 3.250%. We entered into these transactions to manage exposure to fluctuations in interest rates in anticipation of planned future issuances of senior notes in 2019 through 2021. Upon the expected issuance of senior notes, we will terminate the interest rate locks and settle with our counterparties.</w:t>
      </w:r>
    </w:p>
    <w:p>
      <w:pPr>
        <w:spacing w:after="0" w:line="3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As of December 31, 2019, we had $1,318.4 million of floating rate debt and $300.0 million of floating interest rate swap contracts. If interest rates increased or decreased by 100 basis points on our variable rate debt, annualized interest expense and net cash payments for interest would increase or decrease by approximately $16 million. This analysis does not reflect the effect that interest rates would have on other items, such as new borrowings and the impact on the economy. See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our consolidated financial statements in Item 8 of this Form 10-K for further information regarding how we manage interest rate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Price Risk</w:t>
      </w:r>
    </w:p>
    <w:p>
      <w:pPr>
        <w:spacing w:after="0" w:line="9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Fuel costs represent a significant operating expense. When economically practical, we may enter into new fuel hedges, renew contracts, or engage in other strategies to mitigate market risk. As of December 31, 2019, we had no fuel hedges in place. While we charge fuel recovery fees to a majority of our customers, we are unable to charge such fees to all customers.</w:t>
      </w:r>
    </w:p>
    <w:p>
      <w:pPr>
        <w:spacing w:after="0" w:line="6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At current consumption levels, we believe a twenty-cent per gallon change in the price of diesel fuel would change our fuel costs by approximately $26 million per year. Offsetting these changes in fuel expense would be changes in our fuel recovery fee charged to our customers. At current participation rates, we believe a twenty-cent per gallon change in the price of diesel fuel would change our fuel recovery fee by approximately $26 million per year.</w:t>
      </w:r>
    </w:p>
    <w:p>
      <w:pPr>
        <w:spacing w:after="0" w:line="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operations also require the use of certain petrochemical-based products (such as liners at our landfills) whose costs may vary with the price of petrochemicals. An increase in the price of petrochemicals could increase the cost of those products, which would increase our operating and capital costs. We also are susceptible to increases in fuel recovery fees from our vendors.</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fuel costs were $347.9 million in 2019, or 3.4% of revenue, compared to $391.4 million in 2018, or 3.9% of revenue, and $349.8 million in 2017, or 3.5% of revenue.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 Price Risk</w:t>
      </w:r>
    </w:p>
    <w:p>
      <w:pPr>
        <w:spacing w:after="0" w:line="10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market recovered materials such as old corrugated containers and old newsprint from our recycling processing centers. Changes in market supply and demand for recycled commodities causes volatility in commodity prices. In prior periods, we have entered into derivative instruments such as swaps and costless collars designated as cash flow hedges to manage our exposure to changes in prices of these commodities. As of December 31, 2019, we had no recycling commodity hedges in place.</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current volumes and mix of materials, we believe a $10 per ton change in the price of recycled commodities would change annual revenue and operating income by approximately $13 million and $13 million, respectively.</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from recycling processing and commodity sales during the years ended December 31, 2019, 2018 and 2017 was $273.2 million, $297.8 million, and $539.2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1180" w:type="dxa"/>
            <w:vAlign w:val="bottom"/>
          </w:tcPr>
          <w:p>
            <w:pPr>
              <w:spacing w:after="0"/>
              <w:rPr>
                <w:rFonts w:ascii="Arial" w:cs="Arial" w:eastAsia="Arial" w:hAnsi="Arial"/>
                <w:sz w:val="17"/>
                <w:szCs w:val="17"/>
                <w:color w:val="auto"/>
              </w:rPr>
            </w:pPr>
            <w:hyperlink w:anchor="page58">
              <w:r>
                <w:rPr>
                  <w:rFonts w:ascii="Arial" w:cs="Arial" w:eastAsia="Arial" w:hAnsi="Arial"/>
                  <w:sz w:val="17"/>
                  <w:szCs w:val="17"/>
                  <w:color w:val="auto"/>
                </w:rPr>
                <w:t>Report of Independent Registered Public Accounting Firm</w:t>
              </w:r>
            </w:hyperlink>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8">
              <w:r>
                <w:rPr>
                  <w:rFonts w:ascii="Arial" w:cs="Arial" w:eastAsia="Arial" w:hAnsi="Arial"/>
                  <w:sz w:val="17"/>
                  <w:szCs w:val="17"/>
                  <w:color w:val="0000FF"/>
                  <w:w w:val="73"/>
                </w:rPr>
                <w:t>58</w:t>
              </w:r>
            </w:hyperlink>
          </w:p>
        </w:tc>
      </w:tr>
      <w:tr>
        <w:trPr>
          <w:trHeight w:val="196"/>
        </w:trPr>
        <w:tc>
          <w:tcPr>
            <w:tcW w:w="11180" w:type="dxa"/>
            <w:vAlign w:val="bottom"/>
          </w:tcPr>
          <w:p>
            <w:pPr>
              <w:spacing w:after="0"/>
              <w:rPr>
                <w:rFonts w:ascii="Arial" w:cs="Arial" w:eastAsia="Arial" w:hAnsi="Arial"/>
                <w:sz w:val="17"/>
                <w:szCs w:val="17"/>
                <w:color w:val="auto"/>
              </w:rPr>
            </w:pPr>
            <w:hyperlink w:anchor="page61">
              <w:r>
                <w:rPr>
                  <w:rFonts w:ascii="Arial" w:cs="Arial" w:eastAsia="Arial" w:hAnsi="Arial"/>
                  <w:sz w:val="17"/>
                  <w:szCs w:val="17"/>
                  <w:color w:val="auto"/>
                </w:rPr>
                <w:t>Report of Independent Registered Public Accounting Firm on Internal Control Over Financial Reporting</w:t>
              </w:r>
            </w:hyperlink>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61</w:t>
              </w:r>
            </w:hyperlink>
          </w:p>
        </w:tc>
      </w:tr>
      <w:tr>
        <w:trPr>
          <w:trHeight w:val="196"/>
        </w:trPr>
        <w:tc>
          <w:tcPr>
            <w:tcW w:w="11180" w:type="dxa"/>
            <w:vAlign w:val="bottom"/>
          </w:tcPr>
          <w:p>
            <w:pPr>
              <w:spacing w:after="0"/>
              <w:rPr>
                <w:sz w:val="20"/>
                <w:szCs w:val="20"/>
                <w:color w:val="auto"/>
              </w:rPr>
            </w:pPr>
            <w:r>
              <w:rPr>
                <w:rFonts w:ascii="Arial" w:cs="Arial" w:eastAsia="Arial" w:hAnsi="Arial"/>
                <w:sz w:val="17"/>
                <w:szCs w:val="17"/>
                <w:color w:val="auto"/>
              </w:rPr>
              <w:t>Consolidated Balance Sheets as of December 31, 2019 and 2018</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2">
              <w:r>
                <w:rPr>
                  <w:rFonts w:ascii="Arial" w:cs="Arial" w:eastAsia="Arial" w:hAnsi="Arial"/>
                  <w:sz w:val="17"/>
                  <w:szCs w:val="17"/>
                  <w:color w:val="0000FF"/>
                  <w:w w:val="73"/>
                </w:rPr>
                <w:t>62</w:t>
              </w:r>
            </w:hyperlink>
          </w:p>
        </w:tc>
      </w:tr>
      <w:tr>
        <w:trPr>
          <w:trHeight w:val="210"/>
        </w:trPr>
        <w:tc>
          <w:tcPr>
            <w:tcW w:w="11180" w:type="dxa"/>
            <w:vAlign w:val="bottom"/>
          </w:tcPr>
          <w:p>
            <w:pPr>
              <w:spacing w:after="0"/>
              <w:rPr>
                <w:rFonts w:ascii="Arial" w:cs="Arial" w:eastAsia="Arial" w:hAnsi="Arial"/>
                <w:sz w:val="17"/>
                <w:szCs w:val="17"/>
                <w:color w:val="auto"/>
              </w:rPr>
            </w:pPr>
            <w:hyperlink w:anchor="page63">
              <w:r>
                <w:rPr>
                  <w:rFonts w:ascii="Arial" w:cs="Arial" w:eastAsia="Arial" w:hAnsi="Arial"/>
                  <w:sz w:val="17"/>
                  <w:szCs w:val="17"/>
                  <w:color w:val="auto"/>
                </w:rPr>
                <w:t>Consolidated Statement</w:t>
              </w:r>
              <w:r>
                <w:rPr>
                  <w:rFonts w:ascii="Arial" w:cs="Arial" w:eastAsia="Arial" w:hAnsi="Arial"/>
                  <w:sz w:val="18"/>
                  <w:szCs w:val="18"/>
                  <w:color w:val="auto"/>
                </w:rPr>
                <w:t>s of</w:t>
              </w:r>
              <w:r>
                <w:rPr>
                  <w:rFonts w:ascii="Arial" w:cs="Arial" w:eastAsia="Arial" w:hAnsi="Arial"/>
                  <w:sz w:val="17"/>
                  <w:szCs w:val="17"/>
                  <w:color w:val="auto"/>
                </w:rPr>
                <w:t xml:space="preserve"> Income for Each of the Three Years in the Period Ended December 31, 201</w:t>
              </w:r>
            </w:hyperlink>
            <w:r>
              <w:rPr>
                <w:rFonts w:ascii="Arial" w:cs="Arial" w:eastAsia="Arial" w:hAnsi="Arial"/>
                <w:sz w:val="18"/>
                <w:szCs w:val="18"/>
                <w:color w:val="auto"/>
              </w:rPr>
              <w:t>9</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3">
              <w:r>
                <w:rPr>
                  <w:rFonts w:ascii="Arial" w:cs="Arial" w:eastAsia="Arial" w:hAnsi="Arial"/>
                  <w:sz w:val="17"/>
                  <w:szCs w:val="17"/>
                  <w:color w:val="0000FF"/>
                  <w:w w:val="73"/>
                </w:rPr>
                <w:t>63</w:t>
              </w:r>
            </w:hyperlink>
          </w:p>
        </w:tc>
      </w:tr>
      <w:tr>
        <w:trPr>
          <w:trHeight w:val="196"/>
        </w:trPr>
        <w:tc>
          <w:tcPr>
            <w:tcW w:w="11180" w:type="dxa"/>
            <w:vAlign w:val="bottom"/>
          </w:tcPr>
          <w:p>
            <w:pPr>
              <w:spacing w:after="0"/>
              <w:rPr>
                <w:sz w:val="20"/>
                <w:szCs w:val="20"/>
                <w:color w:val="auto"/>
              </w:rPr>
            </w:pPr>
            <w:r>
              <w:rPr>
                <w:rFonts w:ascii="Arial" w:cs="Arial" w:eastAsia="Arial" w:hAnsi="Arial"/>
                <w:sz w:val="17"/>
                <w:szCs w:val="17"/>
                <w:color w:val="auto"/>
              </w:rPr>
              <w:t>Consolidated Statements of Comprehensive Income for Each of the Three Years in the Period Ended December 31, 2019</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4">
              <w:r>
                <w:rPr>
                  <w:rFonts w:ascii="Arial" w:cs="Arial" w:eastAsia="Arial" w:hAnsi="Arial"/>
                  <w:sz w:val="17"/>
                  <w:szCs w:val="17"/>
                  <w:color w:val="0000FF"/>
                  <w:w w:val="73"/>
                </w:rPr>
                <w:t>64</w:t>
              </w:r>
            </w:hyperlink>
          </w:p>
        </w:tc>
      </w:tr>
      <w:tr>
        <w:trPr>
          <w:trHeight w:val="237"/>
        </w:trPr>
        <w:tc>
          <w:tcPr>
            <w:tcW w:w="11180" w:type="dxa"/>
            <w:vAlign w:val="bottom"/>
          </w:tcPr>
          <w:p>
            <w:pPr>
              <w:spacing w:after="0"/>
              <w:rPr>
                <w:sz w:val="20"/>
                <w:szCs w:val="20"/>
                <w:color w:val="auto"/>
              </w:rPr>
            </w:pPr>
            <w:r>
              <w:rPr>
                <w:rFonts w:ascii="Arial" w:cs="Arial" w:eastAsia="Arial" w:hAnsi="Arial"/>
                <w:sz w:val="17"/>
                <w:szCs w:val="17"/>
                <w:color w:val="auto"/>
              </w:rPr>
              <w:t>Consolidated Statements of Stockholders' Equity for Each of the Three Years in the Period Ended December 31, 2019</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5">
              <w:r>
                <w:rPr>
                  <w:rFonts w:ascii="Arial" w:cs="Arial" w:eastAsia="Arial" w:hAnsi="Arial"/>
                  <w:sz w:val="17"/>
                  <w:szCs w:val="17"/>
                  <w:color w:val="0000FF"/>
                  <w:w w:val="73"/>
                </w:rPr>
                <w:t>65</w:t>
              </w:r>
            </w:hyperlink>
          </w:p>
        </w:tc>
      </w:tr>
      <w:tr>
        <w:trPr>
          <w:trHeight w:val="237"/>
        </w:trPr>
        <w:tc>
          <w:tcPr>
            <w:tcW w:w="11180" w:type="dxa"/>
            <w:vAlign w:val="bottom"/>
          </w:tcPr>
          <w:p>
            <w:pPr>
              <w:spacing w:after="0"/>
              <w:rPr>
                <w:sz w:val="20"/>
                <w:szCs w:val="20"/>
                <w:color w:val="auto"/>
              </w:rPr>
            </w:pPr>
            <w:r>
              <w:rPr>
                <w:rFonts w:ascii="Arial" w:cs="Arial" w:eastAsia="Arial" w:hAnsi="Arial"/>
                <w:sz w:val="17"/>
                <w:szCs w:val="17"/>
                <w:color w:val="auto"/>
              </w:rPr>
              <w:t>Consolidated Statements of Cash Flows for Each of the Three Years in the Period Ended December 31, 2019</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6">
              <w:r>
                <w:rPr>
                  <w:rFonts w:ascii="Arial" w:cs="Arial" w:eastAsia="Arial" w:hAnsi="Arial"/>
                  <w:sz w:val="17"/>
                  <w:szCs w:val="17"/>
                  <w:color w:val="0000FF"/>
                  <w:w w:val="73"/>
                </w:rPr>
                <w:t>66</w:t>
              </w:r>
            </w:hyperlink>
          </w:p>
        </w:tc>
      </w:tr>
      <w:tr>
        <w:trPr>
          <w:trHeight w:val="196"/>
        </w:trPr>
        <w:tc>
          <w:tcPr>
            <w:tcW w:w="11180" w:type="dxa"/>
            <w:vAlign w:val="bottom"/>
          </w:tcPr>
          <w:p>
            <w:pPr>
              <w:spacing w:after="0"/>
              <w:rPr>
                <w:rFonts w:ascii="Arial" w:cs="Arial" w:eastAsia="Arial" w:hAnsi="Arial"/>
                <w:sz w:val="17"/>
                <w:szCs w:val="17"/>
                <w:color w:val="auto"/>
              </w:rPr>
            </w:pPr>
            <w:hyperlink w:anchor="page67">
              <w:r>
                <w:rPr>
                  <w:rFonts w:ascii="Arial" w:cs="Arial" w:eastAsia="Arial" w:hAnsi="Arial"/>
                  <w:sz w:val="17"/>
                  <w:szCs w:val="17"/>
                  <w:color w:val="auto"/>
                </w:rPr>
                <w:t>Notes to Consolidated Financial Statements</w:t>
              </w:r>
            </w:hyperlink>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7">
              <w:r>
                <w:rPr>
                  <w:rFonts w:ascii="Arial" w:cs="Arial" w:eastAsia="Arial" w:hAnsi="Arial"/>
                  <w:sz w:val="17"/>
                  <w:szCs w:val="17"/>
                  <w:color w:val="0000FF"/>
                  <w:w w:val="73"/>
                </w:rPr>
                <w:t>67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Republic Services,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audited the accompanying consolidated balance sheets of Republic Services, Inc. (the Company) as of December 31, 2019 and 2018, and the related consolidated statements of income, comprehensive income, stockholders' equity and cash flows for each of the three years in the period ended December 31, 2019, and the related notes (collectively referred to as the “financial statements”). In our opinion, the financial statements present fairly, in all material respects, the consolidated financial position of the Company at December 31, 2019 and 2018, and the consolidated results of its operations and its cash flows for each of the three years in the period ended December 31, 2019 in conformity with U.S. generally accepted accounting principles.</w:t>
      </w:r>
    </w:p>
    <w:p>
      <w:pPr>
        <w:spacing w:after="0" w:line="2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13, 2020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for recognizing revenue as a result of the adoption of the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and the amendments in ASU 2015-14, 2016-08, 2016-10 and 2016-12 effective January 1,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18"/>
          <w:szCs w:val="18"/>
          <w:b w:val="1"/>
          <w:bCs w:val="1"/>
          <w:i w:val="1"/>
          <w:iCs w:val="1"/>
          <w:color w:val="auto"/>
        </w:rPr>
        <w:t>Landfill Development Asset Amortization</w:t>
      </w:r>
    </w:p>
    <w:p>
      <w:pPr>
        <w:spacing w:after="0" w:line="63"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At December 31, 2019, the net book value of the Company’s landfill development assets totaled $3.5 billion, and the associated</w:t>
      </w:r>
    </w:p>
    <w:p>
      <w:pPr>
        <w:spacing w:after="0" w:line="23" w:lineRule="exact"/>
        <w:rPr>
          <w:sz w:val="20"/>
          <w:szCs w:val="20"/>
          <w:color w:val="auto"/>
        </w:rPr>
      </w:pPr>
    </w:p>
    <w:p>
      <w:pPr>
        <w:ind w:left="1780" w:right="160" w:hanging="1759"/>
        <w:spacing w:after="0" w:line="271" w:lineRule="auto"/>
        <w:tabs>
          <w:tab w:leader="none" w:pos="176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landfill development asset amortization expense for 2019 was $333.0 million. Significant assumptions used in calculating the amortization expense include estimated future development costs associated with the land, permitting, cell construction and environmental structures of the landfill in relation to airspace consumed to date and total estimated available airspace. These assumptions have a significant effect on the total landfill amortization expense. As discussed in Note 2 to the consolidated financial statements, costs and airspace estimates are developed at least annually, or more often if significant facts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How We Addressed</w:t>
            </w:r>
          </w:p>
        </w:tc>
        <w:tc>
          <w:tcPr>
            <w:tcW w:w="9760" w:type="dxa"/>
            <w:vAlign w:val="bottom"/>
          </w:tcPr>
          <w:p>
            <w:pPr>
              <w:ind w:left="260"/>
              <w:spacing w:after="0"/>
              <w:rPr>
                <w:sz w:val="20"/>
                <w:szCs w:val="20"/>
                <w:color w:val="auto"/>
              </w:rPr>
            </w:pPr>
            <w:r>
              <w:rPr>
                <w:rFonts w:ascii="Arial" w:cs="Arial" w:eastAsia="Arial" w:hAnsi="Arial"/>
                <w:sz w:val="18"/>
                <w:szCs w:val="18"/>
                <w:color w:val="auto"/>
                <w:w w:val="92"/>
              </w:rPr>
              <w:t>Auditing landfill development asset amortization expense is complex due to the highly judgmental nature of the assumptions used</w:t>
            </w:r>
          </w:p>
        </w:tc>
      </w:tr>
      <w:tr>
        <w:trPr>
          <w:trHeight w:val="216"/>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the Matter in Our</w:t>
            </w:r>
          </w:p>
        </w:tc>
        <w:tc>
          <w:tcPr>
            <w:tcW w:w="9760" w:type="dxa"/>
            <w:vAlign w:val="bottom"/>
          </w:tcPr>
          <w:p>
            <w:pPr>
              <w:ind w:left="260"/>
              <w:spacing w:after="0"/>
              <w:rPr>
                <w:sz w:val="20"/>
                <w:szCs w:val="20"/>
                <w:color w:val="auto"/>
              </w:rPr>
            </w:pPr>
            <w:r>
              <w:rPr>
                <w:rFonts w:ascii="Arial" w:cs="Arial" w:eastAsia="Arial" w:hAnsi="Arial"/>
                <w:sz w:val="18"/>
                <w:szCs w:val="18"/>
                <w:color w:val="auto"/>
                <w:w w:val="99"/>
              </w:rPr>
              <w:t>in the calculation of the expense and required the involvement of specialists to assist us with evaluating estimated future</w:t>
            </w:r>
          </w:p>
        </w:tc>
      </w:tr>
      <w:tr>
        <w:trPr>
          <w:trHeight w:val="230"/>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Audit</w:t>
            </w:r>
          </w:p>
        </w:tc>
        <w:tc>
          <w:tcPr>
            <w:tcW w:w="9760" w:type="dxa"/>
            <w:vAlign w:val="bottom"/>
          </w:tcPr>
          <w:p>
            <w:pPr>
              <w:ind w:left="260"/>
              <w:spacing w:after="0"/>
              <w:rPr>
                <w:sz w:val="20"/>
                <w:szCs w:val="20"/>
                <w:color w:val="auto"/>
              </w:rPr>
            </w:pPr>
            <w:r>
              <w:rPr>
                <w:rFonts w:ascii="Arial" w:cs="Arial" w:eastAsia="Arial" w:hAnsi="Arial"/>
                <w:sz w:val="18"/>
                <w:szCs w:val="18"/>
                <w:color w:val="auto"/>
              </w:rPr>
              <w:t>development costs and certain assumptions to project total estimated available airspace.</w:t>
            </w:r>
          </w:p>
        </w:tc>
      </w:tr>
      <w:tr>
        <w:trPr>
          <w:trHeight w:val="256"/>
        </w:trPr>
        <w:tc>
          <w:tcPr>
            <w:tcW w:w="1660" w:type="dxa"/>
            <w:vAlign w:val="bottom"/>
          </w:tcPr>
          <w:p>
            <w:pPr>
              <w:spacing w:after="0"/>
              <w:rPr>
                <w:sz w:val="22"/>
                <w:szCs w:val="22"/>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We tested controls that address the risks of material misstatement relating to the measurement and valuation of landfill</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development asset amortization expense. For example, we tested controls over the estimation of future landfill development costs</w:t>
            </w:r>
          </w:p>
        </w:tc>
      </w:tr>
      <w:tr>
        <w:trPr>
          <w:trHeight w:val="230"/>
        </w:trPr>
        <w:tc>
          <w:tcPr>
            <w:tcW w:w="166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and management’s review of the assumptions to project total estimated available airspace.</w:t>
            </w:r>
          </w:p>
        </w:tc>
      </w:tr>
      <w:tr>
        <w:trPr>
          <w:trHeight w:val="256"/>
        </w:trPr>
        <w:tc>
          <w:tcPr>
            <w:tcW w:w="1660" w:type="dxa"/>
            <w:vAlign w:val="bottom"/>
          </w:tcPr>
          <w:p>
            <w:pPr>
              <w:spacing w:after="0"/>
              <w:rPr>
                <w:sz w:val="22"/>
                <w:szCs w:val="22"/>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0"/>
              </w:rPr>
              <w:t>To test the landfill development asset amortization expense, our audit procedures included, among others, assessing methodologies</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0"/>
              </w:rPr>
              <w:t>and testing the significant assumptions discussed above related to the underlying cost and airspace data used by the Company. We</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2"/>
              </w:rPr>
              <w:t>compared the significant assumptions used by management to historical trends and, when available, to comparable size landfills</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accepting the same type of waste. We also tested the completeness and accuracy of the historical data utilized in the development</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of the amortization expense. Regarding available airspace, we evaluated the Company’s estimation of the landfill disposal capacity</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0"/>
              </w:rPr>
              <w:t>through a comparison of airspace to historical estimates and annual aerial surveys. We involved EY engineering specialists to assist</w:t>
            </w:r>
          </w:p>
        </w:tc>
      </w:tr>
      <w:tr>
        <w:trPr>
          <w:trHeight w:val="230"/>
        </w:trPr>
        <w:tc>
          <w:tcPr>
            <w:tcW w:w="166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6"/>
              </w:rPr>
              <w:t>us with evaluating estimated future development costs and certain assumptions to project total estimated available airspace.</w:t>
            </w:r>
          </w:p>
        </w:tc>
      </w:tr>
      <w:tr>
        <w:trPr>
          <w:trHeight w:val="270"/>
        </w:trPr>
        <w:tc>
          <w:tcPr>
            <w:tcW w:w="1660" w:type="dxa"/>
            <w:vAlign w:val="bottom"/>
          </w:tcPr>
          <w:p>
            <w:pPr>
              <w:spacing w:after="0"/>
              <w:rPr>
                <w:sz w:val="23"/>
                <w:szCs w:val="23"/>
                <w:color w:val="auto"/>
              </w:rPr>
            </w:pPr>
          </w:p>
        </w:tc>
        <w:tc>
          <w:tcPr>
            <w:tcW w:w="9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Landfill Final Capping, Closure and Post-Closure Costs</w:t>
            </w:r>
          </w:p>
        </w:tc>
      </w:tr>
      <w:tr>
        <w:trPr>
          <w:trHeight w:val="256"/>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Description of the</w:t>
            </w:r>
          </w:p>
        </w:tc>
        <w:tc>
          <w:tcPr>
            <w:tcW w:w="9760" w:type="dxa"/>
            <w:vAlign w:val="bottom"/>
          </w:tcPr>
          <w:p>
            <w:pPr>
              <w:ind w:left="260"/>
              <w:spacing w:after="0"/>
              <w:rPr>
                <w:sz w:val="20"/>
                <w:szCs w:val="20"/>
                <w:color w:val="auto"/>
              </w:rPr>
            </w:pPr>
            <w:r>
              <w:rPr>
                <w:rFonts w:ascii="Arial" w:cs="Arial" w:eastAsia="Arial" w:hAnsi="Arial"/>
                <w:sz w:val="18"/>
                <w:szCs w:val="18"/>
                <w:color w:val="auto"/>
                <w:w w:val="95"/>
              </w:rPr>
              <w:t>At December 31, 2019, the carrying value of the Company’s landfill final capping, closure and post-closure costs totaled $1.3</w:t>
            </w:r>
          </w:p>
        </w:tc>
      </w:tr>
      <w:tr>
        <w:trPr>
          <w:trHeight w:val="216"/>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Matter</w:t>
            </w:r>
          </w:p>
        </w:tc>
        <w:tc>
          <w:tcPr>
            <w:tcW w:w="9760" w:type="dxa"/>
            <w:vAlign w:val="bottom"/>
          </w:tcPr>
          <w:p>
            <w:pPr>
              <w:ind w:left="260"/>
              <w:spacing w:after="0"/>
              <w:rPr>
                <w:sz w:val="20"/>
                <w:szCs w:val="20"/>
                <w:color w:val="auto"/>
              </w:rPr>
            </w:pPr>
            <w:r>
              <w:rPr>
                <w:rFonts w:ascii="Arial" w:cs="Arial" w:eastAsia="Arial" w:hAnsi="Arial"/>
                <w:sz w:val="18"/>
                <w:szCs w:val="18"/>
                <w:color w:val="auto"/>
                <w:w w:val="96"/>
              </w:rPr>
              <w:t>billion. As discussed in Notes 2 and 8 to the consolidated financial statements, asset retirement obligations for final capping,</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closure and post-closure are measured at their estimated fair value. Management updates the assumptions used to estimate asset</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retirement obligations at least annually, or more often if significant facts change. These assumptions include estimated future costs</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0"/>
              </w:rPr>
              <w:t>associated with the final capping, closure and post closure activities at each landfill, airspace consumed to date, estimated available</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airspace, projected annual tonnage volume, projected timing of capping, closure and post closure activities and estimated inflation</w:t>
            </w:r>
          </w:p>
        </w:tc>
      </w:tr>
      <w:tr>
        <w:trPr>
          <w:trHeight w:val="230"/>
        </w:trPr>
        <w:tc>
          <w:tcPr>
            <w:tcW w:w="166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and discount rates. These assumptions have a significant effect on the estimated asset retirement obligation.</w:t>
            </w:r>
          </w:p>
        </w:tc>
      </w:tr>
      <w:tr>
        <w:trPr>
          <w:trHeight w:val="256"/>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How We Addressed</w:t>
            </w:r>
          </w:p>
        </w:tc>
        <w:tc>
          <w:tcPr>
            <w:tcW w:w="9760" w:type="dxa"/>
            <w:vAlign w:val="bottom"/>
          </w:tcPr>
          <w:p>
            <w:pPr>
              <w:ind w:left="260"/>
              <w:spacing w:after="0"/>
              <w:rPr>
                <w:sz w:val="20"/>
                <w:szCs w:val="20"/>
                <w:color w:val="auto"/>
              </w:rPr>
            </w:pPr>
            <w:r>
              <w:rPr>
                <w:rFonts w:ascii="Arial" w:cs="Arial" w:eastAsia="Arial" w:hAnsi="Arial"/>
                <w:sz w:val="18"/>
                <w:szCs w:val="18"/>
                <w:color w:val="auto"/>
                <w:w w:val="95"/>
              </w:rPr>
              <w:t>Auditing the landfill asset retirement obligation is complex due to the highly judgmental nature of the assumptions used in the</w:t>
            </w:r>
          </w:p>
        </w:tc>
      </w:tr>
      <w:tr>
        <w:trPr>
          <w:trHeight w:val="216"/>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the Matter in Our</w:t>
            </w: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measurement process and required the involvement of specialists to assist us with evaluating the costs estimated for the capping,</w:t>
            </w:r>
          </w:p>
        </w:tc>
      </w:tr>
      <w:tr>
        <w:trPr>
          <w:trHeight w:val="230"/>
        </w:trPr>
        <w:tc>
          <w:tcPr>
            <w:tcW w:w="1660" w:type="dxa"/>
            <w:vAlign w:val="bottom"/>
          </w:tcPr>
          <w:p>
            <w:pPr>
              <w:ind w:left="20"/>
              <w:spacing w:after="0"/>
              <w:rPr>
                <w:sz w:val="20"/>
                <w:szCs w:val="20"/>
                <w:color w:val="auto"/>
              </w:rPr>
            </w:pPr>
            <w:r>
              <w:rPr>
                <w:rFonts w:ascii="Arial" w:cs="Arial" w:eastAsia="Arial" w:hAnsi="Arial"/>
                <w:sz w:val="18"/>
                <w:szCs w:val="18"/>
                <w:i w:val="1"/>
                <w:iCs w:val="1"/>
                <w:color w:val="auto"/>
              </w:rPr>
              <w:t>Audit</w:t>
            </w:r>
          </w:p>
        </w:tc>
        <w:tc>
          <w:tcPr>
            <w:tcW w:w="9760" w:type="dxa"/>
            <w:vAlign w:val="bottom"/>
          </w:tcPr>
          <w:p>
            <w:pPr>
              <w:ind w:left="260"/>
              <w:spacing w:after="0"/>
              <w:rPr>
                <w:sz w:val="20"/>
                <w:szCs w:val="20"/>
                <w:color w:val="auto"/>
              </w:rPr>
            </w:pPr>
            <w:r>
              <w:rPr>
                <w:rFonts w:ascii="Arial" w:cs="Arial" w:eastAsia="Arial" w:hAnsi="Arial"/>
                <w:sz w:val="18"/>
                <w:szCs w:val="18"/>
                <w:color w:val="auto"/>
              </w:rPr>
              <w:t>closure and post closure activities and certain assumptions to project total estimated available airspace.</w:t>
            </w:r>
          </w:p>
        </w:tc>
      </w:tr>
      <w:tr>
        <w:trPr>
          <w:trHeight w:val="256"/>
        </w:trPr>
        <w:tc>
          <w:tcPr>
            <w:tcW w:w="1660" w:type="dxa"/>
            <w:vAlign w:val="bottom"/>
          </w:tcPr>
          <w:p>
            <w:pPr>
              <w:spacing w:after="0"/>
              <w:rPr>
                <w:sz w:val="22"/>
                <w:szCs w:val="22"/>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We tested controls that address the risks of material misstatement relating to the completeness, measurement and valuation of the</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6"/>
              </w:rPr>
              <w:t>asset retirement obligation. For example, we tested controls over management’s development of the landfill asset retirement</w:t>
            </w:r>
          </w:p>
        </w:tc>
      </w:tr>
      <w:tr>
        <w:trPr>
          <w:trHeight w:val="230"/>
        </w:trPr>
        <w:tc>
          <w:tcPr>
            <w:tcW w:w="166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obligation models to estimate the future liability and management’s review of data inputs and projections.</w:t>
            </w:r>
          </w:p>
        </w:tc>
      </w:tr>
      <w:tr>
        <w:trPr>
          <w:trHeight w:val="256"/>
        </w:trPr>
        <w:tc>
          <w:tcPr>
            <w:tcW w:w="1660" w:type="dxa"/>
            <w:vAlign w:val="bottom"/>
          </w:tcPr>
          <w:p>
            <w:pPr>
              <w:spacing w:after="0"/>
              <w:rPr>
                <w:sz w:val="22"/>
                <w:szCs w:val="22"/>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To test the landfill asset retirement obligation, our audit procedures included, among others, assessing methodologies used by the</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89"/>
              </w:rPr>
              <w:t>Company, testing the completeness of activities included in the estimate (e.g. gas monitoring and leachate management) and testing</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5"/>
              </w:rPr>
              <w:t>the significant assumptions discussed above, as well as the underlying costs and other estimates used by the Company in its</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development of these assumptions. We compared the significant assumptions used by management to historical trends and, when</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4"/>
              </w:rPr>
              <w:t>available, to comparable size landfills accepting the same type of waste. We also tested the completeness and accuracy of the</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5"/>
              </w:rPr>
              <w:t>historical data utilized in preparing the estimate. We involved EY engineering specialists to assist us with evaluating the costs</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1"/>
              </w:rPr>
              <w:t>estimated for the capping, closure and post closure activities and the reasons for significant changes in assumptions from historical</w:t>
            </w:r>
          </w:p>
        </w:tc>
      </w:tr>
      <w:tr>
        <w:trPr>
          <w:trHeight w:val="216"/>
        </w:trPr>
        <w:tc>
          <w:tcPr>
            <w:tcW w:w="166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w w:val="98"/>
              </w:rPr>
              <w:t>trends and determined whether the change from the historical trend was appropriate and identified timely. EY engineering</w:t>
            </w:r>
          </w:p>
        </w:tc>
      </w:tr>
      <w:tr>
        <w:trPr>
          <w:trHeight w:val="230"/>
        </w:trPr>
        <w:tc>
          <w:tcPr>
            <w:tcW w:w="1660" w:type="dxa"/>
            <w:vAlign w:val="bottom"/>
          </w:tcPr>
          <w:p>
            <w:pPr>
              <w:spacing w:after="0"/>
              <w:rPr>
                <w:sz w:val="20"/>
                <w:szCs w:val="20"/>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specialists were also involved in evaluating certain assumptions to project total estimated available airspace.</w:t>
            </w:r>
          </w:p>
        </w:tc>
      </w:tr>
      <w:tr>
        <w:trPr>
          <w:trHeight w:val="837"/>
        </w:trPr>
        <w:tc>
          <w:tcPr>
            <w:tcW w:w="1660" w:type="dxa"/>
            <w:vAlign w:val="bottom"/>
          </w:tcPr>
          <w:p>
            <w:pPr>
              <w:spacing w:after="0"/>
              <w:rPr>
                <w:sz w:val="24"/>
                <w:szCs w:val="24"/>
                <w:color w:val="auto"/>
              </w:rPr>
            </w:pPr>
          </w:p>
        </w:tc>
        <w:tc>
          <w:tcPr>
            <w:tcW w:w="9760" w:type="dxa"/>
            <w:vAlign w:val="bottom"/>
          </w:tcPr>
          <w:p>
            <w:pPr>
              <w:ind w:left="3960"/>
              <w:spacing w:after="0"/>
              <w:rPr>
                <w:sz w:val="20"/>
                <w:szCs w:val="20"/>
                <w:color w:val="auto"/>
              </w:rPr>
            </w:pPr>
            <w:r>
              <w:rPr>
                <w:rFonts w:ascii="Arial" w:cs="Arial" w:eastAsia="Arial" w:hAnsi="Arial"/>
                <w:sz w:val="18"/>
                <w:szCs w:val="18"/>
                <w:color w:val="auto"/>
              </w:rPr>
              <w:t>59</w:t>
            </w:r>
          </w:p>
        </w:tc>
      </w:tr>
      <w:tr>
        <w:trPr>
          <w:trHeight w:val="115"/>
        </w:trPr>
        <w:tc>
          <w:tcPr>
            <w:tcW w:w="1660" w:type="dxa"/>
            <w:vAlign w:val="bottom"/>
            <w:tcBorders>
              <w:bottom w:val="single" w:sz="8" w:color="9A9A9A"/>
            </w:tcBorders>
          </w:tcPr>
          <w:p>
            <w:pPr>
              <w:spacing w:after="0"/>
              <w:rPr>
                <w:sz w:val="10"/>
                <w:szCs w:val="10"/>
                <w:color w:val="auto"/>
              </w:rPr>
            </w:pPr>
          </w:p>
        </w:tc>
        <w:tc>
          <w:tcPr>
            <w:tcW w:w="9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ectPr>
          <w:pgSz w:w="11900" w:h="16838" w:orient="portrait"/>
          <w:cols w:equalWidth="0" w:num="1">
            <w:col w:w="11340"/>
          </w:cols>
          <w:pgMar w:left="240" w:top="1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right="36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right="260"/>
        <w:spacing w:after="0" w:line="31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6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December 31, 2019, environmental remediation liabilities totaled $500.2 million. As discussed in Note 2 to the consolidated financial statements, the Company performs a review of their environmental obligations annually and when it identifies changes in facts and circumstances associated with these obligations. The Company considers several factors to estimate the ultimate liability at these sites, including, but not limited to, the nature and extent of contamination, the required remediation methods, timing of expenditures, and apportionment of responsibility among the potentially responsible parties and the financial viability of those parties. The Company accrues for costs associated with environmental remediation obligations when such costs are probable and reasonably estimable. Significant assumptions used in estimating environmental remediation liabilities include costs associated with remediating groundwater, surface water and soil contamination, as well as controlling and containing methane gas migration and the related legal costs. These assumptions have a significant effect on the estimated liability.</w:t>
      </w:r>
    </w:p>
    <w:p>
      <w:pPr>
        <w:spacing w:after="0" w:line="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Auditing environmental remediation liabilities is complex and required the involvement of specialists due to the highly judgmental nature of the assumptions used in the estimate.</w:t>
      </w:r>
    </w:p>
    <w:p>
      <w:pPr>
        <w:spacing w:after="0" w:line="4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tested controls that address the risks of material misstatement relating to the valuation and completeness of the environmental liabilities. For example, we tested controls over the identification of new matters and management’s review of the significant assumptions used in determining the estimated remediation liabilities.</w:t>
      </w:r>
    </w:p>
    <w:p>
      <w:pPr>
        <w:spacing w:after="0" w:line="1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 test the environmental liabilities, our audit procedures included, among others, assessing methodologies used by the Company and testing the significant assumptions discussed above, as well as the underlying costs and other estimates used by the Company in its development of these assumptions. We compared the significant assumptions used by management to historical trends and, when available, to notifications or decisions from regulatory agencies specifying remedial plans of action required and to agreements or correspondence regarding the apportionment of responsibility among the potentially responsible parties. We tested the completeness and accuracy of the historical data utilized in the development of the environmental liability. We also involved EY engineering specialists to assist us with evaluating the completeness of the Company’s environmental matters and assumptions used in estimating remediation liabilities for certain sites.</w:t>
      </w:r>
    </w:p>
    <w:p>
      <w:pPr>
        <w:spacing w:after="0" w:line="462" w:lineRule="exact"/>
        <w:rPr>
          <w:sz w:val="20"/>
          <w:szCs w:val="20"/>
          <w:color w:val="auto"/>
        </w:rPr>
      </w:pPr>
    </w:p>
    <w:p>
      <w:pPr>
        <w:sectPr>
          <w:pgSz w:w="11900" w:h="16838" w:orient="portrait"/>
          <w:cols w:equalWidth="0" w:num="2">
            <w:col w:w="1680" w:space="240"/>
            <w:col w:w="9420"/>
          </w:cols>
          <w:pgMar w:left="240" w:top="118" w:right="319" w:bottom="1440" w:gutter="0" w:footer="0" w:header="0"/>
          <w:type w:val="continuous"/>
        </w:sect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Republic Services,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Republic Services, Inc.’s internal control over financial reporting as of December 31, 2019, based on criteria established in Internal Control —Integrated Framework issued by the Committee of Sponsoring Organizations of the Treadway Commission (2013 framework) (the COSO criteria). In our opinion, Republic Services, Inc. (the Company) maintained, in all material respects, effective internal control over financial reporting as of December 31, 2019, based on the COSO criteria.</w:t>
      </w:r>
    </w:p>
    <w:p>
      <w:pPr>
        <w:spacing w:after="0" w:line="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Republic Services, Inc. as of December 31, 2019 and 2018, the related consolidated statements of income, comprehensive income, stockholders’ equity and cash flows for each of the three years in the period ended December 31, 2019, and the related notes and our report dated February 13, 2020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Report of Management on Republic Services, Inc.’s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3"/>
        </w:trPr>
        <w:tc>
          <w:tcPr>
            <w:tcW w:w="8420" w:type="dxa"/>
            <w:vAlign w:val="bottom"/>
          </w:tcPr>
          <w:p>
            <w:pPr>
              <w:ind w:left="300"/>
              <w:spacing w:after="0"/>
              <w:rPr>
                <w:sz w:val="20"/>
                <w:szCs w:val="20"/>
                <w:color w:val="auto"/>
              </w:rPr>
            </w:pPr>
            <w:r>
              <w:rPr>
                <w:rFonts w:ascii="Arial" w:cs="Arial" w:eastAsia="Arial" w:hAnsi="Arial"/>
                <w:sz w:val="18"/>
                <w:szCs w:val="18"/>
                <w:color w:val="auto"/>
              </w:rPr>
              <w:t>Accounts receivable, less allowance for doubtful accounts and other of $34.0 and $34.3, respectively</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1,125.9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37"/>
        </w:trPr>
        <w:tc>
          <w:tcPr>
            <w:tcW w:w="84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1,606.0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1,564.4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and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8,383.5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8,020.1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11,400.1</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37"/>
        </w:trPr>
        <w:tc>
          <w:tcPr>
            <w:tcW w:w="84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22,683.8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21,617.0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2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43"/>
        </w:trPr>
        <w:tc>
          <w:tcPr>
            <w:tcW w:w="8420" w:type="dxa"/>
            <w:vAlign w:val="bottom"/>
          </w:tcPr>
          <w:p>
            <w:pPr>
              <w:ind w:left="120"/>
              <w:spacing w:after="0"/>
              <w:rPr>
                <w:sz w:val="20"/>
                <w:szCs w:val="20"/>
                <w:color w:val="auto"/>
              </w:rPr>
            </w:pPr>
            <w:r>
              <w:rPr>
                <w:rFonts w:ascii="Arial" w:cs="Arial" w:eastAsia="Arial" w:hAnsi="Arial"/>
                <w:sz w:val="18"/>
                <w:szCs w:val="18"/>
                <w:color w:val="auto"/>
              </w:rPr>
              <w:t>Notes payable and current maturities of long-term debt</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929.9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43"/>
        </w:trPr>
        <w:tc>
          <w:tcPr>
            <w:tcW w:w="8420" w:type="dxa"/>
            <w:vAlign w:val="bottom"/>
          </w:tcPr>
          <w:p>
            <w:pPr>
              <w:ind w:left="120"/>
              <w:spacing w:after="0"/>
              <w:rPr>
                <w:sz w:val="20"/>
                <w:szCs w:val="20"/>
                <w:color w:val="auto"/>
              </w:rPr>
            </w:pPr>
            <w:r>
              <w:rPr>
                <w:rFonts w:ascii="Arial" w:cs="Arial" w:eastAsia="Arial" w:hAnsi="Arial"/>
                <w:sz w:val="18"/>
                <w:szCs w:val="18"/>
                <w:color w:val="auto"/>
              </w:rPr>
              <w:t>Accrued landfill and environmental costs, current portion</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43"/>
        </w:trPr>
        <w:tc>
          <w:tcPr>
            <w:tcW w:w="8420" w:type="dxa"/>
            <w:vAlign w:val="bottom"/>
          </w:tcPr>
          <w:p>
            <w:pPr>
              <w:ind w:left="12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3,064.6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2,718.6</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7,758.6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7,646.8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landfill and environmental costs,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1,701.6</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Deferred income taxes and other long-term tax liabilities, net</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1,180.6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1,028.3</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reserves,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579.4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Preferred stock, par value $0.01 per share; 50 shares authorized; none issued</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42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stock, par value $0.01 per share; 750 shares authorized; 353.3 and 351.9 issued including shares held in</w:t>
            </w:r>
          </w:p>
        </w:tc>
        <w:tc>
          <w:tcPr>
            <w:tcW w:w="160" w:type="dxa"/>
            <w:vAlign w:val="bottom"/>
          </w:tcPr>
          <w:p>
            <w:pPr>
              <w:spacing w:after="0"/>
              <w:rPr>
                <w:sz w:val="15"/>
                <w:szCs w:val="15"/>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ind w:right="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420" w:type="dxa"/>
            <w:vAlign w:val="bottom"/>
          </w:tcPr>
          <w:p>
            <w:pPr>
              <w:ind w:left="140"/>
              <w:spacing w:after="0"/>
              <w:rPr>
                <w:sz w:val="20"/>
                <w:szCs w:val="20"/>
                <w:color w:val="auto"/>
              </w:rPr>
            </w:pPr>
            <w:r>
              <w:rPr>
                <w:rFonts w:ascii="Arial" w:cs="Arial" w:eastAsia="Arial" w:hAnsi="Arial"/>
                <w:sz w:val="18"/>
                <w:szCs w:val="18"/>
                <w:color w:val="auto"/>
              </w:rPr>
              <w:t>treasury, respectively</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4,994.8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4,924.9</w:t>
            </w:r>
          </w:p>
        </w:tc>
        <w:tc>
          <w:tcPr>
            <w:tcW w:w="0" w:type="dxa"/>
            <w:vAlign w:val="bottom"/>
          </w:tcPr>
          <w:p>
            <w:pPr>
              <w:spacing w:after="0"/>
              <w:rPr>
                <w:sz w:val="1"/>
                <w:szCs w:val="1"/>
                <w:color w:val="auto"/>
              </w:rPr>
            </w:pPr>
          </w:p>
        </w:tc>
      </w:tr>
      <w:tr>
        <w:trPr>
          <w:trHeight w:val="243"/>
        </w:trPr>
        <w:tc>
          <w:tcPr>
            <w:tcW w:w="842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5,317.3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4,750.5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Treasury stock, at cost; 34.5 and 29.4 shares,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(1,782.6)</w:t>
            </w:r>
          </w:p>
        </w:tc>
        <w:tc>
          <w:tcPr>
            <w:tcW w:w="0" w:type="dxa"/>
            <w:vAlign w:val="bottom"/>
          </w:tcPr>
          <w:p>
            <w:pPr>
              <w:spacing w:after="0"/>
              <w:rPr>
                <w:sz w:val="1"/>
                <w:szCs w:val="1"/>
                <w:color w:val="auto"/>
              </w:rPr>
            </w:pPr>
          </w:p>
        </w:tc>
      </w:tr>
      <w:tr>
        <w:trPr>
          <w:trHeight w:val="243"/>
        </w:trPr>
        <w:tc>
          <w:tcPr>
            <w:tcW w:w="8420" w:type="dxa"/>
            <w:vAlign w:val="bottom"/>
          </w:tcPr>
          <w:p>
            <w:pPr>
              <w:ind w:left="120"/>
              <w:spacing w:after="0"/>
              <w:rPr>
                <w:sz w:val="20"/>
                <w:szCs w:val="20"/>
                <w:color w:val="auto"/>
              </w:rPr>
            </w:pPr>
            <w:r>
              <w:rPr>
                <w:rFonts w:ascii="Arial" w:cs="Arial" w:eastAsia="Arial" w:hAnsi="Arial"/>
                <w:sz w:val="18"/>
                <w:szCs w:val="18"/>
                <w:color w:val="auto"/>
              </w:rPr>
              <w:t>Accumulated other comprehensive income, net of tax</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Republic Services, Inc.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8,118.2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7,927.1</w:t>
            </w:r>
          </w:p>
        </w:tc>
        <w:tc>
          <w:tcPr>
            <w:tcW w:w="0" w:type="dxa"/>
            <w:vAlign w:val="bottom"/>
          </w:tcPr>
          <w:p>
            <w:pPr>
              <w:spacing w:after="0"/>
              <w:rPr>
                <w:sz w:val="1"/>
                <w:szCs w:val="1"/>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Non-controlling interests in consolidated subsidiary</w:t>
            </w:r>
          </w:p>
        </w:tc>
        <w:tc>
          <w:tcPr>
            <w:tcW w:w="16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8,120.9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7,929.5</w:t>
            </w:r>
          </w:p>
        </w:tc>
        <w:tc>
          <w:tcPr>
            <w:tcW w:w="0" w:type="dxa"/>
            <w:vAlign w:val="bottom"/>
          </w:tcPr>
          <w:p>
            <w:pPr>
              <w:spacing w:after="0"/>
              <w:rPr>
                <w:sz w:val="1"/>
                <w:szCs w:val="1"/>
                <w:color w:val="auto"/>
              </w:rPr>
            </w:pPr>
          </w:p>
        </w:tc>
      </w:tr>
      <w:tr>
        <w:trPr>
          <w:trHeight w:val="237"/>
        </w:trPr>
        <w:tc>
          <w:tcPr>
            <w:tcW w:w="842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22,683.8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21,617.0</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6"/>
          </w:tcPr>
          <w:p>
            <w:pPr>
              <w:jc w:val="right"/>
              <w:ind w:right="50"/>
              <w:spacing w:after="0"/>
              <w:rPr>
                <w:sz w:val="20"/>
                <w:szCs w:val="20"/>
                <w:color w:val="auto"/>
              </w:rPr>
            </w:pPr>
            <w:r>
              <w:rPr>
                <w:rFonts w:ascii="Arial" w:cs="Arial" w:eastAsia="Arial" w:hAnsi="Arial"/>
                <w:sz w:val="18"/>
                <w:szCs w:val="18"/>
                <w:color w:val="auto"/>
              </w:rPr>
              <w:t>Years Ended 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10,299.4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10,041.5</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6,298.4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6,214.6</w:t>
            </w:r>
          </w:p>
        </w:tc>
        <w:tc>
          <w:tcPr>
            <w:tcW w:w="0" w:type="dxa"/>
            <w:vAlign w:val="bottom"/>
          </w:tcPr>
          <w:p>
            <w:pPr>
              <w:spacing w:after="0"/>
              <w:rPr>
                <w:sz w:val="1"/>
                <w:szCs w:val="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Depreciation, amortization and depletion</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1,040.5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1,036.3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Accretion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1,091.9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Withdrawal costs - multiemployer pension funds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Gain on business divestitures and impairments, net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72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1,787.2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1,735.8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1,668.5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Loss from unconsolidated equity method investments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720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1,295.8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1,320.9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1,282.1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1,073.8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1,037.6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1,279.0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 in consolidated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7200" w:type="dxa"/>
            <w:vAlign w:val="bottom"/>
          </w:tcPr>
          <w:p>
            <w:pPr>
              <w:ind w:left="340"/>
              <w:spacing w:after="0"/>
              <w:rPr>
                <w:sz w:val="20"/>
                <w:szCs w:val="20"/>
                <w:color w:val="auto"/>
              </w:rPr>
            </w:pPr>
            <w:r>
              <w:rPr>
                <w:rFonts w:ascii="Arial" w:cs="Arial" w:eastAsia="Arial" w:hAnsi="Arial"/>
                <w:sz w:val="18"/>
                <w:szCs w:val="18"/>
                <w:color w:val="auto"/>
              </w:rPr>
              <w:t>Net income attributable to Republic Services, Inc.</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1,073.3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1,036.9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1,278.4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Republic Services, Inc. stockholders: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321.1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Republic Services, Inc. stockholders: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Weighted average common and common equivalent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6"/>
          </w:tcPr>
          <w:p>
            <w:pPr>
              <w:jc w:val="right"/>
              <w:ind w:right="50"/>
              <w:spacing w:after="0"/>
              <w:rPr>
                <w:sz w:val="20"/>
                <w:szCs w:val="20"/>
                <w:color w:val="auto"/>
              </w:rPr>
            </w:pPr>
            <w:r>
              <w:rPr>
                <w:rFonts w:ascii="Arial" w:cs="Arial" w:eastAsia="Arial" w:hAnsi="Arial"/>
                <w:sz w:val="18"/>
                <w:szCs w:val="18"/>
                <w:color w:val="auto"/>
              </w:rPr>
              <w:t>Years Ended December 31,</w:t>
            </w:r>
          </w:p>
        </w:tc>
        <w:tc>
          <w:tcPr>
            <w:tcW w:w="9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1,279.0</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Hedging activity: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Realized loss (gain) reclassified into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Unrealized (loss) gains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Pension activity: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Change in funded status of pension plan obligations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1,042.1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1,287.4</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Comprehensive income attributable to Republic Services, Inc.</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1,041.6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1,286.8</w:t>
            </w: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11"/>
          </w:tcPr>
          <w:p>
            <w:pPr>
              <w:ind w:left="280"/>
              <w:spacing w:after="0"/>
              <w:rPr>
                <w:sz w:val="20"/>
                <w:szCs w:val="20"/>
                <w:color w:val="auto"/>
              </w:rPr>
            </w:pPr>
            <w:r>
              <w:rPr>
                <w:rFonts w:ascii="Arial" w:cs="Arial" w:eastAsia="Arial" w:hAnsi="Arial"/>
                <w:sz w:val="14"/>
                <w:szCs w:val="14"/>
                <w:color w:val="auto"/>
              </w:rPr>
              <w:t>Republic Services, Inc. Stockholders’ Equity</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6"/>
          </w:tcPr>
          <w:p>
            <w:pPr>
              <w:ind w:left="580"/>
              <w:spacing w:after="0"/>
              <w:rPr>
                <w:sz w:val="20"/>
                <w:szCs w:val="20"/>
                <w:color w:val="auto"/>
              </w:rPr>
            </w:pPr>
            <w:r>
              <w:rPr>
                <w:rFonts w:ascii="Arial" w:cs="Arial" w:eastAsia="Arial" w:hAnsi="Arial"/>
                <w:sz w:val="14"/>
                <w:szCs w:val="14"/>
                <w:color w:val="auto"/>
              </w:rPr>
              <w:t>Treasury</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Accumulated Other</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Non-controlling</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580" w:type="dxa"/>
            <w:vAlign w:val="bottom"/>
            <w:gridSpan w:val="5"/>
          </w:tcPr>
          <w:p>
            <w:pPr>
              <w:ind w:left="28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Interests In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ind w:left="20"/>
              <w:spacing w:after="0" w:line="116" w:lineRule="exact"/>
              <w:rPr>
                <w:sz w:val="20"/>
                <w:szCs w:val="20"/>
                <w:color w:val="auto"/>
              </w:rPr>
            </w:pPr>
            <w:r>
              <w:rPr>
                <w:rFonts w:ascii="Arial" w:cs="Arial" w:eastAsia="Arial" w:hAnsi="Arial"/>
                <w:sz w:val="13"/>
                <w:szCs w:val="13"/>
                <w:color w:val="auto"/>
              </w:rPr>
              <w:t>Additional</w:t>
            </w:r>
          </w:p>
        </w:tc>
        <w:tc>
          <w:tcPr>
            <w:tcW w:w="120" w:type="dxa"/>
            <w:vAlign w:val="bottom"/>
          </w:tcPr>
          <w:p>
            <w:pPr>
              <w:spacing w:after="0"/>
              <w:rPr>
                <w:sz w:val="4"/>
                <w:szCs w:val="4"/>
                <w:color w:val="auto"/>
              </w:rPr>
            </w:pPr>
          </w:p>
        </w:tc>
        <w:tc>
          <w:tcPr>
            <w:tcW w:w="780" w:type="dxa"/>
            <w:vAlign w:val="bottom"/>
            <w:gridSpan w:val="2"/>
            <w:vMerge w:val="restart"/>
          </w:tcPr>
          <w:p>
            <w:pPr>
              <w:ind w:left="20"/>
              <w:spacing w:after="0" w:line="116" w:lineRule="exact"/>
              <w:rPr>
                <w:sz w:val="20"/>
                <w:szCs w:val="20"/>
                <w:color w:val="auto"/>
              </w:rPr>
            </w:pPr>
            <w:r>
              <w:rPr>
                <w:rFonts w:ascii="Arial" w:cs="Arial" w:eastAsia="Arial" w:hAnsi="Arial"/>
                <w:sz w:val="13"/>
                <w:szCs w:val="13"/>
                <w:color w:val="auto"/>
              </w:rPr>
              <w:t>Retained</w:t>
            </w: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restart"/>
          </w:tcPr>
          <w:p>
            <w:pPr>
              <w:jc w:val="center"/>
              <w:ind w:right="200"/>
              <w:spacing w:after="0" w:line="116" w:lineRule="exact"/>
              <w:rPr>
                <w:sz w:val="20"/>
                <w:szCs w:val="20"/>
                <w:color w:val="auto"/>
              </w:rPr>
            </w:pPr>
            <w:r>
              <w:rPr>
                <w:rFonts w:ascii="Arial" w:cs="Arial" w:eastAsia="Arial" w:hAnsi="Arial"/>
                <w:sz w:val="13"/>
                <w:szCs w:val="13"/>
                <w:color w:val="auto"/>
              </w:rPr>
              <w:t>Income (Loss), Net</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16" w:lineRule="exact"/>
              <w:rPr>
                <w:sz w:val="20"/>
                <w:szCs w:val="20"/>
                <w:color w:val="auto"/>
              </w:rPr>
            </w:pPr>
            <w:r>
              <w:rPr>
                <w:rFonts w:ascii="Arial" w:cs="Arial" w:eastAsia="Arial" w:hAnsi="Arial"/>
                <w:sz w:val="13"/>
                <w:szCs w:val="13"/>
                <w:color w:val="auto"/>
              </w:rPr>
              <w:t>Consolidated</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5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Shares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9"/>
              </w:rPr>
              <w:t>Amount</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5"/>
              </w:rPr>
              <w:t>Paid-In Capital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Shares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2"/>
              </w:rPr>
              <w:t>of Tax</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4"/>
              </w:rPr>
              <w:t>Subsidiary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Balance as of December 31, 2016</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4,764.5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3,324.0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7,693.7</w:t>
            </w:r>
          </w:p>
        </w:tc>
        <w:tc>
          <w:tcPr>
            <w:tcW w:w="0" w:type="dxa"/>
            <w:vAlign w:val="bottom"/>
          </w:tcPr>
          <w:p>
            <w:pPr>
              <w:spacing w:after="0"/>
              <w:rPr>
                <w:sz w:val="1"/>
                <w:szCs w:val="1"/>
                <w:color w:val="auto"/>
              </w:rPr>
            </w:pPr>
          </w:p>
        </w:tc>
      </w:tr>
      <w:tr>
        <w:trPr>
          <w:trHeight w:val="197"/>
        </w:trPr>
        <w:tc>
          <w:tcPr>
            <w:tcW w:w="25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1,278.4</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1,279.0</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the value of derivative</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instruments, net of tax of $3.1</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7"/>
        </w:trPr>
        <w:tc>
          <w:tcPr>
            <w:tcW w:w="2580" w:type="dxa"/>
            <w:vAlign w:val="bottom"/>
          </w:tcPr>
          <w:p>
            <w:pPr>
              <w:ind w:left="340"/>
              <w:spacing w:after="0" w:line="157" w:lineRule="exact"/>
              <w:rPr>
                <w:sz w:val="20"/>
                <w:szCs w:val="20"/>
                <w:color w:val="auto"/>
              </w:rPr>
            </w:pPr>
            <w:r>
              <w:rPr>
                <w:rFonts w:ascii="Arial" w:cs="Arial" w:eastAsia="Arial" w:hAnsi="Arial"/>
                <w:sz w:val="14"/>
                <w:szCs w:val="14"/>
                <w:color w:val="auto"/>
              </w:rPr>
              <w:t>Employee benefit plan liability</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340"/>
              <w:spacing w:after="0"/>
              <w:rPr>
                <w:sz w:val="20"/>
                <w:szCs w:val="20"/>
                <w:color w:val="auto"/>
              </w:rPr>
            </w:pPr>
            <w:r>
              <w:rPr>
                <w:rFonts w:ascii="Arial" w:cs="Arial" w:eastAsia="Arial" w:hAnsi="Arial"/>
                <w:sz w:val="14"/>
                <w:szCs w:val="14"/>
                <w:color w:val="auto"/>
              </w:rPr>
              <w:t>adjustments, net of tax of $2.4</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(446.3)</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auto"/>
              </w:rPr>
              <w:t>Issuances of common stock</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auto"/>
              </w:rPr>
              <w:t>Purchase of common stock for treasury</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(644.5)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(644.5)</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paid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0"/>
        </w:trPr>
        <w:tc>
          <w:tcPr>
            <w:tcW w:w="2580" w:type="dxa"/>
            <w:vAlign w:val="bottom"/>
          </w:tcPr>
          <w:p>
            <w:pPr>
              <w:ind w:left="180"/>
              <w:spacing w:after="0"/>
              <w:rPr>
                <w:sz w:val="20"/>
                <w:szCs w:val="20"/>
                <w:color w:val="auto"/>
              </w:rPr>
            </w:pPr>
            <w:r>
              <w:rPr>
                <w:rFonts w:ascii="Arial" w:cs="Arial" w:eastAsia="Arial" w:hAnsi="Arial"/>
                <w:sz w:val="14"/>
                <w:szCs w:val="14"/>
                <w:color w:val="auto"/>
              </w:rPr>
              <w:t>Balance as of December 31, 2017</w:t>
            </w: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350.1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4,839.6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4,152.5</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(1,059.4)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7,961.1</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Adoption of accounting standard, net of</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97"/>
        </w:trPr>
        <w:tc>
          <w:tcPr>
            <w:tcW w:w="25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1,036.9</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1,037.6</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the value of derivative</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instruments, net of tax of $5.4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57"/>
        </w:trPr>
        <w:tc>
          <w:tcPr>
            <w:tcW w:w="2580" w:type="dxa"/>
            <w:vAlign w:val="bottom"/>
          </w:tcPr>
          <w:p>
            <w:pPr>
              <w:ind w:left="340"/>
              <w:spacing w:after="0" w:line="157" w:lineRule="exact"/>
              <w:rPr>
                <w:sz w:val="20"/>
                <w:szCs w:val="20"/>
                <w:color w:val="auto"/>
              </w:rPr>
            </w:pPr>
            <w:r>
              <w:rPr>
                <w:rFonts w:ascii="Arial" w:cs="Arial" w:eastAsia="Arial" w:hAnsi="Arial"/>
                <w:sz w:val="14"/>
                <w:szCs w:val="14"/>
                <w:color w:val="auto"/>
              </w:rPr>
              <w:t>Employee benefit plan liability</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340"/>
              <w:spacing w:after="0"/>
              <w:rPr>
                <w:sz w:val="20"/>
                <w:szCs w:val="20"/>
                <w:color w:val="auto"/>
              </w:rPr>
            </w:pPr>
            <w:r>
              <w:rPr>
                <w:rFonts w:ascii="Arial" w:cs="Arial" w:eastAsia="Arial" w:hAnsi="Arial"/>
                <w:sz w:val="14"/>
                <w:szCs w:val="14"/>
                <w:color w:val="auto"/>
              </w:rPr>
              <w:t>adjustments, net of tax of $2.3</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(468.4)</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auto"/>
              </w:rPr>
              <w:t>Issuances of common stock</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auto"/>
              </w:rPr>
              <w:t>Purchase of common stock for treasury</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(703.1)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(703.1)</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paid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0"/>
        </w:trPr>
        <w:tc>
          <w:tcPr>
            <w:tcW w:w="2580" w:type="dxa"/>
            <w:vAlign w:val="bottom"/>
          </w:tcPr>
          <w:p>
            <w:pPr>
              <w:ind w:left="180"/>
              <w:spacing w:after="0"/>
              <w:rPr>
                <w:sz w:val="20"/>
                <w:szCs w:val="20"/>
                <w:color w:val="auto"/>
              </w:rPr>
            </w:pPr>
            <w:r>
              <w:rPr>
                <w:rFonts w:ascii="Arial" w:cs="Arial" w:eastAsia="Arial" w:hAnsi="Arial"/>
                <w:sz w:val="14"/>
                <w:szCs w:val="14"/>
                <w:color w:val="auto"/>
              </w:rPr>
              <w:t>Balance as of December 31, 2018</w:t>
            </w: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351.9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4,924.9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4,750.5</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(1,782.6)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7,929.5</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Adoption of accounting standard, net of</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5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1,073.3</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1,073.8</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the value of derivative</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instruments, net of tax of $10.4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57"/>
        </w:trPr>
        <w:tc>
          <w:tcPr>
            <w:tcW w:w="2580" w:type="dxa"/>
            <w:vAlign w:val="bottom"/>
          </w:tcPr>
          <w:p>
            <w:pPr>
              <w:ind w:left="340"/>
              <w:spacing w:after="0" w:line="157" w:lineRule="exact"/>
              <w:rPr>
                <w:sz w:val="20"/>
                <w:szCs w:val="20"/>
                <w:color w:val="auto"/>
              </w:rPr>
            </w:pPr>
            <w:r>
              <w:rPr>
                <w:rFonts w:ascii="Arial" w:cs="Arial" w:eastAsia="Arial" w:hAnsi="Arial"/>
                <w:sz w:val="14"/>
                <w:szCs w:val="14"/>
                <w:color w:val="auto"/>
              </w:rPr>
              <w:t>Employee benefit plan liability</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340"/>
              <w:spacing w:after="0"/>
              <w:rPr>
                <w:sz w:val="20"/>
                <w:szCs w:val="20"/>
                <w:color w:val="auto"/>
              </w:rPr>
            </w:pPr>
            <w:r>
              <w:rPr>
                <w:rFonts w:ascii="Arial" w:cs="Arial" w:eastAsia="Arial" w:hAnsi="Arial"/>
                <w:sz w:val="14"/>
                <w:szCs w:val="14"/>
                <w:color w:val="auto"/>
              </w:rPr>
              <w:t>adjustments, net of tax of $0.9</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(499.4)</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auto"/>
              </w:rPr>
              <w:t>Issuances of common stock</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4"/>
                <w:szCs w:val="14"/>
                <w:color w:val="auto"/>
              </w:rPr>
              <w:t>Purchase of common stock for treasury</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(399.4)</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paid</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0"/>
        </w:trPr>
        <w:tc>
          <w:tcPr>
            <w:tcW w:w="2580" w:type="dxa"/>
            <w:vAlign w:val="bottom"/>
          </w:tcPr>
          <w:p>
            <w:pPr>
              <w:ind w:left="180"/>
              <w:spacing w:after="0"/>
              <w:rPr>
                <w:sz w:val="20"/>
                <w:szCs w:val="20"/>
                <w:color w:val="auto"/>
              </w:rPr>
            </w:pPr>
            <w:r>
              <w:rPr>
                <w:rFonts w:ascii="Arial" w:cs="Arial" w:eastAsia="Arial" w:hAnsi="Arial"/>
                <w:sz w:val="14"/>
                <w:szCs w:val="14"/>
                <w:color w:val="auto"/>
              </w:rPr>
              <w:t>Balance as of December 31, 2019</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353.3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4,994.8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5,317.3</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(34.5)</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w w:val="96"/>
              </w:rPr>
              <w:t>(2,199.6)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8,120.9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5"/>
                <w:szCs w:val="15"/>
                <w:color w:val="auto"/>
                <w:w w:val="89"/>
              </w:rPr>
              <w:t>Years Ended December 31,</w:t>
            </w:r>
          </w:p>
        </w:tc>
        <w:tc>
          <w:tcPr>
            <w:tcW w:w="1000" w:type="dxa"/>
            <w:vAlign w:val="bottom"/>
            <w:tcBorders>
              <w:bottom w:val="single" w:sz="8" w:color="auto"/>
            </w:tcBorders>
          </w:tcPr>
          <w:p>
            <w:pPr>
              <w:spacing w:after="0"/>
              <w:rPr>
                <w:sz w:val="17"/>
                <w:szCs w:val="17"/>
                <w:color w:val="auto"/>
              </w:rPr>
            </w:pPr>
          </w:p>
        </w:tc>
      </w:tr>
      <w:tr>
        <w:trPr>
          <w:trHeight w:val="210"/>
        </w:trPr>
        <w:tc>
          <w:tcPr>
            <w:tcW w:w="7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5"/>
                <w:szCs w:val="15"/>
                <w:color w:val="auto"/>
              </w:rPr>
              <w:t>2019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5"/>
                <w:szCs w:val="15"/>
                <w:color w:val="auto"/>
              </w:rPr>
              <w:t>2017</w:t>
            </w:r>
          </w:p>
        </w:tc>
      </w:tr>
      <w:tr>
        <w:trPr>
          <w:trHeight w:val="187"/>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operating activities: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7"/>
        </w:trPr>
        <w:tc>
          <w:tcPr>
            <w:tcW w:w="73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1,073.8</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1,037.6</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1,279.0</w:t>
            </w: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cash provided by operating activities: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Depreciation, amortization, depletion and accretion</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1,114.1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1,116.1</w:t>
            </w: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interest expense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43.6</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Restructuring related charges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17.6</w:t>
            </w: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34.6</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Deferred tax provision (benefit)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(379.0)</w:t>
            </w: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doubtful accounts, net of adjustments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30.6</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0.8</w:t>
            </w: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on disposition of assets and asset impairments, net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Withdrawal costs - multiemployer pension funds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w:t>
            </w: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Environmental adjustments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0.4</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Loss from unconsolidated equity method investment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27.4</w:t>
            </w: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non-cash items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r>
      <w:tr>
        <w:trPr>
          <w:trHeight w:val="186"/>
        </w:trPr>
        <w:tc>
          <w:tcPr>
            <w:tcW w:w="7320" w:type="dxa"/>
            <w:vAlign w:val="bottom"/>
          </w:tcPr>
          <w:p>
            <w:pPr>
              <w:ind w:left="140"/>
              <w:spacing w:after="0"/>
              <w:rPr>
                <w:sz w:val="20"/>
                <w:szCs w:val="20"/>
                <w:color w:val="auto"/>
              </w:rPr>
            </w:pPr>
            <w:r>
              <w:rPr>
                <w:rFonts w:ascii="Arial" w:cs="Arial" w:eastAsia="Arial" w:hAnsi="Arial"/>
                <w:sz w:val="14"/>
                <w:szCs w:val="14"/>
                <w:color w:val="auto"/>
              </w:rPr>
              <w:t>Change in assets and liabilities, net of effects from business acquisitions and divestitures: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6"/>
        </w:trPr>
        <w:tc>
          <w:tcPr>
            <w:tcW w:w="7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(118.9)</w:t>
            </w:r>
          </w:p>
        </w:tc>
      </w:tr>
      <w:tr>
        <w:trPr>
          <w:trHeight w:val="197"/>
        </w:trPr>
        <w:tc>
          <w:tcPr>
            <w:tcW w:w="7320" w:type="dxa"/>
            <w:vAlign w:val="bottom"/>
          </w:tcPr>
          <w:p>
            <w:pPr>
              <w:ind w:left="34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(36.4)</w:t>
            </w:r>
          </w:p>
        </w:tc>
      </w:tr>
      <w:tr>
        <w:trPr>
          <w:trHeight w:val="209"/>
        </w:trPr>
        <w:tc>
          <w:tcPr>
            <w:tcW w:w="7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21.7</w:t>
            </w:r>
          </w:p>
        </w:tc>
      </w:tr>
      <w:tr>
        <w:trPr>
          <w:trHeight w:val="197"/>
        </w:trPr>
        <w:tc>
          <w:tcPr>
            <w:tcW w:w="7320" w:type="dxa"/>
            <w:vAlign w:val="bottom"/>
          </w:tcPr>
          <w:p>
            <w:pPr>
              <w:ind w:left="340"/>
              <w:spacing w:after="0"/>
              <w:rPr>
                <w:sz w:val="20"/>
                <w:szCs w:val="20"/>
                <w:color w:val="auto"/>
              </w:rPr>
            </w:pPr>
            <w:r>
              <w:rPr>
                <w:rFonts w:ascii="Arial" w:cs="Arial" w:eastAsia="Arial" w:hAnsi="Arial"/>
                <w:sz w:val="14"/>
                <w:szCs w:val="14"/>
                <w:color w:val="auto"/>
              </w:rPr>
              <w:t>Restructuring expenditures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(18.6)</w:t>
            </w:r>
          </w:p>
        </w:tc>
      </w:tr>
      <w:tr>
        <w:trPr>
          <w:trHeight w:val="209"/>
        </w:trPr>
        <w:tc>
          <w:tcPr>
            <w:tcW w:w="7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Capping, closure and post-closure expenditures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w:t>
            </w:r>
          </w:p>
        </w:tc>
      </w:tr>
      <w:tr>
        <w:trPr>
          <w:trHeight w:val="197"/>
        </w:trPr>
        <w:tc>
          <w:tcPr>
            <w:tcW w:w="7320" w:type="dxa"/>
            <w:vAlign w:val="bottom"/>
          </w:tcPr>
          <w:p>
            <w:pPr>
              <w:ind w:left="340"/>
              <w:spacing w:after="0"/>
              <w:rPr>
                <w:sz w:val="20"/>
                <w:szCs w:val="20"/>
                <w:color w:val="auto"/>
              </w:rPr>
            </w:pPr>
            <w:r>
              <w:rPr>
                <w:rFonts w:ascii="Arial" w:cs="Arial" w:eastAsia="Arial" w:hAnsi="Arial"/>
                <w:sz w:val="14"/>
                <w:szCs w:val="14"/>
                <w:color w:val="auto"/>
              </w:rPr>
              <w:t>Remediation expenditures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(54.8)</w:t>
            </w:r>
          </w:p>
        </w:tc>
      </w:tr>
      <w:tr>
        <w:trPr>
          <w:trHeight w:val="209"/>
        </w:trPr>
        <w:tc>
          <w:tcPr>
            <w:tcW w:w="7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liabilities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38.8</w:t>
            </w:r>
          </w:p>
        </w:tc>
      </w:tr>
      <w:tr>
        <w:trPr>
          <w:trHeight w:val="197"/>
        </w:trPr>
        <w:tc>
          <w:tcPr>
            <w:tcW w:w="73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Proceeds from retirement of certain hedging relationships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02"/>
        </w:trPr>
        <w:tc>
          <w:tcPr>
            <w:tcW w:w="7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2,352.1</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2,242.8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1,910.7</w:t>
            </w:r>
          </w:p>
        </w:tc>
      </w:tr>
      <w:tr>
        <w:trPr>
          <w:trHeight w:val="177"/>
        </w:trPr>
        <w:tc>
          <w:tcPr>
            <w:tcW w:w="7320" w:type="dxa"/>
            <w:vAlign w:val="bottom"/>
          </w:tcPr>
          <w:p>
            <w:pPr>
              <w:ind w:left="20"/>
              <w:spacing w:after="0"/>
              <w:rPr>
                <w:sz w:val="20"/>
                <w:szCs w:val="20"/>
                <w:color w:val="auto"/>
              </w:rPr>
            </w:pPr>
            <w:r>
              <w:rPr>
                <w:rFonts w:ascii="Arial" w:cs="Arial" w:eastAsia="Arial" w:hAnsi="Arial"/>
                <w:sz w:val="14"/>
                <w:szCs w:val="14"/>
                <w:color w:val="auto"/>
              </w:rPr>
              <w:t>Cash used in investing activities: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(989.8)</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Proceeds from sales of property and equipment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6.1</w:t>
            </w: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used in acquisitions and investments, net of cash and restricted cash acquired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(351.8)</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Cash received from business divestitures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4.7</w:t>
            </w: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restricted marketable securities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Sales of restricted marketable securities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18.1</w:t>
            </w:r>
          </w:p>
        </w:tc>
      </w:tr>
      <w:tr>
        <w:trPr>
          <w:trHeight w:val="203"/>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r>
      <w:tr>
        <w:trPr>
          <w:trHeight w:val="196"/>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used in investing activities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(1,229.1)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(1,330.2)</w:t>
            </w:r>
          </w:p>
        </w:tc>
      </w:tr>
      <w:tr>
        <w:trPr>
          <w:trHeight w:val="189"/>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used in financing activities: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Proceeds from notes payable and long-term debt, net of fees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4,746.5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4,347.6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4,791.1</w:t>
            </w: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senior notes, net of discount and fees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641.5</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Payments of notes payable and long-term debt and senior notes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(5,327.9)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(5,000.7)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(4,922.8)</w:t>
            </w: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Issuances of common stock, net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36.9</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Purchases of common stock for treasury</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(736.9)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(610.7)</w:t>
            </w:r>
          </w:p>
        </w:tc>
      </w:tr>
      <w:tr>
        <w:trPr>
          <w:trHeight w:val="209"/>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dividends paid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(440.5)</w:t>
            </w:r>
          </w:p>
        </w:tc>
      </w:tr>
      <w:tr>
        <w:trPr>
          <w:trHeight w:val="197"/>
        </w:trPr>
        <w:tc>
          <w:tcPr>
            <w:tcW w:w="7320" w:type="dxa"/>
            <w:vAlign w:val="bottom"/>
          </w:tcPr>
          <w:p>
            <w:pPr>
              <w:ind w:left="120"/>
              <w:spacing w:after="0"/>
              <w:rPr>
                <w:sz w:val="20"/>
                <w:szCs w:val="20"/>
                <w:color w:val="auto"/>
              </w:rPr>
            </w:pPr>
            <w:r>
              <w:rPr>
                <w:rFonts w:ascii="Arial" w:cs="Arial" w:eastAsia="Arial" w:hAnsi="Arial"/>
                <w:sz w:val="14"/>
                <w:szCs w:val="14"/>
                <w:color w:val="auto"/>
              </w:rPr>
              <w:t>Distributions paid to non-controlling interests in consolidated subsidiary</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(0.7)</w:t>
            </w:r>
          </w:p>
        </w:tc>
      </w:tr>
      <w:tr>
        <w:trPr>
          <w:trHeight w:val="203"/>
        </w:trPr>
        <w:tc>
          <w:tcPr>
            <w:tcW w:w="7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Contingent consideration payments</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r>
      <w:tr>
        <w:trPr>
          <w:trHeight w:val="196"/>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used in financing activities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(1,059.5)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(514.4)</w:t>
            </w:r>
          </w:p>
        </w:tc>
      </w:tr>
      <w:tr>
        <w:trPr>
          <w:trHeight w:val="202"/>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(decrease) in cash, cash equivalents, restricted cash and restricted cash equivalents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66.1</w:t>
            </w:r>
          </w:p>
        </w:tc>
      </w:tr>
      <w:tr>
        <w:trPr>
          <w:trHeight w:val="197"/>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at beginning of year</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179.1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113.0</w:t>
            </w:r>
          </w:p>
        </w:tc>
      </w:tr>
      <w:tr>
        <w:trPr>
          <w:trHeight w:val="222"/>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at end of year</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179.1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Republic Services, Inc., a Delaware corporation, and its consolidated subsidiaries (also referred to collectively as Republic, the Company, we, us, or our), is the second largest provider of non-hazardous solid waste collection, transfer, recycling, disposal and environmental services in the United States, as measured by revenue.</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consolidated financial statements include the accounts of Republic Services, Inc. and its wholly owned and majority owned subsidiaries in accordance with accounting principles generally accepted in the United States of America (U.S. GAAP). We account for investments in entities in which we do not have a controlling financial interest under either the equity method or cost method of accounting, as appropriate. All material intercompany accounts and transactions have been eliminated in consolidation.</w:t>
      </w:r>
    </w:p>
    <w:p>
      <w:pPr>
        <w:spacing w:after="0" w:line="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comparative purposes, certain prior year amounts have been reclassified to conform to the current year presentation. All dollar amounts in tabular presentations are in millions, except per share amounts and unless otherwise noted.</w:t>
      </w:r>
    </w:p>
    <w:p>
      <w:pPr>
        <w:spacing w:after="0" w:line="166"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Estimates and Assumptions</w:t>
      </w:r>
    </w:p>
    <w:p>
      <w:pPr>
        <w:spacing w:after="0" w:line="9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preparing our financial statements, we make numerous estimates and assumptions that affect the amounts reported in these financial statements and accompanying notes. We must make these estimates and assumptions because certain information we use is dependent on future events, cannot be calculated with a high degree of precision from data available or simply cannot be readily calculated based on generally accepted methodologies. In preparing our financial statements, the more critical and subjective areas that deal with the greatest amount of uncertainty relate to our accounting for our long-lived assets, including recoverability, landfill development costs, and final capping, closure and post-closure costs; our valuation allowances for accounts receivable and deferred tax assets; our liabilities for potential litigation, claims and assessments; our liabilities for environmental remediation, multiemployer pension plans, employee benefit plans, deferred taxes, uncertain tax positions, and insurance reserves; and our estimates of the fair values of assets acquired and liabilities assumed in any acquisition. Each of these items is discussed in more detail elsewhere in these Notes to Consolidated Financial Statements. Our actual results may differ significantly from our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consider liquid investments with a maturity at the date of acquisition of three months or less to be cash equivalents.</w:t>
      </w:r>
    </w:p>
    <w:p>
      <w:pPr>
        <w:spacing w:after="0" w:line="10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may have net book credit balances in our primary disbursement accounts at the end of a reporting period. We classify such credit balances as accounts payable in our consolidated balance sheets as checks presented for payment to these accounts are not payable by our banks under overdraft arrangements, and, therefore, do not represent short-term borrowings. As of December 31, 2019 and 2018, there were net book credit balances of $50.6 million and $64.8 million, respectively, in our primary disbursement accounts that were classified as accounts payable on our consolidated balance sheets.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Financial instruments that potentially subject us to concentrations of credit risk consist of cash and cash equivalents, trade accounts receivable and derivative instruments. We place our cash and cash equivalents with high quality financial institutions. Such balances may be in excess of FDIC insured limits. To manage the related credit exposure, we continually monitor the credit worthiness of the financial institutions where we have deposits. Concentrations of credit risk with respect to trade accounts receivable are limited due to the wide variety of customers and markets in which we provide services, as well as the dispersion of our operations across many geographic areas. We provide services to small-container, large-container, municipal and residential, and environmental services customers in the United States and Puerto Rico. We perform ongoing credit evaluations of our customers, but generally do not require collateral to support customer receivables. We establish an allowance for doubtful accounts based on various factors including the credit risk of specific customers, age of receivables outstanding, historical trends, economic conditions and other information.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Accounts receivable represent receivables from customers for collection, transfer, recycling, disposal, environmental services and other services. Our receivables are recorded when billed or when the related revenue is earned and represent claims against third parties that will be settled in cash. The carrying value of our receivables, net of the allowance for doubtful accounts and customer credits, represents their estimated net realizable value. Provisions for doubtful accounts are evaluated on a monthly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basis and are recorded based on our historical collection experience, the age of the receivables, specific customer information and economic conditions. We also review outstanding balances on an account-specific basis. Past due receivable balances are written-off when our collection efforts have been unsuccessful in collecting amounts due.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activity in our allowance for doubtful accounts for the years ended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91"/>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5"/>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44.0</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300" w:type="dxa"/>
            <w:vAlign w:val="bottom"/>
          </w:tcPr>
          <w:p>
            <w:pPr>
              <w:spacing w:after="0"/>
              <w:rPr>
                <w:sz w:val="21"/>
                <w:szCs w:val="21"/>
                <w:color w:val="auto"/>
              </w:rPr>
            </w:pPr>
          </w:p>
        </w:tc>
        <w:tc>
          <w:tcPr>
            <w:tcW w:w="1020" w:type="dxa"/>
            <w:vAlign w:val="bottom"/>
          </w:tcPr>
          <w:p>
            <w:pPr>
              <w:jc w:val="center"/>
              <w:ind w:left="330"/>
              <w:spacing w:after="0"/>
              <w:rPr>
                <w:sz w:val="20"/>
                <w:szCs w:val="20"/>
                <w:color w:val="auto"/>
              </w:rPr>
            </w:pPr>
            <w:r>
              <w:rPr>
                <w:rFonts w:ascii="Arial" w:cs="Arial" w:eastAsia="Arial" w:hAnsi="Arial"/>
                <w:sz w:val="18"/>
                <w:szCs w:val="18"/>
                <w:color w:val="auto"/>
                <w:w w:val="91"/>
              </w:rPr>
              <w:t>34.0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center"/>
              <w:ind w:left="310"/>
              <w:spacing w:after="0"/>
              <w:rPr>
                <w:sz w:val="20"/>
                <w:szCs w:val="20"/>
                <w:color w:val="auto"/>
              </w:rPr>
            </w:pPr>
            <w:r>
              <w:rPr>
                <w:rFonts w:ascii="Arial" w:cs="Arial" w:eastAsia="Arial" w:hAnsi="Arial"/>
                <w:sz w:val="18"/>
                <w:szCs w:val="18"/>
                <w:color w:val="auto"/>
                <w:w w:val="85"/>
              </w:rPr>
              <w:t>34.8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center"/>
              <w:ind w:left="310"/>
              <w:spacing w:after="0"/>
              <w:rPr>
                <w:sz w:val="20"/>
                <w:szCs w:val="20"/>
                <w:color w:val="auto"/>
              </w:rPr>
            </w:pPr>
            <w:r>
              <w:rPr>
                <w:rFonts w:ascii="Arial" w:cs="Arial" w:eastAsia="Arial" w:hAnsi="Arial"/>
                <w:sz w:val="18"/>
                <w:szCs w:val="18"/>
                <w:color w:val="auto"/>
                <w:w w:val="91"/>
              </w:rPr>
              <w:t>30.6</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written-off</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3"/>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3"/>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9"/>
              </w:rPr>
              <w:t>(35.7)</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center"/>
              <w:ind w:left="330"/>
              <w:spacing w:after="0"/>
              <w:rPr>
                <w:sz w:val="20"/>
                <w:szCs w:val="20"/>
                <w:color w:val="auto"/>
              </w:rPr>
            </w:pPr>
            <w:r>
              <w:rPr>
                <w:rFonts w:ascii="Arial" w:cs="Arial" w:eastAsia="Arial" w:hAnsi="Arial"/>
                <w:sz w:val="18"/>
                <w:szCs w:val="18"/>
                <w:color w:val="auto"/>
                <w:w w:val="91"/>
              </w:rPr>
              <w:t>34.0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85"/>
              </w:rPr>
              <w:t>34.3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91"/>
              </w:rPr>
              <w:t>38.9</w:t>
            </w: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Marketable Securities</w:t>
      </w:r>
    </w:p>
    <w:p>
      <w:pPr>
        <w:spacing w:after="0" w:line="10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 of December 31, 2019, we had $179.4 million of restricted cash and marketable securities of which $99.4 million supports our insurance programs for workers' compensation, commercial general liability, and commercial auto liability. Additionally, we obtain funds through the issuance of tax-exempt bonds for the purpose of financing qualifying expenditures at our landfills, transfer stations, collection and recycling processing centers. The funds are deposited directly into trust accounts by the bonding authorities at the time of issuance. As the use of these funds is contractually restricted, and we do not have the ability to use these funds for general operating purposes, they are classified as restricted cash and marketable securities in our consolidated balance sheets.</w:t>
      </w:r>
    </w:p>
    <w:p>
      <w:pPr>
        <w:spacing w:after="0" w:line="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normal course of business, we may be required to provide financial assurance to governmental agencies and a variety of other entities in connection with municipal residential collection contracts, closure or post-closure of landfills, environmental remediation, environmental permits, and business licenses and permits as a financial guarantee of our performance. At several of our landfills, we satisfy financial assurance requirements by depositing cash into restricted trust funds or escrow accounts.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record property and equipment at cost. Expenditures for major additions and improvements to facilities are capitalized, while maintenance and repairs are charged to expense as incurred. When property is retired or otherwise disposed, the related cost and accumulated depreciation are removed from the accounts and any resulting gain or loss is reflected in the consolidated statements of income.</w:t>
      </w:r>
    </w:p>
    <w:p>
      <w:pPr>
        <w:spacing w:after="0" w:line="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revise the estimated useful lives of property and equipment acquired through business acquisitions to conform with our policies. We depreciate assets over their estimated useful lives using the straight-line method. We assume no salvage value for our depreciable property and equipment. The estimated useful lives of our property and equipment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7 - 40 years</w:t>
            </w:r>
          </w:p>
        </w:tc>
      </w:tr>
      <w:tr>
        <w:trPr>
          <w:trHeight w:val="270"/>
        </w:trPr>
        <w:tc>
          <w:tcPr>
            <w:tcW w:w="6340" w:type="dxa"/>
            <w:vAlign w:val="bottom"/>
          </w:tcPr>
          <w:p>
            <w:pPr>
              <w:ind w:left="20"/>
              <w:spacing w:after="0"/>
              <w:rPr>
                <w:sz w:val="20"/>
                <w:szCs w:val="20"/>
                <w:color w:val="auto"/>
              </w:rPr>
            </w:pPr>
            <w:r>
              <w:rPr>
                <w:rFonts w:ascii="Arial" w:cs="Arial" w:eastAsia="Arial" w:hAnsi="Arial"/>
                <w:sz w:val="18"/>
                <w:szCs w:val="18"/>
                <w:color w:val="auto"/>
              </w:rPr>
              <w:t>Vehicles</w:t>
            </w:r>
          </w:p>
        </w:tc>
        <w:tc>
          <w:tcPr>
            <w:tcW w:w="5080" w:type="dxa"/>
            <w:vAlign w:val="bottom"/>
          </w:tcPr>
          <w:p>
            <w:pPr>
              <w:jc w:val="right"/>
              <w:spacing w:after="0"/>
              <w:rPr>
                <w:sz w:val="20"/>
                <w:szCs w:val="20"/>
                <w:color w:val="auto"/>
              </w:rPr>
            </w:pPr>
            <w:r>
              <w:rPr>
                <w:rFonts w:ascii="Arial" w:cs="Arial" w:eastAsia="Arial" w:hAnsi="Arial"/>
                <w:sz w:val="18"/>
                <w:szCs w:val="18"/>
                <w:color w:val="auto"/>
              </w:rPr>
              <w:t>5 - 20 years</w:t>
            </w: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equipment</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70"/>
        </w:trPr>
        <w:tc>
          <w:tcPr>
            <w:tcW w:w="6340" w:type="dxa"/>
            <w:vAlign w:val="bottom"/>
          </w:tcPr>
          <w:p>
            <w:pPr>
              <w:ind w:left="20"/>
              <w:spacing w:after="0"/>
              <w:rPr>
                <w:sz w:val="20"/>
                <w:szCs w:val="20"/>
                <w:color w:val="auto"/>
              </w:rPr>
            </w:pPr>
            <w:r>
              <w:rPr>
                <w:rFonts w:ascii="Arial" w:cs="Arial" w:eastAsia="Arial" w:hAnsi="Arial"/>
                <w:sz w:val="18"/>
                <w:szCs w:val="18"/>
                <w:color w:val="auto"/>
              </w:rPr>
              <w:t>Other equipment</w:t>
            </w:r>
          </w:p>
        </w:tc>
        <w:tc>
          <w:tcPr>
            <w:tcW w:w="5080" w:type="dxa"/>
            <w:vAlign w:val="bottom"/>
          </w:tcPr>
          <w:p>
            <w:pPr>
              <w:jc w:val="right"/>
              <w:spacing w:after="0"/>
              <w:rPr>
                <w:sz w:val="20"/>
                <w:szCs w:val="20"/>
                <w:color w:val="auto"/>
              </w:rPr>
            </w:pPr>
            <w:r>
              <w:rPr>
                <w:rFonts w:ascii="Arial" w:cs="Arial" w:eastAsia="Arial" w:hAnsi="Arial"/>
                <w:sz w:val="18"/>
                <w:szCs w:val="18"/>
                <w:color w:val="auto"/>
              </w:rPr>
              <w:t>3 - 25 years</w:t>
            </w: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r>
    </w:tbl>
    <w:p>
      <w:pPr>
        <w:spacing w:after="0" w:line="1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Landfill development costs also are included in property and equipment. Landfill development costs include direct costs incurred to obtain landfill permits and direct costs incurred to acquire, construct and develop sites, as well as final capping, closure and post-closure assets. These costs are amortized or depleted based on consumed airspace. All indirect landfill development costs are expensed as incurred. For additional information, see Note 8, </w:t>
      </w:r>
      <w:r>
        <w:rPr>
          <w:rFonts w:ascii="Arial" w:cs="Arial" w:eastAsia="Arial" w:hAnsi="Arial"/>
          <w:sz w:val="18"/>
          <w:szCs w:val="18"/>
          <w:i w:val="1"/>
          <w:iCs w:val="1"/>
          <w:color w:val="auto"/>
        </w:rPr>
        <w:t>Landfill and</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Environmental Costs</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Interest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capitalize interest on landfill cell construction and other construction or development projects if they meet the following criteria:</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construction costs are $50,000 or greater;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construction phase is one month or longer;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assets have a useful life of one year or longer.</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is capitalized on qualified assets while they undergo activities to ready them for their intended use. Capitalization of interest ceases once an asset is placed into service or if construction activity is suspended for more than a brief period of time.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interest capitalization rate is based on our weighted average cost of indebtedness. Interest capitalized was $7.2 million, $6.8 million and $6.5 million for the years ended December 31, 2019, 2018, and 2017,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0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financial instruments include cash and cash equivalents, restricted cash and marketable securities, fuel, commodity and interest rate hedges, long-term debt, and assets in our defined benefit pension plan.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63"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17" w:lineRule="exact"/>
        <w:rPr>
          <w:rFonts w:ascii="Arial" w:cs="Arial" w:eastAsia="Arial" w:hAnsi="Arial"/>
          <w:sz w:val="18"/>
          <w:szCs w:val="18"/>
          <w:color w:val="auto"/>
        </w:rPr>
      </w:pPr>
    </w:p>
    <w:p>
      <w:pPr>
        <w:ind w:left="660" w:right="100" w:hanging="328"/>
        <w:spacing w:after="0" w:line="264"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ind w:left="660" w:right="200" w:hanging="328"/>
        <w:spacing w:after="0" w:line="264"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and Note 18,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fair value disclosures related to our defined benefit pension plan investments and financial instruments,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Other Than Derivatives</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Investments other than derivatives primarily include money market funds, common stock, mutual funds, real estate investment trusts, U.S. government and agency securities, municipal and corporate bonds, and foreign government bonds. In general, and where applicable, we use quoted prices in active markets for identical assets or liabilities to determine fair value. This pricing methodology applies to our Level 1 investments, such as money market funds, common stock and certain mutual funds. If quoted prices in active markets for identical assets or liabilities are not available to determine fair value, then we use quoted prices for similar assets and liabilities or inputs other than the quoted prices that are observable either directly or indirectly. These investments are included in Level 2 and consist primarily of corporate bonds, foreign government bonds, real estate investment trusts and certain agency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0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use derivative financial instruments to manage our risk associated with changing interest rates by creating offsetting market exposures. We use interest rate swap agreements designated as fair value hedges to manage risk associated with fluctuations in interest rates. In prior periods, we entered into multiple agreements designated as cash flow hedges to lock interest rates in anticipation of future debt issuance.</w:t>
      </w:r>
    </w:p>
    <w:p>
      <w:pPr>
        <w:spacing w:after="0" w:line="6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All derivatives are measured at fair value and recognized in the balance sheet as assets or liabilities, as appropriate. For derivative instruments designated as fair value hedges, to the extent they are effective, they are included as an adjustment to long-term debt in our consolidated balance sheets. Changes in fair value of the ineffective portions are recognized currently in earnings. For derivatives designated as cash flow hedges, changes in fair value of the effective portions of derivative instruments are reported in stockholders’ equity as components of other comprehensive income until the forecasted transaction occurs or is not probable of occurring. When the forecasted transaction occurs or is not probable of occurring, the realized net gain or loss is then recognized in the consolidated statements of income. Changes in fair value of the ineffective portions are recognized currently in earnings</w:t>
      </w:r>
      <w:r>
        <w:rPr>
          <w:rFonts w:ascii="Arial" w:cs="Arial" w:eastAsia="Arial" w:hAnsi="Arial"/>
          <w:sz w:val="16"/>
          <w:szCs w:val="16"/>
          <w:i w:val="1"/>
          <w:iCs w:val="1"/>
          <w:color w:val="auto"/>
        </w:rPr>
        <w:t>.</w:t>
      </w:r>
      <w:r>
        <w:rPr>
          <w:rFonts w:ascii="Arial" w:cs="Arial" w:eastAsia="Arial" w:hAnsi="Arial"/>
          <w:sz w:val="16"/>
          <w:szCs w:val="16"/>
          <w:color w:val="auto"/>
        </w:rPr>
        <w:t xml:space="preserve"> See below for discussion of the changes resulting from our prospective adoption of Financial Accounting Standards Board's (FASB)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Targeted Improvements to Accounting for Hedging Activities </w:t>
      </w:r>
      <w:r>
        <w:rPr>
          <w:rFonts w:ascii="Arial" w:cs="Arial" w:eastAsia="Arial" w:hAnsi="Arial"/>
          <w:sz w:val="16"/>
          <w:szCs w:val="16"/>
          <w:color w:val="auto"/>
        </w:rPr>
        <w:t>(ASU 2017-12), on January 1, 2019.</w:t>
      </w:r>
    </w:p>
    <w:p>
      <w:pPr>
        <w:spacing w:after="0" w:line="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fair values of our derivative instruments are determined using standard valuation models with assumptions about prices and other relevant information based on those observed in the underlying markets (Level 2 in the fair value hierarchy). The estimated fair values of derivatives used to hedge risks fluctuate over time and should be viewed in relation to the underlying hedged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and Environmental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Cycle Accounting</w:t>
      </w:r>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life-cycle accounting and the units-of-consumption method to recognize certain landfill costs over the life of the site. In life cycle accounting, all current and future capitalized costs to acquire and construct a site are calculated, and charged to expense based on the consumption of cubic yards of available airspace.</w:t>
      </w:r>
    </w:p>
    <w:p>
      <w:pPr>
        <w:spacing w:after="0" w:line="4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Costs and airspace estimates are developed at least annually by engineers. We use these estimates to adjust the rates we use to deplete capitalized costs. Changes in these estimates primarily relate to changes in available airspace, inflation and applicable regulations. Changes in available airspace include, but are not limited to, changes due to the addition of airspace lying in probable expansion areas, airspace consumed and changes in engineering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Probable Expansion Airspace</w:t>
      </w:r>
    </w:p>
    <w:p>
      <w:pPr>
        <w:spacing w:after="0" w:line="10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classify landfill disposal capacity as either permitted (having received the final permit from the applicable regulatory agency) or as probable expansion airspace. Before airspace included in an expansion area is determined to be probable expansion airspace and, therefore, is included in our calculation of total available disposal capacity, all of the following criteria must be met:</w:t>
      </w:r>
    </w:p>
    <w:p>
      <w:pPr>
        <w:spacing w:after="0" w:line="73"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own the land associated with the expansion airspace or control it pursuant to an option agreement;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are committed to supporting the expansion project financially and with appropriate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no identified fatal flaws or impediments associated with the project, including political impediments;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Progress is being made on the project;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expansion is attainable within a reasonable time frame;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believe it is likely the expansion permit will be received.</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Upon meeting our expansion criteria, the rates used at each applicable landfill to expense costs to acquire, construct, cap, close and maintain a site during the post-closure period are adjusted to include both the probable expansion airspace and the additional costs to be capitalized or accrued associated with that expansion airspace.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We have identified three steps that landfills generally follow to obtain expansion permits. These steps are as follows:</w:t>
      </w:r>
    </w:p>
    <w:p>
      <w:pPr>
        <w:spacing w:after="0" w:line="117"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Obtaining approval from local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Submitting a permit application to state authorities;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Obtaining permit approval from state authorities.</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continually monitor our progress toward obtaining permits for each of our sites with probable airspace. If we determine that a landfill expansion area no longer meets our criteria, the probable expansion airspace is removed from the landfill’s total available capacity and the rates used at the landfill to deplete costs to acquire, construct, cap, close and maintain a site during the post-closure period are adjusted accordingly. In addition, any amounts capitalized for the probable expansion airspace are charged to expense in the period in which it is determined that the criteria are no longer met.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Landfill Costs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Capitalized landfill costs include expenditures for land, permitting, cell construction and environmental structures. Capitalized permitting and cell construction costs are limited to direct costs relating to these activities, including legal, engineering and construction costs associated with excavation, natural and synthetic liners, construction of leachate collection systems, installation of methane gas collection and monitoring systems, installation of groundwater monitoring wells and other costs associated with the development of the site. Interest is capitalized on landfill construction projects while the assets are undergoing activities to ready them for their intended use. Capitalized landfill costs also include final capping, closure and post-closure assets and are depleted as airspace is consumed using the units-of-consumption method.</w:t>
      </w:r>
    </w:p>
    <w:p>
      <w:pPr>
        <w:spacing w:after="0" w:line="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Costs related to acquiring land, excluding the estimated residual value of unpermitted, non-buffer land, and costs related to permitting and cell construction are depleted as airspace is consumed using the units-of-consumption method.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Capitalized landfill costs also may include an allocation of purchase price paid for landfills. For landfills purchased as part of a group of assets, the purchase price assigned to the landfill is determined based on the estimated fair value of the landfill. If the landfill meets our expansion criteria, the purchase price is further allocated between permitted airspace and expansion airspace based on the respective ratios to total available airspace. Landfill purchase price is amortized using the units-of-consumption method over the total available airspace, including probable expansion airspace, where appropriate.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capping</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future obligations for final capping, closure and post-closure costs with respect to the landfills we own or operate as set forth in applicable landfill permits. The permit requirements are based on the Subtitle C and Subtitle D regulations of the Resource Conservation and Recovery Act, as implemented and applied on a state-by-state basis. We define final capping as activities required to permanently cover a portion of a landfill that has been completely filled with waste. Final capping typically includes installing flexible membrane and geosynthetic clay liners, drainage and compact soil layers, and topsoil, and is constructed over an area of the landfill where total airspace capacity has been consumed and waste disposal operations have ceased. These final capping activities occur in phases as needed throughout the operating life of a landfill as specific areas are filled to capacity and the final elevation for that specific area is reached in accordance with the provisions of the operating permit. We consider final capping events to be discrete activities that are recognized as asset retirement obligations separately from other closure and post-closure obligations. As a result, we use a separate rate per ton for recognizing the principal amount of the liability and related asset associated with each capping event. We amortize the asset recorded pursuant to this approach as waste volume related to the capacity covered by the capping event is placed into the landfill based on the consumption of cubic yards of available airspace.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and post-closure</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Closure and post-closure activities occur after the entire landfill ceases to accept waste and closes. These activities involve methane gas control, leachate management and groundwater monitoring, surface water monitoring and control, and other operational and maintenance activities that occur after the site ceases to accept waste. Obligations associated with monitoring and controlling methane gas migration and emissions are set forth in applicable landfill permits and these requirements are based on the provisions of the Clean Air Act. The post-closure period generally runs for 30 years after final site closure for municipal solid waste landfills and a shorter period for construction and demolition landfills and inert landfills. We recognize asset retirement obligations and the related amortization expense for closure and post-closure (excluding obligations for final capping) using the units-of-consumption method over the total remaining capacity of the landfill, including probable expansion airspace, where appropriate.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future expenditures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Estimates of future expenditures for final capping, closure and post-closure are developed at least annually by engineers. Management reviews these estimates and our operating and accounting personnel use them to adjust the rates used to capitalize and amortize these costs. These estimates involve projections of costs that will be incurred during the remaining life of the landfill for final capping activities, after the landfill ceases operations and during the legally required post-closure monitoring period. As of December 31, 2019, we had 130 closed landfills.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general, we engage third parties to perform most of our final capping, closure and post-closure activities. Accordingly, the fair value of these activities is based on quoted and actual prices paid for similar work. We also perform some of our final capping, closure and post-closure activities using internal resources. Where we expect internal resources to be used to fulfill an asset retirement obligation, we add a profit margin to the estimated cost of such services to better reflect their fair value. If we perform these services internally, the added profit margin is recognized as a component of operating income in the period the obligation is settled.</w:t>
      </w:r>
    </w:p>
    <w:p>
      <w:pPr>
        <w:spacing w:after="0" w:line="6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estimates of costs to discharge asset retirement obligations for landfills are developed in today’s dollars. These costs are inflated each year to reflect a normal escalation of prices up to the year they are expected to be paid. We used a 1.7% inflation rate for the years ended December 31, 2019, 2018, and 2017, which is based on the ten-year historical moving average increase of the U.S. Consumer Price Index, and is the rate used by most large waste industry participants. These estimated costs are then discounted to their present values using a credit-adjusted, risk-free interest rate.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assets retirement obligations</w:t>
      </w:r>
    </w:p>
    <w:p>
      <w:pPr>
        <w:spacing w:after="0" w:line="10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liability for an asset retirement obligation is recognized in the period in which it is incurred and is initially measured at fair value. The offset to the liability is capitalized as part of the carrying amount of the related long-lived asset. Changes in the liabilities due to revisions to estimated future cash flows are recognized by increasing or decreasing the liabilities with the offsets adjusting the carrying amounts of the related long-lived assets, and may also require immediate adjustments to amortization expense in the consolidated statements of income. Upward revisions in the amount of undiscounted estimated cash flows used to record a liability are discounted using the credit-adjusted, risk-free interest rate in effect at the time of the change. Downward revisions in the amount of undiscounted estimated cash flows used to record a liability are discounted using the credit-adjusted, risk-free rate that existed when the original liability was recognized.</w:t>
      </w:r>
    </w:p>
    <w:p>
      <w:pPr>
        <w:spacing w:after="0" w:line="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Changes in asset retirement obligations due to the passage of time are measured by recognizing accretion expense in a manner that results in a constant effective interest rate being applied to the average carrying amount of the liability. The effective interest rate used to calculate accretion expense is our credit-adjusted, risk-free interest rate in effect at the time the liabilities were recorded.</w:t>
      </w:r>
    </w:p>
    <w:p>
      <w:pPr>
        <w:spacing w:after="0" w:line="6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review our calculations with respect to landfill asset retirement obligations at least annually. If there is a significant change in the facts and circumstances related to a landfill during the year, we will review our calculations for the landfill as soon as practical after the change has occurred.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operating expenses</w:t>
      </w:r>
    </w:p>
    <w:p>
      <w:pPr>
        <w:spacing w:after="0" w:line="90"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Costs associated with daily maintenance activities and environmental compliance during the operating life of the landfill are expensed as incurred. These costs include, among other things, leachate treatment and disposal, methane gas and groundwater monitoring and systems maintenance, interim cap maintenance, costs associated with the application of daily cover materials, and the legal and administrative costs of ongoing environmental compliance.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and the related legal costs.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We accrue for costs associated with environmental remediation obligations when such costs are probable and reasonably estimable in accordance with accounting for loss contingencies. We periodically review the status of all environmental matters and update our estimates of the likelihood of and future expenditures for remediation as necessary. Changes in the liabilities resulting from these reviews are recognized currently in earnings in the period in which the adjustment is known. Adjustments to estimates are reasonably possible in the near term and may result in changes to recorded amounts. With the exception of those obligations assumed in the acquisition of Allied, environmental obligations are recorded on an undiscounted basis.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We have not reduced the liabilities we have recorded for recoveries from other potentially responsible parties or insurance companies.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0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acquire businesses in the waste industry, including non-hazardous waste collection, transfer, recycling, disposal and environmental services operations, as part of our growth strategy. Businesses are included in the consolidated financial statements from the date of acquisition.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recognize, separately from goodwill, the identifiable assets acquired and liabilities assumed at their estimated acquisition-date fair values. We measure and recognize goodwill as of the acquisition date as the excess of: (1) the aggregate of the fair value of consideration transferred, the fair value of any non-controlling interest in the acquiree (if any) and the acquisition date fair value of our previously held equity interest in the acquiree (if any), over (2) the fair value of assets acquired and liabilities assumed. If information about facts and circumstances existing as of the acquisition date is incomplete by the end of the reporting period in which a business combination occurs, we report provisional amounts for the items for which the accounting is incomplete. The measurement or allocation period ends once we receive the information we are seeking; however, this period will generally not exceed one year from the acquisition date. Any material adjustments recognized during the measurement period will be reflected retrospectively in the consolidated financial statements of the subsequent period. We recognize third-party transaction related costs as expense currently in the period in which they are incurred.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evaluate goodwill for impairment annually as of October 1st, or when an indicator of impairment exists. We compare the fair value of our reporting units with the carrying value, including goodwill. We recognize an impairment charge for the amount by which the carrying value exceeds a reporting unit’s fair value, not to exceed the total amount of recorded goodwill, as applicable.</w:t>
      </w:r>
    </w:p>
    <w:p>
      <w:pPr>
        <w:spacing w:after="0" w:line="6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2019, we managed and evaluated our operations through two field groups: Group 1 and Group 2. In determining fair value, we primarily use discounted future cash flows and operating results based on a comparative multiple of earnings or revenues.</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Significant estimates used in our fair value calculation using discounted future cash flows include: (1) estimates of future revenue and expense growth by reporting unit, which we estimate to be approximately 3% annually; (2) future estimated effective tax rates, which we estimate to be 27%; (3) future estimated capital expenditures and future required investments in working capital; (4) estimated discount rates, which we estimate to range between 6% and 8%; and</w:t>
      </w:r>
    </w:p>
    <w:p>
      <w:pPr>
        <w:ind w:right="160" w:firstLine="8"/>
        <w:spacing w:after="0" w:line="255"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future terminal value of the reporting unit, which is based on its ability to exist into perpetuity. Significant estimates used in the fair value calculation utilizing market value multiples include: (a) estimated future growth potential of the reporting unit; (b) estimated multiples of revenue or earnings a willing buyer is likely to pay; and (c) the estimated control premium a willing buyer is likely to pay.</w:t>
      </w:r>
    </w:p>
    <w:p>
      <w:pPr>
        <w:spacing w:after="0" w:line="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we evaluate a reporting unit for impairment if events or circumstances change between annual tests, indicating a possible impairment. Examples of such events or circumstances include: (1) a significant adverse change in legal factors or in the business climate; (2) an adverse action or assessment by a regulator; (3) a more likely than not expectation that a reporting unit or a significant portion thereof will be sold; (4) continued or sustained losses at a reporting unit; (5) a significant decline in our market capitalization as compared to our book value; or (6) we conclude that we may not recover a significant asset group within the reporting unit.</w:t>
      </w:r>
    </w:p>
    <w:p>
      <w:pPr>
        <w:spacing w:after="0" w:line="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assign assets and liabilities from our corporate operating segment to our two reporting units to the extent that such assets or liabilities relate to the cash flows of the reporting unit and would be included in determining the reporting unit’s fair value.</w:t>
      </w:r>
    </w:p>
    <w:p>
      <w:pPr>
        <w:spacing w:after="0" w:line="3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preparing our annual test for impairment as of October 1, 2019, we determined that our indicated fair value of total invested capital exceeded our total market capitalization. We believe one of the primary reconciling differences between the indicated fair value of total invested capital and our total market capitalization is due to a control premium. We believe the control premium represents the value a market participant could extract as savings or synergies by obtaining control.</w:t>
      </w:r>
    </w:p>
    <w:p>
      <w:pPr>
        <w:spacing w:after="0" w:line="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October 1, 2019, we determined that the indicated fair value of our reporting units exceeded their carrying value by approximately 140% on average and, therefore, we noted no indicators of impairment at our reporting units.</w:t>
      </w:r>
    </w:p>
    <w:p>
      <w:pPr>
        <w:spacing w:after="0" w:line="4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operating segments, which also represent our reporting units, are comprised of several vertically integrated businesses. When an individual business within an integrated operating segment is divested, goodwill is allocated to that business based on its fair value relative to the fair value of its operating segment.</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intangible assets include values assigned to customer relationships, non-compete agreements and trade names and are amortized generally on a straight-line basis over periods ranging from 1 to 17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10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continually consider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and identifiable intangible assets.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Events or changes in circumstances that may indicate that an asset may be impaired include the following:</w:t>
      </w:r>
    </w:p>
    <w:p>
      <w:pPr>
        <w:spacing w:after="0" w:line="11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 accumulation of costs significantly in excess of the amount originally expected for the acquisition or construction of a long-lived asset;</w:t>
      </w:r>
    </w:p>
    <w:p>
      <w:pPr>
        <w:spacing w:after="0" w:line="128"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7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There are certain indicators listed above that require judgment and understanding of the waste industry when applied to landfill development or expansion.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indicators of impairment exist, the asset or asset group is reviewed to determine whether its recoverability is impaired. We assess the recoverability of the asset or asset group by comparing its carrying value to an estimate (or estimates) of its undiscounted future cash flows over its remaining life. If the estimated undiscounted cash flows are not sufficient to recover the carrying value of the asset or asset group, we measure an impairment loss as the amount by which the carrying amount of the asset exceeds its fair value. The loss is recorded in the consolidated statements of income in the period in which such impairment is identified. Estimating future cash flows requires significant judgment, and our projections of future cash flows and remaining useful lives may vary materially from actual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0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insurance programs for workers' compensation, commercial general and auto liability, environmental and remediation liability, and employee-related health care benefits are subject to high deductible insurance policies. Accruals for insurance reserves are based on claims filed and estimates of claims incurred but not reported. We consider our past claims experience, including both frequency and settlement amount of claims, in determining these estimates. It is possible that recorded reserves may not be adequate to cover the future payment of claims. Adjustments, if any, to estimates recorded resulting from ultimate claim payments will be reflected in the consolidated statements of income in the periods in which such adjustments are known. In general, our insurance reserves are recorded on an undiscounted basis; however, the insurance liabilities we acquired in the Allied acquisition have been recorded at estimated fair value, and therefore have been discounted to present value based on our estimate of the timing of the related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Associated with Exit Activities</w:t>
      </w:r>
    </w:p>
    <w:p>
      <w:pPr>
        <w:spacing w:after="0" w:line="108"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We record costs associated with exit activities such as employee termination benefits that represent a one-time benefit when management approves and commits to a plan of termination, and communicates the termination arrangement to the employees, or over the future service period, if any. Other costs associated with exit activities may include contract termination costs, including facility and employee relocation costs.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0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subject to various legal proceedings, claims and regulatory matters, the outcomes of which are subject to significant uncertainty. In general, we determine whether to disclose or accrue for loss contingencies based on an assessment of whether the risk of loss is remote, reasonably possible or probable, and whether it can be reasonably estimated. We assess our potential liability relating to litigation and regulatory matters based on information available to us. Management develops its assessment based on an analysis of possible outcomes under various strategies. We accrue for loss contingencies when such amounts are probable and reasonably estimable. If a contingent liability is only reasonably possible, we disclose the potential range of the loss, if estimable. Contingent liabilities recorded in purchase accounting are recorded at their fair values. These fair values may</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680"/>
        <w:spacing w:after="0" w:line="391" w:lineRule="auto"/>
        <w:rPr>
          <w:sz w:val="20"/>
          <w:szCs w:val="20"/>
          <w:color w:val="auto"/>
        </w:rPr>
      </w:pPr>
      <w:r>
        <w:rPr>
          <w:rFonts w:ascii="Arial" w:cs="Arial" w:eastAsia="Arial" w:hAnsi="Arial"/>
          <w:sz w:val="18"/>
          <w:szCs w:val="18"/>
          <w:color w:val="auto"/>
        </w:rPr>
        <w:t xml:space="preserve">be different from the values we would have otherwise recorded, had the contingent liability not been assumed as part of an acquisition of a business. </w:t>
      </w:r>
      <w:r>
        <w:rPr>
          <w:rFonts w:ascii="Arial" w:cs="Arial" w:eastAsia="Arial" w:hAnsi="Arial"/>
          <w:sz w:val="18"/>
          <w:szCs w:val="18"/>
          <w:b w:val="1"/>
          <w:bCs w:val="1"/>
          <w:color w:val="auto"/>
        </w:rPr>
        <w:t>Accumulated Other Comprehensive Income</w:t>
      </w:r>
    </w:p>
    <w:p>
      <w:pPr>
        <w:spacing w:after="0" w:line="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Accumulated other comprehensive income is a component of stockholders’ equity and includes the effective portion of the net changes in fair value of our cash flow hedges, amortization of our interest rate locks, and certain adjustments to liabilities associated with our employee defined benefit pension plan liabilities, net of tax.</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generally provide services under contracts with municipalities or individual customers. Municipal and small-container contracts are generally long-term and often have renewal options. Advance billings are recorded as deferred revenue, and revenue is recognized over the period services are provided.</w:t>
      </w:r>
    </w:p>
    <w:p>
      <w:pPr>
        <w:spacing w:after="0" w:line="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recognize revenue when control is transferred to the customer, generally at the time we provide a service. Revenue is measured as the amount of consideration we expect to receive in exchange for providing a service. We make certain payments to our customers, including payments to our municipal customers or commodity rebates to customers in our recycling business, which reduce the amount of revenue we recognize.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we record deferred income taxes to reflect the effects of temporary differences between the carrying amounts of assets and liabilities and their tax bases using enacted tax rates that we expect to be in effect when the taxes are actually paid or recovered. The effect of a change in tax rates on deferred tax assets and liabilities is recognized in income in the period that includes the enactment date.</w:t>
      </w:r>
    </w:p>
    <w:p>
      <w:pPr>
        <w:spacing w:after="0" w:line="6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record net deferred tax assets to the extent we believe these assets will more likely than not be realized. In making these determinations, we consider all available positive and negative evidence, including scheduled reversals of deferred tax liabilities, tax planning strategies, projected future taxable income and recent financial operating results. The weight given to the positive and negative evidence is commensurate with the extent such evidence can be objectively verified. If we determine that we would be able to realize a deferred income tax asset in the future in excess of its net recorded amount, we would make an adjustment to the valuation allowance, which would reduce the provision for income taxes.</w:t>
      </w:r>
    </w:p>
    <w:p>
      <w:pPr>
        <w:spacing w:after="0" w:line="5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record uncertain tax positions in accordance with ASC 740. A tax benefit from an uncertain tax position may be recognized when it is more likely than not that the position will be sustained upon examination, including resolution of any related appeals or litigation processes, based on the technical merits. Income tax positions must meet a more-likely-than-not recognition threshold at the effective date to be recognized.</w:t>
      </w:r>
    </w:p>
    <w:p>
      <w:pPr>
        <w:spacing w:after="0" w:line="3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recognize interest and penalties related to uncertain tax positions in the provision for income taxes in the accompanying consolidated statements of income. Accrued interest and penalties are included in other accrued liabilities, deferred income taxes and other long-term tax liabilities in the consolidated balance sheets.</w:t>
      </w:r>
    </w:p>
    <w:p>
      <w:pPr>
        <w:spacing w:after="0" w:line="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use the flow-through method to account for investment tax credits earned on eligible development expenditures. Under this method, the investment tax credits are recognized as a reduction to income tax expense in the year they are earned.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10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currently have one qualified defined benefit pension plan, the BFI Retirement Plan (the Plan). The Plan covers certain current and former employees of Allied in the United States, including some employees subject to collective bargaining agreements. The Plan’s benefit formula is based on a percentage of compensation as defined in the Plan document. However, the benefits of all current Plan participants are frozen.</w:t>
      </w:r>
    </w:p>
    <w:p>
      <w:pPr>
        <w:spacing w:after="0" w:line="3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Our pension contributions are made in accordance with funding standards established by the Employee Retirement Income Security Act of 1974 and the Internal Revenue Code, as amended by the Pension Protection Act of 2006. The Plan’s assets have been invested as determined by our Employee Benefits Committee. The Employee Benefits Committee reviews and adjusts the Plan’s asset allocation as deemed necessary.</w:t>
      </w:r>
    </w:p>
    <w:p>
      <w:pPr>
        <w:spacing w:after="0" w:line="44"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benefit obligation and associated income or expense related to the Plan are determined using annually established assumptions for discount rates, expected rates of return and mortality rates. We determine the discount rate based on a model that matches the timing and amount of expected benefit payments to maturities of high quality bonds priced as of the pension plan measurement date. When that timing does not correspond to a published high-quality bond rate, our model uses an expected yield curve to determine an appropriate current discount rate. The yields on the bonds are used to derive a discount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rate for the liability. In developing our expected rate of return assumption, we evaluate long-term expected and historical actual returns on the Plan assets, giving consideration to the asset mix and the anticipated duration of our Plan obligations. The average rate of compensation increase reflects our expectations of average pay increases over the period benefits are earned. Our assumptions are reviewed annually and adjusted as deemed necessary.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 Plans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Compensation expense associated with our restricted share units is recognized ratably over the vesting period, or to the employee's retirement eligible date, if earlier. The fair value of restricted share units is based on the closing market price on the date of the grant.</w:t>
      </w:r>
    </w:p>
    <w:p>
      <w:pPr>
        <w:spacing w:after="0" w:line="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Compensation expense associated with our performance shares that vest based on future performance targets is measured using the fair value of our common stock at the grant date for the stock-settled, equity classified awards, and the fair value of our common stock at the end of each reporting period for the cash-settled, liability classified awards. Compensation expense is recognized ratably over the performance period based on our estimated achievement of the established performance criteria. Compensation expense is only recognized for those awards that we expect to vest, which we estimate based on an assessment of the probability that the performance criteria will be achieved.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Income tax related cash flows resulting from equity-based payments are reported as a component of operating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Share repurchases under our share repurchase authorization may be made through open market purchases or privately negotiated transactions at the current market prices. From time-to-time, we return treasury shares acquired through share repurchases to the status of authorized but unissued. Our accounting policy is to deduct the par value from common stock and to reflect any excess of cost over par value as a deduction from additional paid-in capital.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lease property and equipment in the ordinary course of business under various lease agreements. The most significant lease obligations are for real property and equipment specific to our industry, including property operated as a landfill or transfer station and operating equipment. Our leases have varying terms. Some may include renewal or purchase options, escalation clauses, restrictions, penalties or other obligations that we consider in determining minimum lease payments. Our lease terms include options to renew the lease when it is reasonably certain that we will exercise the option.</w:t>
      </w:r>
    </w:p>
    <w:p>
      <w:pPr>
        <w:spacing w:after="0" w:line="5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leases require payments that are variable in nature based on volume measurements, e.g. a fixed rate per ton at our landfills. In addition, certain rental payments are adjusted annually based on changes in an underlying base index such as a consumer price index. Variable lease payments are recognized in our consolidated statements of income in the period incurred. Our lease agreements do not contain any material residual value guarantees or material restrictive covenants. We generally account for lease components separately from non-lease components.</w:t>
      </w:r>
    </w:p>
    <w:p>
      <w:pPr>
        <w:spacing w:after="0" w:line="3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Leases are classified as either operating leases or finance leases, as appropriate. Leases with an initial term of 12 months or less are not recorded on our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Many of our leases are operating leases. Operating lease classification generally can be attributed to either (1) relatively low fixed minimum lease payments (including, for example, real property lease payments that are not fixed and vary based on the volume of waste we receive or process), or (2) minimum lease terms that are shorter than the asset's economic useful life. We expect that, in the ordinary course of business, our operating leases will be renewed, replaced by other leases, or replaced with capital expenditures. We recognize rent expense for these leases on a straight-line basis over the lease term.</w:t>
      </w:r>
    </w:p>
    <w:p>
      <w:pPr>
        <w:spacing w:after="0" w:line="3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recognize a right-of-use liability and right-of-use asset for leases classified as operating leases in our consolidated balance sheet upon lease commencement. The right-of-use liability represents the present value of the remaining lease payments. An implicit rate is often not readily available for these leases. As such, we use our incremental borrowing rate at the commencement date to determine the present value of the lease payments. Our incremental borrowing rate represents the rate of interest that we would have to pay to borrow on a collateralized basis over a similar term in a similar economic environment. In addition, we recognize a corresponding right-of-use asset, which represents our right to use an underlying asset for the lease term. The right-of-use asset is adjusted for certain favorable or unfavorable leases recognized through acquisition, prepaid or accrued rent, asset impairments and lease incentives, including but not limited to cash incentives, rent abatement or leasehold improvements paid by the lessor.</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capitalize assets acquired under finance leases at lease commencement and amortize them to depreciation expense over the lesser of the useful life of the asset or the lease term on either a straight-line or a units-of-consumption basis, depending on the asset leased. We record the present value of the related lease payments as a debt obligation. Our finance lease liabilities relate primarily to real property, including certain long-term landfill operating agreements that require minimum lease payments with offsetting finance lease assets recorded as part of the landfill development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It is our policy that transactions with related parties must be on terms that, on the whole, are no less favorable than those that would be available from unaffiliated parties.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0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Effective January 1, 2018, we adopted ASU 2014-09, </w:t>
      </w:r>
      <w:r>
        <w:rPr>
          <w:rFonts w:ascii="Arial" w:cs="Arial" w:eastAsia="Arial" w:hAnsi="Arial"/>
          <w:sz w:val="18"/>
          <w:szCs w:val="18"/>
          <w:i w:val="1"/>
          <w:iCs w:val="1"/>
          <w:color w:val="auto"/>
        </w:rPr>
        <w:t>Revenue from Contracts with Customers (Topic 606) and Other Assets and Deferred Costs-Contracts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(Subtopic 340-40) </w:t>
      </w:r>
      <w:r>
        <w:rPr>
          <w:rFonts w:ascii="Arial" w:cs="Arial" w:eastAsia="Arial" w:hAnsi="Arial"/>
          <w:sz w:val="18"/>
          <w:szCs w:val="18"/>
          <w:color w:val="auto"/>
        </w:rPr>
        <w:t>(ASU 2014-09 or the new revenue recognition standard) using the modified retrospective approach. We recognized the</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effect of adopting the new revenue recognition standard as an adjustment to the beginning balance of retained earnings as of the date of adoption. The prior comparative periods have not been restated and continue to be reported under the accounting standards in effect for those periods. The timing and pattern of revenue recognition has not significantly changed under the new revenue recognition standard, nor has there been a material change to our operating or net income.</w:t>
      </w:r>
    </w:p>
    <w:p>
      <w:pPr>
        <w:spacing w:after="0" w:line="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effective January 1, 2019, we adopted the following accounting standard updates (ASUs) as issued by the Financial Accounting Standards Board (FASB):</w:t>
      </w:r>
    </w:p>
    <w:p>
      <w:pPr>
        <w:spacing w:after="0" w:line="85" w:lineRule="exact"/>
        <w:rPr>
          <w:sz w:val="20"/>
          <w:szCs w:val="20"/>
          <w:color w:val="auto"/>
        </w:rPr>
      </w:pPr>
    </w:p>
    <w:p>
      <w:pPr>
        <w:ind w:left="20"/>
        <w:spacing w:after="0"/>
        <w:tabs>
          <w:tab w:leader="none" w:pos="9740" w:val="left"/>
        </w:tabs>
        <w:rPr>
          <w:sz w:val="20"/>
          <w:szCs w:val="20"/>
          <w:color w:val="auto"/>
        </w:rPr>
      </w:pPr>
      <w:r>
        <w:rPr>
          <w:rFonts w:ascii="Arial" w:cs="Arial" w:eastAsia="Arial" w:hAnsi="Arial"/>
          <w:sz w:val="18"/>
          <w:szCs w:val="18"/>
          <w:b w:val="1"/>
          <w:bCs w:val="1"/>
          <w:color w:val="auto"/>
        </w:rPr>
        <w:t>ASU</w:t>
      </w:r>
      <w:r>
        <w:rPr>
          <w:sz w:val="20"/>
          <w:szCs w:val="20"/>
          <w:color w:val="auto"/>
        </w:rPr>
        <w:tab/>
      </w:r>
      <w:r>
        <w:rPr>
          <w:rFonts w:ascii="Arial" w:cs="Arial" w:eastAsia="Arial" w:hAnsi="Arial"/>
          <w:sz w:val="18"/>
          <w:szCs w:val="18"/>
          <w:b w:val="1"/>
          <w:bCs w:val="1"/>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ASU 2016-02</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ASU 2017-12</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ASU 2018-16</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ASU 2018-02</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ASU 2018-07</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ASU 2018-15</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Leases (Topic 842)</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Derivatives and Hedging (Topic 815): Targeted Improvements to Accounting for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22225</wp:posOffset>
            </wp:positionV>
            <wp:extent cx="724662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8"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Derivatives and Hedging (Topic 815): Inclusion of the Secured Overnight Financing Rate (SOFR) Overnight Index Swap (OIS) Rate as a Benchmark Interest Rate for Hedge Accounting</w:t>
      </w:r>
    </w:p>
    <w:p>
      <w:pPr>
        <w:spacing w:after="0" w:line="43"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Income Statement - Reporting Comprehensive Income (Topic 220) Reclassification of Certain Tax Effects from 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635</wp:posOffset>
            </wp:positionV>
            <wp:extent cx="7246620" cy="317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Compensation—Stock Compensation (Topic 718): Improvements to Nonemployee Share-Based Payment Accounting</w:t>
      </w:r>
    </w:p>
    <w:p>
      <w:pPr>
        <w:spacing w:after="0" w:line="1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Intangibles - Goodwill and Other - Internal-Use Software (Subtopic 350-40) No. 2018-15 Customer’s Accounting for Implementation Costs Incurred in a Cloud Computing Arrangement That Is a Service Contract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January 1, 2019</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January 1, 2019</w:t>
      </w:r>
    </w:p>
    <w:p>
      <w:pPr>
        <w:spacing w:after="0" w:line="314"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January 1, 2019</w:t>
      </w:r>
    </w:p>
    <w:p>
      <w:pPr>
        <w:spacing w:after="0" w:line="327"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January 1, 2019</w:t>
      </w:r>
    </w:p>
    <w:p>
      <w:pPr>
        <w:spacing w:after="0" w:line="327"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January 1, 2019</w:t>
      </w:r>
    </w:p>
    <w:p>
      <w:pPr>
        <w:spacing w:after="0" w:line="200" w:lineRule="exact"/>
        <w:rPr>
          <w:sz w:val="20"/>
          <w:szCs w:val="20"/>
          <w:color w:val="auto"/>
        </w:rPr>
      </w:pPr>
    </w:p>
    <w:p>
      <w:pPr>
        <w:spacing w:after="0" w:line="330"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January 1, 2019</w:t>
      </w:r>
    </w:p>
    <w:p>
      <w:pPr>
        <w:spacing w:after="0" w:line="232" w:lineRule="exact"/>
        <w:rPr>
          <w:sz w:val="20"/>
          <w:szCs w:val="20"/>
          <w:color w:val="auto"/>
        </w:rPr>
      </w:pPr>
    </w:p>
    <w:p>
      <w:pPr>
        <w:sectPr>
          <w:pgSz w:w="11900" w:h="16838" w:orient="portrait"/>
          <w:cols w:equalWidth="0" w:num="3">
            <w:col w:w="1040" w:space="500"/>
            <w:col w:w="7600" w:space="580"/>
            <w:col w:w="1680"/>
          </w:cols>
          <w:pgMar w:left="240" w:top="121" w:right="25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Effective January 1, 2019, we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(ASC 842 or the new leasing standard) using the optional transition method prescribed by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Upon adoption of the new leasing standard, we recognized a right-of-use asset and a right-of-use liability for leases classified as operating leases in our consolidated balance sheet. We applied the package of practical expedients to leases that commenced before the effective date whereby we elected to not reassess the following: (i) whether any expired or existing contracts contain leases; (ii) the lease classification for any expired or existing leases; and (iii) initial direct costs for any existing leases.</w:t>
      </w:r>
    </w:p>
    <w:p>
      <w:pPr>
        <w:spacing w:after="0" w:line="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assist in quantifying the impact on our consolidated financial statements and supplementing our existing disclosures, we designed internal controls over the adoption and implemented a software solution to manage and account for our leases. As of January 1, 2019, we recognized a right-of-use liability for our operating leases of $256.3 million classified as other accrued liabilities and other long-term liabilities and a corresponding right-of-use asset of $236.2 million classified as other long-term assets in our consolidated balance sheet. The right-of-use asset reflects adjustments for certain favorable or unfavorable leases recognized through acquisitions, prepaid or accrued rent, asset impairments and lease incentives, including but not limited to cash incentives, rent abatement or leasehold improvements paid by the lessor. We did not recognize a cumulative effect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adjustment to retained earnings as of January 1, 2019 as the standard did not have a material impact on our consolidated statements of income. In addition, the standard did not have a material impact on our accounting for finance (capital) leases.</w:t>
      </w:r>
    </w:p>
    <w:p>
      <w:pPr>
        <w:spacing w:after="0" w:line="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We assessed the disclosure requirements under the new leasing standard as part of our adoption. Refer to Note 6,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Note 7,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Leases</w:t>
      </w:r>
      <w:r>
        <w:rPr>
          <w:rFonts w:ascii="Arial" w:cs="Arial" w:eastAsia="Arial" w:hAnsi="Arial"/>
          <w:sz w:val="18"/>
          <w:szCs w:val="18"/>
          <w:color w:val="auto"/>
        </w:rPr>
        <w:t>, included herein for our enhanced supplemental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w:t>
      </w:r>
    </w:p>
    <w:p>
      <w:pPr>
        <w:spacing w:after="0" w:line="10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Effective January 1, 2019, we adopted the FASB's ASU 2017-12, </w:t>
      </w:r>
      <w:r>
        <w:rPr>
          <w:rFonts w:ascii="Arial" w:cs="Arial" w:eastAsia="Arial" w:hAnsi="Arial"/>
          <w:sz w:val="16"/>
          <w:szCs w:val="16"/>
          <w:i w:val="1"/>
          <w:iCs w:val="1"/>
          <w:color w:val="auto"/>
        </w:rPr>
        <w:t>Derivatives and Hedging (Topic 815): Targeted Improvements to Accounting for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w:t>
      </w:r>
      <w:r>
        <w:rPr>
          <w:rFonts w:ascii="Arial" w:cs="Arial" w:eastAsia="Arial" w:hAnsi="Arial"/>
          <w:sz w:val="16"/>
          <w:szCs w:val="16"/>
          <w:color w:val="auto"/>
        </w:rPr>
        <w:t>(ASU 2017-12). We adopted the new guidance over income statement presentation and enhanced disclosures prospectively, and we adopted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over the elimination of the separate measurement of ineffectiveness on a modified retrospective basis to existing hedging relationships as of the date of adoption. Prior to adoption, the net periodic earnings of our fair value hedges were presented within other income, net in our consolidated statements of income and are now presented within interest expense in our consolidated statements of income, i.e. the same line item as the effect of the hedged item. Our adoption of ASU 2017-12 did not have a material impact on our consolidated financial statements for the year ended December 31, 2019.</w:t>
      </w:r>
    </w:p>
    <w:p>
      <w:pPr>
        <w:spacing w:after="0" w:line="4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Effective January 1, 2019, in conjunction with ASU 2017-12, we adopted the FASB's ASU 2018-16, </w:t>
      </w:r>
      <w:r>
        <w:rPr>
          <w:rFonts w:ascii="Arial" w:cs="Arial" w:eastAsia="Arial" w:hAnsi="Arial"/>
          <w:sz w:val="16"/>
          <w:szCs w:val="16"/>
          <w:i w:val="1"/>
          <w:iCs w:val="1"/>
          <w:color w:val="auto"/>
        </w:rPr>
        <w:t>Derivatives and Hedging (Topic 815): Inclusion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Secured Overnight Financing Rate (SOFR) Overnight Index Swap (OIS) Rate as a Benchmark Interest Rate for Hedge Accounting </w:t>
      </w:r>
      <w:r>
        <w:rPr>
          <w:rFonts w:ascii="Arial" w:cs="Arial" w:eastAsia="Arial" w:hAnsi="Arial"/>
          <w:sz w:val="16"/>
          <w:szCs w:val="16"/>
          <w:color w:val="auto"/>
        </w:rPr>
        <w:t>(ASU 2018-16) on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prospective basis. LIBOR is expected to no longer be published by 2021. Consequently, the FASB added the OIS rate based on SOFR as an eligible benchmark interest rate in order to facilitate the LIBOR to SOFR transition and provide sufficient lead time for entities to prepare for changes to interest rate risk hedging strategies for both risk management and hedge accounting purposes. We are developing a plan to transition our interest rate swaps from LIBOR to SOFR. Our adoption of ASU 2018-16 did not have a material impact on our consolidated financial statements for the year ended December 31,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 of Certain Tax Effects from Accumulated Other Comprehensive Income</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Effective January 1, 2019, we adopted the FASB's ASU 2018-02, </w:t>
      </w:r>
      <w:r>
        <w:rPr>
          <w:rFonts w:ascii="Arial" w:cs="Arial" w:eastAsia="Arial" w:hAnsi="Arial"/>
          <w:sz w:val="17"/>
          <w:szCs w:val="17"/>
          <w:i w:val="1"/>
          <w:iCs w:val="1"/>
          <w:color w:val="auto"/>
        </w:rPr>
        <w:t>Income Statement - Reporting Comprehensive Income (Topic 220) Reclassification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Certain Tax Effects from Accumulated Other Comprehensive Income </w:t>
      </w:r>
      <w:r>
        <w:rPr>
          <w:rFonts w:ascii="Arial" w:cs="Arial" w:eastAsia="Arial" w:hAnsi="Arial"/>
          <w:sz w:val="17"/>
          <w:szCs w:val="17"/>
          <w:color w:val="auto"/>
        </w:rPr>
        <w:t>(ASU 2018-02). The amendments eliminate the stranded tax effects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Cuts and Jobs Act (the Tax Act). The amendments only relate to the reclassification of the income tax effects of the Tax Act, and the underlying guidance that requires that the effect of a change in tax laws or rates be included in income from continuing operations is not affected. Consequently, we reclassified $3.1 million of stranded tax effects from accumulated other comprehensive income to retained earnings.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Nonemployee Share-Based Payment Accounting</w:t>
      </w:r>
    </w:p>
    <w:p>
      <w:pPr>
        <w:spacing w:after="0" w:line="10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Effective January 1, 2019, we adopted the FASB's ASU 2018-07, </w:t>
      </w:r>
      <w:r>
        <w:rPr>
          <w:rFonts w:ascii="Arial" w:cs="Arial" w:eastAsia="Arial" w:hAnsi="Arial"/>
          <w:sz w:val="17"/>
          <w:szCs w:val="17"/>
          <w:i w:val="1"/>
          <w:iCs w:val="1"/>
          <w:color w:val="auto"/>
        </w:rPr>
        <w:t xml:space="preserve">Compensation - Stock Compensation (Topic 718): Improvements to Nonemployee Share-Based Payment Accounting </w:t>
      </w:r>
      <w:r>
        <w:rPr>
          <w:rFonts w:ascii="Arial" w:cs="Arial" w:eastAsia="Arial" w:hAnsi="Arial"/>
          <w:sz w:val="17"/>
          <w:szCs w:val="17"/>
          <w:color w:val="auto"/>
        </w:rPr>
        <w:t>(ASU 2018-07). ASU 2018-07 simplifies several aspects of the accounting for nonemployee share-based payment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expanding the scope of Topic 718, Compensation - Stock Compensation, to include share-based payment transactions for acquiring goods and services from nonemployees. We will apply the guidance prescribed by this update on a prospective basis. Our adoption of ASU 2018-07 did not have a material impact on our consolidated financial statements for the year ended December 31,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Accounting for Implementation Costs Incurred in a Cloud Computing Arrangement That Is a Service Contract</w:t>
      </w:r>
    </w:p>
    <w:p>
      <w:pPr>
        <w:spacing w:after="0" w:line="10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Effective January 1, 2019, we early adopted the FASB's ASU 2018-15, </w:t>
      </w:r>
      <w:r>
        <w:rPr>
          <w:rFonts w:ascii="Arial" w:cs="Arial" w:eastAsia="Arial" w:hAnsi="Arial"/>
          <w:sz w:val="17"/>
          <w:szCs w:val="17"/>
          <w:i w:val="1"/>
          <w:iCs w:val="1"/>
          <w:color w:val="auto"/>
        </w:rPr>
        <w:t>Intangibles—Goodwill and Other—Internal-Use Software (Subtopic 350-40) No.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2018-15 Customer’s Accounting for Implementation Costs Incurred in a Cloud Computing Arrangement That Is a Service Contract </w:t>
      </w:r>
      <w:r>
        <w:rPr>
          <w:rFonts w:ascii="Arial" w:cs="Arial" w:eastAsia="Arial" w:hAnsi="Arial"/>
          <w:sz w:val="17"/>
          <w:szCs w:val="17"/>
          <w:color w:val="auto"/>
        </w:rPr>
        <w:t>(ASU 2018-15) using a</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prospective approach. In accordance with the standard, we present capitalized implementation costs incurred in a hosting arrangement that is a service contract as other assets on our consolidated balance sheet. This presentation is consistent with the presentation of the prepayment of fees for the hosting arrangement. Historically, implementation costs were presented as a component of property and equipment, net.</w:t>
      </w:r>
    </w:p>
    <w:p>
      <w:pPr>
        <w:spacing w:after="0" w:line="3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January 1, 2019, we reclassified $28.7 million of capitalized implementation costs incurred in a hosting arrangement that is a service contract from property and equipment, net to other assets on our consolidated balance sheet. During the year ended December 31, 2019, we recognized $34.3 million of amortization expense for the prepayment of fees and capitalized implementation costs incurred in a hosting arrangement as a component of depreciation, amortization and depletion in our consolidated statements of income. During the year ended December 31, 2019, we recognized $10.9 million of payments for capitalized implementation costs in the same manner as payments made for fees associated with the hosting arrangement as a component of cash provided by operating activities in our consolidated statements of cash flows.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10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 ASU 2016-13 requires the measurement of all expected credit losses for financial assets held at the reporting date based on historical experience, current conditions, and reasonable and supportable forecasts. ASU 2016-13 will replace the incurred loss impairment methodology in current U.S. GAAP with a methodology that reflects expected credit losses and requires consideration of a broader range of reasonable and supportable information to inform credit loss estimates. ASU 2016-13 is effective for public business entities for fiscal years beginning after December 15, 2019, including interim periods within that fiscal year. As such, Republic adopted the standard beginning January 1, 2020 using the required modified-retrospective approach. We do not expect to recognize a material cumulative effect adjustment to retained earnings as of January 1, 2020, and we do not expect our adoption of the standard to have a material impact on our consolidated balance sheet or consolidated statement of income.</w:t>
      </w:r>
    </w:p>
    <w:p>
      <w:pPr>
        <w:spacing w:after="0" w:line="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are assessing the disclosure requirements under ASU 2016-13, and we anticipate disclosing additional information, as necessary, to comply with the standard.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the Disclosure Requirements for Fair Value Measurement</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(ASU 2018-13). ASU 2018-13 modifies the disclosure requirements on fair value measurements in Topic 820,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ASU 2018-13 is effective for public business entities for fiscal years beginning after December 15, 2019, including interim periods within that fiscal year. As such, Republic adopted the standard beginning January 1, 2020. We do not expect our adoption of this guidance to have a material impact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the Disclosure Requirements for Defined Benefit Plans</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 (Subtopic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Framework—Changes to the Disclosure Requirements for Defined Benefit Plans </w:t>
      </w:r>
      <w:r>
        <w:rPr>
          <w:rFonts w:ascii="Arial" w:cs="Arial" w:eastAsia="Arial" w:hAnsi="Arial"/>
          <w:sz w:val="17"/>
          <w:szCs w:val="17"/>
          <w:color w:val="auto"/>
        </w:rPr>
        <w:t>(ASU 2018-14). ASU 2018-14 removes disclosures that are no longer</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cost beneficial, clarifies the specific requirements of disclosures, and adds disclosure requirements identified as relevant. ASU 2018-14 is effective for public business entities for fiscal years beginning after December 15, 2020, including interim periods within that fiscal year. Early adoption is permitted for all entities. We are currently assessing the effect this guidance may have on our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ASU 2019-12 attempts to simplify aspects of accounting for franchise taxes and enacted changes in tax laws or rates, and clarifies the accounting for transactions that result in a step-up in the tax basis of goodwill. ASU 2019-12 is effective for public business entities for fiscal years beginning after December 15, 2020, including interim periods within that fiscal year. Early adoption is permitted for all entities. We are currently assessing the effect this guidance may have on our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 INVESTMENTS AND RESTRUCTURING CHARGES</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acquired various waste businesses during the years ended December 31, 2019 and 2018. The purchase price paid for these business acquisitions and the allocations of the purchase price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8"/>
                <w:szCs w:val="18"/>
                <w:color w:val="auto"/>
              </w:rPr>
              <w:t>Cash used in acquisitions, net of cash acquired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8"/>
                <w:szCs w:val="18"/>
                <w:color w:val="auto"/>
              </w:rPr>
              <w:t>Holdbacks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Fair value, future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8"/>
                <w:szCs w:val="18"/>
                <w:color w:val="auto"/>
              </w:rPr>
              <w:t>Fair value of operations surrendered</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23"/>
        </w:trPr>
        <w:tc>
          <w:tcPr>
            <w:tcW w:w="8660" w:type="dxa"/>
            <w:vAlign w:val="bottom"/>
          </w:tcPr>
          <w:p>
            <w:pPr>
              <w:ind w:left="20"/>
              <w:spacing w:after="0"/>
              <w:rPr>
                <w:sz w:val="20"/>
                <w:szCs w:val="20"/>
                <w:color w:val="auto"/>
              </w:rPr>
            </w:pPr>
            <w:r>
              <w:rPr>
                <w:rFonts w:ascii="Arial" w:cs="Arial" w:eastAsia="Arial" w:hAnsi="Arial"/>
                <w:sz w:val="18"/>
                <w:szCs w:val="18"/>
                <w:color w:val="auto"/>
              </w:rPr>
              <w:t>Allocated as follows: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8"/>
                <w:szCs w:val="18"/>
                <w:color w:val="auto"/>
              </w:rPr>
              <w:t>Landfill airspace</w:t>
            </w: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8"/>
                <w:szCs w:val="18"/>
                <w:color w:val="auto"/>
              </w:rPr>
              <w:t>Operating right-of-use lease assets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8"/>
                <w:szCs w:val="18"/>
                <w:color w:val="auto"/>
              </w:rPr>
              <w:t>Environmental remediation liabilities</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Closure and post-closure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8"/>
                <w:szCs w:val="18"/>
                <w:color w:val="auto"/>
              </w:rPr>
              <w:t>Operating right-of-use lease liabilities</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8660" w:type="dxa"/>
            <w:vAlign w:val="bottom"/>
          </w:tcPr>
          <w:p>
            <w:pPr>
              <w:ind w:left="20"/>
              <w:spacing w:after="0"/>
              <w:rPr>
                <w:sz w:val="20"/>
                <w:szCs w:val="20"/>
                <w:color w:val="auto"/>
              </w:rPr>
            </w:pPr>
            <w:r>
              <w:rPr>
                <w:rFonts w:ascii="Arial" w:cs="Arial" w:eastAsia="Arial" w:hAnsi="Arial"/>
                <w:sz w:val="18"/>
                <w:szCs w:val="18"/>
                <w:color w:val="auto"/>
              </w:rPr>
              <w:t>Fair value of tangible assets acquired and liabilities assumed</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purchase price to be allocated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Excess purchase price to be allocated as follows: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allocated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spacing w:after="0" w:line="334" w:lineRule="auto"/>
        <w:rPr>
          <w:sz w:val="20"/>
          <w:szCs w:val="20"/>
          <w:color w:val="auto"/>
        </w:rPr>
      </w:pPr>
      <w:r>
        <w:rPr>
          <w:rFonts w:ascii="Arial" w:cs="Arial" w:eastAsia="Arial" w:hAnsi="Arial"/>
          <w:sz w:val="16"/>
          <w:szCs w:val="16"/>
          <w:color w:val="auto"/>
        </w:rPr>
        <w:t>The purchase price allocations are preliminary and are based on information existing at the acquisition dates. Accordingly, the purchase price allocations are subject to change. Substantially all of the goodwill and intangible assets recorded for acquisitions in 2019 and 2018 were deductible for tax purposes.</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acquisitions are not material to the Company's results of operations, individually or in the aggregate. As a result, no pro forma financial information is provided.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2019 and 2018, we acquired non-controlling equity interests in certain limited liability companies that qualified for investment tax credits under Section 48 of the Internal Revenue Code. In exchange for our non-controlling interests, we made capital contributions of approximately $129 million and $82 million, which were recorded to other long-term assets in our December 31, 2019 and 2018 consolidated balance sheets, respectively. During 2019 and 2018, we also reduced the carrying value of these investments by $112.2 million and $35.8 million, respectively, as a result of tax credits allocated to us, cash distributions, and our share of income and loss pursuant to the terms of the limited liability company agreements. For further discussion of the income tax benefits, see Note 11,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0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January 2018, we eliminated certain positions following the consolidation of select back-office functions, including but not limited to the integration of our National Accounts support functions into our existing corporate support functions. These changes include a reduction in administrative staffing and closing of certain office locations. During 2019, we incurred restructuring charges of $14.2 million that primarily related to upgrades to our back-office software systems. During 2018, we incurred restructuring charges of $26.4 million that primarily consisted of severance and other employee termination benefits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and the closure of offices with lease agreements with non-cancelable terms. We paid $10.6 million and $24.7 million during 2019 and 2018, respectively, related to these restructuring efforts.</w:t>
      </w:r>
    </w:p>
    <w:p>
      <w:pPr>
        <w:spacing w:after="0" w:line="3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January 2016, we realigned our field support functions by combining our three regions into two field groups, consolidating our areas and streamlining select operational support roles at our Phoenix headquarters. Additionally, in the second quarter of 2016, we began the redesign of our back-office functions as well as the consolidation of over 100 customer service locations into three Customer Resource Centers. During the year ended December 31, 2017, we incurred $17.6 million of restructuring charges that primarily consisted of severance and other employee termination benefits, transition costs, relocation benefits, and the closure of offices with lease agreements with non-cancelable terms. The savings realized from these restructuring efforts have been reinvested in our customer-focused programs and initiatives. During 2017, we paid $18.6 million related to these restructuring efforts.</w:t>
      </w:r>
    </w:p>
    <w:p>
      <w:pPr>
        <w:spacing w:after="0" w:line="161"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net as of December 31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443.6</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Non-depletable landfill land</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167.5</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Landfill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7,474.7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7,106.0</w:t>
            </w:r>
          </w:p>
        </w:tc>
      </w:tr>
      <w:tr>
        <w:trPr>
          <w:trHeight w:val="270"/>
        </w:trPr>
        <w:tc>
          <w:tcPr>
            <w:tcW w:w="8660" w:type="dxa"/>
            <w:vAlign w:val="bottom"/>
          </w:tcPr>
          <w:p>
            <w:pPr>
              <w:ind w:left="20"/>
              <w:spacing w:after="0"/>
              <w:rPr>
                <w:sz w:val="20"/>
                <w:szCs w:val="20"/>
                <w:color w:val="auto"/>
              </w:rPr>
            </w:pPr>
            <w:r>
              <w:rPr>
                <w:rFonts w:ascii="Arial" w:cs="Arial" w:eastAsia="Arial" w:hAnsi="Arial"/>
                <w:sz w:val="18"/>
                <w:szCs w:val="18"/>
                <w:color w:val="auto"/>
              </w:rPr>
              <w:t xml:space="preserve">Vehicles and equipment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7,766.0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7,377.3</w:t>
            </w: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1,279.8</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Construction-in-progress - landfill</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287.9</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Construction-in-progress - other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89.9</w:t>
            </w:r>
          </w:p>
        </w:tc>
      </w:tr>
      <w:tr>
        <w:trPr>
          <w:trHeight w:val="237"/>
        </w:trPr>
        <w:tc>
          <w:tcPr>
            <w:tcW w:w="86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17,656.6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16,752.0</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depletion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Landfill development costs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(3,968.6)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(3,635.9)</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Vehicles and equipment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(4,728.2)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(4,571.1)</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(524.9)</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(8,731.9)</w:t>
            </w:r>
          </w:p>
        </w:tc>
      </w:tr>
      <w:tr>
        <w:trPr>
          <w:trHeight w:val="237"/>
        </w:trPr>
        <w:tc>
          <w:tcPr>
            <w:tcW w:w="86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8,383.5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8,020.1</w:t>
            </w:r>
          </w:p>
        </w:tc>
      </w:tr>
      <w:tr>
        <w:trPr>
          <w:trHeight w:val="27"/>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200" w:firstLine="8"/>
        <w:spacing w:after="0" w:line="273" w:lineRule="auto"/>
        <w:tabs>
          <w:tab w:leader="none" w:pos="204"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accordance with our adoption of ASU 2018-15, $28.7 million of capitalized implementation costs for cloud-based hosting arrangements were transferred out of property and equipment, net and are now presented as a component of other assets on our consolidated balance sheets as of December 31, 2019.</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Depreciation, depletion and amortization of property and equipment was $985.8 million, $977.0 million and $965.3 million for the years ended December 31, 2019, 2018 and 2017, respectively.</w:t>
      </w:r>
    </w:p>
    <w:p>
      <w:pPr>
        <w:spacing w:after="0" w:line="166"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1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senior management evaluates, oversees and manages the financial performance of our operations through two field groups, referred to as Group 1 and Group 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in goodwill accounts by reporting segment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Arial" w:cs="Arial" w:eastAsia="Arial" w:hAnsi="Arial"/>
                <w:sz w:val="18"/>
                <w:szCs w:val="18"/>
                <w:color w:val="auto"/>
                <w:w w:val="96"/>
              </w:rPr>
              <w:t>Balance as of December</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Adjustments to</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w w:val="91"/>
              </w:rPr>
              <w:t>Balance as of December</w:t>
            </w:r>
          </w:p>
        </w:tc>
      </w:tr>
      <w:tr>
        <w:trPr>
          <w:trHeight w:val="230"/>
        </w:trPr>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31, 2018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Divestitures</w:t>
            </w: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Acquisitions</w:t>
            </w:r>
          </w:p>
        </w:tc>
        <w:tc>
          <w:tcPr>
            <w:tcW w:w="360" w:type="dxa"/>
            <w:vAlign w:val="bottom"/>
          </w:tcPr>
          <w:p>
            <w:pPr>
              <w:spacing w:after="0"/>
              <w:rPr>
                <w:sz w:val="20"/>
                <w:szCs w:val="20"/>
                <w:color w:val="auto"/>
              </w:rPr>
            </w:pPr>
          </w:p>
        </w:tc>
        <w:tc>
          <w:tcPr>
            <w:tcW w:w="1520" w:type="dxa"/>
            <w:vAlign w:val="bottom"/>
          </w:tcPr>
          <w:p>
            <w:pPr>
              <w:jc w:val="right"/>
              <w:ind w:right="530"/>
              <w:spacing w:after="0"/>
              <w:rPr>
                <w:sz w:val="20"/>
                <w:szCs w:val="20"/>
                <w:color w:val="auto"/>
              </w:rPr>
            </w:pPr>
            <w:r>
              <w:rPr>
                <w:rFonts w:ascii="Arial" w:cs="Arial" w:eastAsia="Arial" w:hAnsi="Arial"/>
                <w:sz w:val="18"/>
                <w:szCs w:val="18"/>
                <w:color w:val="auto"/>
              </w:rPr>
              <w:t>31, 2019</w:t>
            </w:r>
          </w:p>
        </w:tc>
      </w:tr>
      <w:tr>
        <w:trPr>
          <w:trHeight w:val="27"/>
        </w:trPr>
        <w:tc>
          <w:tcPr>
            <w:tcW w:w="2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Group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6,235.6</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Group 2</w:t>
            </w:r>
          </w:p>
        </w:tc>
        <w:tc>
          <w:tcPr>
            <w:tcW w:w="36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5,249.5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5,397.8</w:t>
            </w:r>
          </w:p>
        </w:tc>
      </w:tr>
      <w:tr>
        <w:trPr>
          <w:trHeight w:val="27"/>
        </w:trPr>
        <w:tc>
          <w:tcPr>
            <w:tcW w:w="2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11,400.1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252.6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11,633.4</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Arial" w:cs="Arial" w:eastAsia="Arial" w:hAnsi="Arial"/>
                <w:sz w:val="18"/>
                <w:szCs w:val="18"/>
                <w:color w:val="auto"/>
                <w:w w:val="96"/>
              </w:rPr>
              <w:t>Balance as of December</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Adjustments to</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w w:val="91"/>
              </w:rPr>
              <w:t>Balance as of December</w:t>
            </w:r>
          </w:p>
        </w:tc>
      </w:tr>
      <w:tr>
        <w:trPr>
          <w:trHeight w:val="230"/>
        </w:trPr>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31, 2017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Divestitures</w:t>
            </w: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Acquisitions</w:t>
            </w:r>
          </w:p>
        </w:tc>
        <w:tc>
          <w:tcPr>
            <w:tcW w:w="360" w:type="dxa"/>
            <w:vAlign w:val="bottom"/>
          </w:tcPr>
          <w:p>
            <w:pPr>
              <w:spacing w:after="0"/>
              <w:rPr>
                <w:sz w:val="20"/>
                <w:szCs w:val="20"/>
                <w:color w:val="auto"/>
              </w:rPr>
            </w:pPr>
          </w:p>
        </w:tc>
        <w:tc>
          <w:tcPr>
            <w:tcW w:w="1520" w:type="dxa"/>
            <w:vAlign w:val="bottom"/>
          </w:tcPr>
          <w:p>
            <w:pPr>
              <w:jc w:val="right"/>
              <w:ind w:right="530"/>
              <w:spacing w:after="0"/>
              <w:rPr>
                <w:sz w:val="20"/>
                <w:szCs w:val="20"/>
                <w:color w:val="auto"/>
              </w:rPr>
            </w:pPr>
            <w:r>
              <w:rPr>
                <w:rFonts w:ascii="Arial" w:cs="Arial" w:eastAsia="Arial" w:hAnsi="Arial"/>
                <w:sz w:val="18"/>
                <w:szCs w:val="18"/>
                <w:color w:val="auto"/>
              </w:rPr>
              <w:t>31, 2018</w:t>
            </w:r>
          </w:p>
        </w:tc>
      </w:tr>
      <w:tr>
        <w:trPr>
          <w:trHeight w:val="27"/>
        </w:trPr>
        <w:tc>
          <w:tcPr>
            <w:tcW w:w="2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Group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1"/>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6,150.6</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Group 2</w:t>
            </w:r>
          </w:p>
        </w:tc>
        <w:tc>
          <w:tcPr>
            <w:tcW w:w="36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5,231.4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left="71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5,249.5</w:t>
            </w:r>
          </w:p>
        </w:tc>
      </w:tr>
      <w:tr>
        <w:trPr>
          <w:trHeight w:val="27"/>
        </w:trPr>
        <w:tc>
          <w:tcPr>
            <w:tcW w:w="2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11,315.4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w w:val="87"/>
              </w:rPr>
              <w:t>2.9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11,400.1</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acquisitions during the years ended December 31, 2019 and 2018 primarily related to working capital and deferred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Goodwill by reporting segment as of December 31, 2017 reflects the transfer of certain areas between our two field groups.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 Net</w:t>
      </w:r>
    </w:p>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Other intangible assets, net, include values assigned to customer relationships, non-compete agreements and trade names, and are amortized over periods ranging from 1 to 17 years. A summary of the activity and balances by intangible asset type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color w:val="auto"/>
              </w:rPr>
              <w:t>Gross Intangible Assets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color w:val="auto"/>
              </w:rPr>
              <w:t>Accumulated Amortization</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color w:val="auto"/>
                <w:w w:val="96"/>
              </w:rPr>
              <w:t>Other Intangible</w:t>
            </w: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1"/>
              </w:rPr>
              <w:t>Balance as of</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color w:val="auto"/>
              </w:rPr>
              <w:t>Adjustments and</w:t>
            </w:r>
          </w:p>
        </w:tc>
        <w:tc>
          <w:tcPr>
            <w:tcW w:w="102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w w:val="89"/>
              </w:rPr>
              <w:t>Balance as of</w:t>
            </w:r>
          </w:p>
        </w:tc>
        <w:tc>
          <w:tcPr>
            <w:tcW w:w="9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Balance as of</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7"/>
              </w:rPr>
              <w:t>Additions</w:t>
            </w: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color w:val="auto"/>
              </w:rPr>
              <w:t>Adjustments and</w:t>
            </w:r>
          </w:p>
        </w:tc>
        <w:tc>
          <w:tcPr>
            <w:tcW w:w="102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w w:val="89"/>
              </w:rPr>
              <w:t>Balance as of</w:t>
            </w:r>
          </w:p>
        </w:tc>
        <w:tc>
          <w:tcPr>
            <w:tcW w:w="100" w:type="dxa"/>
            <w:vAlign w:val="bottom"/>
          </w:tcPr>
          <w:p>
            <w:pPr>
              <w:spacing w:after="0"/>
              <w:rPr>
                <w:sz w:val="13"/>
                <w:szCs w:val="13"/>
                <w:color w:val="auto"/>
              </w:rPr>
            </w:pPr>
          </w:p>
        </w:tc>
        <w:tc>
          <w:tcPr>
            <w:tcW w:w="1060" w:type="dxa"/>
            <w:vAlign w:val="bottom"/>
          </w:tcPr>
          <w:p>
            <w:pPr>
              <w:jc w:val="center"/>
              <w:ind w:right="28"/>
              <w:spacing w:after="0" w:line="157" w:lineRule="exact"/>
              <w:rPr>
                <w:sz w:val="20"/>
                <w:szCs w:val="20"/>
                <w:color w:val="auto"/>
              </w:rPr>
            </w:pPr>
            <w:r>
              <w:rPr>
                <w:rFonts w:ascii="Arial" w:cs="Arial" w:eastAsia="Arial" w:hAnsi="Arial"/>
                <w:sz w:val="14"/>
                <w:szCs w:val="14"/>
                <w:color w:val="auto"/>
                <w:w w:val="90"/>
              </w:rPr>
              <w:t>Assets, Net as of</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1" w:lineRule="exact"/>
              <w:rPr>
                <w:sz w:val="20"/>
                <w:szCs w:val="20"/>
                <w:color w:val="auto"/>
              </w:rPr>
            </w:pPr>
            <w:r>
              <w:rPr>
                <w:rFonts w:ascii="Arial" w:cs="Arial" w:eastAsia="Arial" w:hAnsi="Arial"/>
                <w:sz w:val="14"/>
                <w:szCs w:val="14"/>
                <w:color w:val="auto"/>
                <w:w w:val="90"/>
              </w:rPr>
              <w:t>December 31,</w:t>
            </w:r>
          </w:p>
        </w:tc>
        <w:tc>
          <w:tcPr>
            <w:tcW w:w="960" w:type="dxa"/>
            <w:vAlign w:val="bottom"/>
            <w:gridSpan w:val="3"/>
          </w:tcPr>
          <w:p>
            <w:pPr>
              <w:ind w:left="20"/>
              <w:spacing w:after="0" w:line="141"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89"/>
              </w:rPr>
              <w:t>Charged</w:t>
            </w:r>
          </w:p>
        </w:tc>
        <w:tc>
          <w:tcPr>
            <w:tcW w:w="112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1"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2"/>
                <w:szCs w:val="12"/>
                <w:color w:val="auto"/>
              </w:rPr>
            </w:pPr>
          </w:p>
        </w:tc>
        <w:tc>
          <w:tcPr>
            <w:tcW w:w="1060" w:type="dxa"/>
            <w:vAlign w:val="bottom"/>
          </w:tcPr>
          <w:p>
            <w:pPr>
              <w:jc w:val="center"/>
              <w:ind w:right="28"/>
              <w:spacing w:after="0" w:line="141"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97"/>
        </w:trPr>
        <w:tc>
          <w:tcPr>
            <w:tcW w:w="16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2018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6"/>
              </w:rPr>
              <w:t>Acquisitions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9"/>
                <w:szCs w:val="9"/>
                <w:color w:val="auto"/>
              </w:rPr>
              <w:t>(1)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to Expense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9"/>
                <w:szCs w:val="9"/>
                <w:color w:val="auto"/>
              </w:rPr>
              <w:t>(1)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2019</w:t>
            </w: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97"/>
        </w:trPr>
        <w:tc>
          <w:tcPr>
            <w:tcW w:w="1640" w:type="dxa"/>
            <w:vAlign w:val="bottom"/>
          </w:tcPr>
          <w:p>
            <w:pPr>
              <w:ind w:left="20"/>
              <w:spacing w:after="0"/>
              <w:rPr>
                <w:sz w:val="20"/>
                <w:szCs w:val="20"/>
                <w:color w:val="auto"/>
              </w:rPr>
            </w:pPr>
            <w:r>
              <w:rPr>
                <w:rFonts w:ascii="Arial" w:cs="Arial" w:eastAsia="Arial" w:hAnsi="Arial"/>
                <w:sz w:val="14"/>
                <w:szCs w:val="14"/>
                <w:color w:val="auto"/>
                <w:w w:val="98"/>
              </w:rPr>
              <w:t>Non-compete agreements</w:t>
            </w:r>
          </w:p>
        </w:tc>
        <w:tc>
          <w:tcPr>
            <w:tcW w:w="12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2"/>
        </w:trPr>
        <w:tc>
          <w:tcPr>
            <w:tcW w:w="164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793.7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837.3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(687.2)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(703.4)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00" w:firstLine="8"/>
        <w:spacing w:after="0" w:line="293" w:lineRule="auto"/>
        <w:tabs>
          <w:tab w:leader="none" w:pos="204"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accordance with our adoption of the new leasing standard, we transferred $1.9 million of net favorable lease assets recognized through historical acquisitions to other assets as of January 1,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color w:val="auto"/>
              </w:rPr>
              <w:t>Gross Intangible Assets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color w:val="auto"/>
              </w:rPr>
              <w:t>Accumulated Amortization</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96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Balance as of</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color w:val="auto"/>
              </w:rPr>
              <w:t>Adjustments and</w:t>
            </w:r>
          </w:p>
        </w:tc>
        <w:tc>
          <w:tcPr>
            <w:tcW w:w="102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w w:val="89"/>
              </w:rPr>
              <w:t>Balance as of</w:t>
            </w: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w w:val="89"/>
              </w:rPr>
              <w:t>Balance as of</w:t>
            </w: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color w:val="auto"/>
              </w:rPr>
              <w:t>Adjustments</w:t>
            </w:r>
          </w:p>
        </w:tc>
        <w:tc>
          <w:tcPr>
            <w:tcW w:w="100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w w:val="91"/>
              </w:rPr>
              <w:t>Balance as of</w:t>
            </w:r>
          </w:p>
        </w:tc>
        <w:tc>
          <w:tcPr>
            <w:tcW w:w="100" w:type="dxa"/>
            <w:vAlign w:val="bottom"/>
          </w:tcPr>
          <w:p>
            <w:pPr>
              <w:spacing w:after="0"/>
              <w:rPr>
                <w:sz w:val="13"/>
                <w:szCs w:val="13"/>
                <w:color w:val="auto"/>
              </w:rPr>
            </w:pPr>
          </w:p>
        </w:tc>
        <w:tc>
          <w:tcPr>
            <w:tcW w:w="1080" w:type="dxa"/>
            <w:vAlign w:val="bottom"/>
          </w:tcPr>
          <w:p>
            <w:pPr>
              <w:jc w:val="right"/>
              <w:ind w:right="28"/>
              <w:spacing w:after="0" w:line="157" w:lineRule="exact"/>
              <w:rPr>
                <w:sz w:val="20"/>
                <w:szCs w:val="20"/>
                <w:color w:val="auto"/>
              </w:rPr>
            </w:pPr>
            <w:r>
              <w:rPr>
                <w:rFonts w:ascii="Arial" w:cs="Arial" w:eastAsia="Arial" w:hAnsi="Arial"/>
                <w:sz w:val="14"/>
                <w:szCs w:val="14"/>
                <w:color w:val="auto"/>
                <w:w w:val="96"/>
              </w:rPr>
              <w:t>Other Intangible</w:t>
            </w: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960" w:type="dxa"/>
            <w:vAlign w:val="bottom"/>
            <w:gridSpan w:val="3"/>
          </w:tcPr>
          <w:p>
            <w:pPr>
              <w:ind w:left="40"/>
              <w:spacing w:after="0" w:line="141" w:lineRule="exact"/>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1"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89"/>
              </w:rPr>
              <w:t>Charged</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3"/>
          </w:tcPr>
          <w:p>
            <w:pPr>
              <w:jc w:val="center"/>
              <w:ind w:right="100"/>
              <w:spacing w:after="0" w:line="141" w:lineRule="exact"/>
              <w:rPr>
                <w:sz w:val="20"/>
                <w:szCs w:val="20"/>
                <w:color w:val="auto"/>
              </w:rPr>
            </w:pPr>
            <w:r>
              <w:rPr>
                <w:rFonts w:ascii="Arial" w:cs="Arial" w:eastAsia="Arial" w:hAnsi="Arial"/>
                <w:sz w:val="14"/>
                <w:szCs w:val="14"/>
                <w:color w:val="auto"/>
                <w:w w:val="93"/>
              </w:rPr>
              <w:t>December 31,</w:t>
            </w:r>
          </w:p>
        </w:tc>
        <w:tc>
          <w:tcPr>
            <w:tcW w:w="100" w:type="dxa"/>
            <w:vAlign w:val="bottom"/>
          </w:tcPr>
          <w:p>
            <w:pPr>
              <w:spacing w:after="0"/>
              <w:rPr>
                <w:sz w:val="12"/>
                <w:szCs w:val="12"/>
                <w:color w:val="auto"/>
              </w:rPr>
            </w:pPr>
          </w:p>
        </w:tc>
        <w:tc>
          <w:tcPr>
            <w:tcW w:w="1080" w:type="dxa"/>
            <w:vAlign w:val="bottom"/>
          </w:tcPr>
          <w:p>
            <w:pPr>
              <w:jc w:val="right"/>
              <w:ind w:right="28"/>
              <w:spacing w:after="0" w:line="141" w:lineRule="exact"/>
              <w:rPr>
                <w:sz w:val="20"/>
                <w:szCs w:val="20"/>
                <w:color w:val="auto"/>
              </w:rPr>
            </w:pPr>
            <w:r>
              <w:rPr>
                <w:rFonts w:ascii="Arial" w:cs="Arial" w:eastAsia="Arial" w:hAnsi="Arial"/>
                <w:sz w:val="14"/>
                <w:szCs w:val="14"/>
                <w:color w:val="auto"/>
                <w:w w:val="90"/>
              </w:rPr>
              <w:t>Assets, Net as of</w:t>
            </w:r>
          </w:p>
        </w:tc>
        <w:tc>
          <w:tcPr>
            <w:tcW w:w="0" w:type="dxa"/>
            <w:vAlign w:val="bottom"/>
          </w:tcPr>
          <w:p>
            <w:pPr>
              <w:spacing w:after="0"/>
              <w:rPr>
                <w:sz w:val="1"/>
                <w:szCs w:val="1"/>
                <w:color w:val="auto"/>
              </w:rPr>
            </w:pPr>
          </w:p>
        </w:tc>
      </w:tr>
      <w:tr>
        <w:trPr>
          <w:trHeight w:val="197"/>
        </w:trPr>
        <w:tc>
          <w:tcPr>
            <w:tcW w:w="15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9"/>
              </w:rPr>
              <w:t>Acquisitions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9"/>
                <w:szCs w:val="9"/>
                <w:color w:val="auto"/>
              </w:rPr>
              <w:t>(2)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89"/>
              </w:rPr>
              <w:t>2018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9"/>
              </w:rPr>
              <w:t>2017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to Expense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and Other </w:t>
            </w:r>
            <w:r>
              <w:rPr>
                <w:rFonts w:ascii="Arial" w:cs="Arial" w:eastAsia="Arial" w:hAnsi="Arial"/>
                <w:sz w:val="9"/>
                <w:szCs w:val="9"/>
                <w:color w:val="auto"/>
              </w:rPr>
              <w:t>(2)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6"/>
              </w:rPr>
              <w:t>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1"/>
              </w:rPr>
              <w:t>December 31, 2018</w:t>
            </w:r>
          </w:p>
        </w:tc>
        <w:tc>
          <w:tcPr>
            <w:tcW w:w="0" w:type="dxa"/>
            <w:vAlign w:val="bottom"/>
          </w:tcPr>
          <w:p>
            <w:pPr>
              <w:spacing w:after="0"/>
              <w:rPr>
                <w:sz w:val="1"/>
                <w:szCs w:val="1"/>
                <w:color w:val="auto"/>
              </w:rPr>
            </w:pPr>
          </w:p>
        </w:tc>
      </w:tr>
      <w:tr>
        <w:trPr>
          <w:trHeight w:val="202"/>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197"/>
        </w:trPr>
        <w:tc>
          <w:tcPr>
            <w:tcW w:w="1580" w:type="dxa"/>
            <w:vAlign w:val="bottom"/>
          </w:tcPr>
          <w:p>
            <w:pPr>
              <w:ind w:left="20"/>
              <w:spacing w:after="0"/>
              <w:rPr>
                <w:sz w:val="20"/>
                <w:szCs w:val="20"/>
                <w:color w:val="auto"/>
              </w:rPr>
            </w:pPr>
            <w:r>
              <w:rPr>
                <w:rFonts w:ascii="Arial" w:cs="Arial" w:eastAsia="Arial" w:hAnsi="Arial"/>
                <w:sz w:val="14"/>
                <w:szCs w:val="14"/>
                <w:color w:val="auto"/>
                <w:w w:val="95"/>
              </w:rPr>
              <w:t>Non-compete agreements</w:t>
            </w:r>
          </w:p>
        </w:tc>
        <w:tc>
          <w:tcPr>
            <w:tcW w:w="20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9"/>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90"/>
        </w:trPr>
        <w:tc>
          <w:tcPr>
            <w:tcW w:w="1580" w:type="dxa"/>
            <w:vAlign w:val="bottom"/>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775.4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793.7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(634.3)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(687.2)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(2) In accordance with our adoption of ASU 2014-09, we transferred a $5.7 million net deferred contract asset to other assets during the year ended December 31, 2018.</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the amortizable intangible assets recorded in the consolidated balance sheet as of December 31, 2019, amortization expense for each of the next five years is estimated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60" w:type="dxa"/>
            <w:vAlign w:val="bottom"/>
            <w:shd w:val="clear" w:color="auto" w:fill="CCEEFF"/>
          </w:tcPr>
          <w:p>
            <w:pPr>
              <w:jc w:val="right"/>
              <w:ind w:right="4790"/>
              <w:spacing w:after="0"/>
              <w:rPr>
                <w:sz w:val="20"/>
                <w:szCs w:val="20"/>
                <w:color w:val="auto"/>
              </w:rPr>
            </w:pPr>
            <w:r>
              <w:rPr>
                <w:rFonts w:ascii="Arial" w:cs="Arial" w:eastAsia="Arial" w:hAnsi="Arial"/>
                <w:sz w:val="18"/>
                <w:szCs w:val="18"/>
                <w:color w:val="auto"/>
                <w:w w:val="89"/>
              </w:rPr>
              <w:t>2020</w:t>
            </w:r>
          </w:p>
        </w:tc>
        <w:tc>
          <w:tcPr>
            <w:tcW w:w="5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w:t>
            </w:r>
          </w:p>
        </w:tc>
      </w:tr>
      <w:tr>
        <w:trPr>
          <w:trHeight w:val="243"/>
        </w:trPr>
        <w:tc>
          <w:tcPr>
            <w:tcW w:w="5260" w:type="dxa"/>
            <w:vAlign w:val="bottom"/>
          </w:tcPr>
          <w:p>
            <w:pPr>
              <w:jc w:val="right"/>
              <w:ind w:right="4790"/>
              <w:spacing w:after="0"/>
              <w:rPr>
                <w:sz w:val="20"/>
                <w:szCs w:val="20"/>
                <w:color w:val="auto"/>
              </w:rPr>
            </w:pPr>
            <w:r>
              <w:rPr>
                <w:rFonts w:ascii="Arial" w:cs="Arial" w:eastAsia="Arial" w:hAnsi="Arial"/>
                <w:sz w:val="18"/>
                <w:szCs w:val="18"/>
                <w:color w:val="auto"/>
                <w:w w:val="89"/>
              </w:rPr>
              <w:t>2021</w:t>
            </w:r>
          </w:p>
        </w:tc>
        <w:tc>
          <w:tcPr>
            <w:tcW w:w="53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19.0</w:t>
            </w:r>
          </w:p>
        </w:tc>
      </w:tr>
      <w:tr>
        <w:trPr>
          <w:trHeight w:val="27"/>
        </w:trPr>
        <w:tc>
          <w:tcPr>
            <w:tcW w:w="52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jc w:val="right"/>
              <w:ind w:right="4790"/>
              <w:spacing w:after="0"/>
              <w:rPr>
                <w:sz w:val="20"/>
                <w:szCs w:val="20"/>
                <w:color w:val="auto"/>
              </w:rPr>
            </w:pPr>
            <w:r>
              <w:rPr>
                <w:rFonts w:ascii="Arial" w:cs="Arial" w:eastAsia="Arial" w:hAnsi="Arial"/>
                <w:sz w:val="18"/>
                <w:szCs w:val="18"/>
                <w:color w:val="auto"/>
                <w:w w:val="89"/>
              </w:rPr>
              <w:t>2022</w:t>
            </w:r>
          </w:p>
        </w:tc>
        <w:tc>
          <w:tcPr>
            <w:tcW w:w="5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r>
      <w:tr>
        <w:trPr>
          <w:trHeight w:val="243"/>
        </w:trPr>
        <w:tc>
          <w:tcPr>
            <w:tcW w:w="5260" w:type="dxa"/>
            <w:vAlign w:val="bottom"/>
          </w:tcPr>
          <w:p>
            <w:pPr>
              <w:jc w:val="right"/>
              <w:ind w:right="4790"/>
              <w:spacing w:after="0"/>
              <w:rPr>
                <w:sz w:val="20"/>
                <w:szCs w:val="20"/>
                <w:color w:val="auto"/>
              </w:rPr>
            </w:pPr>
            <w:r>
              <w:rPr>
                <w:rFonts w:ascii="Arial" w:cs="Arial" w:eastAsia="Arial" w:hAnsi="Arial"/>
                <w:sz w:val="18"/>
                <w:szCs w:val="18"/>
                <w:color w:val="auto"/>
                <w:w w:val="89"/>
              </w:rPr>
              <w:t>2023</w:t>
            </w:r>
          </w:p>
        </w:tc>
        <w:tc>
          <w:tcPr>
            <w:tcW w:w="53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16.1</w:t>
            </w:r>
          </w:p>
        </w:tc>
      </w:tr>
      <w:tr>
        <w:trPr>
          <w:trHeight w:val="27"/>
        </w:trPr>
        <w:tc>
          <w:tcPr>
            <w:tcW w:w="52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260" w:type="dxa"/>
            <w:vAlign w:val="bottom"/>
            <w:shd w:val="clear" w:color="auto" w:fill="CCEEFF"/>
          </w:tcPr>
          <w:p>
            <w:pPr>
              <w:jc w:val="right"/>
              <w:ind w:right="4790"/>
              <w:spacing w:after="0"/>
              <w:rPr>
                <w:sz w:val="20"/>
                <w:szCs w:val="20"/>
                <w:color w:val="auto"/>
              </w:rPr>
            </w:pPr>
            <w:r>
              <w:rPr>
                <w:rFonts w:ascii="Arial" w:cs="Arial" w:eastAsia="Arial" w:hAnsi="Arial"/>
                <w:sz w:val="18"/>
                <w:szCs w:val="18"/>
                <w:color w:val="auto"/>
                <w:w w:val="89"/>
              </w:rPr>
              <w:t>2024</w:t>
            </w:r>
          </w:p>
        </w:tc>
        <w:tc>
          <w:tcPr>
            <w:tcW w:w="5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13.9</w:t>
            </w:r>
          </w:p>
        </w:tc>
      </w:tr>
      <w:tr>
        <w:trPr>
          <w:trHeight w:val="27"/>
        </w:trPr>
        <w:tc>
          <w:tcPr>
            <w:tcW w:w="526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Arial" w:cs="Arial" w:eastAsia="Arial" w:hAnsi="Arial"/>
                <w:sz w:val="18"/>
                <w:szCs w:val="18"/>
                <w:b w:val="1"/>
                <w:bCs w:val="1"/>
                <w:color w:val="auto"/>
              </w:rPr>
              <w:t>6.  OTHER ASSETS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20" w:type="dxa"/>
            <w:vAlign w:val="bottom"/>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20" w:type="dxa"/>
            <w:vAlign w:val="bottom"/>
          </w:tcPr>
          <w:p>
            <w:pPr>
              <w:spacing w:after="0"/>
              <w:rPr>
                <w:sz w:val="20"/>
                <w:szCs w:val="20"/>
                <w:color w:val="auto"/>
              </w:rPr>
            </w:pPr>
            <w:r>
              <w:rPr>
                <w:rFonts w:ascii="Arial" w:cs="Arial" w:eastAsia="Arial" w:hAnsi="Arial"/>
                <w:sz w:val="18"/>
                <w:szCs w:val="18"/>
                <w:color w:val="auto"/>
              </w:rPr>
              <w:t>A summary of prepaid expenses and other current assets as of December 31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Other non-trade receivables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Reinsurance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Interest rate swap locks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fees for cloud-based hosting arrangements, current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8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433.0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20" w:type="dxa"/>
            <w:vAlign w:val="bottom"/>
          </w:tcPr>
          <w:p>
            <w:pPr>
              <w:spacing w:after="0"/>
              <w:rPr>
                <w:sz w:val="20"/>
                <w:szCs w:val="20"/>
                <w:color w:val="auto"/>
              </w:rPr>
            </w:pPr>
            <w:r>
              <w:rPr>
                <w:rFonts w:ascii="Arial" w:cs="Arial" w:eastAsia="Arial" w:hAnsi="Arial"/>
                <w:sz w:val="18"/>
                <w:szCs w:val="18"/>
                <w:color w:val="auto"/>
              </w:rPr>
              <w:t>A summary of other assets as of December 31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Operating right-of-use lease asset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Deferred compensation plan</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Deferred contract costs and sales commissions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Reinsurance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0"/>
        </w:trPr>
        <w:tc>
          <w:tcPr>
            <w:tcW w:w="8620" w:type="dxa"/>
            <w:vAlign w:val="bottom"/>
          </w:tcPr>
          <w:p>
            <w:pPr>
              <w:ind w:left="20"/>
              <w:spacing w:after="0"/>
              <w:rPr>
                <w:sz w:val="20"/>
                <w:szCs w:val="20"/>
                <w:color w:val="auto"/>
              </w:rPr>
            </w:pPr>
            <w:r>
              <w:rPr>
                <w:rFonts w:ascii="Arial" w:cs="Arial" w:eastAsia="Arial" w:hAnsi="Arial"/>
                <w:sz w:val="18"/>
                <w:szCs w:val="18"/>
                <w:color w:val="auto"/>
              </w:rPr>
              <w:t xml:space="preserve">Prepaid fees and capitalized implementation costs for cloud-based hosting arrangements </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recoverable for capping, closure and post-closure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Interest rate swaps and locks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Other derivative assets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86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discussion regarding our adoption of ASC 842.</w:t>
      </w:r>
    </w:p>
    <w:p>
      <w:pPr>
        <w:spacing w:after="0" w:line="55" w:lineRule="exact"/>
        <w:rPr>
          <w:rFonts w:ascii="Arial" w:cs="Arial" w:eastAsia="Arial" w:hAnsi="Arial"/>
          <w:sz w:val="14"/>
          <w:szCs w:val="14"/>
          <w:color w:val="auto"/>
        </w:rPr>
      </w:pPr>
    </w:p>
    <w:p>
      <w:pPr>
        <w:ind w:firstLine="8"/>
        <w:spacing w:after="0" w:line="273" w:lineRule="auto"/>
        <w:tabs>
          <w:tab w:leader="none" w:pos="204"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accordance with our adoption of ASU 2018-15, capitalized implementation costs for cloud-based hosting arrangements are presented as other assets as of December 31, 2019. Similar costs are presented as a component of property and equipment, net as of December 31, 2018.</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Arial" w:cs="Arial" w:eastAsia="Arial" w:hAnsi="Arial"/>
                <w:sz w:val="18"/>
                <w:szCs w:val="18"/>
                <w:b w:val="1"/>
                <w:bCs w:val="1"/>
                <w:color w:val="auto"/>
              </w:rPr>
              <w:t>7.  OTHER LIABILITIES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20" w:type="dxa"/>
            <w:vAlign w:val="bottom"/>
          </w:tcPr>
          <w:p>
            <w:pPr>
              <w:spacing w:after="0"/>
              <w:rPr>
                <w:sz w:val="20"/>
                <w:szCs w:val="20"/>
                <w:color w:val="auto"/>
              </w:rPr>
            </w:pPr>
            <w:r>
              <w:rPr>
                <w:rFonts w:ascii="Arial" w:cs="Arial" w:eastAsia="Arial" w:hAnsi="Arial"/>
                <w:sz w:val="18"/>
                <w:szCs w:val="18"/>
                <w:b w:val="1"/>
                <w:bCs w:val="1"/>
                <w:color w:val="auto"/>
              </w:rPr>
              <w:t>Other Accrued Liabilities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20" w:type="dxa"/>
            <w:vAlign w:val="bottom"/>
          </w:tcPr>
          <w:p>
            <w:pPr>
              <w:spacing w:after="0"/>
              <w:rPr>
                <w:sz w:val="20"/>
                <w:szCs w:val="20"/>
                <w:color w:val="auto"/>
              </w:rPr>
            </w:pPr>
            <w:r>
              <w:rPr>
                <w:rFonts w:ascii="Arial" w:cs="Arial" w:eastAsia="Arial" w:hAnsi="Arial"/>
                <w:sz w:val="18"/>
                <w:szCs w:val="18"/>
                <w:color w:val="auto"/>
              </w:rPr>
              <w:t>A summary of other accrued liabilities as of December 31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and benefits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Insurance reserves, current portion</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fees and taxes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Accrued dividends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Operating right-of-use lease liabilities, current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Ceded insurance reserves, current portion</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locks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Accrued professional fees and legal settlement reserves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7"/>
        </w:trPr>
        <w:tc>
          <w:tcPr>
            <w:tcW w:w="86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814.2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7"/>
        </w:trPr>
        <w:tc>
          <w:tcPr>
            <w:tcW w:w="8620" w:type="dxa"/>
            <w:vAlign w:val="bottom"/>
            <w:vMerge w:val="restart"/>
          </w:tcPr>
          <w:p>
            <w:pPr>
              <w:spacing w:after="0"/>
              <w:rPr>
                <w:sz w:val="20"/>
                <w:szCs w:val="20"/>
                <w:color w:val="auto"/>
              </w:rPr>
            </w:pPr>
            <w:r>
              <w:rPr>
                <w:rFonts w:ascii="Arial" w:cs="Arial" w:eastAsia="Arial" w:hAnsi="Arial"/>
                <w:sz w:val="14"/>
                <w:szCs w:val="14"/>
                <w:color w:val="auto"/>
              </w:rPr>
              <w:t xml:space="preserve">(1) Refer to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discussion regarding our adoption of ASC 842.</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6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862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7"/>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20" w:type="dxa"/>
            <w:vAlign w:val="bottom"/>
          </w:tcPr>
          <w:p>
            <w:pPr>
              <w:spacing w:after="0"/>
              <w:rPr>
                <w:sz w:val="20"/>
                <w:szCs w:val="20"/>
                <w:color w:val="auto"/>
              </w:rPr>
            </w:pPr>
            <w:r>
              <w:rPr>
                <w:rFonts w:ascii="Arial" w:cs="Arial" w:eastAsia="Arial" w:hAnsi="Arial"/>
                <w:sz w:val="18"/>
                <w:szCs w:val="18"/>
                <w:color w:val="auto"/>
              </w:rPr>
              <w:t>A summary of other long-term liabilities as of December 31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Operating right-of-use lease liabilities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Deferred compensation plan liability</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insurance reserves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Contingent purchase price and acquisition holdbacks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derivative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Withdrawal liability - multiemployer pension funds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settlement reserves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Pension and other post-retirement liabilities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locks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8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579.4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Refer to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discussion regarding our adoption of ASC 842.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liabilities for unpaid and incurred but not reported claims as of December 31, 2019 and 2018 (which include claims for workers’ compensation, commercial general and auto liability, and employee-related health care benefits) were $438.5 million and $423.7 million, respectively, under our risk management program and are included in other accrued liabilities and insurance reserves, net of current portion, in our consolidated balance sheets. While the ultimate amount of claims incurred depends on future developments, we believe the recorded reserves are adequate to cover the future payment of claims; however, it is possible that these recorded reserves may not be adequate to cover the future payment of claims. Adjustments, if any, to estimates recorded resulting from ultimate claim payments will be reflected in our consolidated statements of income in the periods in which such adjustments are known.</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our insurance reserves for the years ended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418.5</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452.4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432.9</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(448.0)</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Premium written for third party risk assumed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Reclassified to ceded insurance reserves</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420.2</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(144.8)</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portion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270.8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COSTS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we owned or operated 189 active landfills with total available disposal capacity of approximately 5.0 billion in-place cubic yards.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have post-closure responsibility for 130 closed landfills.</w:t>
      </w:r>
    </w:p>
    <w:p>
      <w:pPr>
        <w:sectPr>
          <w:pgSz w:w="11900" w:h="16838" w:orient="portrait"/>
          <w:cols w:equalWidth="0" w:num="1">
            <w:col w:w="11400"/>
          </w:cols>
          <w:pgMar w:left="240" w:top="121" w:right="25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Landfill and Environmental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accrued landfill and environmental liabilities as of December 31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20585"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Landfill final capping, closure and post-closure liabilities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Environmental remediation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accrued landfill and environmental costs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974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20585" cy="19748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portion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Capping, Closure and Post-Closure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2019</w:t>
      </w:r>
    </w:p>
    <w:p>
      <w:pPr>
        <w:spacing w:after="0" w:line="77" w:lineRule="exact"/>
        <w:rPr>
          <w:sz w:val="20"/>
          <w:szCs w:val="20"/>
          <w:color w:val="auto"/>
        </w:rPr>
      </w:pPr>
    </w:p>
    <w:p>
      <w:pPr>
        <w:ind w:left="620" w:hanging="611"/>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1,335.6</w:t>
      </w:r>
    </w:p>
    <w:p>
      <w:pPr>
        <w:spacing w:after="0" w:line="7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500.2</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1,835.8</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(132.6)</w:t>
      </w:r>
    </w:p>
    <w:p>
      <w:pPr>
        <w:spacing w:after="0" w:line="77" w:lineRule="exact"/>
        <w:rPr>
          <w:sz w:val="20"/>
          <w:szCs w:val="20"/>
          <w:color w:val="auto"/>
        </w:rPr>
      </w:pPr>
    </w:p>
    <w:p>
      <w:pPr>
        <w:ind w:left="620" w:hanging="611"/>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1,703.2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8407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2018</w:t>
      </w:r>
    </w:p>
    <w:p>
      <w:pPr>
        <w:spacing w:after="0" w:line="77" w:lineRule="exact"/>
        <w:rPr>
          <w:sz w:val="20"/>
          <w:szCs w:val="20"/>
          <w:color w:val="auto"/>
        </w:rPr>
      </w:pPr>
    </w:p>
    <w:p>
      <w:pPr>
        <w:ind w:left="620" w:hanging="620"/>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1,292.0</w:t>
      </w:r>
    </w:p>
    <w:p>
      <w:pPr>
        <w:spacing w:after="0" w:line="7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540.2</w:t>
      </w:r>
    </w:p>
    <w:p>
      <w:pPr>
        <w:spacing w:after="0" w:line="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1,832.2</w:t>
      </w:r>
    </w:p>
    <w:p>
      <w:pPr>
        <w:spacing w:after="0" w:line="75"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(130.6)</w:t>
      </w:r>
    </w:p>
    <w:p>
      <w:pPr>
        <w:spacing w:after="0" w:line="77" w:lineRule="exact"/>
        <w:rPr>
          <w:sz w:val="20"/>
          <w:szCs w:val="20"/>
          <w:color w:val="auto"/>
        </w:rPr>
      </w:pPr>
    </w:p>
    <w:p>
      <w:pPr>
        <w:ind w:left="620" w:hanging="620"/>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1,701.6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64770</wp:posOffset>
            </wp:positionV>
            <wp:extent cx="8489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3">
            <w:col w:w="7900" w:space="720"/>
            <w:col w:w="1200" w:space="240"/>
            <w:col w:w="1340"/>
          </w:cols>
          <w:pgMar w:left="240" w:top="121" w:right="259" w:bottom="1440" w:gutter="0" w:footer="0" w:header="0"/>
          <w:type w:val="continuous"/>
        </w:sectPr>
      </w:pPr>
    </w:p>
    <w:p>
      <w:pPr>
        <w:ind w:right="60"/>
        <w:spacing w:after="0" w:line="277" w:lineRule="auto"/>
        <w:rPr>
          <w:sz w:val="20"/>
          <w:szCs w:val="20"/>
          <w:color w:val="auto"/>
        </w:rPr>
      </w:pPr>
      <w:r>
        <w:rPr>
          <w:rFonts w:ascii="Arial" w:cs="Arial" w:eastAsia="Arial" w:hAnsi="Arial"/>
          <w:sz w:val="18"/>
          <w:szCs w:val="18"/>
          <w:color w:val="auto"/>
        </w:rPr>
        <w:t>The following table summarizes the activity in our asset retirement obligation liabilities, which includes liabilities for final capping, closure and post-closure, for the years ended December 31: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 liabilities,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1,224.6</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Non-cash additions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45.2</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divestitures and other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Asset retirement obligation adjustments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(8.9)</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79.8</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 liabilities, end of year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1,257.7</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(77.4)</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1,259.8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1,215.3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1,180.3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review our landfill asset retirement obligations at least annually. As a result, we reduced amortization expense by $10.9 million, $13.2 million and $0.1 million for 2019, 2018 and 2017, respectively, primarily related to changes in estimates and assumptions concerning the anticipated waste flow, cost and timing of future final capping, closure and post-closure activities.</w:t>
      </w:r>
    </w:p>
    <w:p>
      <w:pPr>
        <w:sectPr>
          <w:pgSz w:w="11900" w:h="16838" w:orient="portrait"/>
          <w:cols w:equalWidth="0" w:num="1">
            <w:col w:w="11400"/>
          </w:cols>
          <w:pgMar w:left="240" w:top="121" w:right="25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86" w:name="page87"/>
    <w:bookmarkEnd w:id="8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54"/>
        </w:trPr>
        <w:tc>
          <w:tcPr>
            <w:tcW w:w="1020" w:type="dxa"/>
            <w:vAlign w:val="bottom"/>
            <w:tcBorders>
              <w:top w:val="single" w:sz="8" w:color="0000FF"/>
            </w:tcBorders>
          </w:tcPr>
          <w:p>
            <w:pPr>
              <w:spacing w:after="0"/>
              <w:rPr>
                <w:sz w:val="22"/>
                <w:szCs w:val="22"/>
                <w:color w:val="auto"/>
              </w:rPr>
            </w:pPr>
          </w:p>
        </w:tc>
        <w:tc>
          <w:tcPr>
            <w:tcW w:w="904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REPUBLIC SERVICES, INC.</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9"/>
        </w:trPr>
        <w:tc>
          <w:tcPr>
            <w:tcW w:w="1020" w:type="dxa"/>
            <w:vAlign w:val="bottom"/>
          </w:tcPr>
          <w:p>
            <w:pPr>
              <w:spacing w:after="0"/>
              <w:rPr>
                <w:sz w:val="24"/>
                <w:szCs w:val="24"/>
                <w:color w:val="auto"/>
              </w:rPr>
            </w:pPr>
          </w:p>
        </w:tc>
        <w:tc>
          <w:tcPr>
            <w:tcW w:w="9040" w:type="dxa"/>
            <w:vAlign w:val="bottom"/>
          </w:tcPr>
          <w:p>
            <w:pPr>
              <w:jc w:val="center"/>
              <w:ind w:left="250"/>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75"/>
        </w:trPr>
        <w:tc>
          <w:tcPr>
            <w:tcW w:w="10060" w:type="dxa"/>
            <w:vAlign w:val="bottom"/>
            <w:gridSpan w:val="2"/>
          </w:tcPr>
          <w:p>
            <w:pPr>
              <w:spacing w:after="0"/>
              <w:rPr>
                <w:sz w:val="20"/>
                <w:szCs w:val="20"/>
                <w:color w:val="auto"/>
              </w:rPr>
            </w:pPr>
            <w:r>
              <w:rPr>
                <w:rFonts w:ascii="Arial" w:cs="Arial" w:eastAsia="Arial" w:hAnsi="Arial"/>
                <w:sz w:val="18"/>
                <w:szCs w:val="18"/>
                <w:color w:val="auto"/>
              </w:rPr>
              <w:t>The expected future payments for final capping, closure and post-closure as of December 31, 2019 follows: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9"/>
        </w:trPr>
        <w:tc>
          <w:tcPr>
            <w:tcW w:w="1020" w:type="dxa"/>
            <w:vAlign w:val="bottom"/>
          </w:tcPr>
          <w:p>
            <w:pPr>
              <w:spacing w:after="0"/>
              <w:rPr>
                <w:sz w:val="16"/>
                <w:szCs w:val="16"/>
                <w:color w:val="auto"/>
              </w:rPr>
            </w:pPr>
          </w:p>
        </w:tc>
        <w:tc>
          <w:tcPr>
            <w:tcW w:w="9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9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75.8</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2021</w:t>
            </w:r>
          </w:p>
        </w:tc>
        <w:tc>
          <w:tcPr>
            <w:tcW w:w="9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52.4</w:t>
            </w:r>
          </w:p>
        </w:tc>
      </w:tr>
      <w:tr>
        <w:trPr>
          <w:trHeight w:val="27"/>
        </w:trPr>
        <w:tc>
          <w:tcPr>
            <w:tcW w:w="10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69.8</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2023</w:t>
            </w:r>
          </w:p>
        </w:tc>
        <w:tc>
          <w:tcPr>
            <w:tcW w:w="9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72.8</w:t>
            </w:r>
          </w:p>
        </w:tc>
      </w:tr>
      <w:tr>
        <w:trPr>
          <w:trHeight w:val="27"/>
        </w:trPr>
        <w:tc>
          <w:tcPr>
            <w:tcW w:w="10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87.1</w:t>
            </w:r>
          </w:p>
        </w:tc>
      </w:tr>
      <w:tr>
        <w:trPr>
          <w:trHeight w:val="243"/>
        </w:trPr>
        <w:tc>
          <w:tcPr>
            <w:tcW w:w="100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6,267.9</w:t>
            </w:r>
          </w:p>
        </w:tc>
      </w:tr>
      <w:tr>
        <w:trPr>
          <w:trHeight w:val="27"/>
        </w:trPr>
        <w:tc>
          <w:tcPr>
            <w:tcW w:w="1020" w:type="dxa"/>
            <w:vAlign w:val="bottom"/>
            <w:tcBorders>
              <w:bottom w:val="single" w:sz="8" w:color="CCEEFF"/>
            </w:tcBorders>
          </w:tcPr>
          <w:p>
            <w:pPr>
              <w:spacing w:after="0"/>
              <w:rPr>
                <w:sz w:val="2"/>
                <w:szCs w:val="2"/>
                <w:color w:val="auto"/>
              </w:rPr>
            </w:pPr>
          </w:p>
        </w:tc>
        <w:tc>
          <w:tcPr>
            <w:tcW w:w="9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1020" w:type="dxa"/>
            <w:vAlign w:val="bottom"/>
            <w:tcBorders>
              <w:bottom w:val="single" w:sz="8" w:color="CCEEFF"/>
            </w:tcBorders>
            <w:shd w:val="clear" w:color="auto" w:fill="CCEEFF"/>
          </w:tcPr>
          <w:p>
            <w:pPr>
              <w:spacing w:after="0"/>
              <w:rPr>
                <w:sz w:val="24"/>
                <w:szCs w:val="24"/>
                <w:color w:val="auto"/>
              </w:rPr>
            </w:pPr>
          </w:p>
        </w:tc>
        <w:tc>
          <w:tcPr>
            <w:tcW w:w="90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6,625.8</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estimated remaining final capping, closure and post-closure expenditures presented above are not inflated and not discounted and reflect the total estimated future payments for liabilities which include those incurred and recorded as of December 31, 2019 as well as liabilities yet to be incurred over the remaining life of our landfills.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accrue for remediation costs when they become probable and can be reasonably estimated. There can sometimes be a range of reasonable estimates of the costs associated with remediation of a site. In these cases, we use the amount within the range that constitutes our best estimate. If no amount within the range appears to be a better estimate than any other, we use the amount that is at the low end of such range. It is reasonably possible that we will need to adjust the liabilities recorded for remediation to reflect the effects of new or additional information, to the extent such information impacts the costs, timing or duration of the required actions. If we used the reasonably possible high ends of our ranges, our aggregate potential remediation liability as of December 31, 2019 would be approximately $365 million higher than the amounts recorded. Future changes in our estimates of the cost, timing or duration of the required actions could have a material adverse effect on our consolidated financial position, results of operations and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our environmental remediation liabilities for the years ended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remediation liabilities, beginning of year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602.9</w:t>
            </w:r>
          </w:p>
        </w:tc>
        <w:tc>
          <w:tcPr>
            <w:tcW w:w="20" w:type="dxa"/>
            <w:vAlign w:val="bottom"/>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Net additions charged to expense</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Accretion expense (non-cash interest expense)</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divestitures and other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3"/>
                <w:szCs w:val="23"/>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Environmental remediation liabilities, end of year</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500.2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540.2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564.0</w:t>
            </w:r>
          </w:p>
        </w:tc>
        <w:tc>
          <w:tcPr>
            <w:tcW w:w="2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23"/>
                <w:szCs w:val="23"/>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506.2</w:t>
            </w:r>
          </w:p>
        </w:tc>
        <w:tc>
          <w:tcPr>
            <w:tcW w:w="2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480" w:type="dxa"/>
            <w:vAlign w:val="bottom"/>
            <w:gridSpan w:val="2"/>
          </w:tcPr>
          <w:p>
            <w:pPr>
              <w:spacing w:after="0"/>
              <w:rPr>
                <w:sz w:val="20"/>
                <w:szCs w:val="20"/>
                <w:color w:val="auto"/>
              </w:rPr>
            </w:pPr>
            <w:r>
              <w:rPr>
                <w:rFonts w:ascii="Arial" w:cs="Arial" w:eastAsia="Arial" w:hAnsi="Arial"/>
                <w:sz w:val="18"/>
                <w:szCs w:val="18"/>
                <w:color w:val="auto"/>
                <w:w w:val="93"/>
              </w:rPr>
              <w:t>The expected undiscounted future payments for remediation costs as of December 31, 2019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7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399.7</w:t>
            </w:r>
          </w:p>
        </w:tc>
        <w:tc>
          <w:tcPr>
            <w:tcW w:w="20" w:type="dxa"/>
            <w:vAlign w:val="bottom"/>
          </w:tcPr>
          <w:p>
            <w:pPr>
              <w:spacing w:after="0"/>
              <w:rPr>
                <w:sz w:val="21"/>
                <w:szCs w:val="2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9"/>
        </w:trPr>
        <w:tc>
          <w:tcPr>
            <w:tcW w:w="72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686.5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certain of our significant remediation matters:</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Bridgeton Landfill. </w:t>
      </w:r>
      <w:r>
        <w:rPr>
          <w:rFonts w:ascii="Arial" w:cs="Arial" w:eastAsia="Arial" w:hAnsi="Arial"/>
          <w:sz w:val="16"/>
          <w:szCs w:val="16"/>
          <w:color w:val="auto"/>
        </w:rPr>
        <w:t>During the year ended December 31, 2019, we paid $16.6 million related to management and monitoring of the remediation area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closed Bridgeton Landfill in Missouri. We continue to work with state and federal regulatory agencies on our remediation efforts. From time to time, this may require us to modify our future operating timeline and procedures, which could result in changes to our expected liability. As of December 31, 2019, the remediation liability recorded for this site is $144.5 million, of which approximately $15 million is expected to be paid during 2020. We believe the remaining reasonably possible high end of our range would be approximately $163 million higher than the amount recorded as of December 31, 2019.</w:t>
      </w:r>
    </w:p>
    <w:p>
      <w:pPr>
        <w:spacing w:after="0" w:line="3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During 2019 and 2018, we collected insurance recoveries of $24.0 million and $40.0 million, respectively, related to our closed Bridgeton Landfill in Missouri. As such, we recorded a reduction of remediation expenses included in our cost of operations during the years ended December 31, 2019 and 2018.</w:t>
      </w:r>
    </w:p>
    <w:p>
      <w:pPr>
        <w:spacing w:after="0" w:line="67"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West Lake Landfill Superfund Site</w:t>
      </w:r>
      <w:r>
        <w:rPr>
          <w:rFonts w:ascii="Arial" w:cs="Arial" w:eastAsia="Arial" w:hAnsi="Arial"/>
          <w:sz w:val="17"/>
          <w:szCs w:val="17"/>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subsidiary Bridgeton Landfill, LLC is one of several currently designated Potentially Responsible Parties for the West</w:t>
      </w:r>
      <w:r>
        <w:rPr>
          <w:rFonts w:ascii="Arial" w:cs="Arial" w:eastAsia="Arial" w:hAnsi="Arial"/>
          <w:sz w:val="16"/>
          <w:szCs w:val="16"/>
          <w:i w:val="1"/>
          <w:iCs w:val="1"/>
          <w:color w:val="auto"/>
        </w:rPr>
        <w:t xml:space="preserve"> </w:t>
      </w:r>
      <w:r>
        <w:rPr>
          <w:rFonts w:ascii="Arial" w:cs="Arial" w:eastAsia="Arial" w:hAnsi="Arial"/>
          <w:sz w:val="16"/>
          <w:szCs w:val="16"/>
          <w:color w:val="auto"/>
        </w:rPr>
        <w:t>Lake Landfill Superfund site (West Lake) in Missouri. On September 27, 2018, the U.S. Environmental Protection Agency (EPA) issued a Record of Decision Amendment for West Lake that includes a total undiscounted cost estimate of $229 million over a four to five-year design and construction timeline. On March 11, 2019, the EPA issued special notice letters under the Comprehensive Environmental Response, Compensation and Liability Act of 1980 (CERCLA) to Bridgeton Landfill, LLC and the other currently designated Potentially Responsible Parties to initiate negotiations to implement the remedy. At this time we are neither able to predict the final design of that remedy, nor estimate how much of the future response costs of the site our subsidiary may agree or be required to pay. During any subsequent administrative proceedings or litigation, our subsidiary will vigorously contest liability for the costs of remediating radiologically-impacted materials generated on behalf of the federal government during the Manhattan Project and delivered to the site by an Atomic Energy Commission licensee and its subcontractor. Currently, we believe we are adequately reserved for our expected remediation liability. However, subsequent events related to remedy design, divisibility, or allocation may require us to modify our expected remediation liability.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carrying value of our notes payable, finance leases and long-term debt as of December 31, 2019 and 2018 is listed in the following table, and is adjusted for the fair value of interest rate swaps, unamortized discounts, deferred issuance costs and the unamortized portion of adjustments to fair value recorded in purchase accounting. Original issue discounts and adjustments to fair value recorded in purchase accounting are amortized to interest expense over the term of the applicable instrument using the effective interest method.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8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Maturity</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Rate</w:t>
            </w:r>
          </w:p>
        </w:tc>
        <w:tc>
          <w:tcPr>
            <w:tcW w:w="16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Principal</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Adjustments</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w w:val="90"/>
              </w:rPr>
              <w:t>Carrying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Principal</w:t>
            </w: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Adjustments</w:t>
            </w:r>
          </w:p>
        </w:tc>
        <w:tc>
          <w:tcPr>
            <w:tcW w:w="1120" w:type="dxa"/>
            <w:vAlign w:val="bottom"/>
            <w:gridSpan w:val="2"/>
          </w:tcPr>
          <w:p>
            <w:pPr>
              <w:spacing w:after="0"/>
              <w:rPr>
                <w:sz w:val="20"/>
                <w:szCs w:val="20"/>
                <w:color w:val="auto"/>
              </w:rPr>
            </w:pPr>
            <w:r>
              <w:rPr>
                <w:rFonts w:ascii="Arial" w:cs="Arial" w:eastAsia="Arial" w:hAnsi="Arial"/>
                <w:sz w:val="18"/>
                <w:szCs w:val="18"/>
                <w:color w:val="auto"/>
                <w:w w:val="92"/>
              </w:rPr>
              <w:t>Carrying Value</w:t>
            </w:r>
          </w:p>
        </w:tc>
        <w:tc>
          <w:tcPr>
            <w:tcW w:w="0" w:type="dxa"/>
            <w:vAlign w:val="bottom"/>
          </w:tcPr>
          <w:p>
            <w:pPr>
              <w:spacing w:after="0"/>
              <w:rPr>
                <w:sz w:val="1"/>
                <w:szCs w:val="1"/>
                <w:color w:val="auto"/>
              </w:rPr>
            </w:pPr>
          </w:p>
        </w:tc>
      </w:tr>
      <w:tr>
        <w:trPr>
          <w:trHeight w:val="27"/>
        </w:trPr>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Credit facilities: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Uncommitted Credit</w:t>
            </w: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0"/>
              </w:rPr>
              <w:t>Variable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11.6</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Facility</w:t>
            </w:r>
          </w:p>
        </w:tc>
        <w:tc>
          <w:tcPr>
            <w:tcW w:w="154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June 2023</w:t>
            </w:r>
          </w:p>
        </w:tc>
        <w:tc>
          <w:tcPr>
            <w:tcW w:w="15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Variable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Senior notes: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September 2019</w:t>
            </w:r>
          </w:p>
        </w:tc>
        <w:tc>
          <w:tcPr>
            <w:tcW w:w="14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0"/>
              <w:spacing w:after="0"/>
              <w:rPr>
                <w:sz w:val="20"/>
                <w:szCs w:val="20"/>
                <w:color w:val="auto"/>
              </w:rPr>
            </w:pPr>
            <w:r>
              <w:rPr>
                <w:rFonts w:ascii="Arial" w:cs="Arial" w:eastAsia="Arial" w:hAnsi="Arial"/>
                <w:sz w:val="18"/>
                <w:szCs w:val="18"/>
                <w:color w:val="auto"/>
              </w:rPr>
              <w:t>March 2020</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November 2021</w:t>
            </w:r>
          </w:p>
        </w:tc>
        <w:tc>
          <w:tcPr>
            <w:tcW w:w="14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0"/>
              <w:spacing w:after="0"/>
              <w:rPr>
                <w:sz w:val="20"/>
                <w:szCs w:val="20"/>
                <w:color w:val="auto"/>
              </w:rPr>
            </w:pPr>
            <w:r>
              <w:rPr>
                <w:rFonts w:ascii="Arial" w:cs="Arial" w:eastAsia="Arial" w:hAnsi="Arial"/>
                <w:sz w:val="18"/>
                <w:szCs w:val="18"/>
                <w:color w:val="auto"/>
              </w:rPr>
              <w:t>June 2022</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846.4</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May 2023</w:t>
            </w:r>
          </w:p>
        </w:tc>
        <w:tc>
          <w:tcPr>
            <w:tcW w:w="14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0"/>
              <w:spacing w:after="0"/>
              <w:rPr>
                <w:sz w:val="20"/>
                <w:szCs w:val="20"/>
                <w:color w:val="auto"/>
              </w:rPr>
            </w:pPr>
            <w:r>
              <w:rPr>
                <w:rFonts w:ascii="Arial" w:cs="Arial" w:eastAsia="Arial" w:hAnsi="Arial"/>
                <w:sz w:val="18"/>
                <w:szCs w:val="18"/>
                <w:color w:val="auto"/>
              </w:rPr>
              <w:t>August 2024</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891.7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March 2025</w:t>
            </w:r>
          </w:p>
        </w:tc>
        <w:tc>
          <w:tcPr>
            <w:tcW w:w="14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0"/>
              <w:spacing w:after="0"/>
              <w:rPr>
                <w:sz w:val="20"/>
                <w:szCs w:val="20"/>
                <w:color w:val="auto"/>
              </w:rPr>
            </w:pPr>
            <w:r>
              <w:rPr>
                <w:rFonts w:ascii="Arial" w:cs="Arial" w:eastAsia="Arial" w:hAnsi="Arial"/>
                <w:sz w:val="18"/>
                <w:szCs w:val="18"/>
                <w:color w:val="auto"/>
              </w:rPr>
              <w:t>July 2026</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496.1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November 2027</w:t>
            </w:r>
          </w:p>
        </w:tc>
        <w:tc>
          <w:tcPr>
            <w:tcW w:w="14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0"/>
              <w:spacing w:after="0"/>
              <w:rPr>
                <w:sz w:val="20"/>
                <w:szCs w:val="20"/>
                <w:color w:val="auto"/>
              </w:rPr>
            </w:pPr>
            <w:r>
              <w:rPr>
                <w:rFonts w:ascii="Arial" w:cs="Arial" w:eastAsia="Arial" w:hAnsi="Arial"/>
                <w:sz w:val="18"/>
                <w:szCs w:val="18"/>
                <w:color w:val="auto"/>
              </w:rPr>
              <w:t>May 2028</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784.3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March 2035</w:t>
            </w:r>
          </w:p>
        </w:tc>
        <w:tc>
          <w:tcPr>
            <w:tcW w:w="14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6.086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0"/>
              <w:spacing w:after="0"/>
              <w:rPr>
                <w:sz w:val="20"/>
                <w:szCs w:val="20"/>
                <w:color w:val="auto"/>
              </w:rPr>
            </w:pPr>
            <w:r>
              <w:rPr>
                <w:rFonts w:ascii="Arial" w:cs="Arial" w:eastAsia="Arial" w:hAnsi="Arial"/>
                <w:sz w:val="18"/>
                <w:szCs w:val="18"/>
                <w:color w:val="auto"/>
              </w:rPr>
              <w:t>March 2040</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May 2041</w:t>
            </w:r>
          </w:p>
        </w:tc>
        <w:tc>
          <w:tcPr>
            <w:tcW w:w="14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Debentures: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May 2021</w:t>
            </w:r>
          </w:p>
        </w:tc>
        <w:tc>
          <w:tcPr>
            <w:tcW w:w="14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0"/>
              <w:spacing w:after="0"/>
              <w:rPr>
                <w:sz w:val="20"/>
                <w:szCs w:val="20"/>
                <w:color w:val="auto"/>
              </w:rPr>
            </w:pPr>
            <w:r>
              <w:rPr>
                <w:rFonts w:ascii="Arial" w:cs="Arial" w:eastAsia="Arial" w:hAnsi="Arial"/>
                <w:sz w:val="18"/>
                <w:szCs w:val="18"/>
                <w:color w:val="auto"/>
              </w:rPr>
              <w:t>September 2035</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Tax-exempt:</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60" w:type="dxa"/>
            <w:vAlign w:val="bottom"/>
          </w:tcPr>
          <w:p>
            <w:pPr>
              <w:ind w:left="320"/>
              <w:spacing w:after="0"/>
              <w:rPr>
                <w:sz w:val="20"/>
                <w:szCs w:val="20"/>
                <w:color w:val="auto"/>
              </w:rPr>
            </w:pPr>
            <w:r>
              <w:rPr>
                <w:rFonts w:ascii="Arial" w:cs="Arial" w:eastAsia="Arial" w:hAnsi="Arial"/>
                <w:sz w:val="18"/>
                <w:szCs w:val="18"/>
                <w:color w:val="auto"/>
              </w:rPr>
              <w:t>2020 - 2049</w:t>
            </w:r>
          </w:p>
        </w:tc>
        <w:tc>
          <w:tcPr>
            <w:tcW w:w="120" w:type="dxa"/>
            <w:vAlign w:val="bottom"/>
          </w:tcPr>
          <w:p>
            <w:pPr>
              <w:spacing w:after="0"/>
              <w:rPr>
                <w:sz w:val="23"/>
                <w:szCs w:val="23"/>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1.200 - 1.500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1,122.4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1,116.2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1,042.4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1,036.8</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2020 - 2049</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2.592 - 12.203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8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Debt</w:t>
            </w: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8,788.6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8,688.5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8,445.2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8,337.5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color w:val="auto"/>
              </w:rPr>
              <w:t>Less: current portion</w:t>
            </w: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(929.9)</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line="20" w:lineRule="exact"/>
              <w:rPr>
                <w:sz w:val="1"/>
                <w:szCs w:val="1"/>
                <w:color w:val="auto"/>
              </w:rPr>
            </w:pPr>
          </w:p>
        </w:tc>
      </w:tr>
      <w:tr>
        <w:trPr>
          <w:trHeight w:val="190"/>
        </w:trPr>
        <w:tc>
          <w:tcPr>
            <w:tcW w:w="2380" w:type="dxa"/>
            <w:vAlign w:val="bottom"/>
            <w:gridSpan w:val="2"/>
            <w:vMerge w:val="continue"/>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Long-term portion</w:t>
            </w:r>
          </w:p>
        </w:tc>
        <w:tc>
          <w:tcPr>
            <w:tcW w:w="1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7,758.6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7,646.8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54"/>
        </w:trPr>
        <w:tc>
          <w:tcPr>
            <w:tcW w:w="1020" w:type="dxa"/>
            <w:vAlign w:val="bottom"/>
            <w:tcBorders>
              <w:top w:val="single" w:sz="8" w:color="0000FF"/>
            </w:tcBorders>
          </w:tcPr>
          <w:p>
            <w:pPr>
              <w:spacing w:after="0"/>
              <w:rPr>
                <w:sz w:val="22"/>
                <w:szCs w:val="22"/>
                <w:color w:val="auto"/>
              </w:rPr>
            </w:pPr>
          </w:p>
        </w:tc>
        <w:tc>
          <w:tcPr>
            <w:tcW w:w="814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REPUBLIC SERVICES, INC.</w:t>
            </w:r>
          </w:p>
        </w:tc>
        <w:tc>
          <w:tcPr>
            <w:tcW w:w="8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9"/>
        </w:trPr>
        <w:tc>
          <w:tcPr>
            <w:tcW w:w="1020" w:type="dxa"/>
            <w:vAlign w:val="bottom"/>
          </w:tcPr>
          <w:p>
            <w:pPr>
              <w:spacing w:after="0"/>
              <w:rPr>
                <w:sz w:val="24"/>
                <w:szCs w:val="24"/>
                <w:color w:val="auto"/>
              </w:rPr>
            </w:pPr>
          </w:p>
        </w:tc>
        <w:tc>
          <w:tcPr>
            <w:tcW w:w="8140" w:type="dxa"/>
            <w:vAlign w:val="bottom"/>
          </w:tcPr>
          <w:p>
            <w:pPr>
              <w:jc w:val="center"/>
              <w:ind w:left="1150"/>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43"/>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Future Maturities of Debt</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1"/>
        </w:trPr>
        <w:tc>
          <w:tcPr>
            <w:tcW w:w="9160" w:type="dxa"/>
            <w:vAlign w:val="bottom"/>
            <w:gridSpan w:val="2"/>
          </w:tcPr>
          <w:p>
            <w:pPr>
              <w:spacing w:after="0"/>
              <w:rPr>
                <w:sz w:val="20"/>
                <w:szCs w:val="20"/>
                <w:color w:val="auto"/>
              </w:rPr>
            </w:pPr>
            <w:r>
              <w:rPr>
                <w:rFonts w:ascii="Arial" w:cs="Arial" w:eastAsia="Arial" w:hAnsi="Arial"/>
                <w:sz w:val="18"/>
                <w:szCs w:val="18"/>
                <w:color w:val="auto"/>
                <w:w w:val="94"/>
              </w:rPr>
              <w:t>Aggregate principal maturities of notes payable, finance leases and other long-term debt as of December 31, 2019 follow:</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9"/>
        </w:trPr>
        <w:tc>
          <w:tcPr>
            <w:tcW w:w="102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0"/>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930.7</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2021</w:t>
            </w:r>
          </w:p>
        </w:tc>
        <w:tc>
          <w:tcPr>
            <w:tcW w:w="8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770.2</w:t>
            </w:r>
          </w:p>
        </w:tc>
      </w:tr>
      <w:tr>
        <w:trPr>
          <w:trHeight w:val="27"/>
        </w:trPr>
        <w:tc>
          <w:tcPr>
            <w:tcW w:w="10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859.1</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2023</w:t>
            </w:r>
          </w:p>
        </w:tc>
        <w:tc>
          <w:tcPr>
            <w:tcW w:w="8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922.6</w:t>
            </w:r>
          </w:p>
        </w:tc>
      </w:tr>
      <w:tr>
        <w:trPr>
          <w:trHeight w:val="27"/>
        </w:trPr>
        <w:tc>
          <w:tcPr>
            <w:tcW w:w="10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928.0</w:t>
            </w:r>
          </w:p>
        </w:tc>
      </w:tr>
      <w:tr>
        <w:trPr>
          <w:trHeight w:val="243"/>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4,378.0</w:t>
            </w:r>
          </w:p>
        </w:tc>
      </w:tr>
      <w:tr>
        <w:trPr>
          <w:trHeight w:val="27"/>
        </w:trPr>
        <w:tc>
          <w:tcPr>
            <w:tcW w:w="1020" w:type="dxa"/>
            <w:vAlign w:val="bottom"/>
            <w:tcBorders>
              <w:bottom w:val="single" w:sz="8" w:color="CCEEFF"/>
            </w:tcBorders>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1020" w:type="dxa"/>
            <w:vAlign w:val="bottom"/>
            <w:tcBorders>
              <w:bottom w:val="single" w:sz="8" w:color="CCEEFF"/>
            </w:tcBorders>
            <w:shd w:val="clear" w:color="auto" w:fill="CCEEFF"/>
          </w:tcPr>
          <w:p>
            <w:pPr>
              <w:spacing w:after="0"/>
              <w:rPr>
                <w:sz w:val="24"/>
                <w:szCs w:val="24"/>
                <w:color w:val="auto"/>
              </w:rPr>
            </w:pPr>
          </w:p>
        </w:tc>
        <w:tc>
          <w:tcPr>
            <w:tcW w:w="8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8,788.6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2018, we entered into a $2.25 billion unsecured revolving credit facility (the Credit Facility), which replaced our $1.0 billion and $1.25 billion unsecured credit facilities that would have matured in May 2021 and June 2019, respectively. The Credit Facility matures in June 2023. We may request two one-year extensions of the maturity date but none of the lenders are committed to participate in such extension. The Credit Facility also includes a feature that allows us to increase availability, at our option, by an aggregate amount of up to $1.0 billion through increased commitments from existing lenders or the addition of new lenders. At our option, borrowings under the Credit Facility bear interest at a Base Rate, or a Eurodollar Rate, plus an applicable margin based on our Debt Ratings (all as defined in the Credit Facility agreement).</w:t>
      </w:r>
    </w:p>
    <w:p>
      <w:pPr>
        <w:spacing w:after="0" w:line="7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Credit Facility is subject to facility fees based on applicable rates defined in the Credit Facility agreement and the aggregate commitment, regardless of usage. Availability under our Credit Facility totaled $1,696.9 million and $1,694.1 million as of December 31, 2019 and 2018, respectively.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w:t>
      </w:r>
    </w:p>
    <w:p>
      <w:pPr>
        <w:spacing w:after="0" w:line="6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As of December 31, 2019 and December 31, 2018, we had $184.4 million and $159.0 million of borrowings under our Credit Facility, respectively. We had $351.4 million and $379.6 million of letters of credit outstanding under our Credit Facility as of December 31, 2019 and 2018, respectively.</w:t>
      </w:r>
    </w:p>
    <w:p>
      <w:pPr>
        <w:spacing w:after="0" w:line="1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also have an Uncommitted Credit Facility, which bears interest at LIBOR, plus an applicable margin. We can use borrowings under the Uncommitted Credit Facility for working capital and other general corporate purposes. The agreement governing our Uncommitted Credit Facility requires us to comply with certain covenants. The Uncommitted Credit Facility may be terminated by either party at any time. We had $11.6 million and $33.4 million of borrowings outstanding under our Uncommitted Credit Facility as of December 31, 2019 and 2018,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Debentures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issued $900.0 million of 2.500% senior notes due 2024 (the 2.500% Notes). We used the net proceeds from the 2.500% Notes to repay</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$650.0 million of 5.500% senior notes that matured in September 2019. The remaining proceeds were used to repay amounts outstanding under our unsecured credit facilities as well as for general corporate purposes.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2018, we issued $800.0 million of 3.950% senior notes due 2028 (the 3.950% Notes). We used the net proceeds from the 3.950% Notes to repay $700.0 million of 3.800% senior notes that matured in May 2018, and the remaining proceeds were used for general corporate purposes. In connection with this offering we terminated interest rate lock agreements with a notional value of $600.0 million resulting in net proceeds of $31.1 million. The proceeds will amortize over the term of the 3.950% Notes using the effective interest method. There was no ineffectiveness recognized in the termination of these cash flow hedges.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Our senior notes are general senior unsecured obligations. Interest is payable semi-annually.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and Lock Agreements</w:t>
      </w:r>
    </w:p>
    <w:p>
      <w:pPr>
        <w:spacing w:after="0" w:line="10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ability to obtain financing through the capital markets is a key component of our financial strategy. Historically, we have managed risk associated with executing this strategy, particularly as it relates to fluctuations in interest rates, by using a combination of fixed and floating rate debt. From time to time, we also have entered into interest rate swap and lock agreements to manage risks associated with interest rates, either to effectively convert specific fixed rate debt to a floating rate (fair value hedges), or to lock interest rates in anticipation of future debt issuances (cash flow hedges).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04"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During the second half of 2013, we entered into various interest rate swap agreements relative to our 4.750% fixed rate senior notes due in May 2023. The goal was to reduce overall borrowing costs and rebalance our debt portfolio's ratio of fixed to floating interest rates. As of December 31, 2019, these swap agreements have a total notional value of $300.0 million and mature in May 2023, which is identical to the maturity of the hedged senior notes. We pay interest at floating rates based on changes in LIBOR and receive interest at a fixed rate of 4.750%. These transactions were designated as fair value hedges because the swaps hedge against the changes in fair value of the fixed rate senior notes resulting from changes in interest rates.</w:t>
      </w:r>
    </w:p>
    <w:p>
      <w:pPr>
        <w:spacing w:after="0" w:line="2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2019 and 2018, the interest rate swap agreements are reflected at their fair value of $10.7 million and $2.5 million, respectively, and are included in other assets in our consolidated balance sheets. To the extent they are effective, these interest rate swap agreements are included as an adjustment to long-term debt in our consolidated balance sheets. We recognized net interest income of $1.0 million, $1.9 million and $4.8 million, respectively, during 2019, 2018 and 2017 related to net swap settlements for these interest rate swap agreements, which is included as an offset to interest expense in our consolidated statements of income.</w:t>
      </w:r>
    </w:p>
    <w:p>
      <w:pPr>
        <w:spacing w:after="0" w:line="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the year ended December 31, 2019, we recognized a loss of $7.5 million and for both of the years ended December 31, 2018 and 2017, we recognized gains of $5.0 million on the change in fair value of the hedged senior notes attributable to changes in the benchmark interest rate, with an offsetting gain of $8.1 million and offsetting losses of $5.4 million and $4.2 million for the years ended December 31, 2019, 2018, and 2017, respectively, on the related interest rate swaps. The difference of these fair value changes for the years ended December 31, 2018 and 2017 was recorded directly in earnings as other income, net. In accordance with our adoption of ASU 2017-12, the difference of these fair value changes for the year ended December 31, 2019 was recorded directly in earnings as an adjustment to interest expense in our consolidated statements of income.</w:t>
      </w:r>
    </w:p>
    <w:p>
      <w:pPr>
        <w:spacing w:after="0" w:line="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For further detail regarding the effect of our fair value hedging on interest expense, see Note 18, </w:t>
      </w:r>
      <w:r>
        <w:rPr>
          <w:rFonts w:ascii="Arial" w:cs="Arial" w:eastAsia="Arial" w:hAnsi="Arial"/>
          <w:sz w:val="18"/>
          <w:szCs w:val="18"/>
          <w:i w:val="1"/>
          <w:iCs w:val="1"/>
          <w:color w:val="auto"/>
        </w:rPr>
        <w:t>Financial Instruments</w:t>
      </w:r>
      <w:r>
        <w:rPr>
          <w:rFonts w:ascii="Arial" w:cs="Arial" w:eastAsia="Arial" w:hAnsi="Arial"/>
          <w:sz w:val="18"/>
          <w:szCs w:val="18"/>
          <w:color w:val="auto"/>
        </w:rPr>
        <w:t>, of the notes to our consolidated financial statements in Item 8 of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9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December 31, 2019 and 2018, our interest rate lock agreements had an aggregate notional value of $575.0 million and $725.0 million, respectively, with fixed interest rates ranging from 1.330% to 3.000% and 1.900% to 3.250%, respectively. We entered into these transactions to manage exposure to fluctuations in interest rates in anticipation of planned future issuances of senior notes in 2019 through 2021. Upon the expected issuance of the senior notes, we will terminate the interest rate locks and settle with our counterparties. These transactions were accounted for as cash flow hedges.</w:t>
      </w:r>
    </w:p>
    <w:p>
      <w:pPr>
        <w:spacing w:after="0" w:line="3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fair value of our interest rate locks was determined using standard valuation models with assumptions about interest rates being based on those observed in underlying markets (Level 2 in the fair value hierarchy). The aggregate fair values of the outstanding interest rate locks as of December 31, 2019 were assets of $3.6 million, which were recorded in prepaid expenses and other current assets in our consolidated balance sheet and liabilities of $15.7 million, which were recorded in other accrued liabilities and other long-term liabilities in our consolidated balance sheet. As of December 31, 2018, the aggregate fair values of the outstanding interest rate locks were assets of $10.3 million and were recorded in other assets in our consolidated balance sheet.</w:t>
      </w:r>
    </w:p>
    <w:p>
      <w:pPr>
        <w:spacing w:after="0" w:line="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unrealized (loss) gain recognized in other comprehensive income for interest rate locks were $(30.2) million, $16.2 million and $0.7 million, net of tax, for the years ended December 31, 2019, 2018, and 2017, respectively.</w:t>
      </w:r>
    </w:p>
    <w:p>
      <w:pPr>
        <w:spacing w:after="0" w:line="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2019 and 2018, our previously terminated interest rate locks were recorded as components of accumulated other comprehensive (loss) income of $(4.7) million and $11.2 million, respectively, net of tax. The effective portion of the interest rate locks is amortized as an adjustment to interest expense over the life of the issued debt using the effective interest method. We expect to amortize approximately $2.0 million of net interest expense over the next 12 months as a yield adjustment of our senior notes.</w:t>
      </w:r>
    </w:p>
    <w:p>
      <w:pPr>
        <w:spacing w:after="0" w:line="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For further detail regarding the effect of our cash flow hedging on interest expense, see Note 18, </w:t>
      </w:r>
      <w:r>
        <w:rPr>
          <w:rFonts w:ascii="Arial" w:cs="Arial" w:eastAsia="Arial" w:hAnsi="Arial"/>
          <w:sz w:val="18"/>
          <w:szCs w:val="18"/>
          <w:i w:val="1"/>
          <w:iCs w:val="1"/>
          <w:color w:val="auto"/>
        </w:rPr>
        <w:t>Financial Instruments</w:t>
      </w:r>
      <w:r>
        <w:rPr>
          <w:rFonts w:ascii="Arial" w:cs="Arial" w:eastAsia="Arial" w:hAnsi="Arial"/>
          <w:sz w:val="18"/>
          <w:szCs w:val="18"/>
          <w:color w:val="auto"/>
        </w:rPr>
        <w:t>, of the notes to our consolidated financial statements in Item 8 of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Contracts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Contemporaneously with the issuance of our 2.500% Notes in August 2019, we amended interest rate lock agreements with a notional value of</w:t>
      </w:r>
    </w:p>
    <w:p>
      <w:pPr>
        <w:spacing w:after="0" w:line="2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$375.0 million, extending the mandatory maturity date from 2019 to 2024 and dedesignated them as cash flow hedges (the Extended Interest Rate Swaps). There was no ineffectiveness recognized in the termination of these cash flow hedges. In addition, we entered into an offsetting interest rate swap to offset future exposures to fair value fluctuations of the Extended Interest Rate Swaps (the Offsetting Interest Rate Swaps). The fair value of these free standing derivatives was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determined using standard valuation models with assumptions about interest rates being based on those observed in underlying markets (Level 2 in the fair value hierarchy).</w:t>
      </w:r>
    </w:p>
    <w:p>
      <w:pPr>
        <w:spacing w:after="0" w:line="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2019, the fair value of the Extended Interest Rate Swaps was a liability of $22.2 million which was included in other long-term liabilities in our consolidated balance sheet, and the fair value of the Offsetting Interest Rate Swaps was an asset of $2.9 million and was included in other assets in our consolidated balance sheet. For the year ended December 31, 2019, we recognized a loss of $3.4 million on the change in fair value of the Extended Interest Rate Swaps, with an offsetting gain of $2.9 million on the Offsetting Interest Rate Swaps. The change in fair value was recorded directly in earnings as an adjustment to interest expense in our consolidated statements of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Financings</w:t>
      </w:r>
    </w:p>
    <w:p>
      <w:pPr>
        <w:spacing w:after="0" w:line="10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of December 31, 2019, we had $1,116.2 million of certain variable rate tax-exempt financings outstanding with maturities ranging from 2020 to 2049. As of December 31, 2018, we had $1,036.8 million of certain variable rate tax-exempt financings outstanding with maturities ranging from 2019 to 2044. All of our tax-exempt financings are remarketed either quarterly or semi-annually by remarketing agents to effectively maintain a variable yield. The holders of the bonds can put them back to the remarketing agents at the end of each interest period. To date, the remarketing agents have been able to remarket our variable rate unsecured tax-exempt bonds. If the remarketing agent is unable to remarket our bonds, the remarketing agent can put the bonds to us. In the event of a failed remarketing, we currently have availability under our $2.25 billion unsecured revolving credit facility to fund these bonds until they are remarketed successfully. Accordingly, we have classified these borrowings as long-term in our consolidated balance sheet as of December 31, 2019.</w:t>
      </w:r>
    </w:p>
    <w:p>
      <w:pPr>
        <w:spacing w:after="0" w:line="4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year ended December 31, 2019, we refinanced $35.0 million of tax-exempt financings and issued $30.0 million of new tax-exempt financings. In addition, during the three months ended December 31, 2019, we issued $50.0 million of variable-rate tax-exempt debt. The proceeds from the issuance were used to fund qualifying landfill-related capital expenditures in the state of California.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had finance lease liabilities of $119.3 million and $109.5 million as of December 31, 2019 and 2018, respectively, with maturities ranging from 2020 to 2049 and 2019 to 2046,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Paid</w:t>
      </w:r>
    </w:p>
    <w:p>
      <w:pPr>
        <w:spacing w:after="0" w:line="108"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Interest paid, excluding net swap settlements for our fair value hedges, was $346.8 million, $351.0 million and $326.9 million for the years ended December 31,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lease classification on our consolidated balance sheet as of December 31, 2019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2019</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9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6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65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Operating right-of-use lease assets</w:t>
            </w:r>
          </w:p>
        </w:tc>
        <w:tc>
          <w:tcPr>
            <w:tcW w:w="658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243.6</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Finance lease assets</w:t>
            </w:r>
          </w:p>
        </w:tc>
        <w:tc>
          <w:tcPr>
            <w:tcW w:w="6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134.8</w:t>
            </w:r>
          </w:p>
        </w:tc>
      </w:tr>
      <w:tr>
        <w:trPr>
          <w:trHeight w:val="264"/>
        </w:trPr>
        <w:tc>
          <w:tcPr>
            <w:tcW w:w="20" w:type="dxa"/>
            <w:vAlign w:val="bottom"/>
          </w:tcPr>
          <w:p>
            <w:pPr>
              <w:spacing w:after="0"/>
              <w:rPr>
                <w:sz w:val="22"/>
                <w:szCs w:val="22"/>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Total lease assets</w:t>
            </w:r>
          </w:p>
        </w:tc>
        <w:tc>
          <w:tcPr>
            <w:tcW w:w="65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378.4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6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29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Current</w:t>
            </w:r>
          </w:p>
        </w:tc>
        <w:tc>
          <w:tcPr>
            <w:tcW w:w="6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960" w:type="dxa"/>
            <w:vAlign w:val="bottom"/>
            <w:gridSpan w:val="3"/>
          </w:tcPr>
          <w:p>
            <w:pPr>
              <w:ind w:left="100"/>
              <w:spacing w:after="0"/>
              <w:rPr>
                <w:sz w:val="20"/>
                <w:szCs w:val="20"/>
                <w:color w:val="auto"/>
              </w:rPr>
            </w:pPr>
            <w:r>
              <w:rPr>
                <w:rFonts w:ascii="Arial" w:cs="Arial" w:eastAsia="Arial" w:hAnsi="Arial"/>
                <w:sz w:val="18"/>
                <w:szCs w:val="18"/>
                <w:color w:val="auto"/>
              </w:rPr>
              <w:t>Operating</w:t>
            </w:r>
          </w:p>
        </w:tc>
        <w:tc>
          <w:tcPr>
            <w:tcW w:w="6580" w:type="dxa"/>
            <w:vAlign w:val="bottom"/>
          </w:tcPr>
          <w:p>
            <w:pPr>
              <w:ind w:left="48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51.5</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Finance</w:t>
            </w:r>
          </w:p>
        </w:tc>
        <w:tc>
          <w:tcPr>
            <w:tcW w:w="6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Notes payable and current maturities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r>
      <w:tr>
        <w:trPr>
          <w:trHeight w:val="243"/>
        </w:trPr>
        <w:tc>
          <w:tcPr>
            <w:tcW w:w="20" w:type="dxa"/>
            <w:vAlign w:val="bottom"/>
          </w:tcPr>
          <w:p>
            <w:pPr>
              <w:spacing w:after="0"/>
              <w:rPr>
                <w:sz w:val="21"/>
                <w:szCs w:val="21"/>
                <w:color w:val="auto"/>
              </w:rPr>
            </w:pPr>
          </w:p>
        </w:tc>
        <w:tc>
          <w:tcPr>
            <w:tcW w:w="2960" w:type="dxa"/>
            <w:vAlign w:val="bottom"/>
            <w:gridSpan w:val="3"/>
          </w:tcPr>
          <w:p>
            <w:pPr>
              <w:ind w:left="100"/>
              <w:spacing w:after="0"/>
              <w:rPr>
                <w:sz w:val="20"/>
                <w:szCs w:val="20"/>
                <w:color w:val="auto"/>
              </w:rPr>
            </w:pPr>
            <w:r>
              <w:rPr>
                <w:rFonts w:ascii="Arial" w:cs="Arial" w:eastAsia="Arial" w:hAnsi="Arial"/>
                <w:sz w:val="18"/>
                <w:szCs w:val="18"/>
                <w:color w:val="auto"/>
              </w:rPr>
              <w:t>Long-term</w:t>
            </w:r>
          </w:p>
        </w:tc>
        <w:tc>
          <w:tcPr>
            <w:tcW w:w="6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Operating</w:t>
            </w:r>
          </w:p>
        </w:tc>
        <w:tc>
          <w:tcPr>
            <w:tcW w:w="6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212.5</w:t>
            </w:r>
          </w:p>
        </w:tc>
      </w:tr>
      <w:tr>
        <w:trPr>
          <w:trHeight w:val="243"/>
        </w:trPr>
        <w:tc>
          <w:tcPr>
            <w:tcW w:w="20" w:type="dxa"/>
            <w:vAlign w:val="bottom"/>
          </w:tcPr>
          <w:p>
            <w:pPr>
              <w:spacing w:after="0"/>
              <w:rPr>
                <w:sz w:val="21"/>
                <w:szCs w:val="21"/>
                <w:color w:val="auto"/>
              </w:rPr>
            </w:pPr>
          </w:p>
        </w:tc>
        <w:tc>
          <w:tcPr>
            <w:tcW w:w="2960" w:type="dxa"/>
            <w:vAlign w:val="bottom"/>
            <w:gridSpan w:val="3"/>
          </w:tcPr>
          <w:p>
            <w:pPr>
              <w:ind w:left="100"/>
              <w:spacing w:after="0"/>
              <w:rPr>
                <w:sz w:val="20"/>
                <w:szCs w:val="20"/>
                <w:color w:val="auto"/>
              </w:rPr>
            </w:pPr>
            <w:r>
              <w:rPr>
                <w:rFonts w:ascii="Arial" w:cs="Arial" w:eastAsia="Arial" w:hAnsi="Arial"/>
                <w:sz w:val="18"/>
                <w:szCs w:val="18"/>
                <w:color w:val="auto"/>
              </w:rPr>
              <w:t>Finance</w:t>
            </w:r>
          </w:p>
        </w:tc>
        <w:tc>
          <w:tcPr>
            <w:tcW w:w="6580" w:type="dxa"/>
            <w:vAlign w:val="bottom"/>
          </w:tcPr>
          <w:p>
            <w:pPr>
              <w:ind w:left="480"/>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110.4</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6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lease cost reflected in our consolidated statements of income for the year ended December 31, 2019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3"/>
              </w:rPr>
              <w:t>December 31, 2019</w:t>
            </w:r>
          </w:p>
        </w:tc>
      </w:tr>
      <w:tr>
        <w:trPr>
          <w:trHeight w:val="27"/>
        </w:trPr>
        <w:tc>
          <w:tcPr>
            <w:tcW w:w="31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67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3140" w:type="dxa"/>
            <w:vAlign w:val="bottom"/>
          </w:tcPr>
          <w:p>
            <w:pPr>
              <w:ind w:left="120"/>
              <w:spacing w:after="0"/>
              <w:rPr>
                <w:sz w:val="20"/>
                <w:szCs w:val="20"/>
                <w:color w:val="auto"/>
              </w:rPr>
            </w:pPr>
            <w:r>
              <w:rPr>
                <w:rFonts w:ascii="Arial" w:cs="Arial" w:eastAsia="Arial" w:hAnsi="Arial"/>
                <w:sz w:val="18"/>
                <w:szCs w:val="18"/>
                <w:color w:val="auto"/>
              </w:rPr>
              <w:t>Fixed lease cost</w:t>
            </w:r>
          </w:p>
        </w:tc>
        <w:tc>
          <w:tcPr>
            <w:tcW w:w="6720" w:type="dxa"/>
            <w:vAlign w:val="bottom"/>
          </w:tcPr>
          <w:p>
            <w:pPr>
              <w:ind w:left="920"/>
              <w:spacing w:after="0"/>
              <w:rPr>
                <w:sz w:val="20"/>
                <w:szCs w:val="20"/>
                <w:color w:val="auto"/>
              </w:rPr>
            </w:pPr>
            <w:r>
              <w:rPr>
                <w:rFonts w:ascii="Arial" w:cs="Arial" w:eastAsia="Arial" w:hAnsi="Arial"/>
                <w:sz w:val="18"/>
                <w:szCs w:val="18"/>
                <w:color w:val="auto"/>
              </w:rPr>
              <w:t>Cost of operations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41.6</w:t>
            </w:r>
          </w:p>
        </w:tc>
      </w:tr>
      <w:tr>
        <w:trPr>
          <w:trHeight w:val="27"/>
        </w:trPr>
        <w:tc>
          <w:tcPr>
            <w:tcW w:w="31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lease cost</w:t>
            </w:r>
          </w:p>
        </w:tc>
        <w:tc>
          <w:tcPr>
            <w:tcW w:w="67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Cost of operations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37.0</w:t>
            </w:r>
          </w:p>
        </w:tc>
      </w:tr>
      <w:tr>
        <w:trPr>
          <w:trHeight w:val="243"/>
        </w:trPr>
        <w:tc>
          <w:tcPr>
            <w:tcW w:w="3140" w:type="dxa"/>
            <w:vAlign w:val="bottom"/>
          </w:tcPr>
          <w:p>
            <w:pPr>
              <w:ind w:left="120"/>
              <w:spacing w:after="0"/>
              <w:rPr>
                <w:sz w:val="20"/>
                <w:szCs w:val="20"/>
                <w:color w:val="auto"/>
              </w:rPr>
            </w:pPr>
            <w:r>
              <w:rPr>
                <w:rFonts w:ascii="Arial" w:cs="Arial" w:eastAsia="Arial" w:hAnsi="Arial"/>
                <w:sz w:val="18"/>
                <w:szCs w:val="18"/>
                <w:color w:val="auto"/>
              </w:rPr>
              <w:t>Variable lease cost</w:t>
            </w:r>
          </w:p>
        </w:tc>
        <w:tc>
          <w:tcPr>
            <w:tcW w:w="6720" w:type="dxa"/>
            <w:vAlign w:val="bottom"/>
          </w:tcPr>
          <w:p>
            <w:pPr>
              <w:ind w:left="920"/>
              <w:spacing w:after="0"/>
              <w:rPr>
                <w:sz w:val="20"/>
                <w:szCs w:val="20"/>
                <w:color w:val="auto"/>
              </w:rPr>
            </w:pPr>
            <w:r>
              <w:rPr>
                <w:rFonts w:ascii="Arial" w:cs="Arial" w:eastAsia="Arial" w:hAnsi="Arial"/>
                <w:sz w:val="18"/>
                <w:szCs w:val="18"/>
                <w:color w:val="auto"/>
              </w:rPr>
              <w:t>Cost of operations</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17.8</w:t>
            </w:r>
          </w:p>
        </w:tc>
      </w:tr>
      <w:tr>
        <w:trPr>
          <w:trHeight w:val="27"/>
        </w:trPr>
        <w:tc>
          <w:tcPr>
            <w:tcW w:w="31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6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tcPr>
          <w:p>
            <w:pPr>
              <w:ind w:left="120"/>
              <w:spacing w:after="0"/>
              <w:rPr>
                <w:sz w:val="20"/>
                <w:szCs w:val="20"/>
                <w:color w:val="auto"/>
              </w:rPr>
            </w:pPr>
            <w:r>
              <w:rPr>
                <w:rFonts w:ascii="Arial" w:cs="Arial" w:eastAsia="Arial" w:hAnsi="Arial"/>
                <w:sz w:val="18"/>
                <w:szCs w:val="18"/>
                <w:color w:val="auto"/>
              </w:rPr>
              <w:t>Amortization of leased assets</w:t>
            </w:r>
          </w:p>
        </w:tc>
        <w:tc>
          <w:tcPr>
            <w:tcW w:w="6720" w:type="dxa"/>
            <w:vAlign w:val="bottom"/>
          </w:tcPr>
          <w:p>
            <w:pPr>
              <w:ind w:left="920"/>
              <w:spacing w:after="0"/>
              <w:rPr>
                <w:sz w:val="20"/>
                <w:szCs w:val="20"/>
                <w:color w:val="auto"/>
              </w:rPr>
            </w:pPr>
            <w:r>
              <w:rPr>
                <w:rFonts w:ascii="Arial" w:cs="Arial" w:eastAsia="Arial" w:hAnsi="Arial"/>
                <w:sz w:val="18"/>
                <w:szCs w:val="18"/>
                <w:color w:val="auto"/>
              </w:rPr>
              <w:t>Depreciation amortization, and depletion</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5.5</w:t>
            </w:r>
          </w:p>
        </w:tc>
      </w:tr>
      <w:tr>
        <w:trPr>
          <w:trHeight w:val="27"/>
        </w:trPr>
        <w:tc>
          <w:tcPr>
            <w:tcW w:w="31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on lease liabilities</w:t>
            </w:r>
          </w:p>
        </w:tc>
        <w:tc>
          <w:tcPr>
            <w:tcW w:w="67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Interest expense</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r>
      <w:tr>
        <w:trPr>
          <w:trHeight w:val="243"/>
        </w:trPr>
        <w:tc>
          <w:tcPr>
            <w:tcW w:w="3140" w:type="dxa"/>
            <w:vAlign w:val="bottom"/>
          </w:tcPr>
          <w:p>
            <w:pPr>
              <w:ind w:left="120"/>
              <w:spacing w:after="0"/>
              <w:rPr>
                <w:sz w:val="20"/>
                <w:szCs w:val="20"/>
                <w:color w:val="auto"/>
              </w:rPr>
            </w:pPr>
            <w:r>
              <w:rPr>
                <w:rFonts w:ascii="Arial" w:cs="Arial" w:eastAsia="Arial" w:hAnsi="Arial"/>
                <w:sz w:val="18"/>
                <w:szCs w:val="18"/>
                <w:color w:val="auto"/>
              </w:rPr>
              <w:t>Variable lease cost</w:t>
            </w:r>
          </w:p>
        </w:tc>
        <w:tc>
          <w:tcPr>
            <w:tcW w:w="6720" w:type="dxa"/>
            <w:vAlign w:val="bottom"/>
          </w:tcPr>
          <w:p>
            <w:pPr>
              <w:ind w:left="92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5.6</w:t>
            </w:r>
          </w:p>
        </w:tc>
      </w:tr>
      <w:tr>
        <w:trPr>
          <w:trHeight w:val="27"/>
        </w:trPr>
        <w:tc>
          <w:tcPr>
            <w:tcW w:w="31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67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115.0</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maturities for operating and finance lease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Operating Leases</w:t>
            </w:r>
          </w:p>
        </w:tc>
        <w:tc>
          <w:tcPr>
            <w:tcW w:w="160" w:type="dxa"/>
            <w:vAlign w:val="bottom"/>
          </w:tcPr>
          <w:p>
            <w:pPr>
              <w:spacing w:after="0"/>
              <w:rPr>
                <w:sz w:val="17"/>
                <w:szCs w:val="17"/>
                <w:color w:val="auto"/>
              </w:rPr>
            </w:pPr>
          </w:p>
        </w:tc>
        <w:tc>
          <w:tcPr>
            <w:tcW w:w="1380" w:type="dxa"/>
            <w:vAlign w:val="bottom"/>
            <w:gridSpan w:val="4"/>
          </w:tcPr>
          <w:p>
            <w:pPr>
              <w:ind w:left="60"/>
              <w:spacing w:after="0"/>
              <w:rPr>
                <w:sz w:val="20"/>
                <w:szCs w:val="20"/>
                <w:color w:val="auto"/>
              </w:rPr>
            </w:pPr>
            <w:r>
              <w:rPr>
                <w:rFonts w:ascii="Arial" w:cs="Arial" w:eastAsia="Arial" w:hAnsi="Arial"/>
                <w:sz w:val="16"/>
                <w:szCs w:val="16"/>
                <w:color w:val="auto"/>
              </w:rPr>
              <w:t>Finance Leases</w:t>
            </w:r>
          </w:p>
        </w:tc>
        <w:tc>
          <w:tcPr>
            <w:tcW w:w="280" w:type="dxa"/>
            <w:vAlign w:val="bottom"/>
          </w:tcPr>
          <w:p>
            <w:pPr>
              <w:spacing w:after="0"/>
              <w:rPr>
                <w:sz w:val="17"/>
                <w:szCs w:val="17"/>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color w:val="auto"/>
              </w:rPr>
              <w:t>Total</w:t>
            </w:r>
          </w:p>
        </w:tc>
      </w:tr>
      <w:tr>
        <w:trPr>
          <w:trHeight w:val="33"/>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61.6</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55.4</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72.5</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257.1</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223.1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539.1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(155.8)</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383.3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10240" w:type="dxa"/>
            <w:vAlign w:val="bottom"/>
            <w:gridSpan w:val="9"/>
          </w:tcPr>
          <w:p>
            <w:pPr>
              <w:spacing w:after="0"/>
              <w:rPr>
                <w:sz w:val="20"/>
                <w:szCs w:val="20"/>
                <w:color w:val="auto"/>
              </w:rPr>
            </w:pPr>
            <w:r>
              <w:rPr>
                <w:rFonts w:ascii="Arial" w:cs="Arial" w:eastAsia="Arial" w:hAnsi="Arial"/>
                <w:sz w:val="18"/>
                <w:szCs w:val="18"/>
                <w:color w:val="auto"/>
                <w:w w:val="99"/>
              </w:rPr>
              <w:t>A summary of the weighted-average remaining lease term and weighted-average discount rate as of December 31, 2019 follows: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gridSpan w:val="5"/>
          </w:tcPr>
          <w:p>
            <w:pPr>
              <w:jc w:val="right"/>
              <w:ind w:right="110"/>
              <w:spacing w:after="0"/>
              <w:rPr>
                <w:sz w:val="20"/>
                <w:szCs w:val="20"/>
                <w:color w:val="auto"/>
              </w:rPr>
            </w:pPr>
            <w:r>
              <w:rPr>
                <w:rFonts w:ascii="Arial" w:cs="Arial" w:eastAsia="Arial" w:hAnsi="Arial"/>
                <w:sz w:val="18"/>
                <w:szCs w:val="18"/>
                <w:color w:val="auto"/>
                <w:w w:val="99"/>
              </w:rPr>
              <w:t>December 31, 2019</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69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405"/>
        </w:trPr>
        <w:tc>
          <w:tcPr>
            <w:tcW w:w="8700" w:type="dxa"/>
            <w:vAlign w:val="bottom"/>
            <w:gridSpan w:val="4"/>
          </w:tcPr>
          <w:p>
            <w:pPr>
              <w:spacing w:after="0"/>
              <w:rPr>
                <w:sz w:val="20"/>
                <w:szCs w:val="20"/>
                <w:color w:val="auto"/>
              </w:rPr>
            </w:pPr>
            <w:r>
              <w:rPr>
                <w:rFonts w:ascii="Arial" w:cs="Arial" w:eastAsia="Arial" w:hAnsi="Arial"/>
                <w:sz w:val="18"/>
                <w:szCs w:val="18"/>
                <w:color w:val="auto"/>
              </w:rPr>
              <w:t>Supplemental cash flow and other non-cash information for the year ended December 31, 2019 follows: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w w:val="92"/>
              </w:rPr>
              <w:t>December 31, 2019</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97.3</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w:t>
            </w:r>
          </w:p>
        </w:tc>
      </w:tr>
      <w:tr>
        <w:trPr>
          <w:trHeight w:val="243"/>
        </w:trPr>
        <w:tc>
          <w:tcPr>
            <w:tcW w:w="698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6.3</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47.6</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for the years ended December 31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358.3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48.4</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(388.1)</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9.1</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 deferred benefit - change in 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Uncertain tax positions and interest, and other</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283.3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 statutory federal income tax rate to our effective tax rate for the years ended December 31 follow: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Uncertain tax position taxes and interest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Investment tax credits</w:t>
            </w: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U.S. Tax Law</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1"/>
                <w:szCs w:val="2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During 2019, we acquired non-controlling interests in limited liability companies established to construct solar energy assets that qualified for investment tax credits under Section 48 of the Internal Revenue Code. We account for these investments using the equity method of accounting and recognize our share of income or loss and other reductions in the value of our investment in </w:t>
      </w:r>
      <w:r>
        <w:rPr>
          <w:rFonts w:ascii="Arial" w:cs="Arial" w:eastAsia="Arial" w:hAnsi="Arial"/>
          <w:sz w:val="16"/>
          <w:szCs w:val="16"/>
          <w:i w:val="1"/>
          <w:iCs w:val="1"/>
          <w:color w:val="auto"/>
        </w:rPr>
        <w:t>Loss from unconsolidated equity method investments</w:t>
      </w:r>
      <w:r>
        <w:rPr>
          <w:rFonts w:ascii="Arial" w:cs="Arial" w:eastAsia="Arial" w:hAnsi="Arial"/>
          <w:sz w:val="16"/>
          <w:szCs w:val="16"/>
          <w:color w:val="auto"/>
        </w:rPr>
        <w:t xml:space="preserve"> within our consolidated statements of income. For further discussion regarding our equity method accounting, see Note 3, </w:t>
      </w:r>
      <w:r>
        <w:rPr>
          <w:rFonts w:ascii="Arial" w:cs="Arial" w:eastAsia="Arial" w:hAnsi="Arial"/>
          <w:sz w:val="16"/>
          <w:szCs w:val="16"/>
          <w:i w:val="1"/>
          <w:iCs w:val="1"/>
          <w:color w:val="auto"/>
        </w:rPr>
        <w:t>Business Acquisitions, Investments and Restructuring Charges</w:t>
      </w:r>
      <w:r>
        <w:rPr>
          <w:rFonts w:ascii="Arial" w:cs="Arial" w:eastAsia="Arial" w:hAnsi="Arial"/>
          <w:sz w:val="16"/>
          <w:szCs w:val="16"/>
          <w:color w:val="auto"/>
        </w:rPr>
        <w:t>. Our 2019 tax provision reflects a benefit of approximately $84 million due to the tax credits related to these investments. In addition, our 2019 tax provision was reduced by $13.4 million due to the realization of additional federal and state benefits as well as adjustments to deferred taxes due to the completion of our 2018 tax returns and also reduced by $12.3 million due to excess tax benefits related to stock compensation.</w:t>
      </w:r>
    </w:p>
    <w:p>
      <w:pPr>
        <w:spacing w:after="0" w:line="3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2018 tax provision was reduced by $12.1 million in excess tax benefits related to stock compensation, approximately $50 million related to the tax credits from our non-controlling interests in limited liability companies established to construct solar energy assets, and approximately $6 million due to the realization of tax credits and lower state rates due to changes in estimates following the completion of our 2017 tax returns.</w:t>
      </w:r>
    </w:p>
    <w:p>
      <w:pPr>
        <w:spacing w:after="0" w:line="44"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Our 2017 tax provision was reduced by approximately $464 million due to the passage of the Tax Act. In addition, our 2017 tax provision was reduced by $19.6 million in excess tax benefits related to stock compensation, approximately $13 million related to the tax credits from non-controlling interests in limited liability companies established to construct solar energy assets, and approximately $9 million due to the resolution of various state and federal tax matters as well as the realization of tax credits and lower state tax rates due to changes in estimates following the completion of our 2016 tax returns.</w:t>
      </w:r>
    </w:p>
    <w:p>
      <w:pPr>
        <w:spacing w:after="0" w:line="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made income tax payments (net of refunds) of approximately $31 million, $210 million and $370 million for 2019, 2018 and 2017, respectively. Income taxes paid in 2019, 2018, and 2017 reflect the passage of the Tax Act which provided for 100% equipment deductions on qualified assets placed in service after September 27, 2017. Cash paid for income taxes (net of refunds) for 2019 was favorably affected by the 100% equipment deductions and tax credits related to our investments in solar energy assets.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STATEMENTS—(Continued)</w:t>
      </w:r>
    </w:p>
    <w:p>
      <w:pPr>
        <w:sectPr>
          <w:pgSz w:w="11900" w:h="16838" w:orient="portrait"/>
          <w:cols w:equalWidth="0" w:num="1">
            <w:col w:w="11380"/>
          </w:cols>
          <w:pgMar w:left="240" w:top="122" w:right="27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net deferred income tax asset and liability as of December 31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2058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 relating to:</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Differences between book and tax basis of property and equipment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Difference between book and tax basis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2058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right-of-use lease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Basis difference due to redemption of partnership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2058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2058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 relating to:</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Environmental reserves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Accruals not currently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2058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operating loss carryforwards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Difference between book and tax basis of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2058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right-of-use lease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2058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2058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spacing w:after="0"/>
        <w:tabs>
          <w:tab w:leader="none" w:pos="190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333" w:lineRule="exact"/>
        <w:rPr>
          <w:sz w:val="20"/>
          <w:szCs w:val="20"/>
          <w:color w:val="auto"/>
        </w:rPr>
      </w:pPr>
    </w:p>
    <w:p>
      <w:pPr>
        <w:spacing w:after="0"/>
        <w:tabs>
          <w:tab w:leader="none" w:pos="660" w:val="left"/>
          <w:tab w:leader="none" w:pos="1420" w:val="left"/>
          <w:tab w:leader="none" w:pos="2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(938.7)</w:t>
        <w:tab/>
        <w:t>$</w:t>
      </w:r>
      <w:r>
        <w:rPr>
          <w:sz w:val="20"/>
          <w:szCs w:val="20"/>
          <w:color w:val="auto"/>
        </w:rPr>
        <w:tab/>
      </w:r>
      <w:r>
        <w:rPr>
          <w:rFonts w:ascii="Arial" w:cs="Arial" w:eastAsia="Arial" w:hAnsi="Arial"/>
          <w:sz w:val="16"/>
          <w:szCs w:val="16"/>
          <w:color w:val="auto"/>
        </w:rPr>
        <w:t>(799.9)</w:t>
      </w:r>
    </w:p>
    <w:p>
      <w:pPr>
        <w:spacing w:after="0" w:line="63" w:lineRule="exact"/>
        <w:rPr>
          <w:sz w:val="20"/>
          <w:szCs w:val="20"/>
          <w:color w:val="auto"/>
        </w:rPr>
      </w:pPr>
    </w:p>
    <w:p>
      <w:pPr>
        <w:jc w:val="right"/>
        <w:ind w:right="120"/>
        <w:spacing w:after="0"/>
        <w:tabs>
          <w:tab w:leader="none" w:pos="500" w:val="left"/>
        </w:tabs>
        <w:rPr>
          <w:sz w:val="20"/>
          <w:szCs w:val="20"/>
          <w:color w:val="auto"/>
        </w:rPr>
      </w:pPr>
      <w:r>
        <w:rPr>
          <w:rFonts w:ascii="Arial" w:cs="Arial" w:eastAsia="Arial" w:hAnsi="Arial"/>
          <w:sz w:val="18"/>
          <w:szCs w:val="18"/>
          <w:color w:val="auto"/>
        </w:rPr>
        <w:t>(464.5)</w:t>
      </w:r>
      <w:r>
        <w:rPr>
          <w:sz w:val="20"/>
          <w:szCs w:val="20"/>
          <w:color w:val="auto"/>
        </w:rPr>
        <w:tab/>
      </w:r>
      <w:r>
        <w:rPr>
          <w:rFonts w:ascii="Arial" w:cs="Arial" w:eastAsia="Arial" w:hAnsi="Arial"/>
          <w:sz w:val="16"/>
          <w:szCs w:val="16"/>
          <w:color w:val="auto"/>
        </w:rPr>
        <w:t>(453.3)</w:t>
      </w:r>
    </w:p>
    <w:p>
      <w:pPr>
        <w:spacing w:after="0" w:line="63" w:lineRule="exact"/>
        <w:rPr>
          <w:sz w:val="20"/>
          <w:szCs w:val="20"/>
          <w:color w:val="auto"/>
        </w:rPr>
      </w:pPr>
    </w:p>
    <w:p>
      <w:pPr>
        <w:ind w:left="780"/>
        <w:spacing w:after="0"/>
        <w:tabs>
          <w:tab w:leader="none" w:pos="2400" w:val="left"/>
        </w:tabs>
        <w:rPr>
          <w:sz w:val="20"/>
          <w:szCs w:val="20"/>
          <w:color w:val="auto"/>
        </w:rPr>
      </w:pPr>
      <w:r>
        <w:rPr>
          <w:rFonts w:ascii="Arial" w:cs="Arial" w:eastAsia="Arial" w:hAnsi="Arial"/>
          <w:sz w:val="18"/>
          <w:szCs w:val="18"/>
          <w:color w:val="auto"/>
        </w:rPr>
        <w:t>(67.2)</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right"/>
        <w:ind w:right="120"/>
        <w:spacing w:after="0"/>
        <w:tabs>
          <w:tab w:leader="none" w:pos="420"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6"/>
          <w:szCs w:val="16"/>
          <w:color w:val="auto"/>
        </w:rPr>
        <w:t>(88.8)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583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57" w:lineRule="exact"/>
        <w:rPr>
          <w:sz w:val="20"/>
          <w:szCs w:val="20"/>
          <w:color w:val="auto"/>
        </w:rPr>
      </w:pPr>
    </w:p>
    <w:p>
      <w:pPr>
        <w:spacing w:after="0"/>
        <w:tabs>
          <w:tab w:leader="none" w:pos="520" w:val="left"/>
          <w:tab w:leader="none" w:pos="1420" w:val="left"/>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(1,554.6)</w:t>
        <w:tab/>
        <w:t>$</w:t>
      </w:r>
      <w:r>
        <w:rPr>
          <w:sz w:val="20"/>
          <w:szCs w:val="20"/>
          <w:color w:val="auto"/>
        </w:rPr>
        <w:tab/>
      </w:r>
      <w:r>
        <w:rPr>
          <w:rFonts w:ascii="Arial" w:cs="Arial" w:eastAsia="Arial" w:hAnsi="Arial"/>
          <w:sz w:val="16"/>
          <w:szCs w:val="16"/>
          <w:color w:val="auto"/>
        </w:rPr>
        <w:t>(1,342.0)</w:t>
      </w:r>
    </w:p>
    <w:p>
      <w:pPr>
        <w:spacing w:after="0" w:line="333" w:lineRule="exact"/>
        <w:rPr>
          <w:sz w:val="20"/>
          <w:szCs w:val="20"/>
          <w:color w:val="auto"/>
        </w:rPr>
      </w:pPr>
    </w:p>
    <w:p>
      <w:pPr>
        <w:spacing w:after="0"/>
        <w:tabs>
          <w:tab w:leader="none" w:pos="740" w:val="left"/>
          <w:tab w:leader="none" w:pos="1420" w:val="left"/>
          <w:tab w:leader="none" w:pos="2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253.2</w:t>
      </w:r>
    </w:p>
    <w:p>
      <w:pPr>
        <w:spacing w:after="0" w:line="63" w:lineRule="exact"/>
        <w:rPr>
          <w:sz w:val="20"/>
          <w:szCs w:val="20"/>
          <w:color w:val="auto"/>
        </w:rPr>
      </w:pPr>
    </w:p>
    <w:p>
      <w:pPr>
        <w:ind w:left="840"/>
        <w:spacing w:after="0"/>
        <w:tabs>
          <w:tab w:leader="none" w:pos="2260" w:val="left"/>
        </w:tabs>
        <w:rPr>
          <w:sz w:val="20"/>
          <w:szCs w:val="20"/>
          <w:color w:val="auto"/>
        </w:rPr>
      </w:pPr>
      <w:r>
        <w:rPr>
          <w:rFonts w:ascii="Arial" w:cs="Arial" w:eastAsia="Arial" w:hAnsi="Arial"/>
          <w:sz w:val="18"/>
          <w:szCs w:val="18"/>
          <w:color w:val="auto"/>
        </w:rPr>
        <w:t>78.0</w:t>
      </w:r>
      <w:r>
        <w:rPr>
          <w:sz w:val="20"/>
          <w:szCs w:val="20"/>
          <w:color w:val="auto"/>
        </w:rPr>
        <w:tab/>
      </w:r>
      <w:r>
        <w:rPr>
          <w:rFonts w:ascii="Arial" w:cs="Arial" w:eastAsia="Arial" w:hAnsi="Arial"/>
          <w:sz w:val="16"/>
          <w:szCs w:val="16"/>
          <w:color w:val="auto"/>
        </w:rPr>
        <w:t>78.9</w:t>
      </w:r>
    </w:p>
    <w:p>
      <w:pPr>
        <w:spacing w:after="0" w:line="63" w:lineRule="exact"/>
        <w:rPr>
          <w:sz w:val="20"/>
          <w:szCs w:val="20"/>
          <w:color w:val="auto"/>
        </w:rPr>
      </w:pPr>
    </w:p>
    <w:p>
      <w:pPr>
        <w:ind w:left="760"/>
        <w:spacing w:after="0"/>
        <w:tabs>
          <w:tab w:leader="none" w:pos="2160" w:val="left"/>
        </w:tabs>
        <w:rPr>
          <w:sz w:val="20"/>
          <w:szCs w:val="20"/>
          <w:color w:val="auto"/>
        </w:rPr>
      </w:pPr>
      <w:r>
        <w:rPr>
          <w:rFonts w:ascii="Arial" w:cs="Arial" w:eastAsia="Arial" w:hAnsi="Arial"/>
          <w:sz w:val="18"/>
          <w:szCs w:val="18"/>
          <w:color w:val="auto"/>
        </w:rPr>
        <w:t>127.2</w:t>
      </w:r>
      <w:r>
        <w:rPr>
          <w:sz w:val="20"/>
          <w:szCs w:val="20"/>
          <w:color w:val="auto"/>
        </w:rPr>
        <w:tab/>
      </w:r>
      <w:r>
        <w:rPr>
          <w:rFonts w:ascii="Arial" w:cs="Arial" w:eastAsia="Arial" w:hAnsi="Arial"/>
          <w:sz w:val="16"/>
          <w:szCs w:val="16"/>
          <w:color w:val="auto"/>
        </w:rPr>
        <w:t>134.3</w:t>
      </w:r>
    </w:p>
    <w:p>
      <w:pPr>
        <w:spacing w:after="0" w:line="63" w:lineRule="exact"/>
        <w:rPr>
          <w:sz w:val="20"/>
          <w:szCs w:val="20"/>
          <w:color w:val="auto"/>
        </w:rPr>
      </w:pPr>
    </w:p>
    <w:p>
      <w:pPr>
        <w:ind w:left="840"/>
        <w:spacing w:after="0"/>
        <w:tabs>
          <w:tab w:leader="none" w:pos="226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13.7</w:t>
      </w:r>
    </w:p>
    <w:p>
      <w:pPr>
        <w:spacing w:after="0" w:line="63" w:lineRule="exact"/>
        <w:rPr>
          <w:sz w:val="20"/>
          <w:szCs w:val="20"/>
          <w:color w:val="auto"/>
        </w:rPr>
      </w:pPr>
    </w:p>
    <w:p>
      <w:pPr>
        <w:ind w:left="840"/>
        <w:spacing w:after="0"/>
        <w:tabs>
          <w:tab w:leader="none" w:pos="2400" w:val="left"/>
        </w:tabs>
        <w:rPr>
          <w:sz w:val="20"/>
          <w:szCs w:val="20"/>
          <w:color w:val="auto"/>
        </w:rPr>
      </w:pPr>
      <w:r>
        <w:rPr>
          <w:rFonts w:ascii="Arial" w:cs="Arial" w:eastAsia="Arial" w:hAnsi="Arial"/>
          <w:sz w:val="18"/>
          <w:szCs w:val="18"/>
          <w:color w:val="auto"/>
        </w:rPr>
        <w:t>67.4</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840"/>
        <w:spacing w:after="0"/>
        <w:tabs>
          <w:tab w:leader="none" w:pos="22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583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57" w:lineRule="exact"/>
        <w:rPr>
          <w:sz w:val="20"/>
          <w:szCs w:val="20"/>
          <w:color w:val="auto"/>
        </w:rPr>
      </w:pPr>
    </w:p>
    <w:p>
      <w:pPr>
        <w:ind w:left="760"/>
        <w:spacing w:after="0"/>
        <w:tabs>
          <w:tab w:leader="none" w:pos="2160" w:val="left"/>
        </w:tabs>
        <w:rPr>
          <w:sz w:val="20"/>
          <w:szCs w:val="20"/>
          <w:color w:val="auto"/>
        </w:rPr>
      </w:pPr>
      <w:r>
        <w:rPr>
          <w:rFonts w:ascii="Arial" w:cs="Arial" w:eastAsia="Arial" w:hAnsi="Arial"/>
          <w:sz w:val="18"/>
          <w:szCs w:val="18"/>
          <w:color w:val="auto"/>
        </w:rPr>
        <w:t>545.2</w:t>
      </w:r>
      <w:r>
        <w:rPr>
          <w:sz w:val="20"/>
          <w:szCs w:val="20"/>
          <w:color w:val="auto"/>
        </w:rPr>
        <w:tab/>
      </w:r>
      <w:r>
        <w:rPr>
          <w:rFonts w:ascii="Arial" w:cs="Arial" w:eastAsia="Arial" w:hAnsi="Arial"/>
          <w:sz w:val="16"/>
          <w:szCs w:val="16"/>
          <w:color w:val="auto"/>
        </w:rPr>
        <w:t>493.0</w:t>
      </w:r>
    </w:p>
    <w:p>
      <w:pPr>
        <w:spacing w:after="0" w:line="63" w:lineRule="exact"/>
        <w:rPr>
          <w:sz w:val="20"/>
          <w:szCs w:val="20"/>
          <w:color w:val="auto"/>
        </w:rPr>
      </w:pPr>
    </w:p>
    <w:p>
      <w:pPr>
        <w:jc w:val="right"/>
        <w:ind w:right="120"/>
        <w:spacing w:after="0"/>
        <w:tabs>
          <w:tab w:leader="none" w:pos="420" w:val="left"/>
        </w:tabs>
        <w:rPr>
          <w:sz w:val="20"/>
          <w:szCs w:val="20"/>
          <w:color w:val="auto"/>
        </w:rPr>
      </w:pPr>
      <w:r>
        <w:rPr>
          <w:rFonts w:ascii="Arial" w:cs="Arial" w:eastAsia="Arial" w:hAnsi="Arial"/>
          <w:sz w:val="18"/>
          <w:szCs w:val="18"/>
          <w:color w:val="auto"/>
        </w:rPr>
        <w:t>(67.6)</w:t>
      </w:r>
      <w:r>
        <w:rPr>
          <w:sz w:val="20"/>
          <w:szCs w:val="20"/>
          <w:color w:val="auto"/>
        </w:rPr>
        <w:tab/>
      </w:r>
      <w:r>
        <w:rPr>
          <w:rFonts w:ascii="Arial" w:cs="Arial" w:eastAsia="Arial" w:hAnsi="Arial"/>
          <w:sz w:val="16"/>
          <w:szCs w:val="16"/>
          <w:color w:val="auto"/>
        </w:rPr>
        <w:t>(73.5)</w:t>
      </w:r>
    </w:p>
    <w:p>
      <w:pPr>
        <w:spacing w:after="0" w:line="30" w:lineRule="exact"/>
        <w:rPr>
          <w:sz w:val="20"/>
          <w:szCs w:val="20"/>
          <w:color w:val="auto"/>
        </w:rPr>
      </w:pPr>
    </w:p>
    <w:p>
      <w:pPr>
        <w:sectPr>
          <w:pgSz w:w="11900" w:h="16838" w:orient="portrait"/>
          <w:cols w:equalWidth="0" w:num="2">
            <w:col w:w="7900" w:space="720"/>
            <w:col w:w="2760"/>
          </w:cols>
          <w:pgMar w:left="240" w:top="122" w:right="27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20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8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Changes in the deferred tax valuation allowance for the years ended December 31 follow:</w:t>
            </w: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2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 beginning of year</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5"/>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Additions charged to provision for income taxes</w:t>
            </w:r>
          </w:p>
        </w:tc>
        <w:tc>
          <w:tcPr>
            <w:tcW w:w="84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realized or written-off</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Current year acquisitions</w:t>
            </w:r>
          </w:p>
        </w:tc>
        <w:tc>
          <w:tcPr>
            <w:tcW w:w="84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Valuation allowance, end of year</w:t>
            </w: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5"/>
              </w:rPr>
              <w:t>67.6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deferred tax assets related to state net operating loss carryforwards. We provide a partial valuation allowance due to uncertainty surrounding the future utilization of these carryforwards in the taxing jurisdictions where the loss carryforwards exist. When determining the need for a valuation allowance, we consider all positive and negative evidence, including recent financial results, scheduled reversals of deferred tax liabilities, projected future taxable income and tax planning strategies. The weight given to the positive and negative evidence is commensurate with the extent such evidence can be objectively verified. We adjust the valuation allowance in the period management determines it is more likely than not that deferred tax assets will or will not be realized.</w:t>
      </w:r>
    </w:p>
    <w:p>
      <w:pPr>
        <w:spacing w:after="0" w:line="2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Substantially all of our valuation allowance is associated with state loss carryforwards. The realization of our deferred tax asset for state loss carryforwards ultimately depends upon the existence of sufficient taxable income in the appropriate state taxing jurisdictions in future periods. We continue to regularly monitor both positive and negative evidence in determining the ongoing need for a valuation allowance.</w:t>
      </w:r>
    </w:p>
    <w:p>
      <w:pPr>
        <w:spacing w:after="0" w:line="6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deferred tax assets related to state net operating loss carryforwards with an estimated tax effect of approximately $111 million available as of December 31, 2019. These state net operating loss carryforwards expire at various times between 2019 and 2039. We believe that it is more likely than not that the benefit from some of our state net operating loss carryforwards will not be realized due to limitations on these loss carryforwards in certain states. In recognition of this risk, as of December 31, 2019, we have provided a valuation allowance of approximately $67 million.</w:t>
      </w:r>
    </w:p>
    <w:p>
      <w:pPr>
        <w:spacing w:after="0" w:line="5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result of the recent changes in U.S. tax law, as well as our ongoing efforts to streamline and maximize the efficiency of our tax footprint, we could further adjust our valuation allowance in a future period if there is sufficient evidence to support a conclusion that it is more likely than not that certain of the state net operating loss carryforwards, on which we currently provide a valuation allowance, would be realized.</w:t>
      </w:r>
    </w:p>
    <w:p>
      <w:pPr>
        <w:sectPr>
          <w:pgSz w:w="11900" w:h="16838" w:orient="portrait"/>
          <w:cols w:equalWidth="0" w:num="1">
            <w:col w:w="11380"/>
          </w:cols>
          <w:pgMar w:left="240" w:top="122" w:right="27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are subject to income tax in the United States and Puerto Rico, as well as income tax in multiple state jurisdictions. Our compliance with income tax rules and regulations is periodically audited by tax authorities. These authorities may challenge the positions taken in our tax filings. Thus, to provide for certain potential tax exposures, we maintain liabilities for uncertain tax positions for our estimate of the final outcome of the examinations. Our federal statute of limitations is closed for all years prior to 2015. However, we have filed a federal refund claim for the 2014 tax year that may be reviewed in future periods. In addition, we are currently under state examination or administrative review in various jurisdictions for tax years 2012 to 2018.</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our gross unrecognized tax benefits for the years ended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46.1</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current year</w:t>
            </w: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for tax positions resulting from lapse of statute of limitations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During 2019, 2018, and 2017, we resolved tax matters in various states which reduced our gross unrecognized tax benefits by $5.1 million, $9.5 million and $8.5 million, respectively.</w:t>
      </w:r>
    </w:p>
    <w:p>
      <w:pPr>
        <w:spacing w:after="0" w:line="4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Included in our gross unrecognized tax benefits as of December 31, 2019, 2018, and 2017 are $93.0 million, $96.3 million and $31.0 million, respectively, of unrecognized tax benefits (net of the federal benefit on state matters) that, if recognized, would affect our effective income tax rate in future periods. However, we are unable to estimate the resolution of these matters over the next 12 months.</w:t>
      </w:r>
    </w:p>
    <w:p>
      <w:pPr>
        <w:spacing w:after="0" w:line="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recognize interest and penalties as incurred within the provision for income taxes in our consolidated statements of income. Related to the unrecognized tax benefits previously noted, we recorded interest expense of approximately $4 million during 2019 and, in total as of December 31, 2019, have recognized a liability for penalties of $0.3 million and interest of $11.6 million.</w:t>
      </w:r>
    </w:p>
    <w:p>
      <w:pPr>
        <w:spacing w:after="0" w:line="46"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During 2018, we accrued additional uncertain tax liabilities of approximately $63 million resulting from the filing of our 2017 tax returns and prior year amended tax returns that reflected uncertain tax positions. These additional liabilities for uncertain tax positions had no impact on our effective tax rate.</w:t>
      </w:r>
    </w:p>
    <w:p>
      <w:pPr>
        <w:spacing w:after="0" w:line="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2018, we recorded interest expense of approximately $2 million and, in total as of December 31, 2018, had recognized a liability for penalties of $0.5 million and interest of $11.7 million. During 2017, we accrued interest of approximately $3 million and, in total as of December 31, 2017, had recognized a liability for penalties of $0.5 million and interest of $13.2 million.</w:t>
      </w:r>
    </w:p>
    <w:p>
      <w:pPr>
        <w:spacing w:after="0" w:line="6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the recorded liabilities for uncertain tax positions are adequate. However, a significant assessment against us in excess of the liabilities recorded could have a material adverse effect on our consolidated financial position,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February 2007, our Board of Directors approved the 2007 Stock Incentive Plan (the 2007 Plan), and in May 2007 our shareholders ratified the 2007 Plan. In March 2011, our Board of Directors approved the Amended and Restated 2007 Stock Incentive Plan (the Amended and Restated 2007 SIP), and in May 2011 our shareholders ratified the Amended and Restated 2007 SIP. In March 2013, our Board of Directors approved the Republic Services, Inc. Amended and Restated 2007 Stock Incentive Plan (the Republic Amended and Restated 2007 SIP), and in May 2013 our shareholders ratified the Republic Amended and Restated 2007 SIP (the 2007 Plan, the Amended and Restated 2007 SIP, and the Republic Amended and Restated 2007 SIP are collectively referred to in this Form 10-K as the Amended and Restated 2007 Stock Incentive Plan). We currently have 12.8 million shares of common stock reserved for future grants under the Amended and Restated 2007 Stock Incentive Plan.</w:t>
      </w:r>
    </w:p>
    <w:p>
      <w:pPr>
        <w:spacing w:after="0" w:line="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December 2008, our Board of Directors amended and restated the Republic Services, Inc. 2006 Incentive Stock Plan (formerly known as the Allied Waste Industries, Inc. 2006 Incentive Stock Plan) (the 2006 Plan). Allied’s shareholders approved the 2006 Plan in May 2006. The 2006 Plan was amended and restated in December 2008 to reflect Republic as the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new sponsor of the 2006 Plan, to reflect that any references to shares of common stock are to shares of common stock of Republic, and to adjust outstanding awards and the number of shares available under the 2006 Plan to reflect the Allied acquisition. The 2006 Plan, as amended and restated, provided for the grant of non-qualified stock options, incentive stock options, shares of restricted stock, shares of phantom stock, stock bonuses, restricted stock units, stock appreciation rights, performance awards, dividend equivalents, cash awards, or other stock-based awards. Awards granted under the 2006 Plan prior to December 5, 2008 became fully vested and non-forfeitable upon the closing of the Allied acquisition. No further awards will be made under the 2006 Plan.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(RSU) activity for the years ended December 31, 2019,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Weighted-Average</w:t>
            </w:r>
          </w:p>
        </w:tc>
        <w:tc>
          <w:tcPr>
            <w:tcW w:w="20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18"/>
                <w:szCs w:val="18"/>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color w:val="auto"/>
                <w:w w:val="92"/>
              </w:rPr>
              <w:t>Weighted-Average</w:t>
            </w:r>
          </w:p>
        </w:tc>
        <w:tc>
          <w:tcPr>
            <w:tcW w:w="1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20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RSUs</w:t>
            </w:r>
          </w:p>
        </w:tc>
        <w:tc>
          <w:tcPr>
            <w:tcW w:w="140" w:type="dxa"/>
            <w:vAlign w:val="bottom"/>
          </w:tcPr>
          <w:p>
            <w:pPr>
              <w:spacing w:after="0"/>
              <w:rPr>
                <w:sz w:val="18"/>
                <w:szCs w:val="18"/>
                <w:color w:val="auto"/>
              </w:rPr>
            </w:pP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Grant Date Fair</w:t>
            </w:r>
          </w:p>
        </w:tc>
        <w:tc>
          <w:tcPr>
            <w:tcW w:w="10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20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 thousands)</w:t>
            </w:r>
          </w:p>
        </w:tc>
        <w:tc>
          <w:tcPr>
            <w:tcW w:w="140" w:type="dxa"/>
            <w:vAlign w:val="bottom"/>
          </w:tcPr>
          <w:p>
            <w:pPr>
              <w:spacing w:after="0"/>
              <w:rPr>
                <w:sz w:val="20"/>
                <w:szCs w:val="20"/>
                <w:color w:val="auto"/>
              </w:rPr>
            </w:pPr>
          </w:p>
        </w:tc>
        <w:tc>
          <w:tcPr>
            <w:tcW w:w="1600" w:type="dxa"/>
            <w:vAlign w:val="bottom"/>
          </w:tcPr>
          <w:p>
            <w:pPr>
              <w:jc w:val="right"/>
              <w:ind w:right="210"/>
              <w:spacing w:after="0"/>
              <w:rPr>
                <w:sz w:val="20"/>
                <w:szCs w:val="20"/>
                <w:color w:val="auto"/>
              </w:rPr>
            </w:pPr>
            <w:r>
              <w:rPr>
                <w:rFonts w:ascii="Arial" w:cs="Arial" w:eastAsia="Arial" w:hAnsi="Arial"/>
                <w:sz w:val="18"/>
                <w:szCs w:val="18"/>
                <w:color w:val="auto"/>
                <w:w w:val="98"/>
              </w:rPr>
              <w:t>Value per Share</w:t>
            </w:r>
          </w:p>
        </w:tc>
        <w:tc>
          <w:tcPr>
            <w:tcW w:w="100" w:type="dxa"/>
            <w:vAlign w:val="bottom"/>
          </w:tcPr>
          <w:p>
            <w:pPr>
              <w:spacing w:after="0"/>
              <w:rPr>
                <w:sz w:val="20"/>
                <w:szCs w:val="20"/>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(years)</w:t>
            </w:r>
          </w:p>
        </w:tc>
        <w:tc>
          <w:tcPr>
            <w:tcW w:w="200" w:type="dxa"/>
            <w:vAlign w:val="bottom"/>
          </w:tcPr>
          <w:p>
            <w:pPr>
              <w:spacing w:after="0"/>
              <w:rPr>
                <w:sz w:val="20"/>
                <w:szCs w:val="20"/>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Unissued as of December 31, 2016</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37.49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642.5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59.87</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issued</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Unissued as of December 31, 2017</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1,775.9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467.4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64.32</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issued</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54.84</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Unissued as of December 31, 2018</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51.88</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issued</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50.40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65.37</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Unissued as of December 31, 2019</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1,499.5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57.63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unissued as of December 31, 2019</w:t>
            </w: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vMerge w:val="continue"/>
          </w:tcPr>
          <w:p>
            <w:pPr>
              <w:spacing w:after="0"/>
              <w:rPr>
                <w:sz w:val="18"/>
                <w:szCs w:val="18"/>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color w:val="auto"/>
              </w:rPr>
              <w:t>573.7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During the years ended December 31, 2019, 2018 and 2017, we awarded our non-employee directors 35,376, 36,885 and 47,913 RSUs, respectively, which vested upon issuance.</w:t>
      </w:r>
    </w:p>
    <w:p>
      <w:pPr>
        <w:spacing w:after="0" w:line="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years ended December 31, 2019, 2018 and 2017, we awarded 328,142, 395,495 and 555,561 RSUs, respectively, to executives and employees that vest in four equal annual installments beginning on the anniversary date of the original grant or cliff vest after four years.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December 31, 2019, 2018 and 2017, we granted an additional 29,273, 35,071 and 38,986 RSUs, respectively, as dividend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RSUs do not carry any voting or dividend rights, except the right to receive additional RSUs in lieu of 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of RSUs is based on the closing market price on the date of the grant. The compensation expense related to RSUs is amortized ratably over the vesting period, or to the employee's retirement eligible date, if earlier.</w:t>
      </w:r>
    </w:p>
    <w:p>
      <w:pPr>
        <w:spacing w:after="0" w:line="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2019, 2018 and 2017, compensation expense related to RSUs totaled $24.8 million, $24.4 million and $23.5 million, respectively. As of December 31, 2019, total unrecognized compensation expense related to outstanding RSUs was $39.1 million, which will be recognized over a weighted average period of 2.5 years.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 stock unit (PSU) activity for the years ended December 31, 2019, 2018 and 2017:</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color w:val="auto"/>
                <w:w w:val="94"/>
              </w:rPr>
              <w:t>Weighted Average</w:t>
            </w:r>
          </w:p>
        </w:tc>
      </w:tr>
      <w:tr>
        <w:trPr>
          <w:trHeight w:val="216"/>
        </w:trPr>
        <w:tc>
          <w:tcPr>
            <w:tcW w:w="746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PSUs</w:t>
            </w:r>
          </w:p>
        </w:tc>
        <w:tc>
          <w:tcPr>
            <w:tcW w:w="180" w:type="dxa"/>
            <w:vAlign w:val="bottom"/>
          </w:tcPr>
          <w:p>
            <w:pPr>
              <w:spacing w:after="0"/>
              <w:rPr>
                <w:sz w:val="18"/>
                <w:szCs w:val="18"/>
                <w:color w:val="auto"/>
              </w:rPr>
            </w:pP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Grant Date Fair</w:t>
            </w:r>
          </w:p>
        </w:tc>
      </w:tr>
      <w:tr>
        <w:trPr>
          <w:trHeight w:val="230"/>
        </w:trPr>
        <w:tc>
          <w:tcPr>
            <w:tcW w:w="746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20"/>
                <w:szCs w:val="20"/>
                <w:color w:val="auto"/>
              </w:rPr>
            </w:pPr>
          </w:p>
        </w:tc>
        <w:tc>
          <w:tcPr>
            <w:tcW w:w="1680" w:type="dxa"/>
            <w:vAlign w:val="bottom"/>
          </w:tcPr>
          <w:p>
            <w:pPr>
              <w:jc w:val="right"/>
              <w:ind w:right="270"/>
              <w:spacing w:after="0"/>
              <w:rPr>
                <w:sz w:val="20"/>
                <w:szCs w:val="20"/>
                <w:color w:val="auto"/>
              </w:rPr>
            </w:pPr>
            <w:r>
              <w:rPr>
                <w:rFonts w:ascii="Arial" w:cs="Arial" w:eastAsia="Arial" w:hAnsi="Arial"/>
                <w:sz w:val="18"/>
                <w:szCs w:val="18"/>
                <w:color w:val="auto"/>
                <w:w w:val="99"/>
              </w:rPr>
              <w:t>Value per Share</w:t>
            </w:r>
          </w:p>
        </w:tc>
      </w:tr>
      <w:tr>
        <w:trPr>
          <w:trHeight w:val="27"/>
        </w:trPr>
        <w:tc>
          <w:tcPr>
            <w:tcW w:w="74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Unissued as of December 31, 2016</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44.40</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60.48</w:t>
            </w:r>
          </w:p>
        </w:tc>
      </w:tr>
      <w:tr>
        <w:trPr>
          <w:trHeight w:val="27"/>
        </w:trPr>
        <w:tc>
          <w:tcPr>
            <w:tcW w:w="7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2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rPr>
              <w:t>Forfeited</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53.79</w:t>
            </w:r>
          </w:p>
        </w:tc>
      </w:tr>
      <w:tr>
        <w:trPr>
          <w:trHeight w:val="27"/>
        </w:trPr>
        <w:tc>
          <w:tcPr>
            <w:tcW w:w="74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Unissued as of December 31, 2017</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50.52</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62.26</w:t>
            </w:r>
          </w:p>
        </w:tc>
      </w:tr>
      <w:tr>
        <w:trPr>
          <w:trHeight w:val="27"/>
        </w:trPr>
        <w:tc>
          <w:tcPr>
            <w:tcW w:w="7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39.05</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rPr>
              <w:t>Forfeited</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59.76</w:t>
            </w:r>
          </w:p>
        </w:tc>
      </w:tr>
      <w:tr>
        <w:trPr>
          <w:trHeight w:val="27"/>
        </w:trPr>
        <w:tc>
          <w:tcPr>
            <w:tcW w:w="74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Unissued as of December 31, 2018</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55.77</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71.22</w:t>
            </w:r>
          </w:p>
        </w:tc>
      </w:tr>
      <w:tr>
        <w:trPr>
          <w:trHeight w:val="27"/>
        </w:trPr>
        <w:tc>
          <w:tcPr>
            <w:tcW w:w="7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47.11</w:t>
            </w:r>
          </w:p>
        </w:tc>
      </w:tr>
      <w:tr>
        <w:trPr>
          <w:trHeight w:val="243"/>
        </w:trPr>
        <w:tc>
          <w:tcPr>
            <w:tcW w:w="7460" w:type="dxa"/>
            <w:vAlign w:val="bottom"/>
          </w:tcPr>
          <w:p>
            <w:pPr>
              <w:spacing w:after="0"/>
              <w:rPr>
                <w:sz w:val="20"/>
                <w:szCs w:val="20"/>
                <w:color w:val="auto"/>
              </w:rPr>
            </w:pPr>
            <w:r>
              <w:rPr>
                <w:rFonts w:ascii="Arial" w:cs="Arial" w:eastAsia="Arial" w:hAnsi="Arial"/>
                <w:sz w:val="18"/>
                <w:szCs w:val="18"/>
                <w:color w:val="auto"/>
              </w:rPr>
              <w:t>Forfeited</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67.77</w:t>
            </w:r>
          </w:p>
        </w:tc>
      </w:tr>
      <w:tr>
        <w:trPr>
          <w:trHeight w:val="27"/>
        </w:trPr>
        <w:tc>
          <w:tcPr>
            <w:tcW w:w="74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89"/>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Unissued as of December 31, 2019</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919.2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65.92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the years ended December 31, 2019, 2018 and 2017, we awarded 156,931, 168,627 and 116,872 performance shares (PSUs) to our named executive officers, respectively. These awards are performance-based as the number of shares ultimately earned depends on performance against pre-determined targets for return on invested capital (ROIC), cash flow value creation (CFVC), and total shareholder return relative to the S&amp;P 500 index (RTSR). The PSUs are payable 50% in shares of common stock and 50% in cash after the end of a three-year performance period, when our financial performance for the entire performance period is reported, typically in February of the succeeding year. At the end of the performance period, the number of PSUs awarded can range from 0% to 150% of the targeted amount, depending on the performance against the pre-determined targets.</w:t>
      </w:r>
    </w:p>
    <w:p>
      <w:pPr>
        <w:spacing w:after="0" w:line="4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the years ended December 31, 2019, 2018 and 2017, we awarded 181,589, 187,036, and 183,908 PSUs to our employees other than our named executive officers, respectively. The PSUs are payable 100% in shares of common stock after the end of a three-year performance period, when our financial performance for the entire performance period is reported, typically in February of the succeeding year. At the end of the performance period, the number of PSUs awarded can range from 0% to 150% of the targeted amount, depending on the performance against the pre-determined targets.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December 31, 2019, 2018 and 2017, we granted an additional 17,612, 19,204, and 15,330 PSUs, respectively, as dividend equivalents.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PSUs do not carry any voting or dividend rights, except the right to accumulate additional PSUs in lieu of 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stock-settled portion of the award that vests based on future ROIC and CFVC performance, compensation expense is measured using the fair value of our common stock at the grant date. For the cash-settled portion of the award that vests based on future ROIC and CFVC performance, compensation expense is recorded based on the fair value of our common stock at the end of each reporting period. Compensation expense is recognized ratably over the performance period based on our estimated achievement of the established performance criteria. Compensation expense is only recognized for the portion of the award that we expect to vest, which we estimate based on an assessment of the probability that the performance criteria will be achieved.</w:t>
      </w:r>
    </w:p>
    <w:p>
      <w:pPr>
        <w:spacing w:after="0" w:line="3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the stock-settled portion of the award that vests based on RTSR, the grant date fair value is based on a Monte Carlo valuation and compensation expense is recognized on a straight-line basis over the vesting period. For the cash-settled portion of the award that vests based on RTSR, compensation expense also incorporates the fair value of our PSUs at the end of each reporting period. Compensation expense is recognized for the RTSR portion of the award whether or not the market conditions are achieved.</w:t>
      </w:r>
    </w:p>
    <w:p>
      <w:pPr>
        <w:spacing w:after="0" w:line="6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2019, 2018 and 2017, compensation expense related to PSUs totaled $22.5 million, $20.3 million, and $16.8 million, respectively. As of December 31, 2019, total unrecognized compensation expense related to outstanding PSUs was $19.3 million, which will be recognized over a weighted average period of 0.9 years.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1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currently have one qualified defined benefit pension plan, the BFI Retirement Plan (the Plan). The Plan covers certain employees in the United States, including some employees subject to collective bargaining agreements.</w:t>
      </w:r>
    </w:p>
    <w:p>
      <w:pPr>
        <w:spacing w:after="0" w:line="3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Plan benefits are frozen. Interest credits continue to be earned by participants in the Plan, and participants whose collective bargaining agreements provide for additional benefit accruals under the Plan continue to receive those credits in accordance with the terms of their bargaining agreements. The Plan was converted from a traditional defined benefit plan to a cash balance plan in 1993.</w:t>
      </w:r>
    </w:p>
    <w:p>
      <w:pPr>
        <w:spacing w:after="0" w:line="6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Prior to the conversion to the cash balance design, benefits payable as a single life annuity under the Plan were based on the participant’s highest five years of earnings out of the last ten years of service. Upon conversion to the cash balance plan, the existing accrued benefits were converted to a lump-sum value using the actuarial assumptions in effect at the time. Participants’ cash balance accounts are increased until retirement by certain benefit and interest credits under the terms of their bargaining agreements. Participants may elect early retirement with the attainment of age 55 and completion of ten years of credited service at reduced benefits. Participants with 35 years of service may retire at age 62 without any reduction in benefits.</w:t>
      </w:r>
    </w:p>
    <w:p>
      <w:pPr>
        <w:spacing w:after="0" w:line="37" w:lineRule="exact"/>
        <w:rPr>
          <w:sz w:val="20"/>
          <w:szCs w:val="20"/>
          <w:color w:val="auto"/>
        </w:rPr>
      </w:pPr>
    </w:p>
    <w:p>
      <w:pPr>
        <w:ind w:right="420"/>
        <w:spacing w:after="0" w:line="334" w:lineRule="auto"/>
        <w:rPr>
          <w:sz w:val="20"/>
          <w:szCs w:val="20"/>
          <w:color w:val="auto"/>
        </w:rPr>
      </w:pPr>
      <w:r>
        <w:rPr>
          <w:rFonts w:ascii="Arial" w:cs="Arial" w:eastAsia="Arial" w:hAnsi="Arial"/>
          <w:sz w:val="16"/>
          <w:szCs w:val="16"/>
          <w:color w:val="auto"/>
        </w:rPr>
        <w:t>Our pension contributions are made in accordance with funding standards established by the Employee Retirement Income Security Act of 1974 and the Internal Revenue Code, as amended by the Pension Protection Act enacted in 2006 (the PPA). No contributions were made in 2019 or 2018.</w:t>
      </w:r>
    </w:p>
    <w:p>
      <w:pPr>
        <w:spacing w:after="0" w:line="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must separately recognize the overfunded or underfunded status of the Plan as an asset or liability. The funded status represents the difference between the projected benefit obligation (PBO) and the fair value of the Plan assets. The PBO is equal to the accumulated benefit obligation (ABO) as the Plan is frozen, and the present value of liabilities is not affected by future salary increases. We use a measurement date that coincides with our year end of December 31.</w:t>
      </w:r>
    </w:p>
    <w:p>
      <w:pPr>
        <w:spacing w:after="0" w:line="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ABO and reconciliations of the changes in the PBO, the Plan assets and the accounting funded status of our defined benefit pension plan for the years ended December 31:</w:t>
      </w:r>
    </w:p>
    <w:p>
      <w:pPr>
        <w:spacing w:after="0" w:line="170" w:lineRule="exact"/>
        <w:rPr>
          <w:sz w:val="20"/>
          <w:szCs w:val="20"/>
          <w:color w:val="auto"/>
        </w:rPr>
      </w:pPr>
    </w:p>
    <w:p>
      <w:pPr>
        <w:jc w:val="center"/>
        <w:ind w:left="8420"/>
        <w:spacing w:after="0"/>
        <w:rPr>
          <w:sz w:val="20"/>
          <w:szCs w:val="20"/>
          <w:color w:val="auto"/>
        </w:rPr>
      </w:pPr>
      <w:r>
        <w:rPr>
          <w:rFonts w:ascii="Arial" w:cs="Arial" w:eastAsia="Arial" w:hAnsi="Arial"/>
          <w:sz w:val="18"/>
          <w:szCs w:val="18"/>
          <w:color w:val="auto"/>
        </w:rPr>
        <w:t>Defined Benefit</w:t>
      </w:r>
    </w:p>
    <w:p>
      <w:pPr>
        <w:spacing w:after="0" w:line="23" w:lineRule="exact"/>
        <w:rPr>
          <w:sz w:val="20"/>
          <w:szCs w:val="20"/>
          <w:color w:val="auto"/>
        </w:rPr>
      </w:pPr>
    </w:p>
    <w:p>
      <w:pPr>
        <w:jc w:val="center"/>
        <w:ind w:left="8420"/>
        <w:spacing w:after="0"/>
        <w:rPr>
          <w:sz w:val="20"/>
          <w:szCs w:val="20"/>
          <w:color w:val="auto"/>
        </w:rPr>
      </w:pPr>
      <w:r>
        <w:rPr>
          <w:rFonts w:ascii="Arial" w:cs="Arial" w:eastAsia="Arial" w:hAnsi="Arial"/>
          <w:sz w:val="18"/>
          <w:szCs w:val="18"/>
          <w:color w:val="auto"/>
        </w:rPr>
        <w:t>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22860</wp:posOffset>
            </wp:positionV>
            <wp:extent cx="18522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43"/>
        </w:trPr>
        <w:tc>
          <w:tcPr>
            <w:tcW w:w="8460" w:type="dxa"/>
            <w:vAlign w:val="bottom"/>
          </w:tcPr>
          <w:p>
            <w:pPr>
              <w:ind w:left="20"/>
              <w:spacing w:after="0"/>
              <w:rPr>
                <w:sz w:val="20"/>
                <w:szCs w:val="20"/>
                <w:color w:val="auto"/>
              </w:rPr>
            </w:pPr>
            <w:r>
              <w:rPr>
                <w:rFonts w:ascii="Arial" w:cs="Arial" w:eastAsia="Arial" w:hAnsi="Arial"/>
                <w:sz w:val="18"/>
                <w:szCs w:val="18"/>
                <w:color w:val="auto"/>
              </w:rPr>
              <w:t>Change in projected benefit obligation:</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Actuarial (gain) loss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end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Change in plan assets: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Estimated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Over funded status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6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recognized in the statement of financial position consist of:</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 recognized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60" w:type="dxa"/>
            <w:vAlign w:val="bottom"/>
          </w:tcPr>
          <w:p>
            <w:pPr>
              <w:ind w:left="20"/>
              <w:spacing w:after="0"/>
              <w:rPr>
                <w:sz w:val="20"/>
                <w:szCs w:val="20"/>
                <w:color w:val="auto"/>
              </w:rPr>
            </w:pPr>
            <w:r>
              <w:rPr>
                <w:rFonts w:ascii="Arial" w:cs="Arial" w:eastAsia="Arial" w:hAnsi="Arial"/>
                <w:sz w:val="18"/>
                <w:szCs w:val="18"/>
                <w:color w:val="auto"/>
              </w:rPr>
              <w:t>Weighted average assumptions used to determine benefit obligations:</w:t>
            </w:r>
          </w:p>
        </w:tc>
        <w:tc>
          <w:tcPr>
            <w:tcW w:w="3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7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Discount rate</w:t>
            </w:r>
          </w:p>
        </w:tc>
        <w:tc>
          <w:tcPr>
            <w:tcW w:w="31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3.06 %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4.21 %</w:t>
            </w:r>
          </w:p>
        </w:tc>
      </w:tr>
      <w:tr>
        <w:trPr>
          <w:trHeight w:val="243"/>
        </w:trPr>
        <w:tc>
          <w:tcPr>
            <w:tcW w:w="7160" w:type="dxa"/>
            <w:vAlign w:val="bottom"/>
          </w:tcPr>
          <w:p>
            <w:pPr>
              <w:ind w:left="120"/>
              <w:spacing w:after="0"/>
              <w:rPr>
                <w:sz w:val="20"/>
                <w:szCs w:val="20"/>
                <w:color w:val="auto"/>
              </w:rPr>
            </w:pPr>
            <w:r>
              <w:rPr>
                <w:rFonts w:ascii="Arial" w:cs="Arial" w:eastAsia="Arial" w:hAnsi="Arial"/>
                <w:sz w:val="18"/>
                <w:szCs w:val="18"/>
                <w:color w:val="auto"/>
              </w:rPr>
              <w:t>Rate of compensation increase</w:t>
            </w:r>
          </w:p>
        </w:tc>
        <w:tc>
          <w:tcPr>
            <w:tcW w:w="3180" w:type="dxa"/>
            <w:vAlign w:val="bottom"/>
          </w:tcPr>
          <w:p>
            <w:pPr>
              <w:jc w:val="right"/>
              <w:ind w:right="410"/>
              <w:spacing w:after="0"/>
              <w:rPr>
                <w:sz w:val="20"/>
                <w:szCs w:val="20"/>
                <w:color w:val="auto"/>
              </w:rPr>
            </w:pPr>
            <w:r>
              <w:rPr>
                <w:rFonts w:ascii="Arial" w:cs="Arial" w:eastAsia="Arial" w:hAnsi="Arial"/>
                <w:sz w:val="18"/>
                <w:szCs w:val="18"/>
                <w:color w:val="auto"/>
              </w:rPr>
              <w:t>N/A</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amounts included in accumulated other comprehensive income on the consolidated balance sheets that have not yet been recognized as components of net periodic benefit cost as of December 31, 2019 and 2018 were $20.8 million and $24.5 million, respectively.</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the years ended December 31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700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6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r>
      <w:tr>
        <w:trPr>
          <w:trHeight w:val="243"/>
        </w:trPr>
        <w:tc>
          <w:tcPr>
            <w:tcW w:w="7000" w:type="dxa"/>
            <w:vAlign w:val="bottom"/>
          </w:tcPr>
          <w:p>
            <w:pPr>
              <w:ind w:left="120"/>
              <w:spacing w:after="0"/>
              <w:rPr>
                <w:sz w:val="20"/>
                <w:szCs w:val="20"/>
                <w:color w:val="auto"/>
              </w:rPr>
            </w:pPr>
            <w:r>
              <w:rPr>
                <w:rFonts w:ascii="Arial" w:cs="Arial" w:eastAsia="Arial" w:hAnsi="Arial"/>
                <w:sz w:val="18"/>
                <w:szCs w:val="18"/>
                <w:color w:val="auto"/>
              </w:rPr>
              <w:t>Recognized net actuarial (gain)</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(0.4)</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7000" w:type="dxa"/>
            <w:vAlign w:val="bottom"/>
          </w:tcPr>
          <w:p>
            <w:pPr>
              <w:ind w:left="2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243"/>
        </w:trPr>
        <w:tc>
          <w:tcPr>
            <w:tcW w:w="7000" w:type="dxa"/>
            <w:vAlign w:val="bottom"/>
          </w:tcPr>
          <w:p>
            <w:pPr>
              <w:ind w:left="120"/>
              <w:spacing w:after="0"/>
              <w:rPr>
                <w:sz w:val="20"/>
                <w:szCs w:val="20"/>
                <w:color w:val="auto"/>
              </w:rPr>
            </w:pPr>
            <w:r>
              <w:rPr>
                <w:rFonts w:ascii="Arial" w:cs="Arial" w:eastAsia="Arial" w:hAnsi="Arial"/>
                <w:sz w:val="18"/>
                <w:szCs w:val="18"/>
                <w:color w:val="auto"/>
              </w:rPr>
              <w:t>Discount rate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000" w:type="dxa"/>
            <w:vAlign w:val="bottom"/>
          </w:tcPr>
          <w:p>
            <w:pPr>
              <w:ind w:left="120"/>
              <w:spacing w:after="0"/>
              <w:rPr>
                <w:sz w:val="20"/>
                <w:szCs w:val="20"/>
                <w:color w:val="auto"/>
              </w:rPr>
            </w:pPr>
            <w:r>
              <w:rPr>
                <w:rFonts w:ascii="Arial" w:cs="Arial" w:eastAsia="Arial" w:hAnsi="Arial"/>
                <w:sz w:val="18"/>
                <w:szCs w:val="18"/>
                <w:color w:val="auto"/>
              </w:rPr>
              <w:t>Rate of compensation increase</w:t>
            </w:r>
          </w:p>
        </w:tc>
        <w:tc>
          <w:tcPr>
            <w:tcW w:w="300" w:type="dxa"/>
            <w:vAlign w:val="bottom"/>
          </w:tcPr>
          <w:p>
            <w:pPr>
              <w:spacing w:after="0"/>
              <w:rPr>
                <w:sz w:val="21"/>
                <w:szCs w:val="21"/>
                <w:color w:val="auto"/>
              </w:rPr>
            </w:pPr>
          </w:p>
        </w:tc>
        <w:tc>
          <w:tcPr>
            <w:tcW w:w="1500" w:type="dxa"/>
            <w:vAlign w:val="bottom"/>
            <w:gridSpan w:val="4"/>
          </w:tcPr>
          <w:p>
            <w:pPr>
              <w:jc w:val="right"/>
              <w:ind w:right="35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r>
    </w:tbl>
    <w:p>
      <w:pPr>
        <w:spacing w:after="0" w:line="17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determine the discount rate used in the measurement of our obligations based on a model that matches the timing and amount of expected benefit payments to maturities of high quality bonds priced as of the Plan measurement date. When that timing does not correspond to a published high-quality bond rate, our model uses an expected yield curve to determine an appropriate current discount rate. The yields on the bonds are used to derive a discount rate for the liability. The term of our obligation, based on the expected retirement dates of our workforce, is approximately seven years.</w:t>
      </w:r>
    </w:p>
    <w:p>
      <w:pPr>
        <w:spacing w:after="0" w:line="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developing our expected rate of return assumption, we have evaluated the actual historical performance and long-term return projections of the Plan assets, which give consideration to the asset mix and the anticipated timing of the Plan outflows. We employ a total return investment approach whereby a mix of equity and fixed income investments are used to maximize the long-term return of Plan assets for what we consider a prudent level of risk. The intent of this strategy is to minimize Plan expenses by outperforming Plan liabilities over the long run. Risk tolerance is established through careful consideration of Plan liabilities, Plan funded status and our financial condition. The investment portfolio contains a diversified blend of equity and fixed income investments. Furthermore, equity investments are diversified across U.S. and non-U.S. stocks as well as growth, value, and small and large capitalizations. Derivatives may be used to gain market exposure in an efficient and timely manner; however, derivatives may not be used to leverage the portfolio beyond the market value of the underlying investments. Investment risk is measured and monitored on an ongoing basis through annual liability measurements, periodic asset and liability studies, and quarterly investment portfolio reviews.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target asset allocation as of December 31, 2019 and the actual asset allocation as of December 31, 2019 and 2018 for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125730</wp:posOffset>
            </wp:positionV>
            <wp:extent cx="29927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31, 2019</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2019</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December 31, 2018</w:t>
            </w:r>
          </w:p>
        </w:tc>
      </w:tr>
      <w:tr>
        <w:trPr>
          <w:trHeight w:val="256"/>
        </w:trPr>
        <w:tc>
          <w:tcPr>
            <w:tcW w:w="6680" w:type="dxa"/>
            <w:vAlign w:val="bottom"/>
          </w:tcPr>
          <w:p>
            <w:pPr>
              <w:spacing w:after="0"/>
              <w:rPr>
                <w:sz w:val="22"/>
                <w:szCs w:val="2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Target</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Actual</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Actual</w:t>
            </w:r>
          </w:p>
        </w:tc>
      </w:tr>
      <w:tr>
        <w:trPr>
          <w:trHeight w:val="216"/>
        </w:trPr>
        <w:tc>
          <w:tcPr>
            <w:tcW w:w="66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Asset</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Asset</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Asset</w:t>
            </w:r>
          </w:p>
        </w:tc>
      </w:tr>
      <w:tr>
        <w:trPr>
          <w:trHeight w:val="230"/>
        </w:trPr>
        <w:tc>
          <w:tcPr>
            <w:tcW w:w="668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Allocation</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Allocation</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Allocation</w:t>
            </w:r>
          </w:p>
        </w:tc>
      </w:tr>
      <w:tr>
        <w:trPr>
          <w:trHeight w:val="27"/>
        </w:trPr>
        <w:tc>
          <w:tcPr>
            <w:tcW w:w="66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7"/>
        </w:trPr>
        <w:tc>
          <w:tcPr>
            <w:tcW w:w="66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Asset allocations are reviewed and rebalanced periodically based on funded status. For 2020, the investment strategy for Plan assets is to maintain a broadly diversified portfolio designed to achieve our target of an average long-term rate of return of 4.45%. While we believe we can achieve a long-term average return of 4.45%, we cannot be certain that the portfolio will perform to our expectations. Assets are strategically allocated among debt and equity portfolios to achieve a diversification level that reduces fluctuations in investment returns. Asset allocation target ranges and strategies are reviewed periodically with the assistance of an independent external consulting firm.</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Plan assets are measured at fair value. The following table summarizes, by level, within the fair value hierarchy, the investments of the Plan at fair value as of December 31,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gridSpan w:val="11"/>
          </w:tcPr>
          <w:p>
            <w:pPr>
              <w:jc w:val="right"/>
              <w:ind w:right="870"/>
              <w:spacing w:after="0"/>
              <w:rPr>
                <w:sz w:val="20"/>
                <w:szCs w:val="20"/>
                <w:color w:val="auto"/>
              </w:rPr>
            </w:pPr>
            <w:r>
              <w:rPr>
                <w:rFonts w:ascii="Arial" w:cs="Arial" w:eastAsia="Arial" w:hAnsi="Arial"/>
                <w:sz w:val="18"/>
                <w:szCs w:val="18"/>
                <w:color w:val="auto"/>
              </w:rPr>
              <w:t>Fair Value Measurements Using</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color w:val="auto"/>
                <w:w w:val="87"/>
              </w:rPr>
              <w:t>Quoted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Significant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Prices in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3"/>
              </w:rPr>
              <w:t>Significant</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Total as of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color w:val="auto"/>
                <w:w w:val="97"/>
              </w:rPr>
              <w:t>Active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Observable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Unobservable</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Markets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Inputs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3"/>
              </w:rPr>
              <w:t>Inputs</w:t>
            </w: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color w:val="auto"/>
                <w:w w:val="97"/>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(Level 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4"/>
              </w:rPr>
              <w:t>(Level 3)</w:t>
            </w:r>
          </w:p>
        </w:tc>
        <w:tc>
          <w:tcPr>
            <w:tcW w:w="2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226.6</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1"/>
        </w:trPr>
        <w:tc>
          <w:tcPr>
            <w:tcW w:w="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gridSpan w:val="11"/>
          </w:tcPr>
          <w:p>
            <w:pPr>
              <w:jc w:val="right"/>
              <w:ind w:right="850"/>
              <w:spacing w:after="0"/>
              <w:rPr>
                <w:sz w:val="20"/>
                <w:szCs w:val="20"/>
                <w:color w:val="auto"/>
              </w:rPr>
            </w:pPr>
            <w:r>
              <w:rPr>
                <w:rFonts w:ascii="Arial" w:cs="Arial" w:eastAsia="Arial" w:hAnsi="Arial"/>
                <w:sz w:val="18"/>
                <w:szCs w:val="18"/>
                <w:color w:val="auto"/>
              </w:rPr>
              <w:t>Fair Value Measurements Using</w:t>
            </w:r>
          </w:p>
        </w:tc>
        <w:tc>
          <w:tcPr>
            <w:tcW w:w="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Quoted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Significant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Prices in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3"/>
              </w:rPr>
              <w:t>Significant</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Total as of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7"/>
              </w:rPr>
              <w:t>Active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Observable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90"/>
              </w:rPr>
              <w:t>Unobservable</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Markets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Inputs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3"/>
              </w:rPr>
              <w:t>Inputs</w:t>
            </w: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7"/>
              </w:rPr>
              <w:t>(Level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(Level 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4"/>
              </w:rPr>
              <w:t>(Level 3)</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Mutual funds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226.1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9"/>
        </w:trPr>
        <w:tc>
          <w:tcPr>
            <w:tcW w:w="40" w:type="dxa"/>
            <w:vAlign w:val="bottom"/>
          </w:tcPr>
          <w:p>
            <w:pPr>
              <w:spacing w:after="0"/>
              <w:rPr>
                <w:sz w:val="24"/>
                <w:szCs w:val="24"/>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6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5800" w:type="dxa"/>
            <w:vAlign w:val="bottom"/>
            <w:gridSpan w:val="4"/>
          </w:tcPr>
          <w:p>
            <w:pPr>
              <w:spacing w:after="0"/>
              <w:rPr>
                <w:sz w:val="20"/>
                <w:szCs w:val="20"/>
                <w:color w:val="auto"/>
              </w:rPr>
            </w:pPr>
            <w:r>
              <w:rPr>
                <w:rFonts w:ascii="Arial" w:cs="Arial" w:eastAsia="Arial" w:hAnsi="Arial"/>
                <w:sz w:val="18"/>
                <w:szCs w:val="18"/>
                <w:color w:val="auto"/>
                <w:w w:val="92"/>
              </w:rPr>
              <w:t>Estimated future benefit payments for the next ten years under the Plan follow:</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56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1"/>
                <w:szCs w:val="21"/>
                <w:color w:val="auto"/>
              </w:rPr>
            </w:pPr>
          </w:p>
        </w:tc>
      </w:tr>
      <w:tr>
        <w:trPr>
          <w:trHeight w:val="27"/>
        </w:trPr>
        <w:tc>
          <w:tcPr>
            <w:tcW w:w="5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1"/>
                <w:szCs w:val="21"/>
                <w:color w:val="auto"/>
              </w:rPr>
            </w:pPr>
          </w:p>
        </w:tc>
      </w:tr>
      <w:tr>
        <w:trPr>
          <w:trHeight w:val="27"/>
        </w:trPr>
        <w:tc>
          <w:tcPr>
            <w:tcW w:w="5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2025 through 2029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21"/>
                <w:szCs w:val="2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Collective Bargaining Agreements</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2019, approximately 24% of our workforce was covered by collective bargaining agreements (CBAs), and approximately 4% of our workforce was covered by CBAs that will expire during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participate in multiemployer pension plans that generally provide retirement benefits to participants of contributing employers. We do not administer these plans. In general, these plans are managed by a board of trustees with the unions appointing certain trustees and other contributing employers of the plan appointing certain members. We generally are not represented on the board of trustees.</w:t>
      </w:r>
    </w:p>
    <w:p>
      <w:pPr>
        <w:spacing w:after="0" w:line="6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Based on the information available to us, we believe that some of the multiemployer plans to which we contribute are either critical or endangered as those terms are defined in the Pension Protection Act (PPA). The PPA requires underfunded pension plans to improve their funding ratios within prescribed intervals based on the level of their underfunding. Until the plan trustees develop the funding improvement plans or rehabilitation plans as required by the PPA, we cannot determine the amount of assessments we may be subject to, if any. Accordingly, we cannot presently determine the effect that the PPA may have on our consolidated financial position, results of operations or cash flows.</w:t>
      </w:r>
    </w:p>
    <w:p>
      <w:pPr>
        <w:spacing w:after="0" w:line="3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Furthermore, under current law regarding multiemployer benefit plans, a plan’s termination, our voluntary withdrawal (which we consider from time to time), or the mass withdrawal of all contributing employers from any under-funded multiemployer pension plan would require us to make payments to the plan for our proportionate share of the multiemployer plan’s unfunded vested liabilities. It is possible that there may be a mass withdrawal of employers contributing to these plans or plans may terminate in the near future. We could have adjustments to our estimates for these matters in the near term that could have a material effect on our consolidated financial position, results of operations and cash flows.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Republic’s participation in individually significant multiemployer pension plans for the year ended December 31, 2019 is outlined in the table below. Only with respect to multiemployer pension plans, we considered contributions in excess of $2.0 million in any period disclosed to be individually significant. The most recent PPA zone status available in 2019 and 2018 is for the plans’ year ended September 30, or December 31, 2018 and 2017, respectively. The status is based on information that Republic received from the plans and is certified by the plans’ actuary. Among other factors, plans in the critical red zone are generally less than 65% funded, plans in the endangered yellow zone are less than 80% funded, and plans in the safe green zone are at least 80% funded. Plans in the critical and declining zone are classified as critical and projected to be insolvent in the current year or any of the 14 following plan years. The last column lists the expiration dates of the CBAs to which the plans are subject. There have been no significant changes that affect the comparability of the 2019, 2018 and 2017 contributions.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4"/>
              </w:rPr>
              <w:t>Funding</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2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Improvement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or Rehabilitation</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Pension Protection</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Plan Status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5"/>
              </w:rPr>
              <w:t>Republic</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9"/>
              </w:rPr>
              <w:t>Expiration</w:t>
            </w:r>
          </w:p>
        </w:tc>
      </w:tr>
      <w:tr>
        <w:trPr>
          <w:trHeight w:val="188"/>
        </w:trPr>
        <w:tc>
          <w:tcPr>
            <w:tcW w:w="2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Act Zone Status</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4"/>
              </w:rPr>
              <w:t>Pending /</w:t>
            </w: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color w:val="auto"/>
                <w:w w:val="93"/>
              </w:rPr>
              <w:t>Contributions to Plan</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Surcharge</w:t>
            </w: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Dates</w:t>
            </w:r>
          </w:p>
        </w:tc>
      </w:tr>
      <w:tr>
        <w:trPr>
          <w:trHeight w:val="196"/>
        </w:trPr>
        <w:tc>
          <w:tcPr>
            <w:tcW w:w="2020" w:type="dxa"/>
            <w:vAlign w:val="bottom"/>
          </w:tcPr>
          <w:p>
            <w:pPr>
              <w:ind w:left="20"/>
              <w:spacing w:after="0"/>
              <w:rPr>
                <w:sz w:val="20"/>
                <w:szCs w:val="20"/>
                <w:color w:val="auto"/>
              </w:rPr>
            </w:pPr>
            <w:r>
              <w:rPr>
                <w:rFonts w:ascii="Arial" w:cs="Arial" w:eastAsia="Arial" w:hAnsi="Arial"/>
                <w:sz w:val="14"/>
                <w:szCs w:val="14"/>
                <w:color w:val="auto"/>
              </w:rPr>
              <w:t>Legal Plan Name</w:t>
            </w:r>
          </w:p>
        </w:tc>
        <w:tc>
          <w:tcPr>
            <w:tcW w:w="1560" w:type="dxa"/>
            <w:vAlign w:val="bottom"/>
            <w:gridSpan w:val="2"/>
          </w:tcPr>
          <w:p>
            <w:pPr>
              <w:jc w:val="center"/>
              <w:ind w:left="248"/>
              <w:spacing w:after="0"/>
              <w:rPr>
                <w:sz w:val="20"/>
                <w:szCs w:val="20"/>
                <w:color w:val="auto"/>
              </w:rPr>
            </w:pPr>
            <w:r>
              <w:rPr>
                <w:rFonts w:ascii="Arial" w:cs="Arial" w:eastAsia="Arial" w:hAnsi="Arial"/>
                <w:sz w:val="14"/>
                <w:szCs w:val="14"/>
                <w:color w:val="auto"/>
              </w:rPr>
              <w:t>EIN</w:t>
            </w: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3"/>
              </w:rPr>
              <w:t>Implemented</w:t>
            </w:r>
          </w:p>
        </w:tc>
        <w:tc>
          <w:tcPr>
            <w:tcW w:w="140" w:type="dxa"/>
            <w:vAlign w:val="bottom"/>
          </w:tcPr>
          <w:p>
            <w:pPr>
              <w:spacing w:after="0"/>
              <w:rPr>
                <w:sz w:val="17"/>
                <w:szCs w:val="17"/>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color w:val="auto"/>
                <w:w w:val="96"/>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w w:val="96"/>
              </w:rPr>
              <w:t>2017</w:t>
            </w: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Imposed</w:t>
            </w:r>
          </w:p>
        </w:tc>
        <w:tc>
          <w:tcPr>
            <w:tcW w:w="980" w:type="dxa"/>
            <w:vAlign w:val="bottom"/>
          </w:tcPr>
          <w:p>
            <w:pPr>
              <w:jc w:val="center"/>
              <w:spacing w:after="0"/>
              <w:rPr>
                <w:sz w:val="20"/>
                <w:szCs w:val="20"/>
                <w:color w:val="auto"/>
              </w:rPr>
            </w:pPr>
            <w:r>
              <w:rPr>
                <w:rFonts w:ascii="Arial" w:cs="Arial" w:eastAsia="Arial" w:hAnsi="Arial"/>
                <w:sz w:val="14"/>
                <w:szCs w:val="14"/>
                <w:color w:val="auto"/>
                <w:w w:val="97"/>
              </w:rPr>
              <w:t>of CBAs</w:t>
            </w:r>
          </w:p>
        </w:tc>
      </w:tr>
      <w:tr>
        <w:trPr>
          <w:trHeight w:val="156"/>
        </w:trPr>
        <w:tc>
          <w:tcPr>
            <w:tcW w:w="202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Local 731 Private</w:t>
            </w:r>
          </w:p>
        </w:tc>
        <w:tc>
          <w:tcPr>
            <w:tcW w:w="1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49"/>
        </w:trPr>
        <w:tc>
          <w:tcPr>
            <w:tcW w:w="2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Scavengers and Garage</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Various dates</w:t>
            </w:r>
          </w:p>
        </w:tc>
      </w:tr>
      <w:tr>
        <w:trPr>
          <w:trHeight w:val="149"/>
        </w:trPr>
        <w:tc>
          <w:tcPr>
            <w:tcW w:w="2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Attendants Pension</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through</w:t>
            </w:r>
          </w:p>
        </w:tc>
      </w:tr>
      <w:tr>
        <w:trPr>
          <w:trHeight w:val="194"/>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Trust Fund</w:t>
            </w:r>
          </w:p>
        </w:tc>
        <w:tc>
          <w:tcPr>
            <w:tcW w:w="1440" w:type="dxa"/>
            <w:vAlign w:val="bottom"/>
            <w:shd w:val="clear" w:color="auto" w:fill="CCEEFF"/>
          </w:tcPr>
          <w:p>
            <w:pPr>
              <w:jc w:val="center"/>
              <w:ind w:left="348"/>
              <w:spacing w:after="0"/>
              <w:rPr>
                <w:sz w:val="20"/>
                <w:szCs w:val="20"/>
                <w:color w:val="auto"/>
              </w:rPr>
            </w:pPr>
            <w:r>
              <w:rPr>
                <w:rFonts w:ascii="Arial" w:cs="Arial" w:eastAsia="Arial" w:hAnsi="Arial"/>
                <w:sz w:val="14"/>
                <w:szCs w:val="14"/>
                <w:color w:val="auto"/>
                <w:w w:val="93"/>
              </w:rPr>
              <w:t>36-6513567</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Safe</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Safe</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Implemented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No</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9/30/23</w:t>
            </w:r>
          </w:p>
        </w:tc>
      </w:tr>
      <w:tr>
        <w:trPr>
          <w:trHeight w:val="157"/>
        </w:trPr>
        <w:tc>
          <w:tcPr>
            <w:tcW w:w="20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1"/>
              </w:rPr>
              <w:t>Various dates</w:t>
            </w:r>
          </w:p>
        </w:tc>
      </w:tr>
      <w:tr>
        <w:trPr>
          <w:trHeight w:val="149"/>
        </w:trPr>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Western Conference of</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ind w:left="260"/>
              <w:spacing w:after="0" w:line="149" w:lineRule="exact"/>
              <w:rPr>
                <w:sz w:val="20"/>
                <w:szCs w:val="20"/>
                <w:color w:val="auto"/>
              </w:rPr>
            </w:pPr>
            <w:r>
              <w:rPr>
                <w:rFonts w:ascii="Arial" w:cs="Arial" w:eastAsia="Arial" w:hAnsi="Arial"/>
                <w:sz w:val="14"/>
                <w:szCs w:val="14"/>
                <w:color w:val="auto"/>
              </w:rPr>
              <w:t>through</w:t>
            </w: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color w:val="auto"/>
              </w:rPr>
              <w:t>Teamsters Pension Plan</w:t>
            </w:r>
          </w:p>
        </w:tc>
        <w:tc>
          <w:tcPr>
            <w:tcW w:w="1440" w:type="dxa"/>
            <w:vAlign w:val="bottom"/>
          </w:tcPr>
          <w:p>
            <w:pPr>
              <w:jc w:val="center"/>
              <w:ind w:left="348"/>
              <w:spacing w:after="0"/>
              <w:rPr>
                <w:sz w:val="20"/>
                <w:szCs w:val="20"/>
                <w:color w:val="auto"/>
              </w:rPr>
            </w:pPr>
            <w:r>
              <w:rPr>
                <w:rFonts w:ascii="Arial" w:cs="Arial" w:eastAsia="Arial" w:hAnsi="Arial"/>
                <w:sz w:val="14"/>
                <w:szCs w:val="14"/>
                <w:color w:val="auto"/>
                <w:w w:val="93"/>
              </w:rPr>
              <w:t>91-6145047</w:t>
            </w:r>
          </w:p>
        </w:tc>
        <w:tc>
          <w:tcPr>
            <w:tcW w:w="12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Safe</w:t>
            </w:r>
          </w:p>
        </w:tc>
        <w:tc>
          <w:tcPr>
            <w:tcW w:w="1000" w:type="dxa"/>
            <w:vAlign w:val="bottom"/>
          </w:tcPr>
          <w:p>
            <w:pPr>
              <w:jc w:val="center"/>
              <w:spacing w:after="0"/>
              <w:rPr>
                <w:sz w:val="20"/>
                <w:szCs w:val="20"/>
                <w:color w:val="auto"/>
              </w:rPr>
            </w:pPr>
            <w:r>
              <w:rPr>
                <w:rFonts w:ascii="Arial" w:cs="Arial" w:eastAsia="Arial" w:hAnsi="Arial"/>
                <w:sz w:val="14"/>
                <w:szCs w:val="14"/>
                <w:color w:val="auto"/>
                <w:w w:val="83"/>
              </w:rPr>
              <w:t>Safe</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No</w:t>
            </w:r>
          </w:p>
        </w:tc>
        <w:tc>
          <w:tcPr>
            <w:tcW w:w="14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No</w:t>
            </w: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6/30/24</w:t>
            </w:r>
          </w:p>
        </w:tc>
      </w:tr>
      <w:tr>
        <w:trPr>
          <w:trHeight w:val="163"/>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England Teamsters</w:t>
            </w: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49"/>
        </w:trPr>
        <w:tc>
          <w:tcPr>
            <w:tcW w:w="2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&amp; Trucking Industry</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7"/>
              </w:rPr>
              <w:t>Critical and</w:t>
            </w: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Critical and</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94"/>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Pension</w:t>
            </w:r>
          </w:p>
        </w:tc>
        <w:tc>
          <w:tcPr>
            <w:tcW w:w="1440" w:type="dxa"/>
            <w:vAlign w:val="bottom"/>
            <w:shd w:val="clear" w:color="auto" w:fill="CCEEFF"/>
          </w:tcPr>
          <w:p>
            <w:pPr>
              <w:jc w:val="center"/>
              <w:ind w:left="348"/>
              <w:spacing w:after="0"/>
              <w:rPr>
                <w:sz w:val="20"/>
                <w:szCs w:val="20"/>
                <w:color w:val="auto"/>
              </w:rPr>
            </w:pPr>
            <w:r>
              <w:rPr>
                <w:rFonts w:ascii="Arial" w:cs="Arial" w:eastAsia="Arial" w:hAnsi="Arial"/>
                <w:sz w:val="14"/>
                <w:szCs w:val="14"/>
                <w:color w:val="auto"/>
                <w:w w:val="93"/>
              </w:rPr>
              <w:t>04-6372430</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Declining</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Declining</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Implemented</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No</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06/30/20</w:t>
            </w:r>
          </w:p>
        </w:tc>
      </w:tr>
      <w:tr>
        <w:trPr>
          <w:trHeight w:val="157"/>
        </w:trPr>
        <w:tc>
          <w:tcPr>
            <w:tcW w:w="20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1"/>
              </w:rPr>
              <w:t>Various dates</w:t>
            </w:r>
          </w:p>
        </w:tc>
      </w:tr>
      <w:tr>
        <w:trPr>
          <w:trHeight w:val="149"/>
        </w:trPr>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Midwest Operating</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ind w:left="260"/>
              <w:spacing w:after="0" w:line="149" w:lineRule="exact"/>
              <w:rPr>
                <w:sz w:val="20"/>
                <w:szCs w:val="20"/>
                <w:color w:val="auto"/>
              </w:rPr>
            </w:pPr>
            <w:r>
              <w:rPr>
                <w:rFonts w:ascii="Arial" w:cs="Arial" w:eastAsia="Arial" w:hAnsi="Arial"/>
                <w:sz w:val="14"/>
                <w:szCs w:val="14"/>
                <w:color w:val="auto"/>
              </w:rPr>
              <w:t>through</w:t>
            </w:r>
          </w:p>
        </w:tc>
      </w:tr>
      <w:tr>
        <w:trPr>
          <w:trHeight w:val="188"/>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Engineers Pension Fund</w:t>
            </w:r>
          </w:p>
        </w:tc>
        <w:tc>
          <w:tcPr>
            <w:tcW w:w="1440" w:type="dxa"/>
            <w:vAlign w:val="bottom"/>
            <w:tcBorders>
              <w:bottom w:val="single" w:sz="8" w:color="CCEEFF"/>
            </w:tcBorders>
          </w:tcPr>
          <w:p>
            <w:pPr>
              <w:jc w:val="center"/>
              <w:ind w:left="348"/>
              <w:spacing w:after="0"/>
              <w:rPr>
                <w:sz w:val="20"/>
                <w:szCs w:val="20"/>
                <w:color w:val="auto"/>
              </w:rPr>
            </w:pPr>
            <w:r>
              <w:rPr>
                <w:rFonts w:ascii="Arial" w:cs="Arial" w:eastAsia="Arial" w:hAnsi="Arial"/>
                <w:sz w:val="14"/>
                <w:szCs w:val="14"/>
                <w:color w:val="auto"/>
                <w:w w:val="93"/>
              </w:rPr>
              <w:t>36-6140097</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1"/>
              </w:rPr>
              <w:t>Endangered</w:t>
            </w: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Endangered</w:t>
            </w:r>
          </w:p>
        </w:tc>
        <w:tc>
          <w:tcPr>
            <w:tcW w:w="15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4"/>
                <w:szCs w:val="14"/>
                <w:color w:val="auto"/>
                <w:w w:val="93"/>
              </w:rPr>
              <w:t>Implemented</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No</w:t>
            </w: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5/31/21</w:t>
            </w:r>
          </w:p>
        </w:tc>
      </w:tr>
      <w:tr>
        <w:trPr>
          <w:trHeight w:val="143"/>
        </w:trPr>
        <w:tc>
          <w:tcPr>
            <w:tcW w:w="20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Individually significant</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94"/>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7"/>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 other plans</w:t>
            </w:r>
          </w:p>
        </w:tc>
        <w:tc>
          <w:tcPr>
            <w:tcW w:w="1560" w:type="dxa"/>
            <w:vAlign w:val="bottom"/>
            <w:tcBorders>
              <w:bottom w:val="single" w:sz="8" w:color="CCEEFF"/>
            </w:tcBorders>
            <w:gridSpan w:val="2"/>
          </w:tcPr>
          <w:p>
            <w:pPr>
              <w:jc w:val="center"/>
              <w:ind w:left="228"/>
              <w:spacing w:after="0"/>
              <w:rPr>
                <w:sz w:val="20"/>
                <w:szCs w:val="20"/>
                <w:color w:val="auto"/>
              </w:rPr>
            </w:pPr>
            <w:r>
              <w:rPr>
                <w:rFonts w:ascii="Arial" w:cs="Arial" w:eastAsia="Arial" w:hAnsi="Arial"/>
                <w:sz w:val="14"/>
                <w:szCs w:val="14"/>
                <w:color w:val="auto"/>
              </w:rPr>
              <w:t>N/A</w:t>
            </w:r>
          </w:p>
        </w:tc>
        <w:tc>
          <w:tcPr>
            <w:tcW w:w="11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rPr>
              <w:t>N/A</w:t>
            </w: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N/A</w:t>
            </w:r>
          </w:p>
        </w:tc>
        <w:tc>
          <w:tcPr>
            <w:tcW w:w="15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4"/>
                <w:szCs w:val="14"/>
                <w:color w:val="auto"/>
              </w:rPr>
              <w:t>N/A</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N/A</w:t>
            </w:r>
          </w:p>
        </w:tc>
        <w:tc>
          <w:tcPr>
            <w:tcW w:w="980" w:type="dxa"/>
            <w:vAlign w:val="bottom"/>
            <w:tcBorders>
              <w:bottom w:val="single" w:sz="8" w:color="CCEEFF"/>
            </w:tcBorders>
          </w:tcPr>
          <w:p>
            <w:pPr>
              <w:spacing w:after="0"/>
              <w:rPr>
                <w:sz w:val="17"/>
                <w:szCs w:val="17"/>
                <w:color w:val="auto"/>
              </w:rPr>
            </w:pPr>
          </w:p>
        </w:tc>
      </w:tr>
      <w:tr>
        <w:trPr>
          <w:trHeight w:val="22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64.7</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We are listed in the Form 5500 for Local 731 Private Scavengers and Garage Attendants Pension Trust Fund as providing more than 5% of the total contributions. At the date these financial statements were issued, Forms 5500 were not available for the plan years ended in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the Republic Services 401(k) Plan (the 401(k) Plan), which is a defined contribution plan covering all eligible employees. Under the 401(k) Plan, participants may direct us to defer a portion of their compensation to the 401(k) Plan, subject to Internal Revenue Code limitations. We provide for an employer matching contribution equal to 100% of the first 3% of eligible compensation and 50% of the next 2% of eligible compensation contributed by each employee, which is funded in cash. All contributions vest immediately.</w:t>
      </w:r>
    </w:p>
    <w:p>
      <w:pPr>
        <w:spacing w:after="0" w:line="65" w:lineRule="exact"/>
        <w:rPr>
          <w:sz w:val="20"/>
          <w:szCs w:val="20"/>
          <w:color w:val="auto"/>
        </w:rPr>
      </w:pPr>
    </w:p>
    <w:p>
      <w:pPr>
        <w:ind w:right="760"/>
        <w:spacing w:after="0" w:line="399" w:lineRule="auto"/>
        <w:rPr>
          <w:sz w:val="20"/>
          <w:szCs w:val="20"/>
          <w:color w:val="auto"/>
        </w:rPr>
      </w:pPr>
      <w:r>
        <w:rPr>
          <w:rFonts w:ascii="Arial" w:cs="Arial" w:eastAsia="Arial" w:hAnsi="Arial"/>
          <w:sz w:val="18"/>
          <w:szCs w:val="18"/>
          <w:color w:val="auto"/>
        </w:rPr>
        <w:t xml:space="preserve">Total expense recorded for matching 401(k) contributions in 2019, 2018 and 2017 was $55.7 million, $51.7 million and $46.8 million, respectively. </w:t>
      </w:r>
      <w:r>
        <w:rPr>
          <w:rFonts w:ascii="Arial" w:cs="Arial" w:eastAsia="Arial" w:hAnsi="Arial"/>
          <w:sz w:val="18"/>
          <w:szCs w:val="18"/>
          <w:b w:val="1"/>
          <w:bCs w:val="1"/>
          <w:color w:val="auto"/>
        </w:rPr>
        <w:t>Deferred Compensation Plan</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provide eligible Republic employees, officers and directors with the opportunity to voluntarily defer base salary, bonus payments, long-term incentive awards and other compensation, as applicable, on a pre-tax basis through the Republic Services, Inc. Deferred Compensation Plan (the DCP). The DCP is a nonqualified deferred compensation plan that conforms to Section 409A of the Internal Revenue Code. Eligible participants can defer up to 80% of base salary and up to 100% of bonus, long-term compensation and directors’ fees. Under the DCP, some participants also are eligible for matching contributions. The matching contribution under the DCP is equal to the lesser of 2% of the participant’s compensation over established 401(k) limits or 50% of the amount the participant has deferred. The DCP participants have no ownership or security interest in any of the amounts deferred or the measurement funds under the DCP. The right of each participant in the DCP is solely that of a general, unsecured creditor of Republic with respect to his or her own interest under the DCP. Deferred amounts may be subject to forfeiture and are deemed invested among investment funds offered under the DCP, as directed by each participant. Payments of deferred amounts are payable following separation from service or at a date or dates elected by the participant</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when the deferral is elected. Payments of deferred amounts are made in either a lump sum or in annual installments over a period not exceeding 15 years.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Republic invested in corporate-owned life insurance policies to satisfy future obligations under the DCP. These corporate-owned life insurance policies are held in a Rabbi Trust and are recorded at the amount that can be realized under insurance contracts at the balance sheet date, which is the cash surrender value adjusted for other charges or other amounts due that are probable at settlement. The aggregate cash surrender value of these life insurance policies was $118.0 million and $100.0 million as of December 31, 2019 and 2018, respectively, and is classified in other assets in our consolidated balance sheets. The DCP liability was $116.1 million and $96.0 million as of December 31, 2019 and 2018, respectively, and is classified in other long-term liabilities in our consolidated balance sheets.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0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Republic employees are eligible to participate in an employee stock purchase plan. The plan allows participants to purchase our common stock for 95% of its quoted market price on the last day of each calendar quarter. For the years ended December 31, 2019, 2018 and 2017, issuances under this plan totaled 107,522 shares, 117,153 shares and 113,941 shares, respectively. As of December 31, 2019, shares reserved for issuance to employees under this plan totaled 2.8 million and Republic held employee contributions of approximately $2.2 million for the purchase of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REPURCHASES AND 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activity during the years ended December 31, 2019 and 2018 follows (in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r>
      <w:tr>
        <w:trPr>
          <w:trHeight w:val="27"/>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Amount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736.9</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cost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82.13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69.06</w:t>
            </w:r>
          </w:p>
        </w:tc>
      </w:tr>
      <w:tr>
        <w:trPr>
          <w:trHeight w:val="27"/>
        </w:trPr>
        <w:tc>
          <w:tcPr>
            <w:tcW w:w="8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there were no repurchased shares pending settlement.</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2017, our Board of Directors added $2.0 billion to the existing share repurchase authorization that now extends through December 31, 2020.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December 31, 2019, the remaining authorized purchase capacity under our October 2017 repurchase program was $704.6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October 2019, our Board of Directors approved a quarterly dividend of $0.405 per share. Cash dividends declared were $499.4 million, $468.4 million and $446.3 million for the years ended December 31, 2019, 2018 and 2017, respectively. As of December 31, 2019, we recorded a quarterly dividend payable of $129.2 million to shareholders of record at the close of business on January 2,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08"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Basic earnings per share is computed by dividing net income attributable to Republic Services, Inc. by the weighted average number of common shares (including vested but unissued RSUs) outstanding during the period. Diluted earnings per share is based on the combined weighted average number of common shares and common share equivalents outstanding, which include, where appropriate, the assumed exercise of employee stock options, unvested RSUs and unvested PSUs at the expected attainment levels. We use the treasury stock method in computing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Earnings per share for the years ended December 31, 2019, 2018, and 2017 are calculated as follows (in thousands, except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120"/>
              <w:spacing w:after="0"/>
              <w:rPr>
                <w:sz w:val="20"/>
                <w:szCs w:val="20"/>
                <w:color w:val="auto"/>
              </w:rPr>
            </w:pPr>
            <w:r>
              <w:rPr>
                <w:rFonts w:ascii="Arial" w:cs="Arial" w:eastAsia="Arial" w:hAnsi="Arial"/>
                <w:sz w:val="18"/>
                <w:szCs w:val="18"/>
                <w:color w:val="auto"/>
              </w:rPr>
              <w:t>Net income attributable to Republic Services,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1,073,286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1,036,898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1,278,374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321,058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326,897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337,051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8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120"/>
              <w:spacing w:after="0"/>
              <w:rPr>
                <w:sz w:val="20"/>
                <w:szCs w:val="20"/>
                <w:color w:val="auto"/>
              </w:rPr>
            </w:pPr>
            <w:r>
              <w:rPr>
                <w:rFonts w:ascii="Arial" w:cs="Arial" w:eastAsia="Arial" w:hAnsi="Arial"/>
                <w:sz w:val="18"/>
                <w:szCs w:val="18"/>
                <w:color w:val="auto"/>
              </w:rPr>
              <w:t>Net income attributable to Republic Services, Inc.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1,073,286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1,036,898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1,278,374</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321,058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326,897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337,051</w:t>
            </w:r>
          </w:p>
        </w:tc>
        <w:tc>
          <w:tcPr>
            <w:tcW w:w="0" w:type="dxa"/>
            <w:vAlign w:val="bottom"/>
          </w:tcPr>
          <w:p>
            <w:pPr>
              <w:spacing w:after="0"/>
              <w:rPr>
                <w:sz w:val="1"/>
                <w:szCs w:val="1"/>
                <w:color w:val="auto"/>
              </w:rPr>
            </w:pPr>
          </w:p>
        </w:tc>
      </w:tr>
      <w:tr>
        <w:trPr>
          <w:trHeight w:val="243"/>
        </w:trPr>
        <w:tc>
          <w:tcPr>
            <w:tcW w:w="7280" w:type="dxa"/>
            <w:vAlign w:val="bottom"/>
          </w:tcPr>
          <w:p>
            <w:pPr>
              <w:ind w:left="1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to purchase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43"/>
        </w:trPr>
        <w:tc>
          <w:tcPr>
            <w:tcW w:w="7280" w:type="dxa"/>
            <w:vAlign w:val="bottom"/>
          </w:tcPr>
          <w:p>
            <w:pPr>
              <w:ind w:left="340"/>
              <w:spacing w:after="0"/>
              <w:rPr>
                <w:sz w:val="20"/>
                <w:szCs w:val="20"/>
                <w:color w:val="auto"/>
              </w:rPr>
            </w:pPr>
            <w:r>
              <w:rPr>
                <w:rFonts w:ascii="Arial" w:cs="Arial" w:eastAsia="Arial" w:hAnsi="Arial"/>
                <w:sz w:val="18"/>
                <w:szCs w:val="18"/>
                <w:color w:val="auto"/>
              </w:rPr>
              <w:t>Unvested RSU awards</w:t>
            </w:r>
          </w:p>
        </w:tc>
        <w:tc>
          <w:tcPr>
            <w:tcW w:w="2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Unvested PSU awards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7"/>
        </w:trPr>
        <w:tc>
          <w:tcPr>
            <w:tcW w:w="7280" w:type="dxa"/>
            <w:vAlign w:val="bottom"/>
          </w:tcPr>
          <w:p>
            <w:pPr>
              <w:ind w:left="340"/>
              <w:spacing w:after="0"/>
              <w:rPr>
                <w:sz w:val="20"/>
                <w:szCs w:val="20"/>
                <w:color w:val="auto"/>
              </w:rPr>
            </w:pPr>
            <w:r>
              <w:rPr>
                <w:rFonts w:ascii="Arial" w:cs="Arial" w:eastAsia="Arial" w:hAnsi="Arial"/>
                <w:sz w:val="18"/>
                <w:szCs w:val="18"/>
                <w:color w:val="auto"/>
              </w:rPr>
              <w:t>Weighted average common and common equivalent shares outstanding</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321,990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328,383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338,981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antidilutive securities during the years ended December 31, 2019,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senior management evaluates, oversees and manages the financial performance of our operations through two field groups, referred to as Group 1 and Group 2. Group 1 primarily consists of geographic areas located in the western United States, and Group 2 primarily consists of geographic areas located in the southeastern and mid-western United States, and the eastern seaboard of the United States. These two groups are presented below as our reportable segments, which provide integrated waste management services consisting of non-hazardous solid waste collection, transfer, recycling, disposal and environmental services.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concerning our reportable segments for the years ended December 31, 2019, 2018 and 2017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Depreciation,</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Operating</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Intercompany</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Net</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Depletion and</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Revenue</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Revenue</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Revenue</w:t>
            </w: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Accretion</w:t>
            </w: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(Loss)</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Expenditures</w:t>
            </w:r>
          </w:p>
        </w:tc>
        <w:tc>
          <w:tcPr>
            <w:tcW w:w="16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0"/>
              </w:rPr>
              <w:t>Total Assets</w:t>
            </w:r>
          </w:p>
        </w:tc>
        <w:tc>
          <w:tcPr>
            <w:tcW w:w="0" w:type="dxa"/>
            <w:vAlign w:val="bottom"/>
          </w:tcPr>
          <w:p>
            <w:pPr>
              <w:spacing w:after="0"/>
              <w:rPr>
                <w:sz w:val="1"/>
                <w:szCs w:val="1"/>
                <w:color w:val="auto"/>
              </w:rPr>
            </w:pPr>
          </w:p>
        </w:tc>
      </w:tr>
      <w:tr>
        <w:trPr>
          <w:trHeight w:val="27"/>
        </w:trPr>
        <w:tc>
          <w:tcPr>
            <w:tcW w:w="1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Group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6,012.5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(1,010.6)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5,001.9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493.8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1,234.6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11,404.0</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Group 2</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9,448.9</w:t>
            </w: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1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1,830.9</w:t>
            </w:r>
          </w:p>
        </w:tc>
        <w:tc>
          <w:tcPr>
            <w:tcW w:w="0" w:type="dxa"/>
            <w:vAlign w:val="bottom"/>
          </w:tcPr>
          <w:p>
            <w:pPr>
              <w:spacing w:after="0"/>
              <w:rPr>
                <w:sz w:val="1"/>
                <w:szCs w:val="1"/>
                <w:color w:val="auto"/>
              </w:rPr>
            </w:pPr>
          </w:p>
        </w:tc>
      </w:tr>
      <w:tr>
        <w:trPr>
          <w:trHeight w:val="27"/>
        </w:trPr>
        <w:tc>
          <w:tcPr>
            <w:tcW w:w="1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12,193.0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10,299.4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1,122.4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1,787.2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1,207.1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22,683.8</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Group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11,011.5</w:t>
            </w: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Group 2</w:t>
            </w:r>
          </w:p>
        </w:tc>
        <w:tc>
          <w:tcPr>
            <w:tcW w:w="1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5,928.0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5,071.0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938.5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8,999.2</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entities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1,606.3</w:t>
            </w:r>
          </w:p>
        </w:tc>
        <w:tc>
          <w:tcPr>
            <w:tcW w:w="0" w:type="dxa"/>
            <w:vAlign w:val="bottom"/>
          </w:tcPr>
          <w:p>
            <w:pPr>
              <w:spacing w:after="0"/>
              <w:rPr>
                <w:sz w:val="1"/>
                <w:szCs w:val="1"/>
                <w:color w:val="auto"/>
              </w:rPr>
            </w:pPr>
          </w:p>
        </w:tc>
      </w:tr>
      <w:tr>
        <w:trPr>
          <w:trHeight w:val="237"/>
        </w:trPr>
        <w:tc>
          <w:tcPr>
            <w:tcW w:w="17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11,898.3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10,040.9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1,114.1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1,735.8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1,071.8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21,617.0</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Group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5,961.3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4,876.3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1,135.1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10,734.3</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Group 2</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8,855.4</w:t>
            </w:r>
          </w:p>
        </w:tc>
        <w:tc>
          <w:tcPr>
            <w:tcW w:w="0" w:type="dxa"/>
            <w:vAlign w:val="bottom"/>
          </w:tcPr>
          <w:p>
            <w:pPr>
              <w:spacing w:after="0"/>
              <w:rPr>
                <w:sz w:val="1"/>
                <w:szCs w:val="1"/>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1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1,557.3</w:t>
            </w:r>
          </w:p>
        </w:tc>
        <w:tc>
          <w:tcPr>
            <w:tcW w:w="0" w:type="dxa"/>
            <w:vAlign w:val="bottom"/>
          </w:tcPr>
          <w:p>
            <w:pPr>
              <w:spacing w:after="0"/>
              <w:rPr>
                <w:sz w:val="1"/>
                <w:szCs w:val="1"/>
                <w:color w:val="auto"/>
              </w:rPr>
            </w:pPr>
          </w:p>
        </w:tc>
      </w:tr>
      <w:tr>
        <w:trPr>
          <w:trHeight w:val="27"/>
        </w:trPr>
        <w:tc>
          <w:tcPr>
            <w:tcW w:w="1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12,071.1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(2,029.6)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10,041.5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1,668.5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989.8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21,147.0</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year ended December 31, 2017 reflects the transfer of certain areas between our two field groups.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Intercompany revenue reflects transactions within and between segments that generally are made on a basis intended to reflect the market value of such services. Capital expenditures for corporate entities primarily include vehicle inventory acquired but not yet assigned to operating locations and facilities. Corporate functions include legal, tax, treasury, information technology, risk management, human resources, closed landfills and other administrative functions.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REVENUE</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operations primarily consist of providing collection, transfer and disposal of non-hazardous solid waste, recovering and recycling of certain materials, and environmental services. The following table disaggregates our revenue by service line for the years ended December 31 (in millions of dollars and as a percentage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gridSpan w:val="3"/>
          </w:tcPr>
          <w:p>
            <w:pPr>
              <w:jc w:val="right"/>
              <w:ind w:right="930"/>
              <w:spacing w:after="0"/>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2,271.9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2,236.5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2,285.7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Small-container</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3,170.0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20"/>
              <w:spacing w:after="0"/>
              <w:rPr>
                <w:sz w:val="20"/>
                <w:szCs w:val="20"/>
                <w:color w:val="auto"/>
              </w:rPr>
            </w:pPr>
            <w:r>
              <w:rPr>
                <w:rFonts w:ascii="Arial" w:cs="Arial" w:eastAsia="Arial" w:hAnsi="Arial"/>
                <w:sz w:val="18"/>
                <w:szCs w:val="18"/>
                <w:color w:val="auto"/>
              </w:rPr>
              <w:t>Large-container</w:t>
            </w:r>
          </w:p>
        </w:tc>
        <w:tc>
          <w:tcPr>
            <w:tcW w:w="3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2,249.6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2,184.7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2,087.9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20" w:type="dxa"/>
            <w:vAlign w:val="bottom"/>
          </w:tcPr>
          <w:p>
            <w:pPr>
              <w:ind w:left="360"/>
              <w:spacing w:after="0"/>
              <w:rPr>
                <w:sz w:val="20"/>
                <w:szCs w:val="20"/>
                <w:color w:val="auto"/>
              </w:rPr>
            </w:pPr>
            <w:r>
              <w:rPr>
                <w:rFonts w:ascii="Arial" w:cs="Arial" w:eastAsia="Arial" w:hAnsi="Arial"/>
                <w:sz w:val="18"/>
                <w:szCs w:val="18"/>
                <w:color w:val="auto"/>
              </w:rPr>
              <w:t xml:space="preserve">Total collection </w:t>
            </w:r>
            <w:r>
              <w:rPr>
                <w:rFonts w:ascii="Arial" w:cs="Arial" w:eastAsia="Arial" w:hAnsi="Arial"/>
                <w:sz w:val="23"/>
                <w:szCs w:val="23"/>
                <w:color w:val="auto"/>
                <w:vertAlign w:val="superscript"/>
              </w:rPr>
              <w:t>(1)</w:t>
            </w: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7,737.6</w:t>
            </w: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7,524.1</w:t>
            </w: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7,413.4</w:t>
            </w: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Less: intercompany</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Transfer,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Landfill</w:t>
            </w:r>
          </w:p>
        </w:tc>
        <w:tc>
          <w:tcPr>
            <w:tcW w:w="3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2,328.8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2,291.7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intercompany</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20" w:type="dxa"/>
            <w:vAlign w:val="bottom"/>
          </w:tcPr>
          <w:p>
            <w:pPr>
              <w:ind w:left="120"/>
              <w:spacing w:after="0"/>
              <w:rPr>
                <w:sz w:val="20"/>
                <w:szCs w:val="20"/>
                <w:color w:val="auto"/>
              </w:rPr>
            </w:pPr>
            <w:r>
              <w:rPr>
                <w:rFonts w:ascii="Arial" w:cs="Arial" w:eastAsia="Arial" w:hAnsi="Arial"/>
                <w:sz w:val="18"/>
                <w:szCs w:val="18"/>
                <w:color w:val="auto"/>
              </w:rPr>
              <w:t>Landfill, net</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1,300.1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1,270.9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Recycling processing and</w:t>
            </w: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273.2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297.8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commodity sales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20"/>
              <w:spacing w:after="0"/>
              <w:rPr>
                <w:sz w:val="20"/>
                <w:szCs w:val="20"/>
                <w:color w:val="auto"/>
              </w:rPr>
            </w:pPr>
            <w:r>
              <w:rPr>
                <w:rFonts w:ascii="Arial" w:cs="Arial" w:eastAsia="Arial" w:hAnsi="Arial"/>
                <w:sz w:val="18"/>
                <w:szCs w:val="18"/>
                <w:color w:val="auto"/>
              </w:rPr>
              <w:t>Other non-core</w:t>
            </w:r>
          </w:p>
        </w:tc>
        <w:tc>
          <w:tcPr>
            <w:tcW w:w="32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499.3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10,299.4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10,040.9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10,041.5</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firstLine="8"/>
        <w:spacing w:after="0" w:line="273" w:lineRule="auto"/>
        <w:tabs>
          <w:tab w:leader="none" w:pos="215"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accordance with our adoption of the new revenue recognition standard, municipal franchise fees are presented as a reduction to revenue for the years ended December 31, 2019 and 2018. Similar fees are presented as a cost of operations for the year ended December 31, 2017.</w:t>
      </w:r>
    </w:p>
    <w:p>
      <w:pPr>
        <w:spacing w:after="0" w:line="11" w:lineRule="exact"/>
        <w:rPr>
          <w:rFonts w:ascii="Arial" w:cs="Arial" w:eastAsia="Arial" w:hAnsi="Arial"/>
          <w:sz w:val="14"/>
          <w:szCs w:val="14"/>
          <w:color w:val="auto"/>
        </w:rPr>
      </w:pPr>
    </w:p>
    <w:p>
      <w:pPr>
        <w:ind w:right="20" w:firstLine="8"/>
        <w:spacing w:after="0" w:line="273" w:lineRule="auto"/>
        <w:tabs>
          <w:tab w:leader="none" w:pos="211"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accordance with our adoption of the new revenue recognition standard, rebates paid to customers associated with recycled commodities are presented as a reduction to revenue for the years ended December 31, 2019 and 2018. Similar costs are presented as a cost of operations for the year ended December 31, 2017.</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non-core revenue consists primarily of revenue from National Accounts, which represents the portion of revenue generated from nationwide or regional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factors that impact the timing and amount of revenue recognized for each service line may vary based on the nature of the service performed. Generally, we recognize revenue at the time we perform a service. In the event that we bill for services in advance of performance, we recognize deferred revenue for the amount billed and subsequently recognize revenue at the time the service is provided. Depending upon the nature of the contract, we may also generate revenue through the collection of fuel recovery fees and environmental fees which are designed to recover our internal costs of providing services to our customers.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Reporting</w:t>
      </w:r>
      <w:r>
        <w:rPr>
          <w:rFonts w:ascii="Arial" w:cs="Arial" w:eastAsia="Arial" w:hAnsi="Arial"/>
          <w:sz w:val="18"/>
          <w:szCs w:val="18"/>
          <w:color w:val="auto"/>
        </w:rPr>
        <w:t>, for additional information regarding revenue by reportable segment.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Service Line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Services</w:t>
      </w:r>
    </w:p>
    <w:p>
      <w:pPr>
        <w:spacing w:after="0" w:line="10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collection business involves the collection of waste for transport to transfer stations, or directly to landfills or recycling processing centers. Our solid waste collection services business includes both recurring and temporary customer relationships. Our standard contract duration is three years, although some of our exclusive franchises are for significantly longer periods. The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fees received for collection services are based primarily on the market, collection frequency, type of service, type and volume or weight of the waste collected, the distance to the disposal facility and the cost of disposal.</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general, small-container and residential collection fees are billed monthly or quarterly in advance. Substantially all of the deferred revenue recognized as of December 31, 2018 was recognized as revenue during the year ended December 31, 2019 when the service was performed. Our large-container customers are typically billed on a monthly basis based on the nature of the services provided during the period.</w:t>
      </w:r>
    </w:p>
    <w:p>
      <w:pPr>
        <w:spacing w:after="0" w:line="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recognized under these agreements is variable in nature based on the number of residential homes or businesses serviced during the period, the frequency of collection and the volume of waste collected. In addition, certain of our contracts have annual price escalation clauses that are tied to changes in an underlying base index such as a consumer price index which are unknown at contract inception.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Services</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at our transfer stations is primarily generated by charging tipping or disposal fees. The fees received for transfer services are based primarily on the market, type and volume or weight of the waste accepted, the distance to the disposal facility and the cost of disposal. In general, fees are billed and revenue is recognized at the time the service is performed. Revenue recognized under these agreements is variable in nature based on the volume and nature of the waste accepted at the transfer station.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Services</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 at our landfills is primarily generated by charging tipping fees to third parties based on the volume disposed and the nature of the waste. In general, fees are variable in nature and revenue is recognized at the time the waste is disposed at the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Services</w:t>
      </w:r>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Environmental services waste is generated from the by-products of oil and natural gas exploration and production activity. Additionally, it is generated by the daily operations of industrial, petrochemical and refining facilities, including maintenance, plant turnarounds and capital projects. Environmental Services revenue is primarily generated through the disposal of non-hazardous solid and liquid waste and in-plant services, such as transportation and logistics. Activity for this service line varies across market areas that are tied to the natural resource basins in which the drilling activity occurs and reflects the regulatory environment, pricing and disposal alternatives available in any given market. Revenue recognized under these agreements is variable in nature and primarily based on the volume of waste accepted or processed during the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 Processing and Commodity Sales</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recycling processing centers generate revenue through the processing and sale of old corrugated cardboard (OCC), old newsprint (ONP), aluminum, glass and other materials at market prices. In certain instances, we issue recycling rebates to our municipal or large-container customers, which can be based on the price we receive upon the final sale of recycled commodities, a fixed contractual rate or other measures. We also receive rebates when we dispose of recycled commodities at third-party facilities. The fees received are based primarily on the market, type and volume or weight of the materials sold. In general, fees are billed and revenue is recognized at the time title is transferred. Revenue recognized under these agreements is variable in nature based on the volume and type of materials sold. In addition, the amount of revenue recognized is based on commodity prices at the time of sale, which are unknown at contract inception.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service obligations of a long-term nature, e.g., certain solid waste collection service contracts, are satisfied over time, and we recognize revenue based on the value provided to the customer during the period. The amount billed to the customer is based on variable elements such as the number of residential homes or businesses for which collection services are provided, the volume of waste collected, transported and disposed, and the nature of the waste accepted.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Additionally, certain elements of our long-term customer contracts are unknown upon entering into the contract, including the amount that will be billed in accordance with annual price escalation clauses, our fuel recovery fee program and commodity prices. The amount to be billed is often tied to changes in an underlying base index such as a consumer price index or a fuel or commodity index, and revenue can be recognized once the index is established for the period.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Contract Costs</w:t>
      </w:r>
    </w:p>
    <w:p>
      <w:pPr>
        <w:spacing w:after="0" w:line="10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incur certain upfront payments to acquire customer contracts which are recognized as other assets in our consolidated balance sheet, and we amortize the asset over the respective contract life. In addition, we recognize sales commissions that represent an incremental cost of the contract as other assets in our consolidated balance sheet, and we amortize the asset over the average life of the customer relationship. As of December 31, 2019 and 2018, we recognized $83.1 million and $89.2 million, respectively, of deferred contract costs and capitalized sales commissions. During the years ended December 31, 2019 and 2018, we amortized $11.8 million and $11.1 million, respectively, of capitalized sales commissions to selling, general and administrative expenses, and $6.2 million and $5.9 million, respectively, of other deferred contract costs as a reduction of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CHANGES IN ACCUMULATED OTHER COMPREHENSIVE INCOME (LOSS) BY COMPONENT</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summary of changes in accumulated other comprehensive income (loss), net of tax, by component, for the years ended December 31, 2019, 2018 and 2017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1160" w:type="dxa"/>
            <w:vAlign w:val="bottom"/>
          </w:tcPr>
          <w:p>
            <w:pPr>
              <w:ind w:left="460"/>
              <w:spacing w:after="0"/>
              <w:rPr>
                <w:sz w:val="20"/>
                <w:szCs w:val="20"/>
                <w:color w:val="auto"/>
              </w:rPr>
            </w:pPr>
            <w:r>
              <w:rPr>
                <w:rFonts w:ascii="Arial" w:cs="Arial" w:eastAsia="Arial" w:hAnsi="Arial"/>
                <w:sz w:val="16"/>
                <w:szCs w:val="16"/>
                <w:color w:val="auto"/>
                <w:w w:val="89"/>
              </w:rPr>
              <w:t>Cash Flow</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Defined Benefit Pension</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6100" w:type="dxa"/>
            <w:vAlign w:val="bottom"/>
          </w:tcPr>
          <w:p>
            <w:pPr>
              <w:spacing w:after="0"/>
              <w:rPr>
                <w:sz w:val="17"/>
                <w:szCs w:val="17"/>
                <w:color w:val="auto"/>
              </w:rPr>
            </w:pPr>
          </w:p>
        </w:tc>
        <w:tc>
          <w:tcPr>
            <w:tcW w:w="1160" w:type="dxa"/>
            <w:vAlign w:val="bottom"/>
          </w:tcPr>
          <w:p>
            <w:pPr>
              <w:ind w:left="600"/>
              <w:spacing w:after="0"/>
              <w:rPr>
                <w:sz w:val="20"/>
                <w:szCs w:val="20"/>
                <w:color w:val="auto"/>
              </w:rPr>
            </w:pPr>
            <w:r>
              <w:rPr>
                <w:rFonts w:ascii="Arial" w:cs="Arial" w:eastAsia="Arial" w:hAnsi="Arial"/>
                <w:sz w:val="16"/>
                <w:szCs w:val="16"/>
                <w:color w:val="auto"/>
                <w:w w:val="97"/>
              </w:rPr>
              <w:t>Hedges</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6"/>
                <w:szCs w:val="16"/>
                <w:color w:val="auto"/>
                <w:w w:val="93"/>
              </w:rPr>
              <w:t>Plan</w:t>
            </w:r>
          </w:p>
        </w:tc>
        <w:tc>
          <w:tcPr>
            <w:tcW w:w="400" w:type="dxa"/>
            <w:vAlign w:val="bottom"/>
          </w:tcPr>
          <w:p>
            <w:pPr>
              <w:spacing w:after="0"/>
              <w:rPr>
                <w:sz w:val="17"/>
                <w:szCs w:val="17"/>
                <w:color w:val="auto"/>
              </w:rPr>
            </w:pPr>
          </w:p>
        </w:tc>
        <w:tc>
          <w:tcPr>
            <w:tcW w:w="1260" w:type="dxa"/>
            <w:vAlign w:val="bottom"/>
          </w:tcPr>
          <w:p>
            <w:pPr>
              <w:jc w:val="right"/>
              <w:ind w:right="576"/>
              <w:spacing w:after="0"/>
              <w:rPr>
                <w:sz w:val="20"/>
                <w:szCs w:val="20"/>
                <w:color w:val="auto"/>
              </w:rPr>
            </w:pPr>
            <w:r>
              <w:rPr>
                <w:rFonts w:ascii="Arial" w:cs="Arial" w:eastAsia="Arial" w:hAnsi="Arial"/>
                <w:sz w:val="16"/>
                <w:szCs w:val="16"/>
                <w:color w:val="auto"/>
              </w:rPr>
              <w:t>Total</w:t>
            </w:r>
          </w:p>
        </w:tc>
      </w:tr>
      <w:tr>
        <w:trPr>
          <w:trHeight w:val="33"/>
        </w:trPr>
        <w:tc>
          <w:tcPr>
            <w:tcW w:w="6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2016</w:t>
            </w:r>
          </w:p>
        </w:tc>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14.2</w:t>
            </w:r>
          </w:p>
        </w:tc>
      </w:tr>
      <w:tr>
        <w:trPr>
          <w:trHeight w:val="237"/>
        </w:trPr>
        <w:tc>
          <w:tcPr>
            <w:tcW w:w="610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3.1</w:t>
            </w:r>
          </w:p>
        </w:tc>
      </w:tr>
      <w:tr>
        <w:trPr>
          <w:trHeight w:val="27"/>
        </w:trPr>
        <w:tc>
          <w:tcPr>
            <w:tcW w:w="6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5.3</w:t>
            </w:r>
          </w:p>
        </w:tc>
      </w:tr>
      <w:tr>
        <w:trPr>
          <w:trHeight w:val="237"/>
        </w:trPr>
        <w:tc>
          <w:tcPr>
            <w:tcW w:w="6100" w:type="dxa"/>
            <w:vAlign w:val="bottom"/>
          </w:tcPr>
          <w:p>
            <w:pPr>
              <w:ind w:left="20"/>
              <w:spacing w:after="0"/>
              <w:rPr>
                <w:sz w:val="20"/>
                <w:szCs w:val="20"/>
                <w:color w:val="auto"/>
              </w:rPr>
            </w:pPr>
            <w:r>
              <w:rPr>
                <w:rFonts w:ascii="Arial" w:cs="Arial" w:eastAsia="Arial" w:hAnsi="Arial"/>
                <w:sz w:val="16"/>
                <w:szCs w:val="16"/>
                <w:color w:val="auto"/>
              </w:rPr>
              <w:t>Net current-period other comprehensive income</w:t>
            </w: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8.4</w:t>
            </w:r>
          </w:p>
        </w:tc>
      </w:tr>
      <w:tr>
        <w:trPr>
          <w:trHeight w:val="27"/>
        </w:trPr>
        <w:tc>
          <w:tcPr>
            <w:tcW w:w="6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2017</w:t>
            </w: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22.6</w:t>
            </w:r>
          </w:p>
        </w:tc>
      </w:tr>
      <w:tr>
        <w:trPr>
          <w:trHeight w:val="217"/>
        </w:trPr>
        <w:tc>
          <w:tcPr>
            <w:tcW w:w="610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color w:val="auto"/>
              </w:rPr>
              <w:t>12.0</w:t>
            </w:r>
          </w:p>
        </w:tc>
      </w:tr>
      <w:tr>
        <w:trPr>
          <w:trHeight w:val="33"/>
        </w:trPr>
        <w:tc>
          <w:tcPr>
            <w:tcW w:w="6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(3.8)</w:t>
            </w:r>
          </w:p>
        </w:tc>
      </w:tr>
      <w:tr>
        <w:trPr>
          <w:trHeight w:val="217"/>
        </w:trPr>
        <w:tc>
          <w:tcPr>
            <w:tcW w:w="6100" w:type="dxa"/>
            <w:vAlign w:val="bottom"/>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1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color w:val="auto"/>
              </w:rPr>
              <w:t>8.2</w:t>
            </w:r>
          </w:p>
        </w:tc>
      </w:tr>
      <w:tr>
        <w:trPr>
          <w:trHeight w:val="33"/>
        </w:trPr>
        <w:tc>
          <w:tcPr>
            <w:tcW w:w="6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2018</w:t>
            </w: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30.8</w:t>
            </w:r>
          </w:p>
        </w:tc>
      </w:tr>
      <w:tr>
        <w:trPr>
          <w:trHeight w:val="217"/>
        </w:trPr>
        <w:tc>
          <w:tcPr>
            <w:tcW w:w="610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reclassifications</w:t>
            </w:r>
          </w:p>
        </w:tc>
        <w:tc>
          <w:tcPr>
            <w:tcW w:w="1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w w:val="90"/>
              </w:rPr>
              <w:t>(30.2)</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(32.7)</w:t>
            </w:r>
          </w:p>
        </w:tc>
      </w:tr>
      <w:tr>
        <w:trPr>
          <w:trHeight w:val="33"/>
        </w:trPr>
        <w:tc>
          <w:tcPr>
            <w:tcW w:w="6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income</w:t>
            </w:r>
          </w:p>
        </w:tc>
        <w:tc>
          <w:tcPr>
            <w:tcW w:w="1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1.0</w:t>
            </w:r>
          </w:p>
        </w:tc>
      </w:tr>
      <w:tr>
        <w:trPr>
          <w:trHeight w:val="217"/>
        </w:trPr>
        <w:tc>
          <w:tcPr>
            <w:tcW w:w="6100" w:type="dxa"/>
            <w:vAlign w:val="bottom"/>
          </w:tcPr>
          <w:p>
            <w:pPr>
              <w:ind w:left="20"/>
              <w:spacing w:after="0"/>
              <w:rPr>
                <w:sz w:val="20"/>
                <w:szCs w:val="20"/>
                <w:color w:val="auto"/>
              </w:rPr>
            </w:pPr>
            <w:r>
              <w:rPr>
                <w:rFonts w:ascii="Arial" w:cs="Arial" w:eastAsia="Arial" w:hAnsi="Arial"/>
                <w:sz w:val="16"/>
                <w:szCs w:val="16"/>
                <w:color w:val="auto"/>
              </w:rPr>
              <w:t>Net current period other comprehensive loss</w:t>
            </w:r>
          </w:p>
        </w:tc>
        <w:tc>
          <w:tcPr>
            <w:tcW w:w="1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w w:val="90"/>
              </w:rPr>
              <w:t>(29.2)</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(31.7)</w:t>
            </w:r>
          </w:p>
        </w:tc>
      </w:tr>
      <w:tr>
        <w:trPr>
          <w:trHeight w:val="33"/>
        </w:trPr>
        <w:tc>
          <w:tcPr>
            <w:tcW w:w="6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Adoption of accounting standard</w:t>
            </w:r>
          </w:p>
        </w:tc>
        <w:tc>
          <w:tcPr>
            <w:tcW w:w="1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3.1</w:t>
            </w:r>
          </w:p>
        </w:tc>
      </w:tr>
      <w:tr>
        <w:trPr>
          <w:trHeight w:val="247"/>
        </w:trPr>
        <w:tc>
          <w:tcPr>
            <w:tcW w:w="6100" w:type="dxa"/>
            <w:vAlign w:val="bottom"/>
          </w:tcPr>
          <w:p>
            <w:pPr>
              <w:ind w:left="20"/>
              <w:spacing w:after="0"/>
              <w:rPr>
                <w:sz w:val="20"/>
                <w:szCs w:val="20"/>
                <w:color w:val="auto"/>
              </w:rPr>
            </w:pPr>
            <w:r>
              <w:rPr>
                <w:rFonts w:ascii="Arial" w:cs="Arial" w:eastAsia="Arial" w:hAnsi="Arial"/>
                <w:sz w:val="16"/>
                <w:szCs w:val="16"/>
                <w:color w:val="auto"/>
              </w:rPr>
              <w:t>Balance as of December 31, 2019</w:t>
            </w:r>
          </w:p>
        </w:tc>
        <w:tc>
          <w:tcPr>
            <w:tcW w:w="1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6"/>
                <w:szCs w:val="16"/>
                <w:color w:val="auto"/>
                <w:w w:val="90"/>
              </w:rPr>
              <w:t>(13.7)</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6"/>
                <w:szCs w:val="16"/>
                <w:color w:val="auto"/>
              </w:rPr>
              <w:t>2.2</w:t>
            </w:r>
          </w:p>
        </w:tc>
      </w:tr>
      <w:tr>
        <w:trPr>
          <w:trHeight w:val="24"/>
        </w:trPr>
        <w:tc>
          <w:tcPr>
            <w:tcW w:w="6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reclassifications out of accumulated other comprehensive income (loss) for the years ended December 31, 2019, 2018 and 2017 follows:</w:t>
      </w:r>
    </w:p>
    <w:p>
      <w:pPr>
        <w:sectPr>
          <w:pgSz w:w="11900" w:h="16838" w:orient="portrait"/>
          <w:cols w:equalWidth="0" w:num="1">
            <w:col w:w="11360"/>
          </w:cols>
          <w:pgMar w:left="240" w:top="12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right="180"/>
        <w:spacing w:after="0" w:line="293" w:lineRule="auto"/>
        <w:rPr>
          <w:sz w:val="20"/>
          <w:szCs w:val="20"/>
          <w:color w:val="auto"/>
        </w:rPr>
      </w:pPr>
      <w:r>
        <w:rPr>
          <w:rFonts w:ascii="Arial" w:cs="Arial" w:eastAsia="Arial" w:hAnsi="Arial"/>
          <w:sz w:val="16"/>
          <w:szCs w:val="16"/>
          <w:color w:val="auto"/>
        </w:rPr>
        <w:t>Details about Accumulated Other Comprehensive Income Components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(loss) on cash flow hedges:</w:t>
      </w:r>
    </w:p>
    <w:p>
      <w:pPr>
        <w:spacing w:after="0" w:line="73" w:lineRule="exact"/>
        <w:rPr>
          <w:sz w:val="20"/>
          <w:szCs w:val="20"/>
          <w:color w:val="auto"/>
        </w:rPr>
      </w:pPr>
    </w:p>
    <w:p>
      <w:pPr>
        <w:ind w:left="120" w:right="1360" w:firstLine="18"/>
        <w:spacing w:after="0" w:line="317" w:lineRule="auto"/>
        <w:rPr>
          <w:sz w:val="20"/>
          <w:szCs w:val="20"/>
          <w:color w:val="auto"/>
        </w:rPr>
      </w:pPr>
      <w:r>
        <w:rPr>
          <w:rFonts w:ascii="Arial" w:cs="Arial" w:eastAsia="Arial" w:hAnsi="Arial"/>
          <w:sz w:val="16"/>
          <w:szCs w:val="16"/>
          <w:color w:val="auto"/>
        </w:rPr>
        <w:t>Recycling commodity hedges Fuel hedges</w:t>
      </w:r>
    </w:p>
    <w:p>
      <w:pPr>
        <w:ind w:left="120"/>
        <w:spacing w:after="0"/>
        <w:rPr>
          <w:sz w:val="20"/>
          <w:szCs w:val="20"/>
          <w:color w:val="auto"/>
        </w:rPr>
      </w:pPr>
      <w:r>
        <w:rPr>
          <w:rFonts w:ascii="Arial" w:cs="Arial" w:eastAsia="Arial" w:hAnsi="Arial"/>
          <w:sz w:val="16"/>
          <w:szCs w:val="16"/>
          <w:color w:val="auto"/>
        </w:rPr>
        <w:t>Terminated interest rate locks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before tax</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Tax expense</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(loss) gain reclassified into earnings, net of tax</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3040"/>
        <w:spacing w:after="0"/>
        <w:rPr>
          <w:sz w:val="20"/>
          <w:szCs w:val="20"/>
          <w:color w:val="auto"/>
        </w:rPr>
      </w:pPr>
      <w:r>
        <w:rPr>
          <w:rFonts w:ascii="Arial" w:cs="Arial" w:eastAsia="Arial" w:hAnsi="Arial"/>
          <w:sz w:val="16"/>
          <w:szCs w:val="16"/>
          <w:color w:val="auto"/>
        </w:rPr>
        <w:t>Amount Reclassified from Accumulated Other Comprehensive</w:t>
      </w:r>
    </w:p>
    <w:p>
      <w:pPr>
        <w:spacing w:after="0" w:line="22" w:lineRule="exact"/>
        <w:rPr>
          <w:sz w:val="20"/>
          <w:szCs w:val="20"/>
          <w:color w:val="auto"/>
        </w:rPr>
      </w:pPr>
    </w:p>
    <w:p>
      <w:pPr>
        <w:jc w:val="center"/>
        <w:ind w:right="3040"/>
        <w:spacing w:after="0"/>
        <w:rPr>
          <w:sz w:val="20"/>
          <w:szCs w:val="20"/>
          <w:color w:val="auto"/>
        </w:rPr>
      </w:pPr>
      <w:r>
        <w:rPr>
          <w:rFonts w:ascii="Arial" w:cs="Arial" w:eastAsia="Arial" w:hAnsi="Arial"/>
          <w:sz w:val="16"/>
          <w:szCs w:val="16"/>
          <w:color w:val="auto"/>
        </w:rPr>
        <w:t>Income (Loss)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Arial" w:cs="Arial" w:eastAsia="Arial" w:hAnsi="Arial"/>
                <w:sz w:val="16"/>
                <w:szCs w:val="16"/>
                <w:color w:val="auto"/>
                <w:w w:val="92"/>
              </w:rPr>
              <w:t>Affected Line Item in the Statement Where</w:t>
            </w:r>
          </w:p>
        </w:tc>
      </w:tr>
      <w:tr>
        <w:trPr>
          <w:trHeight w:val="206"/>
        </w:trPr>
        <w:tc>
          <w:tcPr>
            <w:tcW w:w="32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Arial" w:cs="Arial" w:eastAsia="Arial" w:hAnsi="Arial"/>
                <w:sz w:val="16"/>
                <w:szCs w:val="16"/>
                <w:color w:val="auto"/>
                <w:w w:val="90"/>
              </w:rPr>
              <w:t>Net Income is Presented</w:t>
            </w:r>
          </w:p>
        </w:tc>
      </w:tr>
      <w:tr>
        <w:trPr>
          <w:trHeight w:val="33"/>
        </w:trPr>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433"/>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center"/>
              <w:ind w:left="519"/>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ind w:left="479"/>
              <w:spacing w:after="0"/>
              <w:rPr>
                <w:sz w:val="20"/>
                <w:szCs w:val="20"/>
                <w:color w:val="auto"/>
              </w:rPr>
            </w:pPr>
            <w:r>
              <w:rPr>
                <w:rFonts w:ascii="Arial" w:cs="Arial" w:eastAsia="Arial" w:hAnsi="Arial"/>
                <w:sz w:val="16"/>
                <w:szCs w:val="16"/>
                <w:color w:val="auto"/>
                <w:w w:val="91"/>
              </w:rPr>
              <w:t>(2.8)</w:t>
            </w:r>
          </w:p>
        </w:tc>
        <w:tc>
          <w:tcPr>
            <w:tcW w:w="100" w:type="dxa"/>
            <w:vAlign w:val="bottom"/>
          </w:tcPr>
          <w:p>
            <w:pPr>
              <w:spacing w:after="0"/>
              <w:rPr>
                <w:sz w:val="24"/>
                <w:szCs w:val="24"/>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Revenue</w:t>
            </w:r>
          </w:p>
        </w:tc>
      </w:tr>
      <w:tr>
        <w:trPr>
          <w:trHeight w:val="257"/>
        </w:trPr>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080" w:type="dxa"/>
            <w:vAlign w:val="bottom"/>
          </w:tcPr>
          <w:p>
            <w:pPr>
              <w:jc w:val="center"/>
              <w:ind w:left="519"/>
              <w:spacing w:after="0"/>
              <w:rPr>
                <w:sz w:val="20"/>
                <w:szCs w:val="20"/>
                <w:color w:val="auto"/>
              </w:rPr>
            </w:pPr>
            <w:r>
              <w:rPr>
                <w:rFonts w:ascii="Arial" w:cs="Arial" w:eastAsia="Arial" w:hAnsi="Arial"/>
                <w:sz w:val="16"/>
                <w:szCs w:val="16"/>
                <w:color w:val="auto"/>
                <w:w w:val="89"/>
              </w:rPr>
              <w:t>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center"/>
              <w:ind w:left="479"/>
              <w:spacing w:after="0"/>
              <w:rPr>
                <w:sz w:val="20"/>
                <w:szCs w:val="20"/>
                <w:color w:val="auto"/>
              </w:rPr>
            </w:pPr>
            <w:r>
              <w:rPr>
                <w:rFonts w:ascii="Arial" w:cs="Arial" w:eastAsia="Arial" w:hAnsi="Arial"/>
                <w:sz w:val="16"/>
                <w:szCs w:val="16"/>
                <w:color w:val="auto"/>
                <w:w w:val="91"/>
              </w:rPr>
              <w:t>(3.3)</w:t>
            </w:r>
          </w:p>
        </w:tc>
        <w:tc>
          <w:tcPr>
            <w:tcW w:w="100" w:type="dxa"/>
            <w:vAlign w:val="bottom"/>
          </w:tcPr>
          <w:p>
            <w:pPr>
              <w:spacing w:after="0"/>
              <w:rPr>
                <w:sz w:val="22"/>
                <w:szCs w:val="22"/>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Cost of operations</w:t>
            </w:r>
          </w:p>
        </w:tc>
      </w:tr>
      <w:tr>
        <w:trPr>
          <w:trHeight w:val="257"/>
        </w:trPr>
        <w:tc>
          <w:tcPr>
            <w:tcW w:w="3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center"/>
              <w:ind w:left="479"/>
              <w:spacing w:after="0"/>
              <w:rPr>
                <w:sz w:val="20"/>
                <w:szCs w:val="20"/>
                <w:color w:val="auto"/>
              </w:rPr>
            </w:pPr>
            <w:r>
              <w:rPr>
                <w:rFonts w:ascii="Arial" w:cs="Arial" w:eastAsia="Arial" w:hAnsi="Arial"/>
                <w:sz w:val="16"/>
                <w:szCs w:val="16"/>
                <w:color w:val="auto"/>
                <w:w w:val="97"/>
              </w:rPr>
              <w:t>(0.3)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center"/>
              <w:ind w:left="479"/>
              <w:spacing w:after="0"/>
              <w:rPr>
                <w:sz w:val="20"/>
                <w:szCs w:val="20"/>
                <w:color w:val="auto"/>
              </w:rPr>
            </w:pPr>
            <w:r>
              <w:rPr>
                <w:rFonts w:ascii="Arial" w:cs="Arial" w:eastAsia="Arial" w:hAnsi="Arial"/>
                <w:sz w:val="16"/>
                <w:szCs w:val="16"/>
                <w:color w:val="auto"/>
                <w:w w:val="91"/>
              </w:rPr>
              <w:t>(2.7)</w:t>
            </w:r>
          </w:p>
        </w:tc>
        <w:tc>
          <w:tcPr>
            <w:tcW w:w="100" w:type="dxa"/>
            <w:vAlign w:val="bottom"/>
          </w:tcPr>
          <w:p>
            <w:pPr>
              <w:spacing w:after="0"/>
              <w:rPr>
                <w:sz w:val="22"/>
                <w:szCs w:val="22"/>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Interest expense</w:t>
            </w:r>
          </w:p>
        </w:tc>
      </w:tr>
      <w:tr>
        <w:trPr>
          <w:trHeight w:val="33"/>
        </w:trPr>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center"/>
              <w:ind w:left="519"/>
              <w:spacing w:after="0"/>
              <w:rPr>
                <w:sz w:val="20"/>
                <w:szCs w:val="20"/>
                <w:color w:val="auto"/>
              </w:rPr>
            </w:pPr>
            <w:r>
              <w:rPr>
                <w:rFonts w:ascii="Arial" w:cs="Arial" w:eastAsia="Arial" w:hAnsi="Arial"/>
                <w:sz w:val="16"/>
                <w:szCs w:val="16"/>
                <w:color w:val="auto"/>
                <w:w w:val="89"/>
              </w:rPr>
              <w:t>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479"/>
              <w:spacing w:after="0"/>
              <w:rPr>
                <w:sz w:val="20"/>
                <w:szCs w:val="20"/>
                <w:color w:val="auto"/>
              </w:rPr>
            </w:pPr>
            <w:r>
              <w:rPr>
                <w:rFonts w:ascii="Arial" w:cs="Arial" w:eastAsia="Arial" w:hAnsi="Arial"/>
                <w:sz w:val="16"/>
                <w:szCs w:val="16"/>
                <w:color w:val="auto"/>
                <w:w w:val="91"/>
              </w:rPr>
              <w:t>(8.8)</w:t>
            </w: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57"/>
        </w:trPr>
        <w:tc>
          <w:tcPr>
            <w:tcW w:w="32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center"/>
              <w:ind w:left="479"/>
              <w:spacing w:after="0"/>
              <w:rPr>
                <w:sz w:val="20"/>
                <w:szCs w:val="20"/>
                <w:color w:val="auto"/>
              </w:rPr>
            </w:pPr>
            <w:r>
              <w:rPr>
                <w:rFonts w:ascii="Arial" w:cs="Arial" w:eastAsia="Arial" w:hAnsi="Arial"/>
                <w:sz w:val="16"/>
                <w:szCs w:val="16"/>
                <w:color w:val="auto"/>
                <w:w w:val="97"/>
              </w:rPr>
              <w:t>(1.3)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center"/>
              <w:ind w:left="499"/>
              <w:spacing w:after="0"/>
              <w:rPr>
                <w:sz w:val="20"/>
                <w:szCs w:val="20"/>
                <w:color w:val="auto"/>
              </w:rPr>
            </w:pPr>
            <w:r>
              <w:rPr>
                <w:rFonts w:ascii="Arial" w:cs="Arial" w:eastAsia="Arial" w:hAnsi="Arial"/>
                <w:sz w:val="16"/>
                <w:szCs w:val="16"/>
                <w:color w:val="auto"/>
                <w:w w:val="89"/>
              </w:rPr>
              <w:t>3.5</w:t>
            </w:r>
          </w:p>
        </w:tc>
        <w:tc>
          <w:tcPr>
            <w:tcW w:w="100" w:type="dxa"/>
            <w:vAlign w:val="bottom"/>
          </w:tcPr>
          <w:p>
            <w:pPr>
              <w:spacing w:after="0"/>
              <w:rPr>
                <w:sz w:val="22"/>
                <w:szCs w:val="22"/>
                <w:color w:val="auto"/>
              </w:rPr>
            </w:pPr>
          </w:p>
        </w:tc>
        <w:tc>
          <w:tcPr>
            <w:tcW w:w="2940" w:type="dxa"/>
            <w:vAlign w:val="bottom"/>
          </w:tcPr>
          <w:p>
            <w:pPr>
              <w:spacing w:after="0"/>
              <w:rPr>
                <w:sz w:val="22"/>
                <w:szCs w:val="22"/>
                <w:color w:val="auto"/>
              </w:rPr>
            </w:pPr>
          </w:p>
        </w:tc>
      </w:tr>
      <w:tr>
        <w:trPr>
          <w:trHeight w:val="33"/>
        </w:trPr>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center"/>
              <w:ind w:left="519"/>
              <w:spacing w:after="0"/>
              <w:rPr>
                <w:sz w:val="20"/>
                <w:szCs w:val="20"/>
                <w:color w:val="auto"/>
              </w:rPr>
            </w:pPr>
            <w:r>
              <w:rPr>
                <w:rFonts w:ascii="Arial" w:cs="Arial" w:eastAsia="Arial" w:hAnsi="Arial"/>
                <w:sz w:val="16"/>
                <w:szCs w:val="16"/>
                <w:color w:val="auto"/>
                <w:w w:val="89"/>
              </w:rPr>
              <w:t>3.8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ind w:left="479"/>
              <w:spacing w:after="0"/>
              <w:rPr>
                <w:sz w:val="20"/>
                <w:szCs w:val="20"/>
                <w:color w:val="auto"/>
              </w:rPr>
            </w:pPr>
            <w:r>
              <w:rPr>
                <w:rFonts w:ascii="Arial" w:cs="Arial" w:eastAsia="Arial" w:hAnsi="Arial"/>
                <w:sz w:val="16"/>
                <w:szCs w:val="16"/>
                <w:color w:val="auto"/>
                <w:w w:val="91"/>
              </w:rPr>
              <w:t>(5.3)</w:t>
            </w: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33"/>
        </w:trPr>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-865505</wp:posOffset>
            </wp:positionV>
            <wp:extent cx="721233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1233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-539750</wp:posOffset>
            </wp:positionV>
            <wp:extent cx="721233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-205105</wp:posOffset>
            </wp:positionV>
            <wp:extent cx="721233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212330" cy="1885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-1174115</wp:posOffset>
            </wp:positionV>
            <wp:extent cx="721233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21233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420"/>
            <w:col w:w="7500"/>
          </w:cols>
          <w:pgMar w:left="240" w:top="122"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FINANCIAL INSTRUMENTS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our derivative instruments in fair value and cash flow hedging relationships on the consolidated statements of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follows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gridSpan w:val="7"/>
          </w:tcPr>
          <w:p>
            <w:pPr>
              <w:jc w:val="center"/>
              <w:ind w:right="19"/>
              <w:spacing w:after="0"/>
              <w:rPr>
                <w:sz w:val="20"/>
                <w:szCs w:val="20"/>
                <w:color w:val="auto"/>
              </w:rPr>
            </w:pPr>
            <w:r>
              <w:rPr>
                <w:rFonts w:ascii="Arial" w:cs="Arial" w:eastAsia="Arial" w:hAnsi="Arial"/>
                <w:sz w:val="16"/>
                <w:szCs w:val="16"/>
                <w:color w:val="auto"/>
                <w:w w:val="92"/>
              </w:rPr>
              <w:t>Classification and Amount of Gain (Loss) Recognized in Income on Fair Value and Cash</w:t>
            </w:r>
          </w:p>
        </w:tc>
      </w:tr>
      <w:tr>
        <w:trPr>
          <w:trHeight w:val="206"/>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Flow Hedging Relationships</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3"/>
        </w:trPr>
        <w:tc>
          <w:tcPr>
            <w:tcW w:w="5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6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ind w:right="739"/>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739"/>
              <w:spacing w:after="0"/>
              <w:rPr>
                <w:sz w:val="20"/>
                <w:szCs w:val="20"/>
                <w:color w:val="auto"/>
              </w:rPr>
            </w:pPr>
            <w:r>
              <w:rPr>
                <w:rFonts w:ascii="Arial" w:cs="Arial" w:eastAsia="Arial" w:hAnsi="Arial"/>
                <w:sz w:val="16"/>
                <w:szCs w:val="16"/>
                <w:color w:val="auto"/>
              </w:rPr>
              <w:t>2017</w:t>
            </w:r>
          </w:p>
        </w:tc>
      </w:tr>
      <w:tr>
        <w:trPr>
          <w:trHeight w:val="33"/>
        </w:trPr>
        <w:tc>
          <w:tcPr>
            <w:tcW w:w="5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28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1940" w:type="dxa"/>
            <w:vAlign w:val="bottom"/>
            <w:gridSpan w:val="2"/>
          </w:tcPr>
          <w:p>
            <w:pPr>
              <w:ind w:left="3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Interest Expense</w:t>
            </w:r>
          </w:p>
        </w:tc>
      </w:tr>
      <w:tr>
        <w:trPr>
          <w:trHeight w:val="33"/>
        </w:trPr>
        <w:tc>
          <w:tcPr>
            <w:tcW w:w="5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75"/>
        </w:trPr>
        <w:tc>
          <w:tcPr>
            <w:tcW w:w="5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80" w:type="dxa"/>
            <w:vAlign w:val="bottom"/>
          </w:tcPr>
          <w:p>
            <w:pPr>
              <w:spacing w:after="0"/>
              <w:rPr>
                <w:sz w:val="6"/>
                <w:szCs w:val="6"/>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amounts of expense line items presented in the consolidated</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0"/>
              </w:rPr>
              <w:t>statements of income in which the effects of fair value or cash flow hedges</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are recorded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(361.9)</w:t>
            </w:r>
          </w:p>
        </w:tc>
      </w:tr>
      <w:tr>
        <w:trPr>
          <w:trHeight w:val="149"/>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6"/>
        </w:trPr>
        <w:tc>
          <w:tcPr>
            <w:tcW w:w="52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b w:val="1"/>
                <w:bCs w:val="1"/>
                <w:color w:val="auto"/>
              </w:rPr>
              <w:t>The effects of fair value and cash flow hedging:</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76"/>
        </w:trPr>
        <w:tc>
          <w:tcPr>
            <w:tcW w:w="5200" w:type="dxa"/>
            <w:vAlign w:val="bottom"/>
          </w:tcPr>
          <w:p>
            <w:pPr>
              <w:ind w:left="140"/>
              <w:spacing w:after="0" w:line="176" w:lineRule="exact"/>
              <w:rPr>
                <w:sz w:val="20"/>
                <w:szCs w:val="20"/>
                <w:color w:val="auto"/>
              </w:rPr>
            </w:pPr>
            <w:r>
              <w:rPr>
                <w:rFonts w:ascii="Arial" w:cs="Arial" w:eastAsia="Arial" w:hAnsi="Arial"/>
                <w:sz w:val="16"/>
                <w:szCs w:val="16"/>
                <w:color w:val="auto"/>
              </w:rPr>
              <w:t>Gain (loss) on fair value hedging relationships:</w:t>
            </w: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6"/>
        </w:trPr>
        <w:tc>
          <w:tcPr>
            <w:tcW w:w="5200" w:type="dxa"/>
            <w:vAlign w:val="bottom"/>
            <w:shd w:val="clear" w:color="auto" w:fill="CCEEFF"/>
          </w:tcPr>
          <w:p>
            <w:pPr>
              <w:ind w:left="240"/>
              <w:spacing w:after="0" w:line="176" w:lineRule="exact"/>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24"/>
        </w:trPr>
        <w:tc>
          <w:tcPr>
            <w:tcW w:w="5200" w:type="dxa"/>
            <w:vAlign w:val="bottom"/>
          </w:tcPr>
          <w:p>
            <w:pPr>
              <w:ind w:left="360"/>
              <w:spacing w:after="0"/>
              <w:rPr>
                <w:sz w:val="20"/>
                <w:szCs w:val="20"/>
                <w:color w:val="auto"/>
              </w:rPr>
            </w:pPr>
            <w:r>
              <w:rPr>
                <w:rFonts w:ascii="Arial" w:cs="Arial" w:eastAsia="Arial" w:hAnsi="Arial"/>
                <w:sz w:val="16"/>
                <w:szCs w:val="16"/>
                <w:color w:val="auto"/>
              </w:rPr>
              <w:t>Net swap settlements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4.8</w:t>
            </w:r>
          </w:p>
        </w:tc>
      </w:tr>
      <w:tr>
        <w:trPr>
          <w:trHeight w:val="33"/>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periodic earnings</w:t>
            </w: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0.9</w:t>
            </w:r>
          </w:p>
        </w:tc>
      </w:tr>
      <w:tr>
        <w:trPr>
          <w:trHeight w:val="176"/>
        </w:trPr>
        <w:tc>
          <w:tcPr>
            <w:tcW w:w="5200" w:type="dxa"/>
            <w:vAlign w:val="bottom"/>
          </w:tcPr>
          <w:p>
            <w:pPr>
              <w:ind w:left="140"/>
              <w:spacing w:after="0" w:line="176" w:lineRule="exact"/>
              <w:rPr>
                <w:sz w:val="20"/>
                <w:szCs w:val="20"/>
                <w:color w:val="auto"/>
              </w:rPr>
            </w:pPr>
            <w:r>
              <w:rPr>
                <w:rFonts w:ascii="Arial" w:cs="Arial" w:eastAsia="Arial" w:hAnsi="Arial"/>
                <w:sz w:val="16"/>
                <w:szCs w:val="16"/>
                <w:color w:val="auto"/>
              </w:rPr>
              <w:t>Gain (loss) on cash flow hedging relationships:</w:t>
            </w: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6"/>
        </w:trPr>
        <w:tc>
          <w:tcPr>
            <w:tcW w:w="5200" w:type="dxa"/>
            <w:vAlign w:val="bottom"/>
            <w:shd w:val="clear" w:color="auto" w:fill="CCEEFF"/>
          </w:tcPr>
          <w:p>
            <w:pPr>
              <w:ind w:left="240"/>
              <w:spacing w:after="0" w:line="176" w:lineRule="exact"/>
              <w:rPr>
                <w:sz w:val="20"/>
                <w:szCs w:val="20"/>
                <w:color w:val="auto"/>
              </w:rPr>
            </w:pPr>
            <w:r>
              <w:rPr>
                <w:rFonts w:ascii="Arial" w:cs="Arial" w:eastAsia="Arial" w:hAnsi="Arial"/>
                <w:sz w:val="16"/>
                <w:szCs w:val="16"/>
                <w:color w:val="auto"/>
              </w:rPr>
              <w:t>Interest rate swap locks:</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24"/>
        </w:trPr>
        <w:tc>
          <w:tcPr>
            <w:tcW w:w="5200" w:type="dxa"/>
            <w:vAlign w:val="bottom"/>
          </w:tcPr>
          <w:p>
            <w:pPr>
              <w:ind w:left="360"/>
              <w:spacing w:after="0"/>
              <w:rPr>
                <w:sz w:val="20"/>
                <w:szCs w:val="20"/>
                <w:color w:val="auto"/>
              </w:rPr>
            </w:pPr>
            <w:r>
              <w:rPr>
                <w:rFonts w:ascii="Arial" w:cs="Arial" w:eastAsia="Arial" w:hAnsi="Arial"/>
                <w:sz w:val="16"/>
                <w:szCs w:val="16"/>
                <w:color w:val="auto"/>
              </w:rPr>
              <w:t>Amount of gain (loss) reclassified from AOCI into income, net of tax</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(5.3)</w:t>
            </w:r>
          </w:p>
        </w:tc>
      </w:tr>
    </w:tbl>
    <w:p>
      <w:pPr>
        <w:spacing w:after="0" w:line="122" w:lineRule="exact"/>
        <w:rPr>
          <w:sz w:val="20"/>
          <w:szCs w:val="20"/>
          <w:color w:val="auto"/>
        </w:rPr>
      </w:pPr>
    </w:p>
    <w:p>
      <w:pPr>
        <w:ind w:firstLine="8"/>
        <w:spacing w:after="0" w:line="312" w:lineRule="auto"/>
        <w:tabs>
          <w:tab w:leader="none" w:pos="204" w:val="left"/>
        </w:tabs>
        <w:numPr>
          <w:ilvl w:val="0"/>
          <w:numId w:val="65"/>
        </w:numPr>
        <w:rPr>
          <w:rFonts w:ascii="Arial" w:cs="Arial" w:eastAsia="Arial" w:hAnsi="Arial"/>
          <w:sz w:val="13"/>
          <w:szCs w:val="13"/>
          <w:color w:val="auto"/>
        </w:rPr>
      </w:pPr>
      <w:r>
        <w:rPr>
          <w:rFonts w:ascii="Arial" w:cs="Arial" w:eastAsia="Arial" w:hAnsi="Arial"/>
          <w:sz w:val="13"/>
          <w:szCs w:val="13"/>
          <w:color w:val="auto"/>
        </w:rPr>
        <w:t>During 2018 and 2017 (prior to adoption of ASU 2017-12), all net periodic earnings for fair value hedges were recorded to other income, net. To align the effect of the hedging relationship with the activity of the hedged item, beginning January 1, 2019, all net periodic earnings on fair value hedges are presented within interest expense in our consolidated statements of income.</w:t>
      </w: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measuring fair values of assets and liabilities, we use valuation techniques that maximize the use of observable inputs (Level 1) and minimize the use of unobservable inputs (Level 3). We also use market data or assumptions that we believe market participants would use in pricing an asset or liability, including assumptions about risk when appropriate.</w:t>
      </w:r>
    </w:p>
    <w:p>
      <w:pPr>
        <w:spacing w:after="0" w:line="4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carrying value for certain of our financial instruments, including cash, accounts receivable, accounts payable and certain other accrued liabilities, approximates fair value because of their short-term nature.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our assets and liabilities that are measured at fair value on a recurring basis include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5"/>
          </w:tcPr>
          <w:p>
            <w:pPr>
              <w:ind w:left="80"/>
              <w:spacing w:after="0"/>
              <w:rPr>
                <w:sz w:val="20"/>
                <w:szCs w:val="20"/>
                <w:color w:val="auto"/>
              </w:rPr>
            </w:pPr>
            <w:r>
              <w:rPr>
                <w:rFonts w:ascii="Arial" w:cs="Arial" w:eastAsia="Arial" w:hAnsi="Arial"/>
                <w:sz w:val="16"/>
                <w:szCs w:val="16"/>
                <w:color w:val="auto"/>
                <w:w w:val="98"/>
              </w:rPr>
              <w:t>December 31, 2019</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7"/>
          </w:tcPr>
          <w:p>
            <w:pPr>
              <w:jc w:val="center"/>
              <w:ind w:right="100"/>
              <w:spacing w:after="0"/>
              <w:rPr>
                <w:sz w:val="20"/>
                <w:szCs w:val="20"/>
                <w:color w:val="auto"/>
              </w:rPr>
            </w:pPr>
            <w:r>
              <w:rPr>
                <w:rFonts w:ascii="Arial" w:cs="Arial" w:eastAsia="Arial" w:hAnsi="Arial"/>
                <w:sz w:val="16"/>
                <w:szCs w:val="16"/>
                <w:color w:val="auto"/>
                <w:w w:val="90"/>
              </w:rPr>
              <w:t>Fair Value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6"/>
                <w:szCs w:val="16"/>
                <w:color w:val="auto"/>
                <w:w w:val="91"/>
              </w:rPr>
              <w:t>Quoted</w:t>
            </w:r>
          </w:p>
        </w:tc>
        <w:tc>
          <w:tcPr>
            <w:tcW w:w="16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6"/>
                <w:szCs w:val="16"/>
                <w:color w:val="auto"/>
                <w:w w:val="97"/>
              </w:rPr>
              <w:t>Significant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6"/>
                <w:szCs w:val="16"/>
                <w:color w:val="auto"/>
                <w:w w:val="91"/>
              </w:rPr>
              <w:t>Prices in</w:t>
            </w:r>
          </w:p>
        </w:tc>
        <w:tc>
          <w:tcPr>
            <w:tcW w:w="160" w:type="dxa"/>
            <w:vAlign w:val="bottom"/>
          </w:tcPr>
          <w:p>
            <w:pPr>
              <w:spacing w:after="0"/>
              <w:rPr>
                <w:sz w:val="17"/>
                <w:szCs w:val="17"/>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6"/>
                <w:szCs w:val="16"/>
                <w:color w:val="auto"/>
                <w:w w:val="89"/>
              </w:rPr>
              <w:t>Other</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4"/>
              </w:rPr>
              <w:t>Significant</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6"/>
                <w:szCs w:val="16"/>
                <w:color w:val="auto"/>
              </w:rPr>
              <w:t>Active</w:t>
            </w:r>
          </w:p>
        </w:tc>
        <w:tc>
          <w:tcPr>
            <w:tcW w:w="160" w:type="dxa"/>
            <w:vAlign w:val="bottom"/>
          </w:tcPr>
          <w:p>
            <w:pPr>
              <w:spacing w:after="0"/>
              <w:rPr>
                <w:sz w:val="17"/>
                <w:szCs w:val="17"/>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6"/>
                <w:szCs w:val="16"/>
                <w:color w:val="auto"/>
                <w:w w:val="90"/>
              </w:rPr>
              <w:t>Observable</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1"/>
              </w:rPr>
              <w:t>Unobservable</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6"/>
                <w:szCs w:val="16"/>
                <w:color w:val="auto"/>
                <w:w w:val="91"/>
              </w:rPr>
              <w:t>Markets</w:t>
            </w:r>
          </w:p>
        </w:tc>
        <w:tc>
          <w:tcPr>
            <w:tcW w:w="160" w:type="dxa"/>
            <w:vAlign w:val="bottom"/>
          </w:tcPr>
          <w:p>
            <w:pPr>
              <w:spacing w:after="0"/>
              <w:rPr>
                <w:sz w:val="17"/>
                <w:szCs w:val="17"/>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6"/>
                <w:szCs w:val="16"/>
                <w:color w:val="auto"/>
                <w:w w:val="91"/>
              </w:rPr>
              <w:t>Inputs</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6"/>
              </w:rPr>
              <w:t>Inputs</w:t>
            </w:r>
          </w:p>
        </w:tc>
        <w:tc>
          <w:tcPr>
            <w:tcW w:w="0" w:type="dxa"/>
            <w:vAlign w:val="bottom"/>
          </w:tcPr>
          <w:p>
            <w:pPr>
              <w:spacing w:after="0"/>
              <w:rPr>
                <w:sz w:val="1"/>
                <w:szCs w:val="1"/>
                <w:color w:val="auto"/>
              </w:rPr>
            </w:pPr>
          </w:p>
        </w:tc>
      </w:tr>
      <w:tr>
        <w:trPr>
          <w:trHeight w:val="206"/>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4"/>
          </w:tcPr>
          <w:p>
            <w:pPr>
              <w:spacing w:after="0"/>
              <w:rPr>
                <w:sz w:val="20"/>
                <w:szCs w:val="20"/>
                <w:color w:val="auto"/>
              </w:rPr>
            </w:pPr>
            <w:r>
              <w:rPr>
                <w:rFonts w:ascii="Arial" w:cs="Arial" w:eastAsia="Arial" w:hAnsi="Arial"/>
                <w:sz w:val="16"/>
                <w:szCs w:val="16"/>
                <w:color w:val="auto"/>
              </w:rPr>
              <w:t>Carrying Amount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3"/>
          </w:tcPr>
          <w:p>
            <w:pPr>
              <w:ind w:left="160"/>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6"/>
                <w:szCs w:val="16"/>
                <w:color w:val="auto"/>
                <w:w w:val="96"/>
              </w:rPr>
              <w:t>(Level 1)</w:t>
            </w:r>
          </w:p>
        </w:tc>
        <w:tc>
          <w:tcPr>
            <w:tcW w:w="160" w:type="dxa"/>
            <w:vAlign w:val="bottom"/>
          </w:tcPr>
          <w:p>
            <w:pPr>
              <w:spacing w:after="0"/>
              <w:rPr>
                <w:sz w:val="17"/>
                <w:szCs w:val="17"/>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6"/>
                <w:szCs w:val="16"/>
                <w:color w:val="auto"/>
                <w:w w:val="96"/>
              </w:rPr>
              <w:t>(Level 2)</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3"/>
              </w:rPr>
              <w:t>(Level 3)</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80" w:type="dxa"/>
            <w:vAlign w:val="bottom"/>
          </w:tcPr>
          <w:p>
            <w:pPr>
              <w:ind w:left="120"/>
              <w:spacing w:after="0"/>
              <w:rPr>
                <w:sz w:val="20"/>
                <w:szCs w:val="20"/>
                <w:color w:val="auto"/>
              </w:rPr>
            </w:pPr>
            <w:r>
              <w:rPr>
                <w:rFonts w:ascii="Arial" w:cs="Arial" w:eastAsia="Arial" w:hAnsi="Arial"/>
                <w:sz w:val="16"/>
                <w:szCs w:val="16"/>
                <w:color w:val="auto"/>
              </w:rPr>
              <w:t>Money market mutual funds</w:t>
            </w:r>
          </w:p>
        </w:tc>
        <w:tc>
          <w:tcPr>
            <w:tcW w:w="4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3"/>
              </w:rPr>
              <w:t>Bonds - restricted cash and marketable securities and other assets</w:t>
            </w: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580" w:type="dxa"/>
            <w:vAlign w:val="bottom"/>
          </w:tcPr>
          <w:p>
            <w:pPr>
              <w:ind w:left="120"/>
              <w:spacing w:after="0"/>
              <w:rPr>
                <w:sz w:val="20"/>
                <w:szCs w:val="20"/>
                <w:color w:val="auto"/>
              </w:rPr>
            </w:pPr>
            <w:r>
              <w:rPr>
                <w:rFonts w:ascii="Arial" w:cs="Arial" w:eastAsia="Arial" w:hAnsi="Arial"/>
                <w:sz w:val="16"/>
                <w:szCs w:val="16"/>
                <w:color w:val="auto"/>
              </w:rPr>
              <w:t>Interest rate locks - prepaid expenses and other current assets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rate swaps - other assets</w:t>
            </w: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580" w:type="dxa"/>
            <w:vAlign w:val="bottom"/>
          </w:tcPr>
          <w:p>
            <w:pPr>
              <w:ind w:left="120"/>
              <w:spacing w:after="0"/>
              <w:rPr>
                <w:sz w:val="20"/>
                <w:szCs w:val="20"/>
                <w:color w:val="auto"/>
              </w:rPr>
            </w:pPr>
            <w:r>
              <w:rPr>
                <w:rFonts w:ascii="Arial" w:cs="Arial" w:eastAsia="Arial" w:hAnsi="Arial"/>
                <w:sz w:val="16"/>
                <w:szCs w:val="16"/>
                <w:color w:val="auto"/>
              </w:rPr>
              <w:t>Other derivative assets - other assets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derivative liabilities - other long term liabilities</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580" w:type="dxa"/>
            <w:vAlign w:val="bottom"/>
          </w:tcPr>
          <w:p>
            <w:pPr>
              <w:ind w:left="120"/>
              <w:spacing w:after="0"/>
              <w:rPr>
                <w:sz w:val="20"/>
                <w:szCs w:val="20"/>
                <w:color w:val="auto"/>
              </w:rPr>
            </w:pPr>
            <w:r>
              <w:rPr>
                <w:rFonts w:ascii="Arial" w:cs="Arial" w:eastAsia="Arial" w:hAnsi="Arial"/>
                <w:sz w:val="16"/>
                <w:szCs w:val="16"/>
                <w:color w:val="auto"/>
                <w:w w:val="99"/>
              </w:rPr>
              <w:t>Interest rate locks - other accrued liabilities and other long-term</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120"/>
              <w:spacing w:after="0"/>
              <w:rPr>
                <w:sz w:val="20"/>
                <w:szCs w:val="20"/>
                <w:color w:val="auto"/>
              </w:rPr>
            </w:pPr>
            <w:r>
              <w:rPr>
                <w:rFonts w:ascii="Arial" w:cs="Arial" w:eastAsia="Arial" w:hAnsi="Arial"/>
                <w:sz w:val="16"/>
                <w:szCs w:val="16"/>
                <w:color w:val="auto"/>
              </w:rPr>
              <w:t>liabilities</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15.7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5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Contingent consideration - other accrued liabilities and other long-</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term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7"/>
        </w:trPr>
        <w:tc>
          <w:tcPr>
            <w:tcW w:w="45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4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109.9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gridSpan w:val="2"/>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5"/>
          </w:tcPr>
          <w:p>
            <w:pPr>
              <w:ind w:left="80"/>
              <w:spacing w:after="0"/>
              <w:rPr>
                <w:sz w:val="20"/>
                <w:szCs w:val="20"/>
                <w:color w:val="auto"/>
              </w:rPr>
            </w:pPr>
            <w:r>
              <w:rPr>
                <w:rFonts w:ascii="Arial" w:cs="Arial" w:eastAsia="Arial" w:hAnsi="Arial"/>
                <w:sz w:val="16"/>
                <w:szCs w:val="16"/>
                <w:color w:val="auto"/>
                <w:w w:val="98"/>
              </w:rPr>
              <w:t>December 31, 2018</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7"/>
          </w:tcPr>
          <w:p>
            <w:pPr>
              <w:jc w:val="center"/>
              <w:ind w:right="80"/>
              <w:spacing w:after="0"/>
              <w:rPr>
                <w:sz w:val="20"/>
                <w:szCs w:val="20"/>
                <w:color w:val="auto"/>
              </w:rPr>
            </w:pPr>
            <w:r>
              <w:rPr>
                <w:rFonts w:ascii="Arial" w:cs="Arial" w:eastAsia="Arial" w:hAnsi="Arial"/>
                <w:sz w:val="16"/>
                <w:szCs w:val="16"/>
                <w:color w:val="auto"/>
                <w:w w:val="93"/>
              </w:rPr>
              <w:t>Fair Value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color w:val="auto"/>
                <w:w w:val="91"/>
              </w:rPr>
              <w:t>Quoted</w:t>
            </w:r>
          </w:p>
        </w:tc>
        <w:tc>
          <w:tcPr>
            <w:tcW w:w="16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color w:val="auto"/>
                <w:w w:val="94"/>
              </w:rPr>
              <w:t>Significant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color w:val="auto"/>
                <w:w w:val="91"/>
              </w:rPr>
              <w:t>Prices in</w:t>
            </w:r>
          </w:p>
        </w:tc>
        <w:tc>
          <w:tcPr>
            <w:tcW w:w="16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color w:val="auto"/>
                <w:w w:val="94"/>
              </w:rPr>
              <w:t>Other</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4"/>
              </w:rPr>
              <w:t>Significant</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6"/>
                <w:szCs w:val="16"/>
                <w:color w:val="auto"/>
                <w:w w:val="96"/>
              </w:rPr>
              <w:t>Active</w:t>
            </w:r>
          </w:p>
        </w:tc>
        <w:tc>
          <w:tcPr>
            <w:tcW w:w="16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color w:val="auto"/>
                <w:w w:val="90"/>
              </w:rPr>
              <w:t>Observable</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1"/>
              </w:rPr>
              <w:t>Unobservable</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6"/>
                <w:szCs w:val="16"/>
                <w:color w:val="auto"/>
                <w:w w:val="94"/>
              </w:rPr>
              <w:t>Markets</w:t>
            </w:r>
          </w:p>
        </w:tc>
        <w:tc>
          <w:tcPr>
            <w:tcW w:w="16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color w:val="auto"/>
                <w:w w:val="96"/>
              </w:rPr>
              <w:t>Inputs</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6"/>
              </w:rPr>
              <w:t>Inputs</w:t>
            </w:r>
          </w:p>
        </w:tc>
        <w:tc>
          <w:tcPr>
            <w:tcW w:w="0" w:type="dxa"/>
            <w:vAlign w:val="bottom"/>
          </w:tcPr>
          <w:p>
            <w:pPr>
              <w:spacing w:after="0"/>
              <w:rPr>
                <w:sz w:val="1"/>
                <w:szCs w:val="1"/>
                <w:color w:val="auto"/>
              </w:rPr>
            </w:pPr>
          </w:p>
        </w:tc>
      </w:tr>
      <w:tr>
        <w:trPr>
          <w:trHeight w:val="206"/>
        </w:trPr>
        <w:tc>
          <w:tcPr>
            <w:tcW w:w="4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4"/>
          </w:tcPr>
          <w:p>
            <w:pPr>
              <w:ind w:left="20"/>
              <w:spacing w:after="0"/>
              <w:rPr>
                <w:sz w:val="20"/>
                <w:szCs w:val="20"/>
                <w:color w:val="auto"/>
              </w:rPr>
            </w:pPr>
            <w:r>
              <w:rPr>
                <w:rFonts w:ascii="Arial" w:cs="Arial" w:eastAsia="Arial" w:hAnsi="Arial"/>
                <w:sz w:val="16"/>
                <w:szCs w:val="16"/>
                <w:color w:val="auto"/>
              </w:rPr>
              <w:t>Carrying Amount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3"/>
          </w:tcPr>
          <w:p>
            <w:pPr>
              <w:ind w:left="180"/>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color w:val="auto"/>
                <w:w w:val="96"/>
              </w:rPr>
              <w:t>(Level 1)</w:t>
            </w:r>
          </w:p>
        </w:tc>
        <w:tc>
          <w:tcPr>
            <w:tcW w:w="16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6"/>
                <w:szCs w:val="16"/>
                <w:color w:val="auto"/>
                <w:w w:val="96"/>
              </w:rPr>
              <w:t>(Level 2)</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3"/>
              </w:rPr>
              <w:t>(Level 3)</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80" w:type="dxa"/>
            <w:vAlign w:val="bottom"/>
          </w:tcPr>
          <w:p>
            <w:pPr>
              <w:ind w:left="120"/>
              <w:spacing w:after="0"/>
              <w:rPr>
                <w:sz w:val="20"/>
                <w:szCs w:val="20"/>
                <w:color w:val="auto"/>
              </w:rPr>
            </w:pPr>
            <w:r>
              <w:rPr>
                <w:rFonts w:ascii="Arial" w:cs="Arial" w:eastAsia="Arial" w:hAnsi="Arial"/>
                <w:sz w:val="16"/>
                <w:szCs w:val="16"/>
                <w:color w:val="auto"/>
              </w:rPr>
              <w:t>Money market mutual funds</w:t>
            </w: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3"/>
              </w:rPr>
              <w:t>Bonds - restricted cash and marketable securities and other assets</w:t>
            </w: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580" w:type="dxa"/>
            <w:vAlign w:val="bottom"/>
          </w:tcPr>
          <w:p>
            <w:pPr>
              <w:ind w:left="120"/>
              <w:spacing w:after="0"/>
              <w:rPr>
                <w:sz w:val="20"/>
                <w:szCs w:val="20"/>
                <w:color w:val="auto"/>
              </w:rPr>
            </w:pPr>
            <w:r>
              <w:rPr>
                <w:rFonts w:ascii="Arial" w:cs="Arial" w:eastAsia="Arial" w:hAnsi="Arial"/>
                <w:sz w:val="16"/>
                <w:szCs w:val="16"/>
                <w:color w:val="auto"/>
              </w:rPr>
              <w:t>Interest rate swaps - other assets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rate locks - other assets</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58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40" w:type="dxa"/>
            <w:vAlign w:val="bottom"/>
          </w:tcPr>
          <w:p>
            <w:pPr>
              <w:spacing w:after="0"/>
              <w:rPr>
                <w:sz w:val="18"/>
                <w:szCs w:val="18"/>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97.7</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97.7</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60.6</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80" w:type="dxa"/>
            <w:vAlign w:val="bottom"/>
          </w:tcPr>
          <w:p>
            <w:pPr>
              <w:ind w:left="120"/>
              <w:spacing w:after="0"/>
              <w:rPr>
                <w:sz w:val="20"/>
                <w:szCs w:val="20"/>
                <w:color w:val="auto"/>
              </w:rPr>
            </w:pPr>
            <w:r>
              <w:rPr>
                <w:rFonts w:ascii="Arial" w:cs="Arial" w:eastAsia="Arial" w:hAnsi="Arial"/>
                <w:sz w:val="16"/>
                <w:szCs w:val="16"/>
                <w:color w:val="auto"/>
              </w:rPr>
              <w:t>Contingent consideration - other long-term liabilities</w:t>
            </w: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Debt</w:t>
      </w:r>
    </w:p>
    <w:p>
      <w:pPr>
        <w:spacing w:after="0" w:line="10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As of December 31, 2019, the carrying value of our total debt was $8.7 billion and the fair value of our total debt was $9.4 billion. As of December 31, 2018, the carrying value of our total debt was $8.3 billion and the fair value of our total debt was $8.7 billion. The estimated fair value of our fixed rate senior notes and debentures is based on quoted market prices. The fair value of our remaining notes payable, tax-exempt financings and borrowings under our credit facilities approximates the carrying value because the interest rates are variable. The fair value estimates are based on Level 2 inputs of the fair value hierarchy as of December 31, 2019 and December 31, 2018. See Note 9, </w:t>
      </w:r>
      <w:r>
        <w:rPr>
          <w:rFonts w:ascii="Arial" w:cs="Arial" w:eastAsia="Arial" w:hAnsi="Arial"/>
          <w:sz w:val="17"/>
          <w:szCs w:val="17"/>
          <w:i w:val="1"/>
          <w:iCs w:val="1"/>
          <w:color w:val="auto"/>
        </w:rPr>
        <w:t>Debt,</w:t>
      </w:r>
      <w:r>
        <w:rPr>
          <w:rFonts w:ascii="Arial" w:cs="Arial" w:eastAsia="Arial" w:hAnsi="Arial"/>
          <w:sz w:val="17"/>
          <w:szCs w:val="17"/>
          <w:color w:val="auto"/>
        </w:rPr>
        <w:t xml:space="preserve"> for further information related to our 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2015, we entered into a waste management contract with the County of Sonoma, California to operate the county's waste management facilities. As of December 31, 2019, the Sonoma contingent consideration represents the fair value of $65.5 million payable to the County of Sonoma based on the achievement of future annual tonnage targets through the expected remaining capacity of the landfill. The potential undiscounted amount of all future contingent payments that we could be required to make under the waste management contract is estimated to be between approximately $75 million and $165 million. During 2019, the activity in the contingent consideration liability included accretion, which was offset by concession payments made in the ordinary course of business. There were no changes to the estimate of fair value.</w:t>
      </w:r>
    </w:p>
    <w:p>
      <w:pPr>
        <w:spacing w:after="0" w:line="7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2017, we recognized additional contingent consideration associated with the acquisition of a landfill. As of December 31, 2019, the contingent consideration of $4.0 million represents the fair value of amounts payable to the seller based on annual volume of tons disposed at the landfill. During 2019, the activity in the contingent consideration liability included accretion, which was offset by concession payments made in the ordinary course of business. There were no changes to the estimate of fair value.</w:t>
      </w:r>
    </w:p>
    <w:p>
      <w:pPr>
        <w:spacing w:after="0" w:line="6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June 2019, we recognized additional contingent consideration associated with the acquisition of a collection business. As of December 31, 2019, the contingent consideration of $2.5 million represents the fair value of amounts payable to the seller based on annual volume of tons collected from certain customers of the business. During 2019, the activity in the contingent consideration liability included accretion, which was offset by concession payments made in the ordinary course of business. There were no changes to the estimate of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As used herein, the term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insured employee health care costs, are discussed in Note 7,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and (2) environmental remediation liabilities, which are discussed in Note 8, </w:t>
      </w:r>
      <w:r>
        <w:rPr>
          <w:rFonts w:ascii="Arial" w:cs="Arial" w:eastAsia="Arial" w:hAnsi="Arial"/>
          <w:sz w:val="18"/>
          <w:szCs w:val="18"/>
          <w:i w:val="1"/>
          <w:iCs w:val="1"/>
          <w:color w:val="auto"/>
        </w:rPr>
        <w:t>Landfill and Environmental Costs.</w:t>
      </w:r>
    </w:p>
    <w:p>
      <w:pPr>
        <w:spacing w:after="0" w:line="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accrue for legal proceedings when losses become probable and reasonably estimable. We have recorded an aggregate accrual of approximately $21 million relating to our outstanding legal proceedings as of December 31, 2019.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If we had used the high ends of such ranges, our aggregate potential liability would be approximately $15 million higher than the amount recorded as of December 31,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Unconditional Purchase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entered into agreements to pay royalties to prior landowners, lessors or host communities, based on, among other things, revenue received and waste tonnage disposed at specified landfills. These royalties are generally payable quarterly and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amounts incurred, but not paid, are accrued in our consolidated balance sheets. Royalties are accrued as revenue is received or tonnage is disposed of, as applicable, in the landfills.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Disposal Agreements</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several agreements that require us to dispose of a minimum number of tons at third-party disposal facilities. Under these put-or-pay agreements, we must pay for agreed-upon minimum volumes regardless of the actual number of tons placed at the facilities.</w:t>
      </w:r>
    </w:p>
    <w:p>
      <w:pPr>
        <w:spacing w:after="0" w:line="4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unconditional purchase commitments have varying expiration dates, with some extending through the remaining life of the respective landfill. Future minimum payments under unconditional purchase commitments, consisting primarily of (1) disposal related agreements, which include fixed or minimum royalty payments, host agreements, and take-or-pay and put-or-pay agreements, and (2) other obligations including committed capital expenditures and consulting service agreements as of December 31, 2019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132.5</w:t>
            </w:r>
          </w:p>
        </w:tc>
      </w:tr>
      <w:tr>
        <w:trPr>
          <w:trHeight w:val="243"/>
        </w:trPr>
        <w:tc>
          <w:tcPr>
            <w:tcW w:w="10060" w:type="dxa"/>
            <w:vAlign w:val="bottom"/>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90.9</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62.8</w:t>
            </w:r>
          </w:p>
        </w:tc>
      </w:tr>
      <w:tr>
        <w:trPr>
          <w:trHeight w:val="243"/>
        </w:trPr>
        <w:tc>
          <w:tcPr>
            <w:tcW w:w="1006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39.5</w:t>
            </w:r>
          </w:p>
        </w:tc>
      </w:tr>
      <w:tr>
        <w:trPr>
          <w:trHeight w:val="27"/>
        </w:trPr>
        <w:tc>
          <w:tcPr>
            <w:tcW w:w="10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w:t>
            </w:r>
          </w:p>
        </w:tc>
      </w:tr>
      <w:tr>
        <w:trPr>
          <w:trHeight w:val="243"/>
        </w:trPr>
        <w:tc>
          <w:tcPr>
            <w:tcW w:w="100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266.1</w:t>
            </w:r>
          </w:p>
        </w:tc>
      </w:tr>
      <w:tr>
        <w:trPr>
          <w:trHeight w:val="27"/>
        </w:trPr>
        <w:tc>
          <w:tcPr>
            <w:tcW w:w="10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100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629.9</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 and Marketable Securities</w:t>
      </w:r>
    </w:p>
    <w:p>
      <w:pPr>
        <w:spacing w:after="0" w:line="1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Restricted cash and restricted cash equivalents are included with cash and cash equivalents when reconciling the beginning-of-period and end-of-period total amounts shown on the statements of cash flows. Beginning-of-period and end-of-period cash, cash equivalents, restricted cash and restricted cash equivalents as presented in the statements of cash flows are reconciled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14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w w:val="91"/>
              </w:rPr>
              <w:t>December 31, 2017</w:t>
            </w:r>
          </w:p>
        </w:tc>
      </w:tr>
      <w:tr>
        <w:trPr>
          <w:trHeight w:val="27"/>
        </w:trPr>
        <w:tc>
          <w:tcPr>
            <w:tcW w:w="5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83.3</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Restricted cash and marketable securities</w:t>
            </w:r>
          </w:p>
        </w:tc>
        <w:tc>
          <w:tcPr>
            <w:tcW w:w="14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141.1</w:t>
            </w:r>
          </w:p>
        </w:tc>
      </w:tr>
      <w:tr>
        <w:trPr>
          <w:trHeight w:val="27"/>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restricted marketable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64"/>
        </w:trPr>
        <w:tc>
          <w:tcPr>
            <w:tcW w:w="5840" w:type="dxa"/>
            <w:vAlign w:val="bottom"/>
          </w:tcPr>
          <w:p>
            <w:pPr>
              <w:ind w:left="20"/>
              <w:spacing w:after="0"/>
              <w:rPr>
                <w:sz w:val="20"/>
                <w:szCs w:val="20"/>
                <w:color w:val="auto"/>
              </w:rPr>
            </w:pPr>
            <w:r>
              <w:rPr>
                <w:rFonts w:ascii="Arial" w:cs="Arial" w:eastAsia="Arial" w:hAnsi="Arial"/>
                <w:sz w:val="18"/>
                <w:szCs w:val="18"/>
                <w:color w:val="auto"/>
              </w:rPr>
              <w:t>Cash, cash equivalents, restricted cash and restricted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179.1</w:t>
            </w:r>
          </w:p>
        </w:tc>
      </w:tr>
      <w:tr>
        <w:trPr>
          <w:trHeight w:val="21"/>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restricted cash and marketable securities include, among other things, restricted cash and marketable securities pledged to regulatory agencies and governmental entities as financial guarantees of our performance under certain collection, landfill and transfer station contracts and permits, and relating to our final capping, closure and post-closure obligations at our landfills, restricted cash and marketable securities related to our insurance obligations, and restricted cash related to a payment for a certain maturing tax-exempt financing.</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cash and marketable securities as of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7"/>
        </w:trPr>
        <w:tc>
          <w:tcPr>
            <w:tcW w:w="8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for maturing tax-exempt financing</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Capping, closure and post-closure obligations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29.5</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78.6</w:t>
            </w:r>
          </w:p>
        </w:tc>
      </w:tr>
      <w:tr>
        <w:trPr>
          <w:trHeight w:val="237"/>
        </w:trPr>
        <w:tc>
          <w:tcPr>
            <w:tcW w:w="8620" w:type="dxa"/>
            <w:vAlign w:val="bottom"/>
          </w:tcPr>
          <w:p>
            <w:pPr>
              <w:ind w:left="20"/>
              <w:spacing w:after="0"/>
              <w:rPr>
                <w:sz w:val="20"/>
                <w:szCs w:val="20"/>
                <w:color w:val="auto"/>
              </w:rPr>
            </w:pPr>
            <w:r>
              <w:rPr>
                <w:rFonts w:ascii="Arial" w:cs="Arial" w:eastAsia="Arial" w:hAnsi="Arial"/>
                <w:sz w:val="18"/>
                <w:szCs w:val="18"/>
                <w:color w:val="auto"/>
              </w:rPr>
              <w:t>Total restricted cash and marketable securities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108.1</w:t>
            </w:r>
          </w:p>
        </w:tc>
      </w:tr>
      <w:tr>
        <w:trPr>
          <w:trHeight w:val="27"/>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must provide financial assurance to governmental agencies and a variety of other entities under applicable environmental regulations relating to our landfill operations for capping, closure and post-closure costs, and our performance under certain collection, landfill and transfer station contracts. We satisfy our financial assurance requirements by providing surety bonds, letters of credit, insurance policies or trust deposits. The amount of the financial assurance requirements for capping, closure and post-closure costs is determined by applicable state environmental regulations, which vary by state. The financial assurance requirements for capping, closure and post-closure costs can either be for costs associated with a portion of the landfill or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entire landfill. Generally, states will require a third-party engineering specialist to determine the estimated capping, closure and post-closure costs that are used to determine the required amount of financial assurance for a landfill. The amount of financial assurance required can, and generally will, differ from the obligation determined and recorded under U.S. GAAP. The amount of the financial assurance requirements related to contract performance varies by contract. Additionally, we are required to provide financial assurance for our insurance program and collateral for certain performance obligations.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financial instruments and collateral in place to secure our financial assurances as of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7"/>
        </w:trPr>
        <w:tc>
          <w:tcPr>
            <w:tcW w:w="8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474.2</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Surety bonds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3,460.8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3,442.4</w:t>
            </w:r>
          </w:p>
        </w:tc>
      </w:tr>
    </w:tbl>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had $351.4 million and $379.6 million of letters of credit outstanding under our Credit Facility as of December 31, 2019 and 2018, respectively. Surety bonds subject to expiration will expire on various dates through 2026.</w:t>
      </w:r>
    </w:p>
    <w:p>
      <w:pPr>
        <w:spacing w:after="0" w:line="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These financial instruments are issued in the normal course of business and are not classified as debt. Because we currently have no liability for this financial assurance, it is not reflected in our consolidated balance sheets. However, we have recorded capping, closure and post-closure obligations and insurance reserves as they are incurred.</w:t>
      </w:r>
    </w:p>
    <w:p>
      <w:pPr>
        <w:spacing w:after="0" w:line="6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own a 19.9% interest in a company that, among other activities, issues financial surety bonds to secure capping, closure and post-closure obligations for companies operating in the solid waste industry. We account for this investment under the cost method of accounting. There have been no identified events or changes in circumstances that may have a significant adverse effect on the recoverability of this investment. This investee company and the parent company of the investee had written surety bonds for us relating primarily to our landfill operations for capping, closure and post-closure, of which $1,330.7 million were outstanding as of December 31, 2019. Our reimbursement obligations under these bonds are secured by an indemnity agreement with the investee and letters of credit. There were no letters of credit outstanding as of December 31, 2019 and 2018 associated with these reimbursement obligations.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enter into contracts in the normal course of business that include indemnification clauses. Indemnifications relating to known liabilities are recorded in the consolidated financial statements based on our best estimate of required future payments. Certain of these indemnifications relate to contingent events or occurrences, such as the imposition of additional taxes due to a change in the tax law or adverse interpretation of the tax law, and indemnifications made in divestiture agreements where we indemnify the buyer for liabilities that relate to our activities prior to the divestiture and that may become known in the future. We do not believe that these contingent obligations will have a material effect on our consolidated financial position, results of operations or cash flows.</w:t>
      </w:r>
    </w:p>
    <w:p>
      <w:pPr>
        <w:spacing w:after="0" w:line="7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have entered into agreements with property owners to guarantee the value of property that is adjacent to certain of our landfills. These agreements have varying terms. We do not believe that these contingent obligations will have a material effect on our consolidated financial position,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08"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Our business activities are conducted in the context of a developing and changing statutory and regulatory framework. Governmental regulation of the waste management industry requires us to obtain and retain numerous governmental permits to conduct various aspects of our operations. These permits are subject to revocation, modification or denial. The costs and other capital expenditures that may be required to obtain or retain the applicable permits or comply with applicable regulations could be significant. Any revocation, modification or denial of permits could have a material adverse effect on us.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unaudited consolidated quarterly results of operations as reported for 2019 and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First</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Second</w:t>
            </w:r>
          </w:p>
        </w:tc>
        <w:tc>
          <w:tcPr>
            <w:tcW w:w="2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Third</w:t>
            </w:r>
          </w:p>
        </w:tc>
        <w:tc>
          <w:tcPr>
            <w:tcW w:w="24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Fourth</w:t>
            </w:r>
          </w:p>
        </w:tc>
      </w:tr>
      <w:tr>
        <w:trPr>
          <w:trHeight w:val="230"/>
        </w:trPr>
        <w:tc>
          <w:tcPr>
            <w:tcW w:w="5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Quarter</w:t>
            </w:r>
          </w:p>
        </w:tc>
        <w:tc>
          <w:tcPr>
            <w:tcW w:w="2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4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Quarter</w:t>
            </w:r>
          </w:p>
        </w:tc>
      </w:tr>
      <w:tr>
        <w:trPr>
          <w:trHeight w:val="27"/>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70"/>
        </w:trPr>
        <w:tc>
          <w:tcPr>
            <w:tcW w:w="5760" w:type="dxa"/>
            <w:vAlign w:val="bottom"/>
          </w:tcPr>
          <w:p>
            <w:pPr>
              <w:ind w:left="2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2,470.6</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2,605.3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2,646.9</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2,576.7</w:t>
            </w: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459.2</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290.0</w:t>
            </w:r>
          </w:p>
        </w:tc>
      </w:tr>
      <w:tr>
        <w:trPr>
          <w:trHeight w:val="27"/>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Republic Services, Inc.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289.3</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0.90</w:t>
            </w:r>
          </w:p>
        </w:tc>
      </w:tr>
      <w:tr>
        <w:trPr>
          <w:trHeight w:val="27"/>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760" w:type="dxa"/>
            <w:vAlign w:val="bottom"/>
          </w:tcPr>
          <w:p>
            <w:pPr>
              <w:ind w:left="2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2,427.5</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2,517.8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2,565.7</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2,530.0</w:t>
            </w:r>
          </w:p>
        </w:tc>
      </w:tr>
      <w:tr>
        <w:trPr>
          <w:trHeight w:val="27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440.3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483.3</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237.9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301.1</w:t>
            </w:r>
          </w:p>
        </w:tc>
      </w:tr>
      <w:tr>
        <w:trPr>
          <w:trHeight w:val="27"/>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income attributable to Republic Services, Inc.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301.0</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0.92</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(1) Line items in these rows do not total to amounts reported in the consolidated financial statements due to rounding.</w:t>
      </w:r>
    </w:p>
    <w:p>
      <w:pPr>
        <w:spacing w:after="0" w:line="1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fourth quarter of 2019 and 2018, we recorded a reduction to remediation expense of $24.0 million and $40.0 million, respectively, related to insurance recoveries at our closed Bridgeton Landfill.</w:t>
      </w:r>
    </w:p>
    <w:p>
      <w:pPr>
        <w:spacing w:after="0" w:line="166" w:lineRule="exact"/>
        <w:rPr>
          <w:sz w:val="20"/>
          <w:szCs w:val="20"/>
          <w:color w:val="auto"/>
        </w:rPr>
      </w:pPr>
    </w:p>
    <w:p>
      <w:pPr>
        <w:ind w:right="108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REPUBLIC SERVICES, INC.’S INTERNAL CONTROL OVER FINANCIAL REPORTING</w:t>
      </w:r>
    </w:p>
    <w:p>
      <w:pPr>
        <w:spacing w:after="0" w:line="10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as members of management of Republic Services, Inc., are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(1) pertain to the maintenance of records that, in reasonable detail, accurately and fairly reflect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4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Because of its inherent limitations,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under the supervision of and with the participation of our management, including the Chief Executive Officer, Chief Financial Officer and Chief Accounting Officer, assessed the effectiveness of our internal control over financial reporting as of December 31, 2019, based on criteria for effective internal control over financial reporting described in Internal Control — Integrated Framework (2013) issued by the Committee of Sponsoring Organizations of the Treadway Commission. Based on this assessment, we concluded that we maintained effective internal control over financial reporting as of December 31, 2019, based on the specified criteria.</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internal control over financial reporting has been audited by Ernst &amp; Young LLP, an independent registered public accounting firm, as stated in their attestation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our disclosure controls and procedures (as defined in Exchange Act Rules 13a-15(e), and 15d-15(e)) as of the end of the period covered by this Annual Report. Based upon that evaluation, our Chief Executive Officer and Chief Financial Officer concluded that our disclosure controls and procedures were effective as of the end of the period covered by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and Chief Financial Officer, there has been no change in our internal control over financial reporting during the quarter ended December 31, 2019 identified in connection with that evaluation, that has materially affected, or is reasonably likely to materially affect, our internal control over financial reporting.</w:t>
      </w:r>
    </w:p>
    <w:p>
      <w:pPr>
        <w:spacing w:after="0" w:line="4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July 2019, we acquired all of the issued and outstanding shares of Southern Tank Leasing, Inc., Tidal Tank, Inc. and Bealine Service Company, Inc. (collectively Sprint). As permitted by the SEC Staff interpretive guidance for newly acquired businesses, management's assessment of our internal control over financial reporting as of December 31, 2019 did not include an assessment of internal control over financial reporting as it relates to the Sprint acquisition. We will continue the process of implementing internal controls over financial reporting for Sprint. As of December 31, 2019, assets excluded from management's assessment totaled $134.1 million and contributed less than 1% of revenue to our audited consolidated financial statements for the year ended 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headings Proposal 1 - Election of Directors, Biographical Information Regarding Directors/Nominees, Board of Directors and Corporate Governance Matters, Delinquent Section 16(a) Reports, and Executive Officers in the Proxy Statement for the 2020 Annual Meeting of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headings Executive Compensation and Director Compensation in the Proxy Statement for the 2020 Annual Meeting of Shareholders.</w:t>
      </w:r>
    </w:p>
    <w:p>
      <w:pPr>
        <w:spacing w:after="0" w:line="166" w:lineRule="exact"/>
        <w:rPr>
          <w:sz w:val="20"/>
          <w:szCs w:val="20"/>
          <w:color w:val="auto"/>
        </w:rPr>
      </w:pPr>
    </w:p>
    <w:p>
      <w:pPr>
        <w:ind w:left="820" w:right="70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Information required by this item is incorporated by reference to the material appearing under the headings Security Ownership of Five Percent Shareholders and Security Ownership of the Board of Directors and Management in the Proxy Statement for the 2020 Annual Meeting of Shareholders.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equity compensation plans as of December 31, 2019 (number of securities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color w:val="auto"/>
                <w:w w:val="93"/>
              </w:rPr>
              <w:t>Number of</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color w:val="auto"/>
                <w:w w:val="91"/>
              </w:rPr>
              <w:t>Securities</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440" w:type="dxa"/>
            <w:vAlign w:val="bottom"/>
            <w:vMerge w:val="restart"/>
          </w:tcPr>
          <w:p>
            <w:pPr>
              <w:jc w:val="center"/>
              <w:ind w:left="339"/>
              <w:spacing w:after="0"/>
              <w:rPr>
                <w:sz w:val="20"/>
                <w:szCs w:val="20"/>
                <w:color w:val="auto"/>
              </w:rPr>
            </w:pPr>
            <w:r>
              <w:rPr>
                <w:rFonts w:ascii="Arial" w:cs="Arial" w:eastAsia="Arial" w:hAnsi="Arial"/>
                <w:sz w:val="16"/>
                <w:szCs w:val="16"/>
                <w:color w:val="auto"/>
                <w:w w:val="93"/>
              </w:rPr>
              <w:t>Number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color w:val="auto"/>
                <w:w w:val="91"/>
              </w:rPr>
              <w:t>Remaining</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color w:val="auto"/>
                <w:w w:val="95"/>
              </w:rPr>
              <w:t>Available</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440" w:type="dxa"/>
            <w:vAlign w:val="bottom"/>
          </w:tcPr>
          <w:p>
            <w:pPr>
              <w:jc w:val="center"/>
              <w:ind w:left="339"/>
              <w:spacing w:after="0" w:line="162" w:lineRule="exact"/>
              <w:rPr>
                <w:sz w:val="20"/>
                <w:szCs w:val="20"/>
                <w:color w:val="auto"/>
              </w:rPr>
            </w:pPr>
            <w:r>
              <w:rPr>
                <w:rFonts w:ascii="Arial" w:cs="Arial" w:eastAsia="Arial" w:hAnsi="Arial"/>
                <w:sz w:val="16"/>
                <w:szCs w:val="16"/>
                <w:color w:val="auto"/>
                <w:w w:val="88"/>
              </w:rPr>
              <w:t>Securities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color w:val="auto"/>
                <w:w w:val="91"/>
              </w:rPr>
              <w:t>for Future Issuance</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440" w:type="dxa"/>
            <w:vAlign w:val="bottom"/>
          </w:tcPr>
          <w:p>
            <w:pPr>
              <w:jc w:val="center"/>
              <w:ind w:left="339"/>
              <w:spacing w:after="0" w:line="162" w:lineRule="exact"/>
              <w:rPr>
                <w:sz w:val="20"/>
                <w:szCs w:val="20"/>
                <w:color w:val="auto"/>
              </w:rPr>
            </w:pPr>
            <w:r>
              <w:rPr>
                <w:rFonts w:ascii="Arial" w:cs="Arial" w:eastAsia="Arial" w:hAnsi="Arial"/>
                <w:sz w:val="16"/>
                <w:szCs w:val="16"/>
                <w:color w:val="auto"/>
                <w:w w:val="84"/>
              </w:rPr>
              <w:t>to be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w w:val="89"/>
              </w:rPr>
              <w:t>Weighted Average</w:t>
            </w:r>
          </w:p>
        </w:tc>
        <w:tc>
          <w:tcPr>
            <w:tcW w:w="2000" w:type="dxa"/>
            <w:vAlign w:val="bottom"/>
          </w:tcPr>
          <w:p>
            <w:pPr>
              <w:jc w:val="center"/>
              <w:spacing w:after="0" w:line="162" w:lineRule="exact"/>
              <w:rPr>
                <w:sz w:val="20"/>
                <w:szCs w:val="20"/>
                <w:color w:val="auto"/>
              </w:rPr>
            </w:pPr>
            <w:r>
              <w:rPr>
                <w:rFonts w:ascii="Arial" w:cs="Arial" w:eastAsia="Arial" w:hAnsi="Arial"/>
                <w:sz w:val="16"/>
                <w:szCs w:val="16"/>
                <w:color w:val="auto"/>
                <w:w w:val="95"/>
              </w:rPr>
              <w:t>Under Equity</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440" w:type="dxa"/>
            <w:vAlign w:val="bottom"/>
          </w:tcPr>
          <w:p>
            <w:pPr>
              <w:jc w:val="center"/>
              <w:ind w:left="339"/>
              <w:spacing w:after="0" w:line="162" w:lineRule="exact"/>
              <w:rPr>
                <w:sz w:val="20"/>
                <w:szCs w:val="20"/>
                <w:color w:val="auto"/>
              </w:rPr>
            </w:pPr>
            <w:r>
              <w:rPr>
                <w:rFonts w:ascii="Arial" w:cs="Arial" w:eastAsia="Arial" w:hAnsi="Arial"/>
                <w:sz w:val="16"/>
                <w:szCs w:val="16"/>
                <w:color w:val="auto"/>
                <w:w w:val="91"/>
              </w:rPr>
              <w:t>Issued Upon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color w:val="auto"/>
                <w:w w:val="91"/>
              </w:rPr>
              <w:t>Compensation</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440" w:type="dxa"/>
            <w:vAlign w:val="bottom"/>
          </w:tcPr>
          <w:p>
            <w:pPr>
              <w:jc w:val="center"/>
              <w:ind w:left="339"/>
              <w:spacing w:after="0" w:line="162" w:lineRule="exact"/>
              <w:rPr>
                <w:sz w:val="20"/>
                <w:szCs w:val="20"/>
                <w:color w:val="auto"/>
              </w:rPr>
            </w:pPr>
            <w:r>
              <w:rPr>
                <w:rFonts w:ascii="Arial" w:cs="Arial" w:eastAsia="Arial" w:hAnsi="Arial"/>
                <w:sz w:val="16"/>
                <w:szCs w:val="16"/>
                <w:color w:val="auto"/>
                <w:w w:val="93"/>
              </w:rPr>
              <w:t>Exercise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1"/>
              </w:rPr>
              <w:t>Exercise Price of</w:t>
            </w:r>
          </w:p>
        </w:tc>
        <w:tc>
          <w:tcPr>
            <w:tcW w:w="2000" w:type="dxa"/>
            <w:vAlign w:val="bottom"/>
          </w:tcPr>
          <w:p>
            <w:pPr>
              <w:jc w:val="center"/>
              <w:spacing w:after="0" w:line="162" w:lineRule="exact"/>
              <w:rPr>
                <w:sz w:val="20"/>
                <w:szCs w:val="20"/>
                <w:color w:val="auto"/>
              </w:rPr>
            </w:pPr>
            <w:r>
              <w:rPr>
                <w:rFonts w:ascii="Arial" w:cs="Arial" w:eastAsia="Arial" w:hAnsi="Arial"/>
                <w:sz w:val="16"/>
                <w:szCs w:val="16"/>
                <w:color w:val="auto"/>
                <w:w w:val="91"/>
              </w:rPr>
              <w:t>Plans (excluding</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440" w:type="dxa"/>
            <w:vAlign w:val="bottom"/>
          </w:tcPr>
          <w:p>
            <w:pPr>
              <w:ind w:left="520"/>
              <w:spacing w:after="0" w:line="162" w:lineRule="exact"/>
              <w:rPr>
                <w:sz w:val="20"/>
                <w:szCs w:val="20"/>
                <w:color w:val="auto"/>
              </w:rPr>
            </w:pPr>
            <w:r>
              <w:rPr>
                <w:rFonts w:ascii="Arial" w:cs="Arial" w:eastAsia="Arial" w:hAnsi="Arial"/>
                <w:sz w:val="16"/>
                <w:szCs w:val="16"/>
                <w:color w:val="auto"/>
              </w:rPr>
              <w:t>Outstanding</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0"/>
              </w:rPr>
              <w:t>Outstanding</w:t>
            </w:r>
          </w:p>
        </w:tc>
        <w:tc>
          <w:tcPr>
            <w:tcW w:w="2000" w:type="dxa"/>
            <w:vAlign w:val="bottom"/>
          </w:tcPr>
          <w:p>
            <w:pPr>
              <w:jc w:val="center"/>
              <w:spacing w:after="0" w:line="162" w:lineRule="exact"/>
              <w:rPr>
                <w:sz w:val="20"/>
                <w:szCs w:val="20"/>
                <w:color w:val="auto"/>
              </w:rPr>
            </w:pPr>
            <w:r>
              <w:rPr>
                <w:rFonts w:ascii="Arial" w:cs="Arial" w:eastAsia="Arial" w:hAnsi="Arial"/>
                <w:sz w:val="16"/>
                <w:szCs w:val="16"/>
                <w:color w:val="auto"/>
                <w:w w:val="91"/>
              </w:rPr>
              <w:t>securities</w:t>
            </w:r>
          </w:p>
        </w:tc>
        <w:tc>
          <w:tcPr>
            <w:tcW w:w="0" w:type="dxa"/>
            <w:vAlign w:val="bottom"/>
          </w:tcPr>
          <w:p>
            <w:pPr>
              <w:spacing w:after="0"/>
              <w:rPr>
                <w:sz w:val="1"/>
                <w:szCs w:val="1"/>
                <w:color w:val="auto"/>
              </w:rPr>
            </w:pPr>
          </w:p>
        </w:tc>
      </w:tr>
      <w:tr>
        <w:trPr>
          <w:trHeight w:val="162"/>
        </w:trPr>
        <w:tc>
          <w:tcPr>
            <w:tcW w:w="5520" w:type="dxa"/>
            <w:vAlign w:val="bottom"/>
            <w:vMerge w:val="restart"/>
          </w:tcPr>
          <w:p>
            <w:pPr>
              <w:ind w:left="20"/>
              <w:spacing w:after="0"/>
              <w:rPr>
                <w:sz w:val="20"/>
                <w:szCs w:val="20"/>
                <w:color w:val="auto"/>
              </w:rPr>
            </w:pPr>
            <w:r>
              <w:rPr>
                <w:rFonts w:ascii="Arial" w:cs="Arial" w:eastAsia="Arial" w:hAnsi="Arial"/>
                <w:sz w:val="16"/>
                <w:szCs w:val="16"/>
                <w:color w:val="auto"/>
              </w:rPr>
              <w:t>Plan Category</w:t>
            </w:r>
          </w:p>
        </w:tc>
        <w:tc>
          <w:tcPr>
            <w:tcW w:w="1440" w:type="dxa"/>
            <w:vAlign w:val="bottom"/>
          </w:tcPr>
          <w:p>
            <w:pPr>
              <w:jc w:val="center"/>
              <w:ind w:left="339"/>
              <w:spacing w:after="0" w:line="162" w:lineRule="exact"/>
              <w:rPr>
                <w:sz w:val="20"/>
                <w:szCs w:val="20"/>
                <w:color w:val="auto"/>
              </w:rPr>
            </w:pPr>
            <w:r>
              <w:rPr>
                <w:rFonts w:ascii="Arial" w:cs="Arial" w:eastAsia="Arial" w:hAnsi="Arial"/>
                <w:sz w:val="16"/>
                <w:szCs w:val="16"/>
                <w:color w:val="auto"/>
                <w:w w:val="90"/>
              </w:rPr>
              <w:t>Options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0"/>
              </w:rPr>
              <w:t>Options</w:t>
            </w:r>
          </w:p>
        </w:tc>
        <w:tc>
          <w:tcPr>
            <w:tcW w:w="2000" w:type="dxa"/>
            <w:vAlign w:val="bottom"/>
          </w:tcPr>
          <w:p>
            <w:pPr>
              <w:jc w:val="center"/>
              <w:spacing w:after="0" w:line="162" w:lineRule="exact"/>
              <w:rPr>
                <w:sz w:val="20"/>
                <w:szCs w:val="20"/>
                <w:color w:val="auto"/>
              </w:rPr>
            </w:pPr>
            <w:r>
              <w:rPr>
                <w:rFonts w:ascii="Arial" w:cs="Arial" w:eastAsia="Arial" w:hAnsi="Arial"/>
                <w:sz w:val="16"/>
                <w:szCs w:val="16"/>
                <w:color w:val="auto"/>
                <w:w w:val="94"/>
              </w:rPr>
              <w:t>reflected in</w:t>
            </w:r>
          </w:p>
        </w:tc>
        <w:tc>
          <w:tcPr>
            <w:tcW w:w="0" w:type="dxa"/>
            <w:vAlign w:val="bottom"/>
          </w:tcPr>
          <w:p>
            <w:pPr>
              <w:spacing w:after="0"/>
              <w:rPr>
                <w:sz w:val="1"/>
                <w:szCs w:val="1"/>
                <w:color w:val="auto"/>
              </w:rPr>
            </w:pPr>
          </w:p>
        </w:tc>
      </w:tr>
      <w:tr>
        <w:trPr>
          <w:trHeight w:val="212"/>
        </w:trPr>
        <w:tc>
          <w:tcPr>
            <w:tcW w:w="5520" w:type="dxa"/>
            <w:vAlign w:val="bottom"/>
            <w:vMerge w:val="continue"/>
          </w:tcPr>
          <w:p>
            <w:pPr>
              <w:spacing w:after="0"/>
              <w:rPr>
                <w:sz w:val="18"/>
                <w:szCs w:val="18"/>
                <w:color w:val="auto"/>
              </w:rPr>
            </w:pPr>
          </w:p>
        </w:tc>
        <w:tc>
          <w:tcPr>
            <w:tcW w:w="1440" w:type="dxa"/>
            <w:vAlign w:val="bottom"/>
          </w:tcPr>
          <w:p>
            <w:pPr>
              <w:jc w:val="center"/>
              <w:ind w:left="339"/>
              <w:spacing w:after="0" w:line="213" w:lineRule="exact"/>
              <w:rPr>
                <w:sz w:val="20"/>
                <w:szCs w:val="20"/>
                <w:color w:val="auto"/>
              </w:rPr>
            </w:pPr>
            <w:r>
              <w:rPr>
                <w:rFonts w:ascii="Arial" w:cs="Arial" w:eastAsia="Arial" w:hAnsi="Arial"/>
                <w:sz w:val="16"/>
                <w:szCs w:val="16"/>
                <w:color w:val="auto"/>
                <w:w w:val="87"/>
              </w:rPr>
              <w:t xml:space="preserve">and Rights </w:t>
            </w:r>
            <w:r>
              <w:rPr>
                <w:rFonts w:ascii="Arial" w:cs="Arial" w:eastAsia="Arial" w:hAnsi="Arial"/>
                <w:sz w:val="21"/>
                <w:szCs w:val="21"/>
                <w:color w:val="auto"/>
                <w:w w:val="87"/>
                <w:vertAlign w:val="superscript"/>
              </w:rPr>
              <w:t>(b)</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340"/>
              <w:spacing w:after="0" w:line="213" w:lineRule="exact"/>
              <w:rPr>
                <w:sz w:val="20"/>
                <w:szCs w:val="20"/>
                <w:color w:val="auto"/>
              </w:rPr>
            </w:pPr>
            <w:r>
              <w:rPr>
                <w:rFonts w:ascii="Arial" w:cs="Arial" w:eastAsia="Arial" w:hAnsi="Arial"/>
                <w:sz w:val="16"/>
                <w:szCs w:val="16"/>
                <w:color w:val="auto"/>
                <w:w w:val="86"/>
              </w:rPr>
              <w:t xml:space="preserve">and Rights </w:t>
            </w:r>
            <w:r>
              <w:rPr>
                <w:rFonts w:ascii="Arial" w:cs="Arial" w:eastAsia="Arial" w:hAnsi="Arial"/>
                <w:sz w:val="21"/>
                <w:szCs w:val="21"/>
                <w:color w:val="auto"/>
                <w:w w:val="86"/>
                <w:vertAlign w:val="superscript"/>
              </w:rPr>
              <w:t>(c)</w:t>
            </w:r>
          </w:p>
        </w:tc>
        <w:tc>
          <w:tcPr>
            <w:tcW w:w="2000" w:type="dxa"/>
            <w:vAlign w:val="bottom"/>
          </w:tcPr>
          <w:p>
            <w:pPr>
              <w:jc w:val="center"/>
              <w:spacing w:after="0" w:line="213" w:lineRule="exact"/>
              <w:rPr>
                <w:sz w:val="20"/>
                <w:szCs w:val="20"/>
                <w:color w:val="auto"/>
              </w:rPr>
            </w:pPr>
            <w:r>
              <w:rPr>
                <w:rFonts w:ascii="Arial" w:cs="Arial" w:eastAsia="Arial" w:hAnsi="Arial"/>
                <w:sz w:val="16"/>
                <w:szCs w:val="16"/>
                <w:color w:val="auto"/>
                <w:w w:val="91"/>
              </w:rPr>
              <w:t xml:space="preserve">the first column) </w:t>
            </w:r>
            <w:r>
              <w:rPr>
                <w:rFonts w:ascii="Arial" w:cs="Arial" w:eastAsia="Arial" w:hAnsi="Arial"/>
                <w:sz w:val="21"/>
                <w:szCs w:val="21"/>
                <w:color w:val="auto"/>
                <w:w w:val="91"/>
                <w:vertAlign w:val="superscript"/>
              </w:rPr>
              <w:t>(d)</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1"/>
                <w:szCs w:val="21"/>
                <w:color w:val="auto"/>
                <w:vertAlign w:val="superscript"/>
              </w:rPr>
              <w:t>(a)</w:t>
            </w:r>
          </w:p>
        </w:tc>
        <w:tc>
          <w:tcPr>
            <w:tcW w:w="14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36.19</w:t>
            </w:r>
          </w:p>
        </w:tc>
        <w:tc>
          <w:tcPr>
            <w:tcW w:w="12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24"/>
        </w:trPr>
        <w:tc>
          <w:tcPr>
            <w:tcW w:w="552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44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36.19</w:t>
            </w:r>
          </w:p>
        </w:tc>
        <w:tc>
          <w:tcPr>
            <w:tcW w:w="1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our 2006 Plan, Amended and Restated 2007 Stock Incentive Plan and our 2018 Employee Stock Purchase Plan (ESPP).</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0.4 million stock options, 1.5 million shares underlying restricted stock units, 0.7 million shares underlying performance shares, and less than 0.1 million shares underlying purchase rights that accrue under the ESPP.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Excludes restricted stock units and performance shares as these awards do not have exercise prices.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shares remaining available for future issuances include 12.8 million shares under our Amended and Restated 2007 Stock Incentive Plan and 2.8 million shares under our ESPP.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Information required by this item is incorporated by reference to the material appearing under the headings Board of Directors and Corporate Governance Matters and Certain Relationships and Related Party Transactions in the Proxy Statement for the 2020 Annual Meeting of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 Audit and Related Fees in the Proxy Statement for the 2020 Annual Meeting of Shareholders.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are set forth under Item 8 of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schedules are omitted as the required information is not applicable or the information is presented in the consolidated financial statements and notes thereto in Item 8 of this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0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following exhibits are filed herewith or are incorporated by reference to exhibits previously filed with the SEC, as indicated in the description of each, File No. 1-14267 in the case of Republic and File No. 1-14705 and No. 0-19285 in the case of Allied.</w:t>
      </w:r>
    </w:p>
    <w:tbl>
      <w:tblPr>
        <w:tblLayout w:type="fixed"/>
        <w:tblInd w:w="400" w:type="dxa"/>
        <w:tblCellMar>
          <w:top w:w="0" w:type="dxa"/>
          <w:left w:w="0" w:type="dxa"/>
          <w:bottom w:w="0" w:type="dxa"/>
          <w:right w:w="0" w:type="dxa"/>
        </w:tblCellMar>
      </w:tblPr>
      <w:tr>
        <w:trPr>
          <w:trHeight w:val="176"/>
        </w:trPr>
        <w:tc>
          <w:tcPr>
            <w:tcW w:w="600" w:type="dxa"/>
            <w:vAlign w:val="bottom"/>
            <w:gridSpan w:val="4"/>
          </w:tcPr>
          <w:p>
            <w:pPr>
              <w:jc w:val="center"/>
              <w:spacing w:after="0" w:line="176" w:lineRule="exact"/>
              <w:rPr>
                <w:sz w:val="20"/>
                <w:szCs w:val="20"/>
                <w:color w:val="auto"/>
              </w:rPr>
            </w:pPr>
            <w:r>
              <w:rPr>
                <w:rFonts w:ascii="Arial" w:cs="Arial" w:eastAsia="Arial" w:hAnsi="Arial"/>
                <w:sz w:val="18"/>
                <w:szCs w:val="18"/>
                <w:color w:val="auto"/>
                <w:w w:val="96"/>
              </w:rPr>
              <w:t>Exhibit</w:t>
            </w:r>
          </w:p>
        </w:tc>
        <w:tc>
          <w:tcPr>
            <w:tcW w:w="4860" w:type="dxa"/>
            <w:vAlign w:val="bottom"/>
          </w:tcPr>
          <w:p>
            <w:pPr>
              <w:spacing w:after="0"/>
              <w:rPr>
                <w:sz w:val="15"/>
                <w:szCs w:val="15"/>
                <w:color w:val="auto"/>
              </w:rPr>
            </w:pPr>
          </w:p>
        </w:tc>
        <w:tc>
          <w:tcPr>
            <w:tcW w:w="840" w:type="dxa"/>
            <w:vAlign w:val="bottom"/>
            <w:vMerge w:val="restart"/>
          </w:tcPr>
          <w:p>
            <w:pPr>
              <w:spacing w:after="0"/>
              <w:rPr>
                <w:sz w:val="20"/>
                <w:szCs w:val="20"/>
                <w:color w:val="auto"/>
              </w:rPr>
            </w:pPr>
            <w:r>
              <w:rPr>
                <w:rFonts w:ascii="Arial" w:cs="Arial" w:eastAsia="Arial" w:hAnsi="Arial"/>
                <w:sz w:val="18"/>
                <w:szCs w:val="18"/>
                <w:color w:val="auto"/>
                <w:w w:val="91"/>
              </w:rPr>
              <w:t>Description</w:t>
            </w: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00" w:type="dxa"/>
            <w:vAlign w:val="bottom"/>
            <w:gridSpan w:val="4"/>
          </w:tcPr>
          <w:p>
            <w:pPr>
              <w:jc w:val="center"/>
              <w:spacing w:after="0" w:line="156" w:lineRule="exact"/>
              <w:rPr>
                <w:sz w:val="20"/>
                <w:szCs w:val="20"/>
                <w:color w:val="auto"/>
              </w:rPr>
            </w:pPr>
            <w:r>
              <w:rPr>
                <w:rFonts w:ascii="Arial" w:cs="Arial" w:eastAsia="Arial" w:hAnsi="Arial"/>
                <w:sz w:val="18"/>
                <w:szCs w:val="18"/>
                <w:color w:val="auto"/>
                <w:w w:val="93"/>
              </w:rPr>
              <w:t>Number</w:t>
            </w:r>
          </w:p>
        </w:tc>
        <w:tc>
          <w:tcPr>
            <w:tcW w:w="48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 w:type="dxa"/>
            <w:vAlign w:val="bottom"/>
            <w:gridSpan w:val="4"/>
          </w:tcPr>
          <w:p>
            <w:pPr>
              <w:jc w:val="right"/>
              <w:ind w:right="120"/>
              <w:spacing w:after="0" w:line="196" w:lineRule="exact"/>
              <w:rPr>
                <w:rFonts w:ascii="Arial" w:cs="Arial" w:eastAsia="Arial" w:hAnsi="Arial"/>
                <w:sz w:val="18"/>
                <w:szCs w:val="18"/>
                <w:color w:val="0000FF"/>
              </w:rPr>
            </w:pPr>
            <w:hyperlink r:id="rId16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00" w:type="dxa"/>
            <w:vAlign w:val="bottom"/>
            <w:gridSpan w:val="3"/>
          </w:tcPr>
          <w:p>
            <w:pPr>
              <w:ind w:left="520"/>
              <w:spacing w:after="0" w:line="196" w:lineRule="exact"/>
              <w:rPr>
                <w:rFonts w:ascii="Arial" w:cs="Arial" w:eastAsia="Arial" w:hAnsi="Arial"/>
                <w:sz w:val="18"/>
                <w:szCs w:val="18"/>
                <w:color w:val="auto"/>
                <w:w w:val="91"/>
              </w:rPr>
            </w:pPr>
            <w:hyperlink r:id="rId164">
              <w:r>
                <w:rPr>
                  <w:rFonts w:ascii="Arial" w:cs="Arial" w:eastAsia="Arial" w:hAnsi="Arial"/>
                  <w:sz w:val="18"/>
                  <w:szCs w:val="18"/>
                  <w:color w:val="auto"/>
                  <w:w w:val="91"/>
                </w:rPr>
                <w:t>Amended and Restated Certificate of Incorporation (incorporated by reference to Exhibit 3.1 of the Company’s Quarterly Report on</w:t>
              </w:r>
            </w:hyperlink>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gridSpan w:val="3"/>
          </w:tcPr>
          <w:p>
            <w:pPr>
              <w:ind w:left="520"/>
              <w:spacing w:after="0" w:line="195" w:lineRule="exact"/>
              <w:rPr>
                <w:rFonts w:ascii="Arial" w:cs="Arial" w:eastAsia="Arial" w:hAnsi="Arial"/>
                <w:sz w:val="18"/>
                <w:szCs w:val="18"/>
                <w:color w:val="auto"/>
              </w:rPr>
            </w:pPr>
            <w:hyperlink r:id="rId164">
              <w:r>
                <w:rPr>
                  <w:rFonts w:ascii="Arial" w:cs="Arial" w:eastAsia="Arial" w:hAnsi="Arial"/>
                  <w:sz w:val="18"/>
                  <w:szCs w:val="18"/>
                  <w:color w:val="auto"/>
                </w:rPr>
                <w:t>Form 10-Q for the period ended June 30, 1998).</w:t>
              </w:r>
            </w:hyperlink>
          </w:p>
        </w:tc>
        <w:tc>
          <w:tcPr>
            <w:tcW w:w="0" w:type="dxa"/>
            <w:vAlign w:val="bottom"/>
          </w:tcPr>
          <w:p>
            <w:pPr>
              <w:spacing w:after="0"/>
              <w:rPr>
                <w:sz w:val="1"/>
                <w:szCs w:val="1"/>
                <w:color w:val="auto"/>
              </w:rPr>
            </w:pPr>
          </w:p>
        </w:tc>
      </w:tr>
      <w:tr>
        <w:trPr>
          <w:trHeight w:val="190"/>
        </w:trPr>
        <w:tc>
          <w:tcPr>
            <w:tcW w:w="600" w:type="dxa"/>
            <w:vAlign w:val="bottom"/>
            <w:gridSpan w:val="4"/>
          </w:tcPr>
          <w:p>
            <w:pPr>
              <w:jc w:val="right"/>
              <w:ind w:right="120"/>
              <w:spacing w:after="0" w:line="190" w:lineRule="exact"/>
              <w:rPr>
                <w:rFonts w:ascii="Arial" w:cs="Arial" w:eastAsia="Arial" w:hAnsi="Arial"/>
                <w:sz w:val="18"/>
                <w:szCs w:val="18"/>
                <w:color w:val="0000FF"/>
              </w:rPr>
            </w:pPr>
            <w:hyperlink r:id="rId16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00" w:type="dxa"/>
            <w:vAlign w:val="bottom"/>
            <w:gridSpan w:val="3"/>
          </w:tcPr>
          <w:p>
            <w:pPr>
              <w:ind w:left="520"/>
              <w:spacing w:after="0" w:line="190" w:lineRule="exact"/>
              <w:rPr>
                <w:rFonts w:ascii="Arial" w:cs="Arial" w:eastAsia="Arial" w:hAnsi="Arial"/>
                <w:sz w:val="18"/>
                <w:szCs w:val="18"/>
                <w:color w:val="auto"/>
                <w:w w:val="96"/>
              </w:rPr>
            </w:pPr>
            <w:hyperlink r:id="rId165">
              <w:r>
                <w:rPr>
                  <w:rFonts w:ascii="Arial" w:cs="Arial" w:eastAsia="Arial" w:hAnsi="Arial"/>
                  <w:sz w:val="18"/>
                  <w:szCs w:val="18"/>
                  <w:color w:val="auto"/>
                  <w:w w:val="96"/>
                </w:rPr>
                <w:t>Certificate of Amendment of Amended and Restated Certificate of Incorporation of Republic Services, Inc. (incorporated by</w:t>
              </w:r>
            </w:hyperlink>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gridSpan w:val="3"/>
          </w:tcPr>
          <w:p>
            <w:pPr>
              <w:ind w:left="520"/>
              <w:spacing w:after="0" w:line="142" w:lineRule="exact"/>
              <w:rPr>
                <w:rFonts w:ascii="Arial" w:cs="Arial" w:eastAsia="Arial" w:hAnsi="Arial"/>
                <w:sz w:val="16"/>
                <w:szCs w:val="16"/>
                <w:color w:val="auto"/>
              </w:rPr>
            </w:pPr>
            <w:hyperlink r:id="rId165">
              <w:r>
                <w:rPr>
                  <w:rFonts w:ascii="Arial" w:cs="Arial" w:eastAsia="Arial" w:hAnsi="Arial"/>
                  <w:sz w:val="16"/>
                  <w:szCs w:val="16"/>
                  <w:color w:val="auto"/>
                </w:rPr>
                <w:t>reference to Exhibit 4.2 of the Company’s Registration Statement on Form S-8, Registration No. 333-81801, filed with the</w:t>
              </w:r>
            </w:hyperlink>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0" w:type="dxa"/>
            <w:vAlign w:val="bottom"/>
            <w:gridSpan w:val="3"/>
          </w:tcPr>
          <w:p>
            <w:pPr>
              <w:ind w:left="520"/>
              <w:spacing w:after="0"/>
              <w:rPr>
                <w:rFonts w:ascii="Arial" w:cs="Arial" w:eastAsia="Arial" w:hAnsi="Arial"/>
                <w:sz w:val="18"/>
                <w:szCs w:val="18"/>
                <w:color w:val="auto"/>
              </w:rPr>
            </w:pPr>
            <w:hyperlink r:id="rId165">
              <w:r>
                <w:rPr>
                  <w:rFonts w:ascii="Arial" w:cs="Arial" w:eastAsia="Arial" w:hAnsi="Arial"/>
                  <w:sz w:val="18"/>
                  <w:szCs w:val="18"/>
                  <w:color w:val="auto"/>
                </w:rPr>
                <w:t>Commission on June 29, 1999).</w:t>
              </w:r>
            </w:hyperlink>
          </w:p>
        </w:tc>
        <w:tc>
          <w:tcPr>
            <w:tcW w:w="0" w:type="dxa"/>
            <w:vAlign w:val="bottom"/>
          </w:tcPr>
          <w:p>
            <w:pPr>
              <w:spacing w:after="0"/>
              <w:rPr>
                <w:sz w:val="1"/>
                <w:szCs w:val="1"/>
                <w:color w:val="auto"/>
              </w:rPr>
            </w:pPr>
          </w:p>
        </w:tc>
      </w:tr>
      <w:tr>
        <w:trPr>
          <w:trHeight w:val="190"/>
        </w:trPr>
        <w:tc>
          <w:tcPr>
            <w:tcW w:w="600" w:type="dxa"/>
            <w:vAlign w:val="bottom"/>
            <w:gridSpan w:val="4"/>
          </w:tcPr>
          <w:p>
            <w:pPr>
              <w:jc w:val="right"/>
              <w:ind w:right="120"/>
              <w:spacing w:after="0" w:line="190" w:lineRule="exact"/>
              <w:rPr>
                <w:rFonts w:ascii="Arial" w:cs="Arial" w:eastAsia="Arial" w:hAnsi="Arial"/>
                <w:sz w:val="18"/>
                <w:szCs w:val="18"/>
                <w:color w:val="0000FF"/>
              </w:rPr>
            </w:pPr>
            <w:hyperlink r:id="rId166">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10000" w:type="dxa"/>
            <w:vAlign w:val="bottom"/>
            <w:gridSpan w:val="3"/>
          </w:tcPr>
          <w:p>
            <w:pPr>
              <w:ind w:left="520"/>
              <w:spacing w:after="0" w:line="190" w:lineRule="exact"/>
              <w:rPr>
                <w:rFonts w:ascii="Arial" w:cs="Arial" w:eastAsia="Arial" w:hAnsi="Arial"/>
                <w:sz w:val="18"/>
                <w:szCs w:val="18"/>
                <w:color w:val="auto"/>
                <w:w w:val="95"/>
              </w:rPr>
            </w:pPr>
            <w:hyperlink r:id="rId166">
              <w:r>
                <w:rPr>
                  <w:rFonts w:ascii="Arial" w:cs="Arial" w:eastAsia="Arial" w:hAnsi="Arial"/>
                  <w:sz w:val="18"/>
                  <w:szCs w:val="18"/>
                  <w:color w:val="auto"/>
                  <w:w w:val="95"/>
                </w:rPr>
                <w:t>Amended and Restated Bylaws of Republic Services, Inc. (incorporated by reference to Exhibit 3.3 of the Company's Current</w:t>
              </w:r>
            </w:hyperlink>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gridSpan w:val="3"/>
          </w:tcPr>
          <w:p>
            <w:pPr>
              <w:ind w:left="520"/>
              <w:spacing w:after="0" w:line="195" w:lineRule="exact"/>
              <w:rPr>
                <w:rFonts w:ascii="Arial" w:cs="Arial" w:eastAsia="Arial" w:hAnsi="Arial"/>
                <w:sz w:val="18"/>
                <w:szCs w:val="18"/>
                <w:color w:val="auto"/>
              </w:rPr>
            </w:pPr>
            <w:hyperlink r:id="rId166">
              <w:r>
                <w:rPr>
                  <w:rFonts w:ascii="Arial" w:cs="Arial" w:eastAsia="Arial" w:hAnsi="Arial"/>
                  <w:sz w:val="18"/>
                  <w:szCs w:val="18"/>
                  <w:color w:val="auto"/>
                </w:rPr>
                <w:t>Report on Form 8-K dated May 6, 2016).</w:t>
              </w:r>
            </w:hyperlink>
          </w:p>
        </w:tc>
        <w:tc>
          <w:tcPr>
            <w:tcW w:w="0" w:type="dxa"/>
            <w:vAlign w:val="bottom"/>
          </w:tcPr>
          <w:p>
            <w:pPr>
              <w:spacing w:after="0"/>
              <w:rPr>
                <w:sz w:val="1"/>
                <w:szCs w:val="1"/>
                <w:color w:val="auto"/>
              </w:rPr>
            </w:pPr>
          </w:p>
        </w:tc>
      </w:tr>
      <w:tr>
        <w:trPr>
          <w:trHeight w:val="190"/>
        </w:trPr>
        <w:tc>
          <w:tcPr>
            <w:tcW w:w="600" w:type="dxa"/>
            <w:vAlign w:val="bottom"/>
            <w:gridSpan w:val="4"/>
          </w:tcPr>
          <w:p>
            <w:pPr>
              <w:jc w:val="right"/>
              <w:ind w:right="120"/>
              <w:spacing w:after="0" w:line="190" w:lineRule="exact"/>
              <w:rPr>
                <w:rFonts w:ascii="Arial" w:cs="Arial" w:eastAsia="Arial" w:hAnsi="Arial"/>
                <w:sz w:val="18"/>
                <w:szCs w:val="18"/>
                <w:color w:val="0000FF"/>
              </w:rPr>
            </w:pPr>
            <w:hyperlink r:id="rId165">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000" w:type="dxa"/>
            <w:vAlign w:val="bottom"/>
            <w:gridSpan w:val="3"/>
          </w:tcPr>
          <w:p>
            <w:pPr>
              <w:ind w:left="520"/>
              <w:spacing w:after="0" w:line="190" w:lineRule="exact"/>
              <w:rPr>
                <w:rFonts w:ascii="Arial" w:cs="Arial" w:eastAsia="Arial" w:hAnsi="Arial"/>
                <w:sz w:val="18"/>
                <w:szCs w:val="18"/>
                <w:color w:val="auto"/>
                <w:w w:val="97"/>
              </w:rPr>
            </w:pPr>
            <w:hyperlink r:id="rId165">
              <w:r>
                <w:rPr>
                  <w:rFonts w:ascii="Arial" w:cs="Arial" w:eastAsia="Arial" w:hAnsi="Arial"/>
                  <w:sz w:val="18"/>
                  <w:szCs w:val="18"/>
                  <w:color w:val="auto"/>
                  <w:w w:val="97"/>
                </w:rPr>
                <w:t>Republic Services, Inc. Common Stock Certificate (incorporated by reference to Exhibit 4.4 of the Company’s Registration</w:t>
              </w:r>
            </w:hyperlink>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gridSpan w:val="3"/>
          </w:tcPr>
          <w:p>
            <w:pPr>
              <w:ind w:left="520"/>
              <w:spacing w:after="0" w:line="195" w:lineRule="exact"/>
              <w:rPr>
                <w:rFonts w:ascii="Arial" w:cs="Arial" w:eastAsia="Arial" w:hAnsi="Arial"/>
                <w:sz w:val="18"/>
                <w:szCs w:val="18"/>
                <w:color w:val="auto"/>
              </w:rPr>
            </w:pPr>
            <w:hyperlink r:id="rId165">
              <w:r>
                <w:rPr>
                  <w:rFonts w:ascii="Arial" w:cs="Arial" w:eastAsia="Arial" w:hAnsi="Arial"/>
                  <w:sz w:val="18"/>
                  <w:szCs w:val="18"/>
                  <w:color w:val="auto"/>
                </w:rPr>
                <w:t>Statement on Form S-8, Registration No. 333-81801, filed with the Commission on June 29, 1999).</w:t>
              </w:r>
            </w:hyperlink>
          </w:p>
        </w:tc>
        <w:tc>
          <w:tcPr>
            <w:tcW w:w="0" w:type="dxa"/>
            <w:vAlign w:val="bottom"/>
          </w:tcPr>
          <w:p>
            <w:pPr>
              <w:spacing w:after="0"/>
              <w:rPr>
                <w:sz w:val="1"/>
                <w:szCs w:val="1"/>
                <w:color w:val="auto"/>
              </w:rPr>
            </w:pPr>
          </w:p>
        </w:tc>
      </w:tr>
      <w:tr>
        <w:trPr>
          <w:trHeight w:val="190"/>
        </w:trPr>
        <w:tc>
          <w:tcPr>
            <w:tcW w:w="600" w:type="dxa"/>
            <w:vAlign w:val="bottom"/>
            <w:gridSpan w:val="4"/>
          </w:tcPr>
          <w:p>
            <w:pPr>
              <w:jc w:val="right"/>
              <w:ind w:right="120"/>
              <w:spacing w:after="0" w:line="190" w:lineRule="exact"/>
              <w:rPr>
                <w:rFonts w:ascii="Arial" w:cs="Arial" w:eastAsia="Arial" w:hAnsi="Arial"/>
                <w:sz w:val="18"/>
                <w:szCs w:val="18"/>
                <w:color w:val="0000FF"/>
              </w:rPr>
            </w:pPr>
            <w:hyperlink r:id="rId167">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0000" w:type="dxa"/>
            <w:vAlign w:val="bottom"/>
            <w:gridSpan w:val="3"/>
          </w:tcPr>
          <w:p>
            <w:pPr>
              <w:ind w:left="520"/>
              <w:spacing w:after="0" w:line="190" w:lineRule="exact"/>
              <w:rPr>
                <w:rFonts w:ascii="Arial" w:cs="Arial" w:eastAsia="Arial" w:hAnsi="Arial"/>
                <w:sz w:val="18"/>
                <w:szCs w:val="18"/>
                <w:color w:val="auto"/>
                <w:w w:val="95"/>
              </w:rPr>
            </w:pPr>
            <w:hyperlink r:id="rId167">
              <w:r>
                <w:rPr>
                  <w:rFonts w:ascii="Arial" w:cs="Arial" w:eastAsia="Arial" w:hAnsi="Arial"/>
                  <w:sz w:val="18"/>
                  <w:szCs w:val="18"/>
                  <w:color w:val="auto"/>
                  <w:w w:val="95"/>
                </w:rPr>
                <w:t>Second Supplemental Indenture, dated as of March 21, 2005, to the Indenture dated as of August 15, 2001, by and between</w:t>
              </w:r>
            </w:hyperlink>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gridSpan w:val="3"/>
          </w:tcPr>
          <w:p>
            <w:pPr>
              <w:ind w:left="520"/>
              <w:spacing w:after="0" w:line="142" w:lineRule="exact"/>
              <w:rPr>
                <w:rFonts w:ascii="Arial" w:cs="Arial" w:eastAsia="Arial" w:hAnsi="Arial"/>
                <w:sz w:val="16"/>
                <w:szCs w:val="16"/>
                <w:color w:val="auto"/>
              </w:rPr>
            </w:pPr>
            <w:hyperlink r:id="rId167">
              <w:r>
                <w:rPr>
                  <w:rFonts w:ascii="Arial" w:cs="Arial" w:eastAsia="Arial" w:hAnsi="Arial"/>
                  <w:sz w:val="16"/>
                  <w:szCs w:val="16"/>
                  <w:color w:val="auto"/>
                </w:rPr>
                <w:t>Republic Services, Inc. and The Bank of New York, as trustee, including the form of 6.086% Note due March 15, 2035</w:t>
              </w:r>
            </w:hyperlink>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0" w:type="dxa"/>
            <w:vAlign w:val="bottom"/>
            <w:gridSpan w:val="3"/>
          </w:tcPr>
          <w:p>
            <w:pPr>
              <w:ind w:left="520"/>
              <w:spacing w:after="0"/>
              <w:rPr>
                <w:rFonts w:ascii="Arial" w:cs="Arial" w:eastAsia="Arial" w:hAnsi="Arial"/>
                <w:sz w:val="18"/>
                <w:szCs w:val="18"/>
                <w:color w:val="auto"/>
                <w:w w:val="91"/>
              </w:rPr>
            </w:pPr>
            <w:hyperlink r:id="rId167">
              <w:r>
                <w:rPr>
                  <w:rFonts w:ascii="Arial" w:cs="Arial" w:eastAsia="Arial" w:hAnsi="Arial"/>
                  <w:sz w:val="18"/>
                  <w:szCs w:val="18"/>
                  <w:color w:val="auto"/>
                  <w:w w:val="91"/>
                </w:rPr>
                <w:t>(incorporated by reference to Exhibit 4.1 of the Company’s Quarterly Report on Form 10-Q for the quarter ended March 31, 2005).</w:t>
              </w:r>
            </w:hyperlink>
          </w:p>
        </w:tc>
        <w:tc>
          <w:tcPr>
            <w:tcW w:w="0" w:type="dxa"/>
            <w:vAlign w:val="bottom"/>
          </w:tcPr>
          <w:p>
            <w:pPr>
              <w:spacing w:after="0"/>
              <w:rPr>
                <w:sz w:val="1"/>
                <w:szCs w:val="1"/>
                <w:color w:val="auto"/>
              </w:rPr>
            </w:pPr>
          </w:p>
        </w:tc>
      </w:tr>
      <w:tr>
        <w:trPr>
          <w:trHeight w:val="190"/>
        </w:trPr>
        <w:tc>
          <w:tcPr>
            <w:tcW w:w="600" w:type="dxa"/>
            <w:vAlign w:val="bottom"/>
            <w:gridSpan w:val="4"/>
          </w:tcPr>
          <w:p>
            <w:pPr>
              <w:jc w:val="right"/>
              <w:ind w:right="120"/>
              <w:spacing w:after="0" w:line="190" w:lineRule="exact"/>
              <w:rPr>
                <w:rFonts w:ascii="Arial" w:cs="Arial" w:eastAsia="Arial" w:hAnsi="Arial"/>
                <w:sz w:val="18"/>
                <w:szCs w:val="18"/>
                <w:color w:val="0000FF"/>
              </w:rPr>
            </w:pPr>
            <w:hyperlink r:id="rId168">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10000" w:type="dxa"/>
            <w:vAlign w:val="bottom"/>
            <w:gridSpan w:val="3"/>
          </w:tcPr>
          <w:p>
            <w:pPr>
              <w:ind w:left="520"/>
              <w:spacing w:after="0" w:line="190" w:lineRule="exact"/>
              <w:rPr>
                <w:rFonts w:ascii="Arial" w:cs="Arial" w:eastAsia="Arial" w:hAnsi="Arial"/>
                <w:sz w:val="18"/>
                <w:szCs w:val="18"/>
                <w:color w:val="auto"/>
              </w:rPr>
            </w:pPr>
            <w:hyperlink r:id="rId168">
              <w:r>
                <w:rPr>
                  <w:rFonts w:ascii="Arial" w:cs="Arial" w:eastAsia="Arial" w:hAnsi="Arial"/>
                  <w:sz w:val="18"/>
                  <w:szCs w:val="18"/>
                  <w:color w:val="auto"/>
                </w:rPr>
                <w:t>Indenture, dated as of September 8, 2009, by and between Republic Services, Inc. and The Bank of New York Mellon</w:t>
              </w:r>
            </w:hyperlink>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gridSpan w:val="3"/>
          </w:tcPr>
          <w:p>
            <w:pPr>
              <w:ind w:left="520"/>
              <w:spacing w:after="0" w:line="142" w:lineRule="exact"/>
              <w:rPr>
                <w:rFonts w:ascii="Arial" w:cs="Arial" w:eastAsia="Arial" w:hAnsi="Arial"/>
                <w:sz w:val="16"/>
                <w:szCs w:val="16"/>
                <w:color w:val="auto"/>
              </w:rPr>
            </w:pPr>
            <w:hyperlink r:id="rId168">
              <w:r>
                <w:rPr>
                  <w:rFonts w:ascii="Arial" w:cs="Arial" w:eastAsia="Arial" w:hAnsi="Arial"/>
                  <w:sz w:val="16"/>
                  <w:szCs w:val="16"/>
                  <w:color w:val="auto"/>
                </w:rPr>
                <w:t>Trust Company, N.A., as trustee (incorporated by reference to Exhibit 4.1 of the Company’s Current Report on Form 8-K dated</w:t>
              </w:r>
            </w:hyperlink>
          </w:p>
        </w:tc>
        <w:tc>
          <w:tcPr>
            <w:tcW w:w="0" w:type="dxa"/>
            <w:vAlign w:val="bottom"/>
          </w:tcPr>
          <w:p>
            <w:pPr>
              <w:spacing w:after="0"/>
              <w:rPr>
                <w:sz w:val="1"/>
                <w:szCs w:val="1"/>
                <w:color w:val="auto"/>
              </w:rPr>
            </w:pPr>
          </w:p>
        </w:tc>
      </w:tr>
      <w:tr>
        <w:trPr>
          <w:trHeight w:val="230"/>
        </w:trPr>
        <w:tc>
          <w:tcPr>
            <w:tcW w:w="480" w:type="dxa"/>
            <w:vAlign w:val="bottom"/>
            <w:gridSpan w:val="3"/>
            <w:vMerge w:val="restart"/>
          </w:tcPr>
          <w:p>
            <w:pPr>
              <w:jc w:val="right"/>
              <w:spacing w:after="0"/>
              <w:rPr>
                <w:rFonts w:ascii="Arial" w:cs="Arial" w:eastAsia="Arial" w:hAnsi="Arial"/>
                <w:sz w:val="18"/>
                <w:szCs w:val="18"/>
                <w:color w:val="0000FF"/>
              </w:rPr>
            </w:pPr>
            <w:hyperlink r:id="rId169">
              <w:r>
                <w:rPr>
                  <w:rFonts w:ascii="Arial" w:cs="Arial" w:eastAsia="Arial" w:hAnsi="Arial"/>
                  <w:sz w:val="18"/>
                  <w:szCs w:val="18"/>
                  <w:color w:val="0000FF"/>
                </w:rPr>
                <w:t>4.</w:t>
              </w:r>
            </w:hyperlink>
            <w:r>
              <w:rPr>
                <w:rFonts w:ascii="Arial" w:cs="Arial" w:eastAsia="Arial" w:hAnsi="Arial"/>
                <w:sz w:val="18"/>
                <w:szCs w:val="18"/>
                <w:u w:val="single" w:color="auto"/>
                <w:color w:val="0000FF"/>
              </w:rPr>
              <w:t>4</w:t>
            </w:r>
          </w:p>
        </w:tc>
        <w:tc>
          <w:tcPr>
            <w:tcW w:w="120" w:type="dxa"/>
            <w:vAlign w:val="bottom"/>
          </w:tcPr>
          <w:p>
            <w:pPr>
              <w:spacing w:after="0"/>
              <w:rPr>
                <w:sz w:val="20"/>
                <w:szCs w:val="20"/>
                <w:color w:val="auto"/>
              </w:rPr>
            </w:pPr>
          </w:p>
        </w:tc>
        <w:tc>
          <w:tcPr>
            <w:tcW w:w="10000" w:type="dxa"/>
            <w:vAlign w:val="bottom"/>
            <w:gridSpan w:val="3"/>
          </w:tcPr>
          <w:p>
            <w:pPr>
              <w:ind w:left="520"/>
              <w:spacing w:after="0"/>
              <w:rPr>
                <w:rFonts w:ascii="Arial" w:cs="Arial" w:eastAsia="Arial" w:hAnsi="Arial"/>
                <w:sz w:val="18"/>
                <w:szCs w:val="18"/>
                <w:color w:val="auto"/>
              </w:rPr>
            </w:pPr>
            <w:hyperlink r:id="rId168">
              <w:r>
                <w:rPr>
                  <w:rFonts w:ascii="Arial" w:cs="Arial" w:eastAsia="Arial" w:hAnsi="Arial"/>
                  <w:sz w:val="18"/>
                  <w:szCs w:val="18"/>
                  <w:color w:val="auto"/>
                </w:rPr>
                <w:t>September 9, 2009).</w:t>
              </w:r>
            </w:hyperlink>
          </w:p>
        </w:tc>
        <w:tc>
          <w:tcPr>
            <w:tcW w:w="0" w:type="dxa"/>
            <w:vAlign w:val="bottom"/>
          </w:tcPr>
          <w:p>
            <w:pPr>
              <w:spacing w:after="0"/>
              <w:rPr>
                <w:sz w:val="1"/>
                <w:szCs w:val="1"/>
                <w:color w:val="auto"/>
              </w:rPr>
            </w:pPr>
          </w:p>
        </w:tc>
      </w:tr>
      <w:tr>
        <w:trPr>
          <w:trHeight w:val="188"/>
        </w:trPr>
        <w:tc>
          <w:tcPr>
            <w:tcW w:w="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gridSpan w:val="3"/>
          </w:tcPr>
          <w:p>
            <w:pPr>
              <w:ind w:left="520"/>
              <w:spacing w:after="0" w:line="169" w:lineRule="exact"/>
              <w:rPr>
                <w:sz w:val="20"/>
                <w:szCs w:val="20"/>
                <w:color w:val="auto"/>
              </w:rPr>
            </w:pPr>
            <w:r>
              <w:rPr>
                <w:rFonts w:ascii="Arial" w:cs="Arial" w:eastAsia="Arial" w:hAnsi="Arial"/>
                <w:sz w:val="18"/>
                <w:szCs w:val="18"/>
                <w:color w:val="auto"/>
                <w:w w:val="92"/>
              </w:rPr>
              <w:t>Third Supplemental Indenture, dated as of May 9, 2011, to the Indenture dated as of September 8, 2009, by and among Republic</w:t>
            </w: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w w:val="94"/>
              </w:rPr>
              <w:t>Services, Inc., the guarantors named therein and The Bank of New York Mellon Trust Company, N.A., as trustee, including the</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w w:val="94"/>
              </w:rPr>
              <w:t>form of 4.750% Notes due 2023 (incorporated by reference to Exhibit 4.2 of the Company’s Current Report on Form 8-K dated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rPr>
              <w:t>May 9, 2011).</w:t>
            </w:r>
          </w:p>
        </w:tc>
        <w:tc>
          <w:tcPr>
            <w:tcW w:w="0" w:type="dxa"/>
            <w:vAlign w:val="bottom"/>
          </w:tcPr>
          <w:p>
            <w:pPr>
              <w:spacing w:after="0"/>
              <w:rPr>
                <w:sz w:val="1"/>
                <w:szCs w:val="1"/>
                <w:color w:val="auto"/>
              </w:rPr>
            </w:pPr>
          </w:p>
        </w:tc>
      </w:tr>
      <w:tr>
        <w:trPr>
          <w:trHeight w:val="216"/>
        </w:trPr>
        <w:tc>
          <w:tcPr>
            <w:tcW w:w="480" w:type="dxa"/>
            <w:vAlign w:val="bottom"/>
            <w:gridSpan w:val="3"/>
          </w:tcPr>
          <w:p>
            <w:pPr>
              <w:jc w:val="right"/>
              <w:spacing w:after="0" w:line="196" w:lineRule="exact"/>
              <w:rPr>
                <w:rFonts w:ascii="Arial" w:cs="Arial" w:eastAsia="Arial" w:hAnsi="Arial"/>
                <w:sz w:val="18"/>
                <w:szCs w:val="18"/>
                <w:color w:val="0000FF"/>
              </w:rPr>
            </w:pPr>
            <w:hyperlink r:id="rId170">
              <w:r>
                <w:rPr>
                  <w:rFonts w:ascii="Arial" w:cs="Arial" w:eastAsia="Arial" w:hAnsi="Arial"/>
                  <w:sz w:val="18"/>
                  <w:szCs w:val="18"/>
                  <w:color w:val="0000FF"/>
                </w:rPr>
                <w:t>4.</w:t>
              </w:r>
            </w:hyperlink>
            <w:r>
              <w:rPr>
                <w:rFonts w:ascii="Arial" w:cs="Arial" w:eastAsia="Arial" w:hAnsi="Arial"/>
                <w:sz w:val="18"/>
                <w:szCs w:val="18"/>
                <w:u w:val="single" w:color="auto"/>
                <w:color w:val="0000FF"/>
              </w:rPr>
              <w:t>5</w:t>
            </w:r>
          </w:p>
        </w:tc>
        <w:tc>
          <w:tcPr>
            <w:tcW w:w="120" w:type="dxa"/>
            <w:vAlign w:val="bottom"/>
          </w:tcPr>
          <w:p>
            <w:pPr>
              <w:spacing w:after="0"/>
              <w:rPr>
                <w:sz w:val="18"/>
                <w:szCs w:val="18"/>
                <w:color w:val="auto"/>
              </w:rPr>
            </w:pPr>
          </w:p>
        </w:tc>
        <w:tc>
          <w:tcPr>
            <w:tcW w:w="10000" w:type="dxa"/>
            <w:vAlign w:val="bottom"/>
            <w:gridSpan w:val="3"/>
          </w:tcPr>
          <w:p>
            <w:pPr>
              <w:ind w:left="520"/>
              <w:spacing w:after="0" w:line="196" w:lineRule="exact"/>
              <w:rPr>
                <w:sz w:val="20"/>
                <w:szCs w:val="20"/>
                <w:color w:val="auto"/>
              </w:rPr>
            </w:pPr>
            <w:r>
              <w:rPr>
                <w:rFonts w:ascii="Arial" w:cs="Arial" w:eastAsia="Arial" w:hAnsi="Arial"/>
                <w:sz w:val="18"/>
                <w:szCs w:val="18"/>
                <w:color w:val="auto"/>
                <w:w w:val="91"/>
              </w:rPr>
              <w:t>Fourth Supplemental Indenture, dated as of May 9, 2011, to the Indenture dated as of September 8, 2009, by and among Republic</w:t>
            </w: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w w:val="94"/>
              </w:rPr>
              <w:t>Services, Inc., the guarantors named therein and The Bank of New York Mellon Trust Company, N.A., as trustee, including the</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w w:val="94"/>
              </w:rPr>
              <w:t>form of 5.700% Notes due 2041 (incorporated by reference to Exhibit 4.3 of the Company’s Current Report on Form 8-K dated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rPr>
              <w:t>May 9, 2011).</w:t>
            </w:r>
          </w:p>
        </w:tc>
        <w:tc>
          <w:tcPr>
            <w:tcW w:w="0" w:type="dxa"/>
            <w:vAlign w:val="bottom"/>
          </w:tcPr>
          <w:p>
            <w:pPr>
              <w:spacing w:after="0"/>
              <w:rPr>
                <w:sz w:val="1"/>
                <w:szCs w:val="1"/>
                <w:color w:val="auto"/>
              </w:rPr>
            </w:pPr>
          </w:p>
        </w:tc>
      </w:tr>
      <w:tr>
        <w:trPr>
          <w:trHeight w:val="216"/>
        </w:trPr>
        <w:tc>
          <w:tcPr>
            <w:tcW w:w="480" w:type="dxa"/>
            <w:vAlign w:val="bottom"/>
            <w:gridSpan w:val="3"/>
          </w:tcPr>
          <w:p>
            <w:pPr>
              <w:jc w:val="right"/>
              <w:spacing w:after="0" w:line="196" w:lineRule="exact"/>
              <w:rPr>
                <w:rFonts w:ascii="Arial" w:cs="Arial" w:eastAsia="Arial" w:hAnsi="Arial"/>
                <w:sz w:val="18"/>
                <w:szCs w:val="18"/>
                <w:color w:val="0000FF"/>
              </w:rPr>
            </w:pPr>
            <w:hyperlink r:id="rId171">
              <w:r>
                <w:rPr>
                  <w:rFonts w:ascii="Arial" w:cs="Arial" w:eastAsia="Arial" w:hAnsi="Arial"/>
                  <w:sz w:val="18"/>
                  <w:szCs w:val="18"/>
                  <w:color w:val="0000FF"/>
                </w:rPr>
                <w:t>4.</w:t>
              </w:r>
            </w:hyperlink>
            <w:r>
              <w:rPr>
                <w:rFonts w:ascii="Arial" w:cs="Arial" w:eastAsia="Arial" w:hAnsi="Arial"/>
                <w:sz w:val="18"/>
                <w:szCs w:val="18"/>
                <w:u w:val="single" w:color="auto"/>
                <w:color w:val="0000FF"/>
              </w:rPr>
              <w:t>6</w:t>
            </w:r>
          </w:p>
        </w:tc>
        <w:tc>
          <w:tcPr>
            <w:tcW w:w="120" w:type="dxa"/>
            <w:vAlign w:val="bottom"/>
          </w:tcPr>
          <w:p>
            <w:pPr>
              <w:spacing w:after="0"/>
              <w:rPr>
                <w:sz w:val="18"/>
                <w:szCs w:val="18"/>
                <w:color w:val="auto"/>
              </w:rPr>
            </w:pPr>
          </w:p>
        </w:tc>
        <w:tc>
          <w:tcPr>
            <w:tcW w:w="10000" w:type="dxa"/>
            <w:vAlign w:val="bottom"/>
            <w:gridSpan w:val="3"/>
          </w:tcPr>
          <w:p>
            <w:pPr>
              <w:ind w:left="520"/>
              <w:spacing w:after="0" w:line="196" w:lineRule="exact"/>
              <w:rPr>
                <w:sz w:val="20"/>
                <w:szCs w:val="20"/>
                <w:color w:val="auto"/>
              </w:rPr>
            </w:pPr>
            <w:r>
              <w:rPr>
                <w:rFonts w:ascii="Arial" w:cs="Arial" w:eastAsia="Arial" w:hAnsi="Arial"/>
                <w:sz w:val="18"/>
                <w:szCs w:val="18"/>
                <w:color w:val="auto"/>
                <w:w w:val="90"/>
              </w:rPr>
              <w:t>Indenture, dated as of November 25, 2009, by and between Republic Services, Inc. and U.S. Bank National Association, as trustee</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rPr>
              <w:t>(incorporated by reference to Exhibit 4.1 of the Company’s Current Report on Form 8-K dated November 25, 2009).</w:t>
            </w:r>
          </w:p>
        </w:tc>
        <w:tc>
          <w:tcPr>
            <w:tcW w:w="0" w:type="dxa"/>
            <w:vAlign w:val="bottom"/>
          </w:tcPr>
          <w:p>
            <w:pPr>
              <w:spacing w:after="0"/>
              <w:rPr>
                <w:sz w:val="1"/>
                <w:szCs w:val="1"/>
                <w:color w:val="auto"/>
              </w:rPr>
            </w:pPr>
          </w:p>
        </w:tc>
      </w:tr>
      <w:tr>
        <w:trPr>
          <w:trHeight w:val="216"/>
        </w:trPr>
        <w:tc>
          <w:tcPr>
            <w:tcW w:w="480" w:type="dxa"/>
            <w:vAlign w:val="bottom"/>
            <w:gridSpan w:val="3"/>
          </w:tcPr>
          <w:p>
            <w:pPr>
              <w:jc w:val="right"/>
              <w:spacing w:after="0" w:line="196" w:lineRule="exact"/>
              <w:rPr>
                <w:rFonts w:ascii="Arial" w:cs="Arial" w:eastAsia="Arial" w:hAnsi="Arial"/>
                <w:sz w:val="18"/>
                <w:szCs w:val="18"/>
                <w:color w:val="0000FF"/>
              </w:rPr>
            </w:pPr>
            <w:hyperlink r:id="rId172">
              <w:r>
                <w:rPr>
                  <w:rFonts w:ascii="Arial" w:cs="Arial" w:eastAsia="Arial" w:hAnsi="Arial"/>
                  <w:sz w:val="18"/>
                  <w:szCs w:val="18"/>
                  <w:color w:val="0000FF"/>
                </w:rPr>
                <w:t>4.</w:t>
              </w:r>
            </w:hyperlink>
            <w:r>
              <w:rPr>
                <w:rFonts w:ascii="Arial" w:cs="Arial" w:eastAsia="Arial" w:hAnsi="Arial"/>
                <w:sz w:val="18"/>
                <w:szCs w:val="18"/>
                <w:u w:val="single" w:color="auto"/>
                <w:color w:val="0000FF"/>
              </w:rPr>
              <w:t>7</w:t>
            </w:r>
          </w:p>
        </w:tc>
        <w:tc>
          <w:tcPr>
            <w:tcW w:w="120" w:type="dxa"/>
            <w:vAlign w:val="bottom"/>
          </w:tcPr>
          <w:p>
            <w:pPr>
              <w:spacing w:after="0"/>
              <w:rPr>
                <w:sz w:val="18"/>
                <w:szCs w:val="18"/>
                <w:color w:val="auto"/>
              </w:rPr>
            </w:pPr>
          </w:p>
        </w:tc>
        <w:tc>
          <w:tcPr>
            <w:tcW w:w="10000" w:type="dxa"/>
            <w:vAlign w:val="bottom"/>
            <w:gridSpan w:val="3"/>
          </w:tcPr>
          <w:p>
            <w:pPr>
              <w:ind w:left="520"/>
              <w:spacing w:after="0" w:line="196" w:lineRule="exact"/>
              <w:rPr>
                <w:sz w:val="20"/>
                <w:szCs w:val="20"/>
                <w:color w:val="auto"/>
              </w:rPr>
            </w:pPr>
            <w:r>
              <w:rPr>
                <w:rFonts w:ascii="Arial" w:cs="Arial" w:eastAsia="Arial" w:hAnsi="Arial"/>
                <w:sz w:val="18"/>
                <w:szCs w:val="18"/>
                <w:color w:val="auto"/>
                <w:w w:val="93"/>
              </w:rPr>
              <w:t>First Supplemental Indenture, dated as of November 25, 2009, to the Indenture dated as of November 25, 2009, by and among</w:t>
            </w: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w w:val="96"/>
              </w:rPr>
              <w:t>Republic Services, Inc., the guarantors named therein and U.S. Bank National Association, as trustee, including the form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rPr>
              <w:t>5.25% Notes due 2021 (incorporated by reference to Exhibit 4.2 of the Company’s Current Report on Form 8-K dated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rPr>
              <w:t>November 25, 2009).</w:t>
            </w:r>
          </w:p>
        </w:tc>
        <w:tc>
          <w:tcPr>
            <w:tcW w:w="0" w:type="dxa"/>
            <w:vAlign w:val="bottom"/>
          </w:tcPr>
          <w:p>
            <w:pPr>
              <w:spacing w:after="0"/>
              <w:rPr>
                <w:sz w:val="1"/>
                <w:szCs w:val="1"/>
                <w:color w:val="auto"/>
              </w:rPr>
            </w:pPr>
          </w:p>
        </w:tc>
      </w:tr>
      <w:tr>
        <w:trPr>
          <w:trHeight w:val="216"/>
        </w:trPr>
        <w:tc>
          <w:tcPr>
            <w:tcW w:w="480" w:type="dxa"/>
            <w:vAlign w:val="bottom"/>
            <w:gridSpan w:val="3"/>
          </w:tcPr>
          <w:p>
            <w:pPr>
              <w:jc w:val="right"/>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4.</w:t>
              </w:r>
            </w:hyperlink>
            <w:r>
              <w:rPr>
                <w:rFonts w:ascii="Arial" w:cs="Arial" w:eastAsia="Arial" w:hAnsi="Arial"/>
                <w:sz w:val="18"/>
                <w:szCs w:val="18"/>
                <w:u w:val="single" w:color="auto"/>
                <w:color w:val="0000FF"/>
              </w:rPr>
              <w:t>8</w:t>
            </w:r>
          </w:p>
        </w:tc>
        <w:tc>
          <w:tcPr>
            <w:tcW w:w="120" w:type="dxa"/>
            <w:vAlign w:val="bottom"/>
          </w:tcPr>
          <w:p>
            <w:pPr>
              <w:spacing w:after="0"/>
              <w:rPr>
                <w:sz w:val="18"/>
                <w:szCs w:val="18"/>
                <w:color w:val="auto"/>
              </w:rPr>
            </w:pPr>
          </w:p>
        </w:tc>
        <w:tc>
          <w:tcPr>
            <w:tcW w:w="10000" w:type="dxa"/>
            <w:vAlign w:val="bottom"/>
            <w:gridSpan w:val="3"/>
          </w:tcPr>
          <w:p>
            <w:pPr>
              <w:ind w:left="520"/>
              <w:spacing w:after="0" w:line="196" w:lineRule="exact"/>
              <w:rPr>
                <w:sz w:val="20"/>
                <w:szCs w:val="20"/>
                <w:color w:val="auto"/>
              </w:rPr>
            </w:pPr>
            <w:r>
              <w:rPr>
                <w:rFonts w:ascii="Arial" w:cs="Arial" w:eastAsia="Arial" w:hAnsi="Arial"/>
                <w:sz w:val="18"/>
                <w:szCs w:val="18"/>
                <w:color w:val="auto"/>
                <w:w w:val="95"/>
              </w:rPr>
              <w:t>Second Supplemental Indenture, dated as of March 4, 2010, to the Indenture dated as of November 25, 2009, by and among</w:t>
            </w: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w w:val="96"/>
              </w:rPr>
              <w:t>Republic Services, Inc., the guarantors named therein and U.S. Bank National Association, as trustee, including the form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w w:val="93"/>
              </w:rPr>
              <w:t>5.00% Notes due 2020 (incorporated by reference to Exhibit 4.1 of the Company’s Current Report on Form 8-K dated March 4,</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60" w:type="dxa"/>
            <w:vAlign w:val="bottom"/>
          </w:tcPr>
          <w:p>
            <w:pPr>
              <w:ind w:left="520"/>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gridSpan w:val="3"/>
          </w:tcPr>
          <w:p>
            <w:pPr>
              <w:jc w:val="right"/>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4.</w:t>
              </w:r>
            </w:hyperlink>
            <w:r>
              <w:rPr>
                <w:rFonts w:ascii="Arial" w:cs="Arial" w:eastAsia="Arial" w:hAnsi="Arial"/>
                <w:sz w:val="18"/>
                <w:szCs w:val="18"/>
                <w:u w:val="single" w:color="auto"/>
                <w:color w:val="0000FF"/>
              </w:rPr>
              <w:t>9</w:t>
            </w:r>
          </w:p>
        </w:tc>
        <w:tc>
          <w:tcPr>
            <w:tcW w:w="120" w:type="dxa"/>
            <w:vAlign w:val="bottom"/>
          </w:tcPr>
          <w:p>
            <w:pPr>
              <w:spacing w:after="0"/>
              <w:rPr>
                <w:sz w:val="18"/>
                <w:szCs w:val="18"/>
                <w:color w:val="auto"/>
              </w:rPr>
            </w:pPr>
          </w:p>
        </w:tc>
        <w:tc>
          <w:tcPr>
            <w:tcW w:w="10000" w:type="dxa"/>
            <w:vAlign w:val="bottom"/>
            <w:gridSpan w:val="3"/>
          </w:tcPr>
          <w:p>
            <w:pPr>
              <w:ind w:left="520"/>
              <w:spacing w:after="0" w:line="196" w:lineRule="exact"/>
              <w:rPr>
                <w:sz w:val="20"/>
                <w:szCs w:val="20"/>
                <w:color w:val="auto"/>
              </w:rPr>
            </w:pPr>
            <w:r>
              <w:rPr>
                <w:rFonts w:ascii="Arial" w:cs="Arial" w:eastAsia="Arial" w:hAnsi="Arial"/>
                <w:sz w:val="18"/>
                <w:szCs w:val="18"/>
                <w:color w:val="auto"/>
                <w:w w:val="90"/>
              </w:rPr>
              <w:t>Third Supplemental Indenture, dated as of March 4, 2010, to the Indenture dated as of November 25, 2009, by and among Republic</w:t>
            </w: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w w:val="90"/>
              </w:rPr>
              <w:t>Services, Inc., the guarantors named therein and U.S. Bank National Association, as trustee, including the form of 6.20% Notes due</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3"/>
          </w:tcPr>
          <w:p>
            <w:pPr>
              <w:ind w:left="520"/>
              <w:spacing w:after="0"/>
              <w:rPr>
                <w:sz w:val="20"/>
                <w:szCs w:val="20"/>
                <w:color w:val="auto"/>
              </w:rPr>
            </w:pPr>
            <w:r>
              <w:rPr>
                <w:rFonts w:ascii="Arial" w:cs="Arial" w:eastAsia="Arial" w:hAnsi="Arial"/>
                <w:sz w:val="18"/>
                <w:szCs w:val="18"/>
                <w:color w:val="auto"/>
              </w:rPr>
              <w:t>2040 (incorporated by reference to Exhibit 4.2 of the Company’s Current Report on Form 8-K dated March 4, 2010).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240" w:top="118" w:right="49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type w:val="continuous"/>
        </w:sectPr>
      </w:pPr>
    </w:p>
    <w:bookmarkStart w:id="116" w:name="page117"/>
    <w:bookmarkEnd w:id="116"/>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ectPr>
          <w:pgSz w:w="11900" w:h="16838" w:orient="portrait"/>
          <w:cols w:equalWidth="0" w:num="1">
            <w:col w:w="11020"/>
          </w:cols>
          <w:pgMar w:left="240" w:top="11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w:t>
      </w:r>
    </w:p>
    <w:p>
      <w:pPr>
        <w:ind w:left="400"/>
        <w:spacing w:after="0"/>
        <w:rPr>
          <w:sz w:val="20"/>
          <w:szCs w:val="20"/>
          <w:color w:val="auto"/>
        </w:rPr>
      </w:pPr>
      <w:r>
        <w:rPr>
          <w:rFonts w:ascii="Arial" w:cs="Arial" w:eastAsia="Arial" w:hAnsi="Arial"/>
          <w:sz w:val="16"/>
          <w:szCs w:val="16"/>
          <w:u w:val="single" w:color="auto"/>
          <w:color w:val="auto"/>
        </w:rPr>
        <w:t>Number</w:t>
      </w:r>
    </w:p>
    <w:p>
      <w:pPr>
        <w:spacing w:after="0" w:line="30" w:lineRule="exact"/>
        <w:rPr>
          <w:sz w:val="20"/>
          <w:szCs w:val="20"/>
          <w:color w:val="auto"/>
        </w:rPr>
      </w:pPr>
    </w:p>
    <w:p>
      <w:pPr>
        <w:ind w:left="540"/>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4.10</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340"/>
        <w:spacing w:after="0"/>
        <w:rPr>
          <w:sz w:val="20"/>
          <w:szCs w:val="20"/>
          <w:color w:val="auto"/>
        </w:rPr>
      </w:pPr>
      <w:r>
        <w:rPr>
          <w:rFonts w:ascii="Arial" w:cs="Arial" w:eastAsia="Arial" w:hAnsi="Arial"/>
          <w:sz w:val="18"/>
          <w:szCs w:val="18"/>
          <w:u w:val="single" w:color="auto"/>
          <w:color w:val="auto"/>
        </w:rPr>
        <w:t>Description</w:t>
      </w:r>
    </w:p>
    <w:p>
      <w:pPr>
        <w:spacing w:after="0" w:line="63" w:lineRule="exact"/>
        <w:rPr>
          <w:sz w:val="20"/>
          <w:szCs w:val="20"/>
          <w:color w:val="auto"/>
        </w:rPr>
      </w:pPr>
    </w:p>
    <w:p>
      <w:pPr>
        <w:ind w:right="480"/>
        <w:spacing w:after="0" w:line="308" w:lineRule="auto"/>
        <w:rPr>
          <w:sz w:val="20"/>
          <w:szCs w:val="20"/>
          <w:color w:val="auto"/>
        </w:rPr>
      </w:pPr>
      <w:r>
        <w:rPr>
          <w:rFonts w:ascii="Arial" w:cs="Arial" w:eastAsia="Arial" w:hAnsi="Arial"/>
          <w:sz w:val="16"/>
          <w:szCs w:val="16"/>
          <w:color w:val="auto"/>
        </w:rPr>
        <w:t>Indenture, dated as of May 21, 2012, by and between Republic Services, Inc. and Wells Fargo Bank, National Association, as trustee (incorporated by reference to Exhibit 4.1 of the Company’s Current Report on Form 8-K dated May 21, 2012).</w:t>
      </w:r>
    </w:p>
    <w:p>
      <w:pPr>
        <w:spacing w:after="0" w:line="1" w:lineRule="exact"/>
        <w:rPr>
          <w:sz w:val="20"/>
          <w:szCs w:val="20"/>
          <w:color w:val="auto"/>
        </w:rPr>
      </w:pPr>
    </w:p>
    <w:p>
      <w:pPr>
        <w:sectPr>
          <w:pgSz w:w="11900" w:h="16838" w:orient="portrait"/>
          <w:cols w:equalWidth="0" w:num="2">
            <w:col w:w="1000" w:space="520"/>
            <w:col w:w="9500"/>
          </w:cols>
          <w:pgMar w:left="240" w:top="118" w:right="639" w:bottom="1440" w:gutter="0" w:footer="0" w:header="0"/>
          <w:type w:val="continuous"/>
        </w:sectPr>
      </w:pPr>
    </w:p>
    <w:tbl>
      <w:tblPr>
        <w:tblLayout w:type="fixed"/>
        <w:tblInd w:w="500" w:type="dxa"/>
        <w:tblCellMar>
          <w:top w:w="0" w:type="dxa"/>
          <w:left w:w="0" w:type="dxa"/>
          <w:bottom w:w="0" w:type="dxa"/>
          <w:right w:w="0" w:type="dxa"/>
        </w:tblCellMar>
      </w:tblPr>
      <w:tr>
        <w:trPr>
          <w:trHeight w:val="190"/>
        </w:trPr>
        <w:tc>
          <w:tcPr>
            <w:tcW w:w="420" w:type="dxa"/>
            <w:vAlign w:val="bottom"/>
            <w:gridSpan w:val="5"/>
          </w:tcPr>
          <w:p>
            <w:pPr>
              <w:jc w:val="center"/>
              <w:ind w:left="10"/>
              <w:spacing w:after="0" w:line="170"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11</w:t>
              </w:r>
            </w:hyperlink>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780" w:type="dxa"/>
            <w:vAlign w:val="bottom"/>
          </w:tcPr>
          <w:p>
            <w:pPr>
              <w:ind w:left="280"/>
              <w:spacing w:after="0" w:line="170" w:lineRule="exact"/>
              <w:rPr>
                <w:sz w:val="20"/>
                <w:szCs w:val="20"/>
                <w:color w:val="auto"/>
              </w:rPr>
            </w:pPr>
            <w:r>
              <w:rPr>
                <w:rFonts w:ascii="Arial" w:cs="Arial" w:eastAsia="Arial" w:hAnsi="Arial"/>
                <w:sz w:val="18"/>
                <w:szCs w:val="18"/>
                <w:color w:val="auto"/>
                <w:w w:val="94"/>
              </w:rPr>
              <w:t>First Supplemental Indenture, dated as of May 21, 2012, to the Indenture dated as of May 21, 2012, by and between Republic</w:t>
            </w: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1"/>
              </w:rPr>
              <w:t>Services, Inc. and Wells Fargo Bank, National Association, including the form of 3.55% Notes due 2022 (incorporated by reference</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to Exhibit 4.2 of the Company’s Current Report on Form 8-K dated May 21, 2012).</w:t>
            </w:r>
          </w:p>
        </w:tc>
      </w:tr>
      <w:tr>
        <w:trPr>
          <w:trHeight w:val="216"/>
        </w:trPr>
        <w:tc>
          <w:tcPr>
            <w:tcW w:w="460" w:type="dxa"/>
            <w:vAlign w:val="bottom"/>
            <w:gridSpan w:val="6"/>
          </w:tcPr>
          <w:p>
            <w:pPr>
              <w:jc w:val="center"/>
              <w:spacing w:after="0" w:line="19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4.</w:t>
              </w:r>
            </w:hyperlink>
            <w:r>
              <w:rPr>
                <w:rFonts w:ascii="Arial" w:cs="Arial" w:eastAsia="Arial" w:hAnsi="Arial"/>
                <w:sz w:val="18"/>
                <w:szCs w:val="18"/>
                <w:u w:val="single" w:color="auto"/>
                <w:color w:val="0000FF"/>
                <w:w w:val="91"/>
              </w:rPr>
              <w:t>12</w:t>
            </w:r>
          </w:p>
        </w:tc>
        <w:tc>
          <w:tcPr>
            <w:tcW w:w="280" w:type="dxa"/>
            <w:vAlign w:val="bottom"/>
          </w:tcPr>
          <w:p>
            <w:pPr>
              <w:spacing w:after="0"/>
              <w:rPr>
                <w:sz w:val="18"/>
                <w:szCs w:val="18"/>
                <w:color w:val="auto"/>
              </w:rPr>
            </w:pPr>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90"/>
              </w:rPr>
              <w:t>Restated Indenture, dated as of September 1, 1991, by and between Browning-Ferris Industries, Inc. and First City, Texas-Houston,</w:t>
            </w: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6"/>
              </w:rPr>
              <w:t>National Association, as trustee (incorporated by reference to Exhibit 4.22 of Allied’s Registration Statement on Form S-4/A</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(No. 333-61744)).</w:t>
            </w:r>
          </w:p>
        </w:tc>
      </w:tr>
      <w:tr>
        <w:trPr>
          <w:trHeight w:val="216"/>
        </w:trPr>
        <w:tc>
          <w:tcPr>
            <w:tcW w:w="460" w:type="dxa"/>
            <w:vAlign w:val="bottom"/>
            <w:gridSpan w:val="6"/>
          </w:tcPr>
          <w:p>
            <w:pPr>
              <w:jc w:val="center"/>
              <w:spacing w:after="0" w:line="196"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4.</w:t>
              </w:r>
            </w:hyperlink>
            <w:r>
              <w:rPr>
                <w:rFonts w:ascii="Arial" w:cs="Arial" w:eastAsia="Arial" w:hAnsi="Arial"/>
                <w:sz w:val="18"/>
                <w:szCs w:val="18"/>
                <w:u w:val="single" w:color="auto"/>
                <w:color w:val="0000FF"/>
                <w:w w:val="91"/>
              </w:rPr>
              <w:t>13</w:t>
            </w:r>
          </w:p>
        </w:tc>
        <w:tc>
          <w:tcPr>
            <w:tcW w:w="280" w:type="dxa"/>
            <w:vAlign w:val="bottom"/>
          </w:tcPr>
          <w:p>
            <w:pPr>
              <w:spacing w:after="0"/>
              <w:rPr>
                <w:sz w:val="18"/>
                <w:szCs w:val="18"/>
                <w:color w:val="auto"/>
              </w:rPr>
            </w:pPr>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91"/>
              </w:rPr>
              <w:t>First Supplemental Indenture, dated as of July 30, 1999, to the Restated Indenture dated as of September 1, 1991, by and among</w:t>
            </w: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7"/>
              </w:rPr>
              <w:t>Allied Waste Industries, Inc., Allied Waste North America, Inc., Browning-Ferris Industries, Inc. and Chase Bank of Texas,</w:t>
            </w: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6"/>
              </w:rPr>
              <w:t>National Association, as trustee (incorporated by reference to Exhibit 4.23 of Allied’s Registration Statement on Form S-4/A</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(No. 333-61744)).</w:t>
            </w:r>
          </w:p>
        </w:tc>
      </w:tr>
      <w:tr>
        <w:trPr>
          <w:trHeight w:val="216"/>
        </w:trPr>
        <w:tc>
          <w:tcPr>
            <w:tcW w:w="460" w:type="dxa"/>
            <w:vAlign w:val="bottom"/>
            <w:gridSpan w:val="6"/>
          </w:tcPr>
          <w:p>
            <w:pPr>
              <w:jc w:val="center"/>
              <w:spacing w:after="0" w:line="196"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4.</w:t>
              </w:r>
            </w:hyperlink>
            <w:r>
              <w:rPr>
                <w:rFonts w:ascii="Arial" w:cs="Arial" w:eastAsia="Arial" w:hAnsi="Arial"/>
                <w:sz w:val="18"/>
                <w:szCs w:val="18"/>
                <w:u w:val="single" w:color="auto"/>
                <w:color w:val="0000FF"/>
                <w:w w:val="91"/>
              </w:rPr>
              <w:t>14</w:t>
            </w:r>
          </w:p>
        </w:tc>
        <w:tc>
          <w:tcPr>
            <w:tcW w:w="280" w:type="dxa"/>
            <w:vAlign w:val="bottom"/>
          </w:tcPr>
          <w:p>
            <w:pPr>
              <w:spacing w:after="0"/>
              <w:rPr>
                <w:sz w:val="18"/>
                <w:szCs w:val="18"/>
                <w:color w:val="auto"/>
              </w:rPr>
            </w:pPr>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89"/>
              </w:rPr>
              <w:t>First [sic] Supplemental Indenture, dated as of December 31, 2004, to the Restated Indenture dated as of September 1, 1991, by and</w:t>
            </w: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1"/>
              </w:rPr>
              <w:t>among Browning-Ferris Industries, Inc., BBCO, Inc. and JP Morgan Chase Bank, National Association as trustee (incorporated by</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reference to Exhibit 4.33 of Allied’s Annual Report on Form 10-K for the year ended December 31, 2004).</w:t>
            </w:r>
          </w:p>
        </w:tc>
      </w:tr>
      <w:tr>
        <w:trPr>
          <w:trHeight w:val="216"/>
        </w:trPr>
        <w:tc>
          <w:tcPr>
            <w:tcW w:w="460" w:type="dxa"/>
            <w:vAlign w:val="bottom"/>
            <w:gridSpan w:val="6"/>
          </w:tcPr>
          <w:p>
            <w:pPr>
              <w:jc w:val="center"/>
              <w:spacing w:after="0" w:line="19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4.</w:t>
              </w:r>
            </w:hyperlink>
            <w:r>
              <w:rPr>
                <w:rFonts w:ascii="Arial" w:cs="Arial" w:eastAsia="Arial" w:hAnsi="Arial"/>
                <w:sz w:val="18"/>
                <w:szCs w:val="18"/>
                <w:u w:val="single" w:color="auto"/>
                <w:color w:val="0000FF"/>
                <w:w w:val="91"/>
              </w:rPr>
              <w:t>15</w:t>
            </w:r>
          </w:p>
        </w:tc>
        <w:tc>
          <w:tcPr>
            <w:tcW w:w="280" w:type="dxa"/>
            <w:vAlign w:val="bottom"/>
          </w:tcPr>
          <w:p>
            <w:pPr>
              <w:spacing w:after="0"/>
              <w:rPr>
                <w:sz w:val="18"/>
                <w:szCs w:val="18"/>
                <w:color w:val="auto"/>
              </w:rPr>
            </w:pPr>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93"/>
              </w:rPr>
              <w:t>Third Supplemental Indenture, dated as of December 5, 2008, to the Restated Indenture dated as of September 1, 1991, by and</w:t>
            </w: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3"/>
              </w:rPr>
              <w:t>among Allied Waste Industries, Inc., Allied Waste North America, Inc., Browning-Ferris Industries, LLC (successor to Browning-</w:t>
            </w: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6"/>
              </w:rPr>
              <w:t>Ferris Industries, Inc.), BBCO, Inc., Republic Services, Inc., the guarantors party thereto and The Bank of New York Mellon</w:t>
            </w: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4"/>
              </w:rPr>
              <w:t>Trust Company, N.A., as trustee (incorporated by reference to Exhibit 4.1 of the Company’s Current Report on Form 8-K dated</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December 10, 2008).</w:t>
            </w:r>
          </w:p>
        </w:tc>
      </w:tr>
      <w:tr>
        <w:trPr>
          <w:trHeight w:val="216"/>
        </w:trPr>
        <w:tc>
          <w:tcPr>
            <w:tcW w:w="460" w:type="dxa"/>
            <w:vAlign w:val="bottom"/>
            <w:gridSpan w:val="6"/>
          </w:tcPr>
          <w:p>
            <w:pPr>
              <w:jc w:val="center"/>
              <w:spacing w:after="0" w:line="196"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4.</w:t>
              </w:r>
            </w:hyperlink>
            <w:r>
              <w:rPr>
                <w:rFonts w:ascii="Arial" w:cs="Arial" w:eastAsia="Arial" w:hAnsi="Arial"/>
                <w:sz w:val="18"/>
                <w:szCs w:val="18"/>
                <w:u w:val="single" w:color="auto"/>
                <w:color w:val="0000FF"/>
                <w:w w:val="91"/>
              </w:rPr>
              <w:t>16</w:t>
            </w:r>
          </w:p>
        </w:tc>
        <w:tc>
          <w:tcPr>
            <w:tcW w:w="280" w:type="dxa"/>
            <w:vAlign w:val="bottom"/>
          </w:tcPr>
          <w:p>
            <w:pPr>
              <w:spacing w:after="0"/>
              <w:rPr>
                <w:sz w:val="18"/>
                <w:szCs w:val="18"/>
                <w:color w:val="auto"/>
              </w:rPr>
            </w:pPr>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92"/>
              </w:rPr>
              <w:t>Fourth Supplemental Indenture, dated as of March 11, 2015, to the Indenture, dated as of November 25, 2009, between Republic</w:t>
            </w: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6"/>
              </w:rPr>
              <w:t>Services, Inc. and U.S. Bank National Association, as trustee, including the form of 3.20% Notes due 2025 (incorporated by</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reference to Exhibit 4.1 of the Company's Current Report on Form 8-K dated March 11, 2015).</w:t>
            </w:r>
          </w:p>
        </w:tc>
      </w:tr>
      <w:tr>
        <w:trPr>
          <w:trHeight w:val="216"/>
        </w:trPr>
        <w:tc>
          <w:tcPr>
            <w:tcW w:w="420" w:type="dxa"/>
            <w:vAlign w:val="bottom"/>
            <w:gridSpan w:val="5"/>
          </w:tcPr>
          <w:p>
            <w:pPr>
              <w:jc w:val="center"/>
              <w:ind w:left="10"/>
              <w:spacing w:after="0" w:line="19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4.</w:t>
              </w:r>
            </w:hyperlink>
            <w:r>
              <w:rPr>
                <w:rFonts w:ascii="Arial" w:cs="Arial" w:eastAsia="Arial" w:hAnsi="Arial"/>
                <w:sz w:val="18"/>
                <w:szCs w:val="18"/>
                <w:u w:val="single" w:color="auto"/>
                <w:color w:val="0000FF"/>
                <w:w w:val="91"/>
              </w:rPr>
              <w:t>17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96"/>
              </w:rPr>
              <w:t>Fifth Supplemental Indenture, dated as of July 5, 2016, to the Indenture, dated as of November 25, 2009, between Republic</w:t>
            </w: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5"/>
              </w:rPr>
              <w:t>Services, Inc. and U.S. Bank National Association, as trustee, including the form of 2.900% Notes due 2026 (incorporated by</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reference to Exhibit 4.1 of the Company's Current Report on Form 8-K dated July 5, 2016).</w:t>
            </w:r>
          </w:p>
        </w:tc>
      </w:tr>
      <w:tr>
        <w:trPr>
          <w:trHeight w:val="216"/>
        </w:trPr>
        <w:tc>
          <w:tcPr>
            <w:tcW w:w="420" w:type="dxa"/>
            <w:vAlign w:val="bottom"/>
            <w:gridSpan w:val="5"/>
          </w:tcPr>
          <w:p>
            <w:pPr>
              <w:jc w:val="center"/>
              <w:ind w:left="10"/>
              <w:spacing w:after="0" w:line="196"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4.</w:t>
              </w:r>
            </w:hyperlink>
            <w:r>
              <w:rPr>
                <w:rFonts w:ascii="Arial" w:cs="Arial" w:eastAsia="Arial" w:hAnsi="Arial"/>
                <w:sz w:val="18"/>
                <w:szCs w:val="18"/>
                <w:u w:val="single" w:color="auto"/>
                <w:color w:val="0000FF"/>
                <w:w w:val="91"/>
              </w:rPr>
              <w:t>18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99"/>
              </w:rPr>
              <w:t>Sixth Supplemental Indenture, dated as of November 16, 2017, between Republic Services, Inc. and U.S. Bank National</w:t>
            </w: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2"/>
              </w:rPr>
              <w:t>Association, as trustee, including the form of 3.375% Notes due 2027 (incorporated by reference to Exhibit 4.1 of the Company’s</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Current Report on Form 8-K dated November 15, 2017).</w:t>
            </w:r>
          </w:p>
        </w:tc>
      </w:tr>
      <w:tr>
        <w:trPr>
          <w:trHeight w:val="256"/>
        </w:trPr>
        <w:tc>
          <w:tcPr>
            <w:tcW w:w="400" w:type="dxa"/>
            <w:vAlign w:val="bottom"/>
            <w:gridSpan w:val="4"/>
          </w:tcPr>
          <w:p>
            <w:pPr>
              <w:jc w:val="center"/>
              <w:spacing w:after="0"/>
              <w:rPr>
                <w:sz w:val="20"/>
                <w:szCs w:val="20"/>
                <w:color w:val="auto"/>
              </w:rPr>
            </w:pPr>
            <w:r>
              <w:rPr>
                <w:rFonts w:ascii="Arial" w:cs="Arial" w:eastAsia="Arial" w:hAnsi="Arial"/>
                <w:sz w:val="18"/>
                <w:szCs w:val="18"/>
                <w:color w:val="auto"/>
                <w:w w:val="91"/>
              </w:rPr>
              <w:t>4.19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4"/>
              </w:rPr>
              <w:t>Form of Browning-Ferris Industries, Inc. 7.4% Debentures due 2035 (incorporated by reference to Exhibit 4 of Browning-Ferris</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Industries, Inc.'s Current Report on Form 8-K dated September 15, 1995).</w:t>
            </w:r>
          </w:p>
        </w:tc>
      </w:tr>
      <w:tr>
        <w:trPr>
          <w:trHeight w:val="216"/>
        </w:trPr>
        <w:tc>
          <w:tcPr>
            <w:tcW w:w="460" w:type="dxa"/>
            <w:vAlign w:val="bottom"/>
            <w:gridSpan w:val="6"/>
          </w:tcPr>
          <w:p>
            <w:pPr>
              <w:jc w:val="center"/>
              <w:spacing w:after="0" w:line="196"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4.</w:t>
              </w:r>
            </w:hyperlink>
            <w:r>
              <w:rPr>
                <w:rFonts w:ascii="Arial" w:cs="Arial" w:eastAsia="Arial" w:hAnsi="Arial"/>
                <w:sz w:val="18"/>
                <w:szCs w:val="18"/>
                <w:u w:val="single" w:color="auto"/>
                <w:color w:val="0000FF"/>
                <w:w w:val="91"/>
              </w:rPr>
              <w:t>20</w:t>
            </w:r>
          </w:p>
        </w:tc>
        <w:tc>
          <w:tcPr>
            <w:tcW w:w="280" w:type="dxa"/>
            <w:vAlign w:val="bottom"/>
          </w:tcPr>
          <w:p>
            <w:pPr>
              <w:spacing w:after="0"/>
              <w:rPr>
                <w:sz w:val="18"/>
                <w:szCs w:val="18"/>
                <w:color w:val="auto"/>
              </w:rPr>
            </w:pPr>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96"/>
              </w:rPr>
              <w:t>Credit Agreement, dated as of June 8, 2018, by and among Republic Services, Inc., as Borrower, Bank of America, N.A., as</w:t>
            </w: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2"/>
              </w:rPr>
              <w:t>Administrative Agent, Swing Ling Lender and L/C Issuer, and the other lenders party thereto (incorporated by reference to Exhibit</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4.1 of the Company's Current Report on Form 8-K dated June 11, 2018).</w:t>
            </w:r>
          </w:p>
        </w:tc>
      </w:tr>
      <w:tr>
        <w:trPr>
          <w:trHeight w:val="216"/>
        </w:trPr>
        <w:tc>
          <w:tcPr>
            <w:tcW w:w="460" w:type="dxa"/>
            <w:vAlign w:val="bottom"/>
            <w:gridSpan w:val="6"/>
          </w:tcPr>
          <w:p>
            <w:pPr>
              <w:jc w:val="center"/>
              <w:spacing w:after="0" w:line="196"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4.</w:t>
              </w:r>
            </w:hyperlink>
            <w:r>
              <w:rPr>
                <w:rFonts w:ascii="Arial" w:cs="Arial" w:eastAsia="Arial" w:hAnsi="Arial"/>
                <w:sz w:val="18"/>
                <w:szCs w:val="18"/>
                <w:u w:val="single" w:color="auto"/>
                <w:color w:val="0000FF"/>
                <w:w w:val="91"/>
              </w:rPr>
              <w:t>21</w:t>
            </w:r>
          </w:p>
        </w:tc>
        <w:tc>
          <w:tcPr>
            <w:tcW w:w="280" w:type="dxa"/>
            <w:vAlign w:val="bottom"/>
          </w:tcPr>
          <w:p>
            <w:pPr>
              <w:spacing w:after="0"/>
              <w:rPr>
                <w:sz w:val="18"/>
                <w:szCs w:val="18"/>
                <w:color w:val="auto"/>
              </w:rPr>
            </w:pPr>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91"/>
              </w:rPr>
              <w:t>Seventh Supplemental Indenture, dated as of May 14, 2018, between Republic Services, Inc. and U.S. Bank National Association,</w:t>
            </w: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0"/>
              </w:rPr>
              <w:t>as trustee, including the form of 3.950% Notes due 2028 (incorporated by reference to Exhibit 4.1 of the Company’s Current Report</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on Form 8-K dated May 3, 2018).</w:t>
            </w:r>
          </w:p>
        </w:tc>
      </w:tr>
      <w:tr>
        <w:trPr>
          <w:trHeight w:val="216"/>
        </w:trPr>
        <w:tc>
          <w:tcPr>
            <w:tcW w:w="400" w:type="dxa"/>
            <w:vAlign w:val="bottom"/>
            <w:gridSpan w:val="4"/>
          </w:tcPr>
          <w:p>
            <w:pPr>
              <w:jc w:val="center"/>
              <w:spacing w:after="0" w:line="196"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22</w:t>
              </w:r>
            </w:hyperlink>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91"/>
              </w:rPr>
              <w:t>Limited consent (2018 Credit Agreement), dated as of August 21, 2019, by and among Republic Services, Inc., as Borrower, Bank</w:t>
            </w:r>
          </w:p>
        </w:tc>
      </w:tr>
      <w:tr>
        <w:trPr>
          <w:trHeight w:val="236"/>
        </w:trPr>
        <w:tc>
          <w:tcPr>
            <w:tcW w:w="4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3"/>
              </w:rPr>
              <w:t>of America, N.A., as Administrative Agent, Swing Line Lender and an L/C Issuer, and the lenders party thereto (incorporated by</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reference to Exhibit 4.1 of the Company's Quarterly Report on Form 10-Q for the quarter ended September 30, 2019).</w:t>
            </w:r>
          </w:p>
        </w:tc>
      </w:tr>
      <w:tr>
        <w:trPr>
          <w:trHeight w:val="216"/>
        </w:trPr>
        <w:tc>
          <w:tcPr>
            <w:tcW w:w="420" w:type="dxa"/>
            <w:vAlign w:val="bottom"/>
            <w:gridSpan w:val="5"/>
          </w:tcPr>
          <w:p>
            <w:pPr>
              <w:jc w:val="center"/>
              <w:ind w:right="20"/>
              <w:spacing w:after="0" w:line="196" w:lineRule="exact"/>
              <w:rPr>
                <w:rFonts w:ascii="Arial" w:cs="Arial" w:eastAsia="Arial" w:hAnsi="Arial"/>
                <w:sz w:val="18"/>
                <w:szCs w:val="18"/>
                <w:color w:val="0000FF"/>
                <w:w w:val="95"/>
              </w:rPr>
            </w:pPr>
            <w:hyperlink w:anchor="page123">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23*</w:t>
              </w:r>
            </w:hyperlink>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rPr>
              <w:t>Description of Securities Registered Under Section 12 of the Securities Exchange Act of 1934.</w:t>
            </w:r>
          </w:p>
        </w:tc>
      </w:tr>
      <w:tr>
        <w:trPr>
          <w:trHeight w:val="250"/>
        </w:trPr>
        <w:tc>
          <w:tcPr>
            <w:tcW w:w="400" w:type="dxa"/>
            <w:vAlign w:val="bottom"/>
            <w:tcBorders>
              <w:top w:val="single" w:sz="8" w:color="0000FF"/>
            </w:tcBorders>
            <w:gridSpan w:val="4"/>
          </w:tcPr>
          <w:p>
            <w:pPr>
              <w:jc w:val="center"/>
              <w:spacing w:after="0"/>
              <w:rPr>
                <w:rFonts w:ascii="Arial" w:cs="Arial" w:eastAsia="Arial" w:hAnsi="Arial"/>
                <w:sz w:val="18"/>
                <w:szCs w:val="18"/>
                <w:color w:val="0000FF"/>
                <w:w w:val="91"/>
              </w:rPr>
            </w:pPr>
            <w:hyperlink r:id="rId188">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24</w:t>
              </w:r>
            </w:hyperlink>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1"/>
              </w:rPr>
              <w:t>Eighth Supplemental Indenture, dated as of August 7, 2019, between Republic Services, Inc. and U.S. Bank National Association,</w:t>
            </w:r>
          </w:p>
        </w:tc>
      </w:tr>
      <w:tr>
        <w:trPr>
          <w:trHeight w:val="236"/>
        </w:trPr>
        <w:tc>
          <w:tcPr>
            <w:tcW w:w="4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0"/>
              </w:rPr>
              <w:t>as trustee, including the form of 2.500% Notes due 2024 (incorporated by reference to Exhibit 4.1 of the Company’s Current Report</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on Form 8-K dated August 1, 2019).</w:t>
            </w:r>
          </w:p>
        </w:tc>
      </w:tr>
      <w:tr>
        <w:trPr>
          <w:trHeight w:val="216"/>
        </w:trPr>
        <w:tc>
          <w:tcPr>
            <w:tcW w:w="740" w:type="dxa"/>
            <w:vAlign w:val="bottom"/>
            <w:gridSpan w:val="7"/>
          </w:tcPr>
          <w:p>
            <w:pPr>
              <w:jc w:val="center"/>
              <w:ind w:right="240"/>
              <w:spacing w:after="0" w:line="196" w:lineRule="exact"/>
              <w:rPr>
                <w:rFonts w:ascii="Arial" w:cs="Arial" w:eastAsia="Arial" w:hAnsi="Arial"/>
                <w:sz w:val="18"/>
                <w:szCs w:val="18"/>
                <w:color w:val="0000FF"/>
                <w:w w:val="92"/>
              </w:rPr>
            </w:pPr>
            <w:hyperlink r:id="rId189">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hyperlink>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91"/>
              </w:rPr>
              <w:t>Republic Services, Inc. 2007 Stock Incentive Plan (incorporated by reference to Exhibit 10.1 of the Company’s Quarterly Report on</w:t>
            </w:r>
          </w:p>
        </w:tc>
      </w:tr>
      <w:tr>
        <w:trPr>
          <w:trHeight w:val="250"/>
        </w:trPr>
        <w:tc>
          <w:tcPr>
            <w:tcW w:w="4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Form 10-Q for the period ended June 30, 2007).</w:t>
            </w:r>
          </w:p>
        </w:tc>
      </w:tr>
      <w:tr>
        <w:trPr>
          <w:trHeight w:val="216"/>
        </w:trPr>
        <w:tc>
          <w:tcPr>
            <w:tcW w:w="740" w:type="dxa"/>
            <w:vAlign w:val="bottom"/>
            <w:gridSpan w:val="7"/>
          </w:tcPr>
          <w:p>
            <w:pPr>
              <w:jc w:val="center"/>
              <w:ind w:right="240"/>
              <w:spacing w:after="0" w:line="196"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w:t>
              </w:r>
            </w:hyperlink>
          </w:p>
        </w:tc>
        <w:tc>
          <w:tcPr>
            <w:tcW w:w="9780" w:type="dxa"/>
            <w:vAlign w:val="bottom"/>
          </w:tcPr>
          <w:p>
            <w:pPr>
              <w:ind w:left="280"/>
              <w:spacing w:after="0" w:line="196" w:lineRule="exact"/>
              <w:rPr>
                <w:sz w:val="20"/>
                <w:szCs w:val="20"/>
                <w:color w:val="auto"/>
              </w:rPr>
            </w:pPr>
            <w:r>
              <w:rPr>
                <w:rFonts w:ascii="Arial" w:cs="Arial" w:eastAsia="Arial" w:hAnsi="Arial"/>
                <w:sz w:val="18"/>
                <w:szCs w:val="18"/>
                <w:color w:val="auto"/>
                <w:w w:val="92"/>
              </w:rPr>
              <w:t>Amendment to the Republic Services, Inc. 2007 Stock Incentive Plan (incorporated by reference to Exhibit 10.8 of the Company’s</w:t>
            </w:r>
          </w:p>
        </w:tc>
      </w:tr>
      <w:tr>
        <w:trPr>
          <w:trHeight w:val="250"/>
        </w:trPr>
        <w:tc>
          <w:tcPr>
            <w:tcW w:w="4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Annual Report on Form 10-K for the year ended December 31, 2008).</w:t>
            </w:r>
          </w:p>
        </w:tc>
      </w:tr>
    </w:tbl>
    <w:p>
      <w:pPr>
        <w:spacing w:after="0" w:line="200" w:lineRule="exact"/>
        <w:rPr>
          <w:sz w:val="20"/>
          <w:szCs w:val="20"/>
          <w:color w:val="auto"/>
        </w:rPr>
      </w:pPr>
    </w:p>
    <w:p>
      <w:pPr>
        <w:sectPr>
          <w:pgSz w:w="11900" w:h="16838" w:orient="portrait"/>
          <w:cols w:equalWidth="0" w:num="1">
            <w:col w:w="11020"/>
          </w:cols>
          <w:pgMar w:left="240" w:top="118" w:right="6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18" w:right="639" w:bottom="1440" w:gutter="0" w:footer="0" w:header="0"/>
          <w:type w:val="continuous"/>
        </w:sectPr>
      </w:pPr>
    </w:p>
    <w:bookmarkStart w:id="117" w:name="page118"/>
    <w:bookmarkEnd w:id="117"/>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ectPr>
          <w:pgSz w:w="11900" w:h="16838" w:orient="portrait"/>
          <w:cols w:equalWidth="0" w:num="1">
            <w:col w:w="11040"/>
          </w:cols>
          <w:pgMar w:left="240" w:top="11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w:t>
      </w:r>
    </w:p>
    <w:p>
      <w:pPr>
        <w:ind w:left="400"/>
        <w:spacing w:after="0"/>
        <w:rPr>
          <w:sz w:val="20"/>
          <w:szCs w:val="20"/>
          <w:color w:val="auto"/>
        </w:rPr>
      </w:pPr>
      <w:r>
        <w:rPr>
          <w:rFonts w:ascii="Arial" w:cs="Arial" w:eastAsia="Arial" w:hAnsi="Arial"/>
          <w:sz w:val="17"/>
          <w:szCs w:val="17"/>
          <w:u w:val="single" w:color="auto"/>
          <w:color w:val="auto"/>
        </w:rPr>
        <w:t>Number</w:t>
      </w:r>
    </w:p>
    <w:p>
      <w:pPr>
        <w:spacing w:after="0" w:line="19" w:lineRule="exact"/>
        <w:rPr>
          <w:sz w:val="20"/>
          <w:szCs w:val="20"/>
          <w:color w:val="auto"/>
        </w:rPr>
      </w:pPr>
    </w:p>
    <w:p>
      <w:pPr>
        <w:jc w:val="center"/>
        <w:ind w:left="500"/>
        <w:spacing w:after="0"/>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10.3+</w:t>
        </w:r>
      </w:hyperlink>
    </w:p>
    <w:p>
      <w:pPr>
        <w:spacing w:after="0" w:line="278" w:lineRule="exact"/>
        <w:rPr>
          <w:sz w:val="20"/>
          <w:szCs w:val="20"/>
          <w:color w:val="auto"/>
        </w:rPr>
      </w:pPr>
    </w:p>
    <w:p>
      <w:pPr>
        <w:jc w:val="center"/>
        <w:ind w:left="500"/>
        <w:spacing w:after="0"/>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10.4+</w:t>
        </w:r>
      </w:hyperlink>
    </w:p>
    <w:p>
      <w:pPr>
        <w:spacing w:after="0" w:line="200" w:lineRule="exact"/>
        <w:rPr>
          <w:sz w:val="20"/>
          <w:szCs w:val="20"/>
          <w:color w:val="auto"/>
        </w:rPr>
      </w:pPr>
    </w:p>
    <w:p>
      <w:pPr>
        <w:spacing w:after="0" w:line="295" w:lineRule="exact"/>
        <w:rPr>
          <w:sz w:val="20"/>
          <w:szCs w:val="20"/>
          <w:color w:val="auto"/>
        </w:rPr>
      </w:pPr>
    </w:p>
    <w:p>
      <w:pPr>
        <w:jc w:val="center"/>
        <w:ind w:left="500"/>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10.5+</w:t>
        </w:r>
      </w:hyperlink>
    </w:p>
    <w:p>
      <w:pPr>
        <w:spacing w:after="0" w:line="200" w:lineRule="exact"/>
        <w:rPr>
          <w:sz w:val="20"/>
          <w:szCs w:val="20"/>
          <w:color w:val="auto"/>
        </w:rPr>
      </w:pPr>
    </w:p>
    <w:p>
      <w:pPr>
        <w:spacing w:after="0" w:line="295" w:lineRule="exact"/>
        <w:rPr>
          <w:sz w:val="20"/>
          <w:szCs w:val="20"/>
          <w:color w:val="auto"/>
        </w:rPr>
      </w:pPr>
    </w:p>
    <w:p>
      <w:pPr>
        <w:jc w:val="center"/>
        <w:ind w:left="500"/>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10.6+</w:t>
        </w:r>
      </w:hyperlink>
    </w:p>
    <w:p>
      <w:pPr>
        <w:spacing w:after="0" w:line="200" w:lineRule="exact"/>
        <w:rPr>
          <w:sz w:val="20"/>
          <w:szCs w:val="20"/>
          <w:color w:val="auto"/>
        </w:rPr>
      </w:pPr>
    </w:p>
    <w:p>
      <w:pPr>
        <w:spacing w:after="0" w:line="295" w:lineRule="exact"/>
        <w:rPr>
          <w:sz w:val="20"/>
          <w:szCs w:val="20"/>
          <w:color w:val="auto"/>
        </w:rPr>
      </w:pPr>
    </w:p>
    <w:p>
      <w:pPr>
        <w:jc w:val="center"/>
        <w:ind w:left="500"/>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10.7+</w:t>
        </w:r>
      </w:hyperlink>
    </w:p>
    <w:p>
      <w:pPr>
        <w:spacing w:after="0" w:line="200" w:lineRule="exact"/>
        <w:rPr>
          <w:sz w:val="20"/>
          <w:szCs w:val="20"/>
          <w:color w:val="auto"/>
        </w:rPr>
      </w:pPr>
    </w:p>
    <w:p>
      <w:pPr>
        <w:spacing w:after="0" w:line="295" w:lineRule="exact"/>
        <w:rPr>
          <w:sz w:val="20"/>
          <w:szCs w:val="20"/>
          <w:color w:val="auto"/>
        </w:rPr>
      </w:pPr>
    </w:p>
    <w:p>
      <w:pPr>
        <w:jc w:val="center"/>
        <w:ind w:left="500"/>
        <w:spacing w:after="0"/>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10.8+</w:t>
        </w:r>
      </w:hyperlink>
    </w:p>
    <w:p>
      <w:pPr>
        <w:spacing w:after="0" w:line="200" w:lineRule="exact"/>
        <w:rPr>
          <w:sz w:val="20"/>
          <w:szCs w:val="20"/>
          <w:color w:val="auto"/>
        </w:rPr>
      </w:pPr>
    </w:p>
    <w:p>
      <w:pPr>
        <w:spacing w:after="0" w:line="295" w:lineRule="exact"/>
        <w:rPr>
          <w:sz w:val="20"/>
          <w:szCs w:val="20"/>
          <w:color w:val="auto"/>
        </w:rPr>
      </w:pPr>
    </w:p>
    <w:p>
      <w:pPr>
        <w:jc w:val="center"/>
        <w:ind w:left="500"/>
        <w:spacing w:after="0"/>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10.9+</w:t>
        </w:r>
      </w:hyperlink>
    </w:p>
    <w:p>
      <w:pPr>
        <w:spacing w:after="0" w:line="200" w:lineRule="exact"/>
        <w:rPr>
          <w:sz w:val="20"/>
          <w:szCs w:val="20"/>
          <w:color w:val="auto"/>
        </w:rPr>
      </w:pPr>
    </w:p>
    <w:p>
      <w:pPr>
        <w:spacing w:after="0" w:line="295"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199">
        <w:r>
          <w:rPr>
            <w:rFonts w:ascii="Arial" w:cs="Arial" w:eastAsia="Arial" w:hAnsi="Arial"/>
            <w:sz w:val="16"/>
            <w:szCs w:val="16"/>
            <w:u w:val="single" w:color="auto"/>
            <w:color w:val="0000FF"/>
          </w:rPr>
          <w:t>10.10+</w:t>
        </w:r>
      </w:hyperlink>
    </w:p>
    <w:p>
      <w:pPr>
        <w:spacing w:after="0" w:line="200" w:lineRule="exact"/>
        <w:rPr>
          <w:sz w:val="20"/>
          <w:szCs w:val="20"/>
          <w:color w:val="auto"/>
        </w:rPr>
      </w:pPr>
    </w:p>
    <w:p>
      <w:pPr>
        <w:spacing w:after="0" w:line="318"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00">
        <w:r>
          <w:rPr>
            <w:rFonts w:ascii="Arial" w:cs="Arial" w:eastAsia="Arial" w:hAnsi="Arial"/>
            <w:sz w:val="16"/>
            <w:szCs w:val="16"/>
            <w:u w:val="single" w:color="auto"/>
            <w:color w:val="0000FF"/>
          </w:rPr>
          <w:t>10.11+</w:t>
        </w:r>
      </w:hyperlink>
    </w:p>
    <w:p>
      <w:pPr>
        <w:spacing w:after="0" w:line="200" w:lineRule="exact"/>
        <w:rPr>
          <w:sz w:val="20"/>
          <w:szCs w:val="20"/>
          <w:color w:val="auto"/>
        </w:rPr>
      </w:pPr>
    </w:p>
    <w:p>
      <w:pPr>
        <w:spacing w:after="0" w:line="318"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01">
        <w:r>
          <w:rPr>
            <w:rFonts w:ascii="Arial" w:cs="Arial" w:eastAsia="Arial" w:hAnsi="Arial"/>
            <w:sz w:val="16"/>
            <w:szCs w:val="16"/>
            <w:u w:val="single" w:color="auto"/>
            <w:color w:val="0000FF"/>
          </w:rPr>
          <w:t>10.12+</w:t>
        </w:r>
      </w:hyperlink>
    </w:p>
    <w:p>
      <w:pPr>
        <w:spacing w:after="0" w:line="200" w:lineRule="exact"/>
        <w:rPr>
          <w:sz w:val="20"/>
          <w:szCs w:val="20"/>
          <w:color w:val="auto"/>
        </w:rPr>
      </w:pPr>
    </w:p>
    <w:p>
      <w:pPr>
        <w:spacing w:after="0" w:line="318"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02">
        <w:r>
          <w:rPr>
            <w:rFonts w:ascii="Arial" w:cs="Arial" w:eastAsia="Arial" w:hAnsi="Arial"/>
            <w:sz w:val="16"/>
            <w:szCs w:val="16"/>
            <w:u w:val="single" w:color="auto"/>
            <w:color w:val="0000FF"/>
          </w:rPr>
          <w:t>10.13+</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03">
        <w:r>
          <w:rPr>
            <w:rFonts w:ascii="Arial" w:cs="Arial" w:eastAsia="Arial" w:hAnsi="Arial"/>
            <w:sz w:val="16"/>
            <w:szCs w:val="16"/>
            <w:u w:val="single" w:color="auto"/>
            <w:color w:val="0000FF"/>
          </w:rPr>
          <w:t>10.14+</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04">
        <w:r>
          <w:rPr>
            <w:rFonts w:ascii="Arial" w:cs="Arial" w:eastAsia="Arial" w:hAnsi="Arial"/>
            <w:sz w:val="16"/>
            <w:szCs w:val="16"/>
            <w:u w:val="single" w:color="auto"/>
            <w:color w:val="0000FF"/>
          </w:rPr>
          <w:t>10.15+</w:t>
        </w:r>
      </w:hyperlink>
    </w:p>
    <w:p>
      <w:pPr>
        <w:spacing w:after="0" w:line="200" w:lineRule="exact"/>
        <w:rPr>
          <w:sz w:val="20"/>
          <w:szCs w:val="20"/>
          <w:color w:val="auto"/>
        </w:rPr>
      </w:pPr>
    </w:p>
    <w:p>
      <w:pPr>
        <w:spacing w:after="0" w:line="318"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05">
        <w:r>
          <w:rPr>
            <w:rFonts w:ascii="Arial" w:cs="Arial" w:eastAsia="Arial" w:hAnsi="Arial"/>
            <w:sz w:val="16"/>
            <w:szCs w:val="16"/>
            <w:u w:val="single" w:color="auto"/>
            <w:color w:val="0000FF"/>
          </w:rPr>
          <w:t>10.16+</w:t>
        </w:r>
      </w:hyperlink>
    </w:p>
    <w:p>
      <w:pPr>
        <w:spacing w:after="0" w:line="200" w:lineRule="exact"/>
        <w:rPr>
          <w:sz w:val="20"/>
          <w:szCs w:val="20"/>
          <w:color w:val="auto"/>
        </w:rPr>
      </w:pPr>
    </w:p>
    <w:p>
      <w:pPr>
        <w:spacing w:after="0" w:line="318"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06">
        <w:r>
          <w:rPr>
            <w:rFonts w:ascii="Arial" w:cs="Arial" w:eastAsia="Arial" w:hAnsi="Arial"/>
            <w:sz w:val="16"/>
            <w:szCs w:val="16"/>
            <w:u w:val="single" w:color="auto"/>
            <w:color w:val="0000FF"/>
          </w:rPr>
          <w:t>10.17+</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07">
        <w:r>
          <w:rPr>
            <w:rFonts w:ascii="Arial" w:cs="Arial" w:eastAsia="Arial" w:hAnsi="Arial"/>
            <w:sz w:val="16"/>
            <w:szCs w:val="16"/>
            <w:u w:val="single" w:color="auto"/>
            <w:color w:val="0000FF"/>
          </w:rPr>
          <w:t>10.18+</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08">
        <w:r>
          <w:rPr>
            <w:rFonts w:ascii="Arial" w:cs="Arial" w:eastAsia="Arial" w:hAnsi="Arial"/>
            <w:sz w:val="16"/>
            <w:szCs w:val="16"/>
            <w:u w:val="single" w:color="auto"/>
            <w:color w:val="0000FF"/>
          </w:rPr>
          <w:t>10.19+</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09">
        <w:r>
          <w:rPr>
            <w:rFonts w:ascii="Arial" w:cs="Arial" w:eastAsia="Arial" w:hAnsi="Arial"/>
            <w:sz w:val="16"/>
            <w:szCs w:val="16"/>
            <w:u w:val="single" w:color="auto"/>
            <w:color w:val="0000FF"/>
          </w:rPr>
          <w:t>10.20+</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Description</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Republic Services, Inc. Amended and Restated 2007 Stock Incentive Plan effective May 12, 2011 (incorporated by reference to Appendix A of the Company’s Proxy Statement on Schedule 14A filed on April 1, 2011).</w:t>
      </w:r>
    </w:p>
    <w:p>
      <w:pPr>
        <w:spacing w:after="0" w:line="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Form of Stock Option Agreement under the Republic Services, Inc. 2007 Stock Incentive Plan (for awards prior to October 28, 2011) (incorporated by reference to Exhibit 10.9 of the Company’s Annual Report on Form 10-K for the year ended December 31, 2008).</w:t>
      </w:r>
    </w:p>
    <w:p>
      <w:pPr>
        <w:spacing w:after="0" w:line="1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Form of Non-NEO Stock Option Agreement under the Republic Services, Inc. Amended and Restated 2007 Stock Incentive Plan (for awards on or after October 28, 2011) (incorporated by reference to Exhibit 10.1 of the Company’s Quarterly Report on Form 10-Q for the quarter ended September 30, 2011).</w:t>
      </w:r>
    </w:p>
    <w:p>
      <w:pPr>
        <w:spacing w:after="0" w:line="1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Form of NEO Stock Option Agreement under the Republic Services, Inc. 2007 Amended and Restated Stock Incentive Plan (for awards on or after October 28, 2011) (incorporated by reference to Exhibit 10.2 of the Company’s Quarterly Report on Form 10-Q for the quarter ended September 30, 2011).</w:t>
      </w:r>
    </w:p>
    <w:p>
      <w:pPr>
        <w:spacing w:after="0" w:line="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Form of Non-NEO Restricted Stock Agreement under the Republic Services, Inc. Amended and Restated 2007 Stock Incentive Plan (for awards on or after October 28, 2011) (incorporated by reference to Exhibit 10.3 of the Company’s Quarterly Report on Form 10-Q for the quarter ended September 30, 2011).</w:t>
      </w:r>
    </w:p>
    <w:p>
      <w:pPr>
        <w:spacing w:after="0" w:line="1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Form of NEO Restricted Stock Agreement under the Republic Services, Inc. Amended and Restated 2007 Stock Incentive Plan (for awards on or after October 28, 2011) (incorporated by reference to Exhibit 10.4 of the Company’s Quarterly Report on Form 10-Q for the quarter ended September 30, 2011).</w:t>
      </w:r>
    </w:p>
    <w:p>
      <w:pPr>
        <w:spacing w:after="0" w:line="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Form of Employee Restricted Stock Unit Agreement under the Republic Services, Inc. Amended and Restated 2007 Stock Incentive Plan (for awards on or after December 27, 2011) (incorporated by reference to Exhibit 10.1 of the Company’s Current Report on Form 8-K dated December 27, 2011).</w:t>
      </w:r>
    </w:p>
    <w:p>
      <w:pPr>
        <w:spacing w:after="0" w:line="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Form of Non-Employee Director Restricted Stock Unit Agreement (annual vesting) under the Republic Services, Inc. Amended and Restated 2007 Stock Incentive Plan (for awards on or after December 27, 2011) (incorporated by reference to Exhibit 10.2 of the Company’s Current Report on Form 8-K dated December 27, 2011).</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Form of Non-Employee Director Restricted Stock Unit Agreement (3 year vesting) under the Republic Services, Inc. Amended and Restated 2007 Stock Incentive Plan (for awards on or after December 27, 2011) (incorporated by reference to Exhibit 10.3 of the Company’s Current Report on Form 8-K dated December 27, 2011).</w:t>
      </w:r>
    </w:p>
    <w:p>
      <w:pPr>
        <w:spacing w:after="0" w:line="1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Republic Services, Inc. Deferred Compensation Plan, as amended and restated effective January 1, 2010 (incorporated by reference to Exhibit 4.4 of the Company’s Registration Statement on Form S-8, Registration No. 333-170174, filed with the Commission on October 27, 2010).</w:t>
      </w:r>
    </w:p>
    <w:p>
      <w:pPr>
        <w:spacing w:after="0" w:line="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Amendment No. 1 to Republic Services, Inc. Deferred Compensation Plan, effective January 6, 2011 (incorporated by reference to Exhibit 10.17 of the Company’s Annual Report on Form 10-K for the year ended December 31, 2010).</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Republic Services, Inc. Amended and Restated Executive Incentive Plan, effective February 4, 2014 (incorporated by reference to Appendix A of the Company’s Proxy Statement on Schedule 14A filed on March 26, 2014).</w:t>
      </w:r>
    </w:p>
    <w:p>
      <w:pPr>
        <w:spacing w:after="0" w:line="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Employment Agreement, effective as of October 29, 2013, by and between Republic Services, Inc. and Donald W. Slager (incorporated by reference to Exhibit 10.1 of the Company’s Quarterly Report on Form 10-Q for the quarter ended September 30, 2013).</w:t>
      </w:r>
    </w:p>
    <w:p>
      <w:pPr>
        <w:spacing w:after="0" w:line="1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Amended and Restated Employment Agreement, effective December 8, 2008, by and between Jeffrey A. Hughes and Republic Services, Inc. (incorporated by reference to Exhibit 10.61 of the Company’s Annual Report on Form 10-K for the year ended December 31, 2012).</w:t>
      </w:r>
    </w:p>
    <w:p>
      <w:pPr>
        <w:spacing w:after="0" w:line="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Allied Waste Industries, Inc. 2006 Incentive Stock Plan (incorporated by reference to Exhibit 10.2 of Allied’s Quarterly Report on Form 10-Q for the period ended June 30, 2006).</w:t>
      </w:r>
    </w:p>
    <w:p>
      <w:pPr>
        <w:spacing w:after="0" w:line="8" w:lineRule="exact"/>
        <w:rPr>
          <w:sz w:val="20"/>
          <w:szCs w:val="20"/>
          <w:color w:val="auto"/>
        </w:rPr>
      </w:pPr>
    </w:p>
    <w:p>
      <w:pPr>
        <w:ind w:right="640"/>
        <w:spacing w:after="0" w:line="317" w:lineRule="auto"/>
        <w:rPr>
          <w:sz w:val="20"/>
          <w:szCs w:val="20"/>
          <w:color w:val="auto"/>
        </w:rPr>
      </w:pPr>
      <w:r>
        <w:rPr>
          <w:rFonts w:ascii="Arial" w:cs="Arial" w:eastAsia="Arial" w:hAnsi="Arial"/>
          <w:sz w:val="16"/>
          <w:szCs w:val="16"/>
          <w:color w:val="auto"/>
        </w:rPr>
        <w:t>First Amendment to the Allied Waste Industries, Inc. 2006 Incentive Stock Plan, dated as of July 27, 2006 (incorporated by reference to Exhibit 10.1 of Allied’s Quarterly Report on Form 10-Q for the period ended September 30, 2006).</w:t>
      </w:r>
    </w:p>
    <w:p>
      <w:pPr>
        <w:ind w:right="700"/>
        <w:spacing w:after="0" w:line="317" w:lineRule="auto"/>
        <w:rPr>
          <w:sz w:val="20"/>
          <w:szCs w:val="20"/>
          <w:color w:val="auto"/>
        </w:rPr>
      </w:pPr>
      <w:r>
        <w:rPr>
          <w:rFonts w:ascii="Arial" w:cs="Arial" w:eastAsia="Arial" w:hAnsi="Arial"/>
          <w:sz w:val="16"/>
          <w:szCs w:val="16"/>
          <w:color w:val="auto"/>
        </w:rPr>
        <w:t>Amended and Restated Allied Waste Industries, Inc. 2006 Incentive Stock Plan, dated as of July 27, 2006 (incorporated by reference to Exhibit 10.2 of Allied’s Quarterly Report on Form 10-Q for the period ended September 30, 2006).</w:t>
      </w:r>
    </w:p>
    <w:p>
      <w:pPr>
        <w:ind w:right="140"/>
        <w:spacing w:after="0" w:line="264" w:lineRule="auto"/>
        <w:rPr>
          <w:sz w:val="20"/>
          <w:szCs w:val="20"/>
          <w:color w:val="auto"/>
        </w:rPr>
      </w:pPr>
      <w:r>
        <w:rPr>
          <w:rFonts w:ascii="Arial" w:cs="Arial" w:eastAsia="Arial" w:hAnsi="Arial"/>
          <w:sz w:val="18"/>
          <w:szCs w:val="18"/>
          <w:color w:val="auto"/>
        </w:rPr>
        <w:t>First Amendment, dated as of December 5, 2006, to the Amended and Restated Allied Waste Industries, Inc. 2006 Incentive Stock Plan, dated as of July 27, 2006 (incorporated by reference to Exhibit 10.47 of Allied’s Annual Report on Form 10-K for the year ended December 31, 2006).</w:t>
      </w:r>
    </w:p>
    <w:p>
      <w:pPr>
        <w:spacing w:after="0" w:line="200" w:lineRule="exact"/>
        <w:rPr>
          <w:sz w:val="20"/>
          <w:szCs w:val="20"/>
          <w:color w:val="auto"/>
        </w:rPr>
      </w:pPr>
    </w:p>
    <w:p>
      <w:pPr>
        <w:sectPr>
          <w:pgSz w:w="11900" w:h="16838" w:orient="portrait"/>
          <w:cols w:equalWidth="0" w:num="2">
            <w:col w:w="1020" w:space="500"/>
            <w:col w:w="9520"/>
          </w:cols>
          <w:pgMar w:left="240" w:top="118" w:right="61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type w:val="continuous"/>
        </w:sectPr>
      </w:pPr>
    </w:p>
    <w:bookmarkStart w:id="118" w:name="page119"/>
    <w:bookmarkEnd w:id="118"/>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ectPr>
          <w:pgSz w:w="11900" w:h="16838" w:orient="portrait"/>
          <w:cols w:equalWidth="0" w:num="1">
            <w:col w:w="11040"/>
          </w:cols>
          <w:pgMar w:left="240" w:top="11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w:t>
      </w:r>
    </w:p>
    <w:p>
      <w:pPr>
        <w:ind w:left="400"/>
        <w:spacing w:after="0"/>
        <w:rPr>
          <w:sz w:val="20"/>
          <w:szCs w:val="20"/>
          <w:color w:val="auto"/>
        </w:rPr>
      </w:pPr>
      <w:r>
        <w:rPr>
          <w:rFonts w:ascii="Arial" w:cs="Arial" w:eastAsia="Arial" w:hAnsi="Arial"/>
          <w:sz w:val="17"/>
          <w:szCs w:val="17"/>
          <w:u w:val="single" w:color="auto"/>
          <w:color w:val="auto"/>
        </w:rPr>
        <w:t>Number</w:t>
      </w:r>
    </w:p>
    <w:p>
      <w:pPr>
        <w:spacing w:after="0" w:line="19"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11">
        <w:r>
          <w:rPr>
            <w:rFonts w:ascii="Arial" w:cs="Arial" w:eastAsia="Arial" w:hAnsi="Arial"/>
            <w:sz w:val="16"/>
            <w:szCs w:val="16"/>
            <w:u w:val="single" w:color="auto"/>
            <w:color w:val="0000FF"/>
          </w:rPr>
          <w:t>10.21+</w:t>
        </w:r>
      </w:hyperlink>
    </w:p>
    <w:p>
      <w:pPr>
        <w:spacing w:after="0" w:line="301"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12">
        <w:r>
          <w:rPr>
            <w:rFonts w:ascii="Arial" w:cs="Arial" w:eastAsia="Arial" w:hAnsi="Arial"/>
            <w:sz w:val="16"/>
            <w:szCs w:val="16"/>
            <w:u w:val="single" w:color="auto"/>
            <w:color w:val="0000FF"/>
          </w:rPr>
          <w:t>10.22+</w:t>
        </w:r>
      </w:hyperlink>
    </w:p>
    <w:p>
      <w:pPr>
        <w:spacing w:after="0" w:line="200" w:lineRule="exact"/>
        <w:rPr>
          <w:sz w:val="20"/>
          <w:szCs w:val="20"/>
          <w:color w:val="auto"/>
        </w:rPr>
      </w:pPr>
    </w:p>
    <w:p>
      <w:pPr>
        <w:spacing w:after="0" w:line="318"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13">
        <w:r>
          <w:rPr>
            <w:rFonts w:ascii="Arial" w:cs="Arial" w:eastAsia="Arial" w:hAnsi="Arial"/>
            <w:sz w:val="16"/>
            <w:szCs w:val="16"/>
            <w:u w:val="single" w:color="auto"/>
            <w:color w:val="0000FF"/>
          </w:rPr>
          <w:t>10.23+</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14">
        <w:r>
          <w:rPr>
            <w:rFonts w:ascii="Arial" w:cs="Arial" w:eastAsia="Arial" w:hAnsi="Arial"/>
            <w:sz w:val="16"/>
            <w:szCs w:val="16"/>
            <w:u w:val="single" w:color="auto"/>
            <w:color w:val="0000FF"/>
          </w:rPr>
          <w:t>10.24+</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15">
        <w:r>
          <w:rPr>
            <w:rFonts w:ascii="Arial" w:cs="Arial" w:eastAsia="Arial" w:hAnsi="Arial"/>
            <w:sz w:val="16"/>
            <w:szCs w:val="16"/>
            <w:u w:val="single" w:color="auto"/>
            <w:color w:val="0000FF"/>
          </w:rPr>
          <w:t>10.25+</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16">
        <w:r>
          <w:rPr>
            <w:rFonts w:ascii="Arial" w:cs="Arial" w:eastAsia="Arial" w:hAnsi="Arial"/>
            <w:sz w:val="16"/>
            <w:szCs w:val="16"/>
            <w:u w:val="single" w:color="auto"/>
            <w:color w:val="0000FF"/>
          </w:rPr>
          <w:t>10.26+</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17">
        <w:r>
          <w:rPr>
            <w:rFonts w:ascii="Arial" w:cs="Arial" w:eastAsia="Arial" w:hAnsi="Arial"/>
            <w:sz w:val="16"/>
            <w:szCs w:val="16"/>
            <w:u w:val="single" w:color="auto"/>
            <w:color w:val="0000FF"/>
          </w:rPr>
          <w:t>10.27+</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18">
        <w:r>
          <w:rPr>
            <w:rFonts w:ascii="Arial" w:cs="Arial" w:eastAsia="Arial" w:hAnsi="Arial"/>
            <w:sz w:val="16"/>
            <w:szCs w:val="16"/>
            <w:u w:val="single" w:color="auto"/>
            <w:color w:val="0000FF"/>
          </w:rPr>
          <w:t>10.28+</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19">
        <w:r>
          <w:rPr>
            <w:rFonts w:ascii="Arial" w:cs="Arial" w:eastAsia="Arial" w:hAnsi="Arial"/>
            <w:sz w:val="16"/>
            <w:szCs w:val="16"/>
            <w:u w:val="single" w:color="auto"/>
            <w:color w:val="0000FF"/>
          </w:rPr>
          <w:t>10.29+</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20">
        <w:r>
          <w:rPr>
            <w:rFonts w:ascii="Arial" w:cs="Arial" w:eastAsia="Arial" w:hAnsi="Arial"/>
            <w:sz w:val="16"/>
            <w:szCs w:val="16"/>
            <w:u w:val="single" w:color="auto"/>
            <w:color w:val="0000FF"/>
          </w:rPr>
          <w:t>10.30+</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21">
        <w:r>
          <w:rPr>
            <w:rFonts w:ascii="Arial" w:cs="Arial" w:eastAsia="Arial" w:hAnsi="Arial"/>
            <w:sz w:val="16"/>
            <w:szCs w:val="16"/>
            <w:u w:val="single" w:color="auto"/>
            <w:color w:val="0000FF"/>
          </w:rPr>
          <w:t>10.31+</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22">
        <w:r>
          <w:rPr>
            <w:rFonts w:ascii="Arial" w:cs="Arial" w:eastAsia="Arial" w:hAnsi="Arial"/>
            <w:sz w:val="16"/>
            <w:szCs w:val="16"/>
            <w:u w:val="single" w:color="auto"/>
            <w:color w:val="0000FF"/>
          </w:rPr>
          <w:t>10.32+</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23">
        <w:r>
          <w:rPr>
            <w:rFonts w:ascii="Arial" w:cs="Arial" w:eastAsia="Arial" w:hAnsi="Arial"/>
            <w:sz w:val="16"/>
            <w:szCs w:val="16"/>
            <w:u w:val="single" w:color="auto"/>
            <w:color w:val="0000FF"/>
          </w:rPr>
          <w:t>10.33+</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24">
        <w:r>
          <w:rPr>
            <w:rFonts w:ascii="Arial" w:cs="Arial" w:eastAsia="Arial" w:hAnsi="Arial"/>
            <w:sz w:val="16"/>
            <w:szCs w:val="16"/>
            <w:u w:val="single" w:color="auto"/>
            <w:color w:val="0000FF"/>
          </w:rPr>
          <w:t>10.34+</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25">
        <w:r>
          <w:rPr>
            <w:rFonts w:ascii="Arial" w:cs="Arial" w:eastAsia="Arial" w:hAnsi="Arial"/>
            <w:sz w:val="16"/>
            <w:szCs w:val="16"/>
            <w:u w:val="single" w:color="auto"/>
            <w:color w:val="0000FF"/>
          </w:rPr>
          <w:t>10.35+</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26">
        <w:r>
          <w:rPr>
            <w:rFonts w:ascii="Arial" w:cs="Arial" w:eastAsia="Arial" w:hAnsi="Arial"/>
            <w:sz w:val="16"/>
            <w:szCs w:val="16"/>
            <w:u w:val="single" w:color="auto"/>
            <w:color w:val="0000FF"/>
          </w:rPr>
          <w:t>10.36+</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27">
        <w:r>
          <w:rPr>
            <w:rFonts w:ascii="Arial" w:cs="Arial" w:eastAsia="Arial" w:hAnsi="Arial"/>
            <w:sz w:val="16"/>
            <w:szCs w:val="16"/>
            <w:u w:val="single" w:color="auto"/>
            <w:color w:val="0000FF"/>
          </w:rPr>
          <w:t>10.37+</w:t>
        </w:r>
      </w:hyperlink>
    </w:p>
    <w:p>
      <w:pPr>
        <w:spacing w:after="0" w:line="302"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28">
        <w:r>
          <w:rPr>
            <w:rFonts w:ascii="Arial" w:cs="Arial" w:eastAsia="Arial" w:hAnsi="Arial"/>
            <w:sz w:val="16"/>
            <w:szCs w:val="16"/>
            <w:u w:val="single" w:color="auto"/>
            <w:color w:val="0000FF"/>
          </w:rPr>
          <w:t>10.38+</w:t>
        </w:r>
      </w:hyperlink>
    </w:p>
    <w:p>
      <w:pPr>
        <w:spacing w:after="0" w:line="200" w:lineRule="exact"/>
        <w:rPr>
          <w:sz w:val="20"/>
          <w:szCs w:val="20"/>
          <w:color w:val="auto"/>
        </w:rPr>
      </w:pPr>
    </w:p>
    <w:p>
      <w:pPr>
        <w:spacing w:after="0" w:line="318" w:lineRule="exact"/>
        <w:rPr>
          <w:sz w:val="20"/>
          <w:szCs w:val="20"/>
          <w:color w:val="auto"/>
        </w:rPr>
      </w:pPr>
    </w:p>
    <w:p>
      <w:pPr>
        <w:jc w:val="center"/>
        <w:ind w:left="500"/>
        <w:spacing w:after="0"/>
        <w:rPr>
          <w:rFonts w:ascii="Arial" w:cs="Arial" w:eastAsia="Arial" w:hAnsi="Arial"/>
          <w:sz w:val="16"/>
          <w:szCs w:val="16"/>
          <w:u w:val="single" w:color="auto"/>
          <w:color w:val="0000FF"/>
        </w:rPr>
      </w:pPr>
      <w:hyperlink r:id="rId229">
        <w:r>
          <w:rPr>
            <w:rFonts w:ascii="Arial" w:cs="Arial" w:eastAsia="Arial" w:hAnsi="Arial"/>
            <w:sz w:val="16"/>
            <w:szCs w:val="16"/>
            <w:u w:val="single" w:color="auto"/>
            <w:color w:val="0000FF"/>
          </w:rPr>
          <w:t>10.39+</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340"/>
        <w:spacing w:after="0"/>
        <w:rPr>
          <w:sz w:val="20"/>
          <w:szCs w:val="20"/>
          <w:color w:val="auto"/>
        </w:rPr>
      </w:pPr>
      <w:r>
        <w:rPr>
          <w:rFonts w:ascii="Arial" w:cs="Arial" w:eastAsia="Arial" w:hAnsi="Arial"/>
          <w:sz w:val="18"/>
          <w:szCs w:val="18"/>
          <w:u w:val="single" w:color="auto"/>
          <w:color w:val="auto"/>
        </w:rPr>
        <w:t>Description</w:t>
      </w:r>
    </w:p>
    <w:p>
      <w:pPr>
        <w:spacing w:after="0" w:line="63" w:lineRule="exact"/>
        <w:rPr>
          <w:sz w:val="20"/>
          <w:szCs w:val="20"/>
          <w:color w:val="auto"/>
        </w:rPr>
      </w:pPr>
    </w:p>
    <w:p>
      <w:pPr>
        <w:ind w:right="560"/>
        <w:spacing w:after="0" w:line="317" w:lineRule="auto"/>
        <w:rPr>
          <w:sz w:val="20"/>
          <w:szCs w:val="20"/>
          <w:color w:val="auto"/>
        </w:rPr>
      </w:pPr>
      <w:r>
        <w:rPr>
          <w:rFonts w:ascii="Arial" w:cs="Arial" w:eastAsia="Arial" w:hAnsi="Arial"/>
          <w:sz w:val="16"/>
          <w:szCs w:val="16"/>
          <w:color w:val="auto"/>
        </w:rPr>
        <w:t>Amended and Restated Allied Waste Industries, Inc. 2006 Incentive Stock Plan, effective October 24, 2007 (incorporated by reference to Exhibit 10.122 of Allied’s Annual Report on Form 10-K for the year ended December 31, 2007).</w:t>
      </w:r>
    </w:p>
    <w:p>
      <w:pPr>
        <w:ind w:right="100"/>
        <w:spacing w:after="0" w:line="264" w:lineRule="auto"/>
        <w:rPr>
          <w:sz w:val="20"/>
          <w:szCs w:val="20"/>
          <w:color w:val="auto"/>
        </w:rPr>
      </w:pPr>
      <w:r>
        <w:rPr>
          <w:rFonts w:ascii="Arial" w:cs="Arial" w:eastAsia="Arial" w:hAnsi="Arial"/>
          <w:sz w:val="18"/>
          <w:szCs w:val="18"/>
          <w:color w:val="auto"/>
        </w:rPr>
        <w:t>Republic Services, Inc. 2006 Incentive Stock Plan (f/k/a Amended and Restated Allied Waste Industries, Inc. 2006 Incentive Stock Plan), as amended and restated effective December 5, 2008 (incorporated by reference to Exhibit 10.51 of the Company’s Annual Report on Form 10-K for the year ended December 31, 2008).</w:t>
      </w:r>
    </w:p>
    <w:p>
      <w:pPr>
        <w:spacing w:after="0" w:line="19" w:lineRule="exact"/>
        <w:rPr>
          <w:sz w:val="20"/>
          <w:szCs w:val="20"/>
          <w:color w:val="auto"/>
        </w:rPr>
      </w:pPr>
    </w:p>
    <w:p>
      <w:pPr>
        <w:ind w:right="120"/>
        <w:spacing w:after="0" w:line="317" w:lineRule="auto"/>
        <w:rPr>
          <w:sz w:val="20"/>
          <w:szCs w:val="20"/>
          <w:color w:val="auto"/>
        </w:rPr>
      </w:pPr>
      <w:r>
        <w:rPr>
          <w:rFonts w:ascii="Arial" w:cs="Arial" w:eastAsia="Arial" w:hAnsi="Arial"/>
          <w:sz w:val="16"/>
          <w:szCs w:val="16"/>
          <w:color w:val="auto"/>
        </w:rPr>
        <w:t>Form of Nonqualified Stock Option Agreement under the Allied Waste Industries, Inc. 2006 Incentive Stock Plan (incorporated by reference to Exhibit 10.3 of Allied’s Quarterly Report on Form 10-Q for the period ended September 30, 2006).</w:t>
      </w:r>
    </w:p>
    <w:p>
      <w:pPr>
        <w:ind w:right="440"/>
        <w:spacing w:after="0" w:line="277" w:lineRule="auto"/>
        <w:rPr>
          <w:sz w:val="20"/>
          <w:szCs w:val="20"/>
          <w:color w:val="auto"/>
        </w:rPr>
      </w:pPr>
      <w:r>
        <w:rPr>
          <w:rFonts w:ascii="Arial" w:cs="Arial" w:eastAsia="Arial" w:hAnsi="Arial"/>
          <w:sz w:val="18"/>
          <w:szCs w:val="18"/>
          <w:color w:val="auto"/>
        </w:rPr>
        <w:t>Form of Indemnity Agreement between Allied Waste Industries, Inc. and legacy Allied directors (incorporated by reference to Exhibit 10.19 of Allied’s Quarterly Report on Form 10-Q for the quarter ended March 31, 2004).</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Republic Services, Inc. Executive Separation Policy, as amended as of March 29, 2012 (incorporated by reference to Exhibit 10.2 of the Company’s Quarterly Report on Form 10-Q for the quarter ended March 31, 2012).</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Amendment No. 2 to Republic Services, Inc. Deferred Compensation Plan, effective February 7, 2012 (incorporated by reference to Exhibit 10.3 of the Company’s Quarterly Report on Form 10-Q for the quarter ended March 31, 2012).</w:t>
      </w:r>
    </w:p>
    <w:p>
      <w:pPr>
        <w:spacing w:after="0" w:line="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Republic Services, Inc. Amended and Restated 2007 Stock Incentive Plan effective May 9, 2013 (incorporated by reference to Exhibit 10.1 of the Company’s Quarterly Report on Form 10-Q for the quarter ended June 30, 2013).</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Amendment No. 3 to Republic Services, Inc. Deferred Compensation Plan, effective October 29, 2013 (incorporated by reference to Exhibit 10.3 of the Company’s Quarterly Report on Form 10-Q for the quarter ended September 30, 2013).</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Offer Letter, dated August 22, 2014, by and between Charles F. Serianni and Republic Services, Inc. (incorporated by reference to Exhibit 10.1 of the Company's Current Report on Form 8-K dated August 25, 2014).</w:t>
      </w:r>
    </w:p>
    <w:p>
      <w:pPr>
        <w:spacing w:after="0" w:line="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Clawback Policy, dated October 29, 2014 (incorporated by reference to Exhibit 10.1 of the Company's Current Report on Form 8-K dated October 30, 2014).</w:t>
      </w:r>
    </w:p>
    <w:p>
      <w:pPr>
        <w:spacing w:after="0" w:line="8"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First Amendment to the Employment Agreement, dated December 23, 2014, by and between Donald W. Slager and Republic Services, Inc. (incorporated by reference to Exhibit 10.1 of the Company’s Current Report on Form 8-K dated December 24, 2014).</w:t>
      </w:r>
    </w:p>
    <w:p>
      <w:pPr>
        <w:ind w:right="440"/>
        <w:spacing w:after="0" w:line="277" w:lineRule="auto"/>
        <w:rPr>
          <w:sz w:val="20"/>
          <w:szCs w:val="20"/>
          <w:color w:val="auto"/>
        </w:rPr>
      </w:pPr>
      <w:r>
        <w:rPr>
          <w:rFonts w:ascii="Arial" w:cs="Arial" w:eastAsia="Arial" w:hAnsi="Arial"/>
          <w:sz w:val="18"/>
          <w:szCs w:val="18"/>
          <w:color w:val="auto"/>
        </w:rPr>
        <w:t>Form of Performance Share Agreement, adopted January 7, 2015 (incorporated by reference to Exhibit 10.1 of the Company's Current Report on Form 8-K dated January 9, 2015).</w:t>
      </w:r>
    </w:p>
    <w:p>
      <w:pPr>
        <w:spacing w:after="0" w:line="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Form of Employee Restricted Stock Unit Agreement - Senior Executive, adopted January 7, 2015 (incorporated by reference to Exhibit 10.2 of the Company's Current Report on Form 8-K dated January 9, 2015).</w:t>
      </w:r>
    </w:p>
    <w:p>
      <w:pPr>
        <w:spacing w:after="0" w:line="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Amendment No. 4 to Republic Services, Inc. Deferred Compensation Plan, effective January 1, 2015 (incorporated by reference to Exhibit 10.53 of the Company's Annual Report on Form 10-K for the year ended December 31, 2014).</w:t>
      </w:r>
    </w:p>
    <w:p>
      <w:pPr>
        <w:spacing w:after="0" w:line="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Agreement, entered into July 11, 2016, by and between Michael P. Rissman and Republic Services, Inc. (incorporated by reference to Exhibit 10.1 of the Company's Current Report on Form 8-K dated July 12, 2016).</w:t>
      </w:r>
    </w:p>
    <w:p>
      <w:pPr>
        <w:spacing w:after="0" w:line="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Separation agreement, entered into June 23, 2016, by and between Robert A. Maruster and Republic Services, Inc. (incorporated by reference to Exhibit 10.1 of the Company's Current Report on Form 8-K dated June 24, 2016).</w:t>
      </w:r>
    </w:p>
    <w:p>
      <w:pPr>
        <w:spacing w:after="0" w:line="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Offer Letter, dated July 25, 2016, by and between Catharine D. Ellingsen and Republic Services, Inc. (incorporated by reference to Exhibit 10.37 of the Company’s Annual Report on Form 10-K dated February 16, 2017).</w:t>
      </w:r>
    </w:p>
    <w:p>
      <w:pPr>
        <w:spacing w:after="0" w:line="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Non-Competition, Non-Solicitation, Confidentiality and Arbitration Agreement, effective June 13, 2016, by and between Catharine D. Ellingsen and Republic Services, Inc. (incorporated by reference to Exhibit 10.38 of the Company’s Annual Report on Form 10-K dated February 16, 2017).</w:t>
      </w:r>
    </w:p>
    <w:p>
      <w:pPr>
        <w:spacing w:after="0" w:line="1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Offer Letter, dated April 29, 2019, by and between Jon Vander Ark and Republic Services, Inc. (incorporated by reference to Exhibit 10.1 of the Company’s Quarterly Report on Form 10-Q for the quarter ended June 30, 2019).</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70485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020" w:space="500"/>
            <w:col w:w="9520"/>
          </w:cols>
          <w:pgMar w:left="240" w:top="118" w:right="619" w:bottom="1440" w:gutter="0" w:footer="0" w:header="0"/>
          <w:type w:val="continuous"/>
        </w:sectPr>
      </w:pPr>
    </w:p>
    <w:bookmarkStart w:id="119" w:name="page120"/>
    <w:bookmarkEnd w:id="119"/>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ectPr>
          <w:pgSz w:w="11900" w:h="16838" w:orient="portrait"/>
          <w:cols w:equalWidth="0" w:num="1">
            <w:col w:w="11040"/>
          </w:cols>
          <w:pgMar w:left="240" w:top="11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w:t>
      </w:r>
    </w:p>
    <w:p>
      <w:pPr>
        <w:ind w:left="400"/>
        <w:spacing w:after="0"/>
        <w:rPr>
          <w:sz w:val="20"/>
          <w:szCs w:val="20"/>
          <w:color w:val="auto"/>
        </w:rPr>
      </w:pPr>
      <w:r>
        <w:rPr>
          <w:rFonts w:ascii="Arial" w:cs="Arial" w:eastAsia="Arial" w:hAnsi="Arial"/>
          <w:sz w:val="18"/>
          <w:szCs w:val="18"/>
          <w:u w:val="single" w:color="auto"/>
          <w:color w:val="auto"/>
        </w:rPr>
        <w:t>Number</w:t>
      </w:r>
    </w:p>
    <w:p>
      <w:pPr>
        <w:spacing w:after="0" w:line="7" w:lineRule="exact"/>
        <w:rPr>
          <w:sz w:val="20"/>
          <w:szCs w:val="20"/>
          <w:color w:val="auto"/>
        </w:rPr>
      </w:pPr>
    </w:p>
    <w:p>
      <w:pPr>
        <w:jc w:val="center"/>
        <w:ind w:left="460"/>
        <w:spacing w:after="0"/>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10.40+</w:t>
        </w:r>
      </w:hyperlink>
    </w:p>
    <w:p>
      <w:pPr>
        <w:spacing w:after="0" w:line="200" w:lineRule="exact"/>
        <w:rPr>
          <w:sz w:val="20"/>
          <w:szCs w:val="20"/>
          <w:color w:val="auto"/>
        </w:rPr>
      </w:pPr>
    </w:p>
    <w:p>
      <w:pPr>
        <w:spacing w:after="0" w:line="294" w:lineRule="exact"/>
        <w:rPr>
          <w:sz w:val="20"/>
          <w:szCs w:val="20"/>
          <w:color w:val="auto"/>
        </w:rPr>
      </w:pPr>
    </w:p>
    <w:p>
      <w:pPr>
        <w:ind w:left="440"/>
        <w:spacing w:after="0"/>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10.41+</w:t>
        </w:r>
      </w:hyperlink>
    </w:p>
    <w:p>
      <w:pPr>
        <w:spacing w:after="0" w:line="279" w:lineRule="exact"/>
        <w:rPr>
          <w:sz w:val="20"/>
          <w:szCs w:val="20"/>
          <w:color w:val="auto"/>
        </w:rPr>
      </w:pPr>
    </w:p>
    <w:p>
      <w:pPr>
        <w:ind w:left="440"/>
        <w:spacing w:after="0"/>
        <w:rPr>
          <w:rFonts w:ascii="Arial" w:cs="Arial" w:eastAsia="Arial" w:hAnsi="Arial"/>
          <w:sz w:val="18"/>
          <w:szCs w:val="18"/>
          <w:u w:val="single" w:color="auto"/>
          <w:color w:val="0000FF"/>
        </w:rPr>
      </w:pPr>
      <w:hyperlink r:id="rId233">
        <w:r>
          <w:rPr>
            <w:rFonts w:ascii="Arial" w:cs="Arial" w:eastAsia="Arial" w:hAnsi="Arial"/>
            <w:sz w:val="18"/>
            <w:szCs w:val="18"/>
            <w:u w:val="single" w:color="auto"/>
            <w:color w:val="0000FF"/>
          </w:rPr>
          <w:t>10.42+</w:t>
        </w:r>
      </w:hyperlink>
    </w:p>
    <w:p>
      <w:pPr>
        <w:spacing w:after="0" w:line="200" w:lineRule="exact"/>
        <w:rPr>
          <w:sz w:val="20"/>
          <w:szCs w:val="20"/>
          <w:color w:val="auto"/>
        </w:rPr>
      </w:pPr>
    </w:p>
    <w:p>
      <w:pPr>
        <w:spacing w:after="0" w:line="295" w:lineRule="exact"/>
        <w:rPr>
          <w:sz w:val="20"/>
          <w:szCs w:val="20"/>
          <w:color w:val="auto"/>
        </w:rPr>
      </w:pPr>
    </w:p>
    <w:p>
      <w:pPr>
        <w:ind w:left="56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21.1*</w:t>
        </w:r>
      </w:hyperlink>
    </w:p>
    <w:p>
      <w:pPr>
        <w:spacing w:after="0" w:line="63" w:lineRule="exact"/>
        <w:rPr>
          <w:sz w:val="20"/>
          <w:szCs w:val="20"/>
          <w:color w:val="auto"/>
        </w:rPr>
      </w:pPr>
    </w:p>
    <w:p>
      <w:pPr>
        <w:ind w:left="560"/>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23.1*</w:t>
        </w:r>
      </w:hyperlink>
    </w:p>
    <w:p>
      <w:pPr>
        <w:spacing w:after="0" w:line="63" w:lineRule="exact"/>
        <w:rPr>
          <w:sz w:val="20"/>
          <w:szCs w:val="20"/>
          <w:color w:val="auto"/>
        </w:rPr>
      </w:pPr>
    </w:p>
    <w:p>
      <w:pPr>
        <w:ind w:left="560"/>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31.1*</w:t>
        </w:r>
      </w:hyperlink>
    </w:p>
    <w:p>
      <w:pPr>
        <w:spacing w:after="0" w:line="63" w:lineRule="exact"/>
        <w:rPr>
          <w:sz w:val="20"/>
          <w:szCs w:val="20"/>
          <w:color w:val="auto"/>
        </w:rPr>
      </w:pPr>
    </w:p>
    <w:p>
      <w:pPr>
        <w:ind w:left="560"/>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31.2*</w:t>
        </w:r>
      </w:hyperlink>
    </w:p>
    <w:p>
      <w:pPr>
        <w:spacing w:after="0" w:line="63" w:lineRule="exact"/>
        <w:rPr>
          <w:sz w:val="20"/>
          <w:szCs w:val="20"/>
          <w:color w:val="auto"/>
        </w:rPr>
      </w:pPr>
    </w:p>
    <w:p>
      <w:pPr>
        <w:ind w:left="520"/>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32.1**</w:t>
        </w:r>
      </w:hyperlink>
    </w:p>
    <w:p>
      <w:pPr>
        <w:spacing w:after="0" w:line="63" w:lineRule="exact"/>
        <w:rPr>
          <w:sz w:val="20"/>
          <w:szCs w:val="20"/>
          <w:color w:val="auto"/>
        </w:rPr>
      </w:pPr>
    </w:p>
    <w:p>
      <w:pPr>
        <w:ind w:left="520"/>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32.2**</w:t>
        </w:r>
      </w:hyperlink>
    </w:p>
    <w:p>
      <w:pPr>
        <w:spacing w:after="0" w:line="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101.INS*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101.SCH*</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101.CAL*</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101.PRE*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101.DEF*</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Description</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Non-Competition, Non-Solicitation, Confidentiality and Arbitration Agreement, effective May 1, 2019, by and between Jon Vander Ark and Republic Services, Inc. (incorporated by reference to Exhibit 10.2 of the Company’s Quarterly Report on Form 10-Q for the quarter ended June 30, 2019).</w:t>
      </w:r>
    </w:p>
    <w:p>
      <w:pPr>
        <w:spacing w:after="0" w:line="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Offer Letter, dated April 29, 2019, by and between Timothy Stuart and Republic Services, Inc. (incorporated by reference to Exhibit 10.3 of the Company’s Quarterly Report on Form 10-Q for the quarter ended June 30, 2019).</w:t>
      </w:r>
    </w:p>
    <w:p>
      <w:pPr>
        <w:spacing w:after="0" w:line="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Non-Competition, Non-Solicitation, Confidentiality and Arbitration Agreement, effective May 1, 2019, by and between Timothy Stuart and Republic Services, Inc. (incorporated by reference to Exhibit 10.4 of the Company’s Quarterly Report on Form 10-Q for the quarter ended June 30, 2019).</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 of Ernst &amp; Young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Rule 13a-14(a)/15d-14(a) Certification of Chief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Rule 13a-14(a)/15d-14(a) Certification of Chief Financial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 of Chief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 of Chief Financial Officer.</w:t>
      </w:r>
    </w:p>
    <w:p>
      <w:pPr>
        <w:spacing w:after="0" w:line="6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Labels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144" w:lineRule="exact"/>
        <w:rPr>
          <w:sz w:val="20"/>
          <w:szCs w:val="20"/>
          <w:color w:val="auto"/>
        </w:rPr>
      </w:pPr>
    </w:p>
    <w:p>
      <w:pPr>
        <w:sectPr>
          <w:pgSz w:w="11900" w:h="16838" w:orient="portrait"/>
          <w:cols w:equalWidth="0" w:num="2">
            <w:col w:w="1060" w:space="460"/>
            <w:col w:w="9520"/>
          </w:cols>
          <w:pgMar w:left="240" w:top="118" w:right="619" w:bottom="1440" w:gutter="0" w:footer="0" w:header="0"/>
          <w:type w:val="continuous"/>
        </w:sect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340" w:right="300" w:hanging="332"/>
        <w:spacing w:after="0" w:line="250" w:lineRule="auto"/>
        <w:tabs>
          <w:tab w:leader="none" w:pos="2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or compensatory plan or arrangement.</w:t>
      </w:r>
    </w:p>
    <w:p>
      <w:pPr>
        <w:spacing w:after="0" w:line="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Pursuant to Item 601(b)(4)(iii)(A) of Regulation S-K, the Company has not filed as exhibits to this Form 10-K certain long-term debt instruments under which the total amount of securities authorized does not exceed 10% of the total assets of the Company and its subsidiaries on a consolidated basis. The Company hereby agrees to furnish a copy of any such instrument to the SEC upon request.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type w:val="continuous"/>
        </w:sectPr>
      </w:pPr>
    </w:p>
    <w:bookmarkStart w:id="120" w:name="page121"/>
    <w:bookmarkEnd w:id="1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February 13, 2020</w:t>
      </w:r>
    </w:p>
    <w:p>
      <w:pPr>
        <w:spacing w:after="0" w:line="49" w:lineRule="exact"/>
        <w:rPr>
          <w:sz w:val="20"/>
          <w:szCs w:val="20"/>
          <w:color w:val="auto"/>
        </w:rPr>
      </w:pPr>
    </w:p>
    <w:p>
      <w:pPr>
        <w:ind w:left="5680"/>
        <w:spacing w:after="0"/>
        <w:tabs>
          <w:tab w:leader="none" w:pos="7700" w:val="left"/>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DONALD W. SLAGER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642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Donald W. Slager</w:t>
      </w:r>
    </w:p>
    <w:p>
      <w:pPr>
        <w:spacing w:after="0" w:line="6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3220" w:type="dxa"/>
            <w:vAlign w:val="bottom"/>
          </w:tcPr>
          <w:p>
            <w:pPr>
              <w:jc w:val="center"/>
              <w:ind w:right="1710"/>
              <w:spacing w:after="0"/>
              <w:rPr>
                <w:sz w:val="20"/>
                <w:szCs w:val="20"/>
                <w:color w:val="auto"/>
              </w:rPr>
            </w:pPr>
            <w:r>
              <w:rPr>
                <w:rFonts w:ascii="Arial" w:cs="Arial" w:eastAsia="Arial" w:hAnsi="Arial"/>
                <w:sz w:val="18"/>
                <w:szCs w:val="18"/>
                <w:color w:val="auto"/>
                <w:w w:val="90"/>
              </w:rPr>
              <w:t>Signature</w:t>
            </w:r>
          </w:p>
        </w:tc>
      </w:tr>
      <w:tr>
        <w:trPr>
          <w:trHeight w:val="338"/>
        </w:trPr>
        <w:tc>
          <w:tcPr>
            <w:tcW w:w="1820" w:type="dxa"/>
            <w:vAlign w:val="bottom"/>
          </w:tcPr>
          <w:p>
            <w:pPr>
              <w:ind w:left="1480"/>
              <w:spacing w:after="0"/>
              <w:rPr>
                <w:sz w:val="20"/>
                <w:szCs w:val="20"/>
                <w:color w:val="auto"/>
              </w:rPr>
            </w:pPr>
            <w:r>
              <w:rPr>
                <w:rFonts w:ascii="Arial" w:cs="Arial" w:eastAsia="Arial" w:hAnsi="Arial"/>
                <w:sz w:val="18"/>
                <w:szCs w:val="18"/>
                <w:color w:val="auto"/>
              </w:rPr>
              <w:t>/s/</w:t>
            </w:r>
          </w:p>
        </w:tc>
        <w:tc>
          <w:tcPr>
            <w:tcW w:w="3220" w:type="dxa"/>
            <w:vAlign w:val="bottom"/>
          </w:tcPr>
          <w:p>
            <w:pPr>
              <w:jc w:val="center"/>
              <w:ind w:right="1370"/>
              <w:spacing w:after="0"/>
              <w:rPr>
                <w:sz w:val="20"/>
                <w:szCs w:val="20"/>
                <w:color w:val="auto"/>
              </w:rPr>
            </w:pPr>
            <w:r>
              <w:rPr>
                <w:rFonts w:ascii="Arial" w:cs="Arial" w:eastAsia="Arial" w:hAnsi="Arial"/>
                <w:sz w:val="18"/>
                <w:szCs w:val="18"/>
                <w:color w:val="auto"/>
                <w:w w:val="97"/>
              </w:rPr>
              <w:t>DONALD W. SLAGER</w:t>
            </w:r>
          </w:p>
        </w:tc>
      </w:tr>
      <w:tr>
        <w:trPr>
          <w:trHeight w:val="27"/>
        </w:trPr>
        <w:tc>
          <w:tcPr>
            <w:tcW w:w="18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p>
        </w:tc>
        <w:tc>
          <w:tcPr>
            <w:tcW w:w="3220" w:type="dxa"/>
            <w:vAlign w:val="bottom"/>
          </w:tcPr>
          <w:p>
            <w:pPr>
              <w:jc w:val="center"/>
              <w:ind w:right="1670"/>
              <w:spacing w:after="0"/>
              <w:rPr>
                <w:sz w:val="20"/>
                <w:szCs w:val="20"/>
                <w:color w:val="auto"/>
              </w:rPr>
            </w:pPr>
            <w:r>
              <w:rPr>
                <w:rFonts w:ascii="Arial" w:cs="Arial" w:eastAsia="Arial" w:hAnsi="Arial"/>
                <w:sz w:val="18"/>
                <w:szCs w:val="18"/>
                <w:color w:val="auto"/>
                <w:w w:val="89"/>
              </w:rPr>
              <w:t>Donald W. Slager</w:t>
            </w:r>
          </w:p>
        </w:tc>
      </w:tr>
      <w:tr>
        <w:trPr>
          <w:trHeight w:val="689"/>
        </w:trPr>
        <w:tc>
          <w:tcPr>
            <w:tcW w:w="5040" w:type="dxa"/>
            <w:vAlign w:val="bottom"/>
            <w:gridSpan w:val="2"/>
          </w:tcPr>
          <w:p>
            <w:pPr>
              <w:jc w:val="center"/>
              <w:spacing w:after="0"/>
              <w:rPr>
                <w:sz w:val="20"/>
                <w:szCs w:val="20"/>
                <w:color w:val="auto"/>
              </w:rPr>
            </w:pPr>
            <w:r>
              <w:rPr>
                <w:rFonts w:ascii="Arial" w:cs="Arial" w:eastAsia="Arial" w:hAnsi="Arial"/>
                <w:sz w:val="18"/>
                <w:szCs w:val="18"/>
                <w:color w:val="auto"/>
                <w:w w:val="98"/>
              </w:rPr>
              <w:t>/s/  CHARLES F. SERIANNI</w:t>
            </w:r>
          </w:p>
        </w:tc>
      </w:tr>
      <w:tr>
        <w:trPr>
          <w:trHeight w:val="27"/>
        </w:trPr>
        <w:tc>
          <w:tcPr>
            <w:tcW w:w="18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p>
        </w:tc>
        <w:tc>
          <w:tcPr>
            <w:tcW w:w="3220" w:type="dxa"/>
            <w:vAlign w:val="bottom"/>
          </w:tcPr>
          <w:p>
            <w:pPr>
              <w:jc w:val="center"/>
              <w:ind w:right="1710"/>
              <w:spacing w:after="0"/>
              <w:rPr>
                <w:sz w:val="20"/>
                <w:szCs w:val="20"/>
                <w:color w:val="auto"/>
              </w:rPr>
            </w:pPr>
            <w:r>
              <w:rPr>
                <w:rFonts w:ascii="Arial" w:cs="Arial" w:eastAsia="Arial" w:hAnsi="Arial"/>
                <w:sz w:val="18"/>
                <w:szCs w:val="18"/>
                <w:color w:val="auto"/>
                <w:w w:val="89"/>
              </w:rPr>
              <w:t>Charles F. Serianni</w:t>
            </w:r>
          </w:p>
        </w:tc>
      </w:tr>
      <w:tr>
        <w:trPr>
          <w:trHeight w:val="689"/>
        </w:trPr>
        <w:tc>
          <w:tcPr>
            <w:tcW w:w="1820" w:type="dxa"/>
            <w:vAlign w:val="bottom"/>
          </w:tcPr>
          <w:p>
            <w:pPr>
              <w:ind w:left="1580"/>
              <w:spacing w:after="0"/>
              <w:rPr>
                <w:sz w:val="20"/>
                <w:szCs w:val="20"/>
                <w:color w:val="auto"/>
              </w:rPr>
            </w:pPr>
            <w:r>
              <w:rPr>
                <w:rFonts w:ascii="Arial" w:cs="Arial" w:eastAsia="Arial" w:hAnsi="Arial"/>
                <w:sz w:val="18"/>
                <w:szCs w:val="18"/>
                <w:color w:val="auto"/>
              </w:rPr>
              <w:t>/s/</w:t>
            </w:r>
          </w:p>
        </w:tc>
        <w:tc>
          <w:tcPr>
            <w:tcW w:w="3220" w:type="dxa"/>
            <w:vAlign w:val="bottom"/>
          </w:tcPr>
          <w:p>
            <w:pPr>
              <w:jc w:val="center"/>
              <w:ind w:right="1370"/>
              <w:spacing w:after="0"/>
              <w:rPr>
                <w:sz w:val="20"/>
                <w:szCs w:val="20"/>
                <w:color w:val="auto"/>
              </w:rPr>
            </w:pPr>
            <w:r>
              <w:rPr>
                <w:rFonts w:ascii="Arial" w:cs="Arial" w:eastAsia="Arial" w:hAnsi="Arial"/>
                <w:sz w:val="18"/>
                <w:szCs w:val="18"/>
                <w:color w:val="auto"/>
                <w:w w:val="97"/>
              </w:rPr>
              <w:t>BRIAN A. GOEBEL</w:t>
            </w:r>
          </w:p>
        </w:tc>
      </w:tr>
      <w:tr>
        <w:trPr>
          <w:trHeight w:val="27"/>
        </w:trPr>
        <w:tc>
          <w:tcPr>
            <w:tcW w:w="18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p>
        </w:tc>
        <w:tc>
          <w:tcPr>
            <w:tcW w:w="3220" w:type="dxa"/>
            <w:vAlign w:val="bottom"/>
          </w:tcPr>
          <w:p>
            <w:pPr>
              <w:jc w:val="center"/>
              <w:ind w:right="1710"/>
              <w:spacing w:after="0"/>
              <w:rPr>
                <w:sz w:val="20"/>
                <w:szCs w:val="20"/>
                <w:color w:val="auto"/>
              </w:rPr>
            </w:pPr>
            <w:r>
              <w:rPr>
                <w:rFonts w:ascii="Arial" w:cs="Arial" w:eastAsia="Arial" w:hAnsi="Arial"/>
                <w:sz w:val="18"/>
                <w:szCs w:val="18"/>
                <w:color w:val="auto"/>
                <w:w w:val="92"/>
              </w:rPr>
              <w:t>Brian A. Goebel</w:t>
            </w:r>
          </w:p>
        </w:tc>
      </w:tr>
      <w:tr>
        <w:trPr>
          <w:trHeight w:val="621"/>
        </w:trPr>
        <w:tc>
          <w:tcPr>
            <w:tcW w:w="1820" w:type="dxa"/>
            <w:vAlign w:val="bottom"/>
          </w:tcPr>
          <w:p>
            <w:pPr>
              <w:ind w:left="1640"/>
              <w:spacing w:after="0"/>
              <w:rPr>
                <w:sz w:val="20"/>
                <w:szCs w:val="20"/>
                <w:color w:val="auto"/>
              </w:rPr>
            </w:pPr>
            <w:r>
              <w:rPr>
                <w:rFonts w:ascii="Arial" w:cs="Arial" w:eastAsia="Arial" w:hAnsi="Arial"/>
                <w:sz w:val="18"/>
                <w:szCs w:val="18"/>
                <w:color w:val="auto"/>
                <w:w w:val="83"/>
              </w:rPr>
              <w:t>/s/</w:t>
            </w:r>
          </w:p>
        </w:tc>
        <w:tc>
          <w:tcPr>
            <w:tcW w:w="3220" w:type="dxa"/>
            <w:vAlign w:val="bottom"/>
          </w:tcPr>
          <w:p>
            <w:pPr>
              <w:jc w:val="center"/>
              <w:ind w:right="1370"/>
              <w:spacing w:after="0"/>
              <w:rPr>
                <w:sz w:val="20"/>
                <w:szCs w:val="20"/>
                <w:color w:val="auto"/>
              </w:rPr>
            </w:pPr>
            <w:r>
              <w:rPr>
                <w:rFonts w:ascii="Arial" w:cs="Arial" w:eastAsia="Arial" w:hAnsi="Arial"/>
                <w:sz w:val="18"/>
                <w:szCs w:val="18"/>
                <w:color w:val="auto"/>
              </w:rPr>
              <w:t>MANUEL KADRE</w:t>
            </w:r>
          </w:p>
        </w:tc>
      </w:tr>
      <w:tr>
        <w:trPr>
          <w:trHeight w:val="27"/>
        </w:trPr>
        <w:tc>
          <w:tcPr>
            <w:tcW w:w="18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p>
        </w:tc>
        <w:tc>
          <w:tcPr>
            <w:tcW w:w="3220" w:type="dxa"/>
            <w:vAlign w:val="bottom"/>
          </w:tcPr>
          <w:p>
            <w:pPr>
              <w:jc w:val="center"/>
              <w:ind w:right="1730"/>
              <w:spacing w:after="0"/>
              <w:rPr>
                <w:sz w:val="20"/>
                <w:szCs w:val="20"/>
                <w:color w:val="auto"/>
              </w:rPr>
            </w:pPr>
            <w:r>
              <w:rPr>
                <w:rFonts w:ascii="Arial" w:cs="Arial" w:eastAsia="Arial" w:hAnsi="Arial"/>
                <w:sz w:val="18"/>
                <w:szCs w:val="18"/>
                <w:color w:val="auto"/>
                <w:w w:val="92"/>
              </w:rPr>
              <w:t>Manuel Kadre</w:t>
            </w:r>
          </w:p>
        </w:tc>
      </w:tr>
      <w:tr>
        <w:trPr>
          <w:trHeight w:val="540"/>
        </w:trPr>
        <w:tc>
          <w:tcPr>
            <w:tcW w:w="1820" w:type="dxa"/>
            <w:vAlign w:val="bottom"/>
          </w:tcPr>
          <w:p>
            <w:pPr>
              <w:ind w:left="1560"/>
              <w:spacing w:after="0"/>
              <w:rPr>
                <w:sz w:val="20"/>
                <w:szCs w:val="20"/>
                <w:color w:val="auto"/>
              </w:rPr>
            </w:pPr>
            <w:r>
              <w:rPr>
                <w:rFonts w:ascii="Arial" w:cs="Arial" w:eastAsia="Arial" w:hAnsi="Arial"/>
                <w:sz w:val="18"/>
                <w:szCs w:val="18"/>
                <w:color w:val="auto"/>
              </w:rPr>
              <w:t>/s/</w:t>
            </w:r>
          </w:p>
        </w:tc>
        <w:tc>
          <w:tcPr>
            <w:tcW w:w="3220" w:type="dxa"/>
            <w:vAlign w:val="bottom"/>
          </w:tcPr>
          <w:p>
            <w:pPr>
              <w:jc w:val="center"/>
              <w:ind w:right="1370"/>
              <w:spacing w:after="0"/>
              <w:rPr>
                <w:sz w:val="20"/>
                <w:szCs w:val="20"/>
                <w:color w:val="auto"/>
              </w:rPr>
            </w:pPr>
            <w:r>
              <w:rPr>
                <w:rFonts w:ascii="Arial" w:cs="Arial" w:eastAsia="Arial" w:hAnsi="Arial"/>
                <w:sz w:val="18"/>
                <w:szCs w:val="18"/>
                <w:color w:val="auto"/>
                <w:w w:val="98"/>
              </w:rPr>
              <w:t>TOMAGO COLLINS</w:t>
            </w:r>
          </w:p>
        </w:tc>
      </w:tr>
      <w:tr>
        <w:trPr>
          <w:trHeight w:val="27"/>
        </w:trPr>
        <w:tc>
          <w:tcPr>
            <w:tcW w:w="18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p>
        </w:tc>
        <w:tc>
          <w:tcPr>
            <w:tcW w:w="3220" w:type="dxa"/>
            <w:vAlign w:val="bottom"/>
          </w:tcPr>
          <w:p>
            <w:pPr>
              <w:jc w:val="center"/>
              <w:ind w:right="1710"/>
              <w:spacing w:after="0"/>
              <w:rPr>
                <w:sz w:val="20"/>
                <w:szCs w:val="20"/>
                <w:color w:val="auto"/>
              </w:rPr>
            </w:pPr>
            <w:r>
              <w:rPr>
                <w:rFonts w:ascii="Arial" w:cs="Arial" w:eastAsia="Arial" w:hAnsi="Arial"/>
                <w:sz w:val="18"/>
                <w:szCs w:val="18"/>
                <w:color w:val="auto"/>
                <w:w w:val="91"/>
              </w:rPr>
              <w:t>Tomago Collins</w:t>
            </w:r>
          </w:p>
        </w:tc>
      </w:tr>
    </w:tbl>
    <w:p>
      <w:pPr>
        <w:spacing w:after="0" w:line="310"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THOMAS W. HANDLEY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84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Thomas W. Handley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ind w:left="1560"/>
              <w:spacing w:after="0"/>
              <w:rPr>
                <w:sz w:val="20"/>
                <w:szCs w:val="20"/>
                <w:color w:val="auto"/>
              </w:rPr>
            </w:pPr>
            <w:r>
              <w:rPr>
                <w:rFonts w:ascii="Arial" w:cs="Arial" w:eastAsia="Arial" w:hAnsi="Arial"/>
                <w:sz w:val="18"/>
                <w:szCs w:val="18"/>
                <w:color w:val="auto"/>
              </w:rPr>
              <w:t>/s/</w:t>
            </w:r>
          </w:p>
        </w:tc>
        <w:tc>
          <w:tcPr>
            <w:tcW w:w="3140" w:type="dxa"/>
            <w:vAlign w:val="bottom"/>
          </w:tcPr>
          <w:p>
            <w:pPr>
              <w:ind w:left="20"/>
              <w:spacing w:after="0"/>
              <w:rPr>
                <w:sz w:val="20"/>
                <w:szCs w:val="20"/>
                <w:color w:val="auto"/>
              </w:rPr>
            </w:pPr>
            <w:r>
              <w:rPr>
                <w:rFonts w:ascii="Arial" w:cs="Arial" w:eastAsia="Arial" w:hAnsi="Arial"/>
                <w:sz w:val="18"/>
                <w:szCs w:val="18"/>
                <w:color w:val="auto"/>
              </w:rPr>
              <w:t>JENNIFER M. KIRK</w:t>
            </w:r>
          </w:p>
        </w:tc>
      </w:tr>
      <w:tr>
        <w:trPr>
          <w:trHeight w:val="27"/>
        </w:trPr>
        <w:tc>
          <w:tcPr>
            <w:tcW w:w="19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37"/>
        </w:trPr>
        <w:tc>
          <w:tcPr>
            <w:tcW w:w="190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Jennifer M. Kirk</w:t>
            </w:r>
          </w:p>
        </w:tc>
      </w:tr>
      <w:tr>
        <w:trPr>
          <w:trHeight w:val="540"/>
        </w:trPr>
        <w:tc>
          <w:tcPr>
            <w:tcW w:w="1900" w:type="dxa"/>
            <w:vAlign w:val="bottom"/>
          </w:tcPr>
          <w:p>
            <w:pPr>
              <w:ind w:left="1560"/>
              <w:spacing w:after="0"/>
              <w:rPr>
                <w:sz w:val="20"/>
                <w:szCs w:val="20"/>
                <w:color w:val="auto"/>
              </w:rPr>
            </w:pPr>
            <w:r>
              <w:rPr>
                <w:rFonts w:ascii="Arial" w:cs="Arial" w:eastAsia="Arial" w:hAnsi="Arial"/>
                <w:sz w:val="18"/>
                <w:szCs w:val="18"/>
                <w:color w:val="auto"/>
              </w:rPr>
              <w:t>/s/</w:t>
            </w:r>
          </w:p>
        </w:tc>
        <w:tc>
          <w:tcPr>
            <w:tcW w:w="3140" w:type="dxa"/>
            <w:vAlign w:val="bottom"/>
          </w:tcPr>
          <w:p>
            <w:pPr>
              <w:spacing w:after="0"/>
              <w:rPr>
                <w:sz w:val="20"/>
                <w:szCs w:val="20"/>
                <w:color w:val="auto"/>
              </w:rPr>
            </w:pPr>
            <w:r>
              <w:rPr>
                <w:rFonts w:ascii="Arial" w:cs="Arial" w:eastAsia="Arial" w:hAnsi="Arial"/>
                <w:sz w:val="18"/>
                <w:szCs w:val="18"/>
                <w:color w:val="auto"/>
              </w:rPr>
              <w:t>MICHAEL LARSON</w:t>
            </w:r>
          </w:p>
        </w:tc>
      </w:tr>
      <w:tr>
        <w:trPr>
          <w:trHeight w:val="27"/>
        </w:trPr>
        <w:tc>
          <w:tcPr>
            <w:tcW w:w="19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37"/>
        </w:trPr>
        <w:tc>
          <w:tcPr>
            <w:tcW w:w="1900" w:type="dxa"/>
            <w:vAlign w:val="bottom"/>
          </w:tcPr>
          <w:p>
            <w:pPr>
              <w:spacing w:after="0"/>
              <w:rPr>
                <w:sz w:val="20"/>
                <w:szCs w:val="20"/>
                <w:color w:val="auto"/>
              </w:rPr>
            </w:pPr>
          </w:p>
        </w:tc>
        <w:tc>
          <w:tcPr>
            <w:tcW w:w="3140" w:type="dxa"/>
            <w:vAlign w:val="bottom"/>
          </w:tcPr>
          <w:p>
            <w:pPr>
              <w:jc w:val="center"/>
              <w:ind w:right="1790"/>
              <w:spacing w:after="0"/>
              <w:rPr>
                <w:sz w:val="20"/>
                <w:szCs w:val="20"/>
                <w:color w:val="auto"/>
              </w:rPr>
            </w:pPr>
            <w:r>
              <w:rPr>
                <w:rFonts w:ascii="Arial" w:cs="Arial" w:eastAsia="Arial" w:hAnsi="Arial"/>
                <w:sz w:val="18"/>
                <w:szCs w:val="18"/>
                <w:color w:val="auto"/>
                <w:w w:val="93"/>
              </w:rPr>
              <w:t>Michael Larson</w:t>
            </w:r>
          </w:p>
        </w:tc>
      </w:tr>
      <w:tr>
        <w:trPr>
          <w:trHeight w:val="540"/>
        </w:trPr>
        <w:tc>
          <w:tcPr>
            <w:tcW w:w="1900" w:type="dxa"/>
            <w:vAlign w:val="bottom"/>
          </w:tcPr>
          <w:p>
            <w:pPr>
              <w:ind w:left="1700"/>
              <w:spacing w:after="0"/>
              <w:rPr>
                <w:sz w:val="20"/>
                <w:szCs w:val="20"/>
                <w:color w:val="auto"/>
              </w:rPr>
            </w:pPr>
            <w:r>
              <w:rPr>
                <w:rFonts w:ascii="Arial" w:cs="Arial" w:eastAsia="Arial" w:hAnsi="Arial"/>
                <w:sz w:val="18"/>
                <w:szCs w:val="18"/>
                <w:color w:val="auto"/>
                <w:w w:val="94"/>
              </w:rPr>
              <w:t>/s/</w:t>
            </w:r>
          </w:p>
        </w:tc>
        <w:tc>
          <w:tcPr>
            <w:tcW w:w="3140" w:type="dxa"/>
            <w:vAlign w:val="bottom"/>
          </w:tcPr>
          <w:p>
            <w:pPr>
              <w:ind w:left="160"/>
              <w:spacing w:after="0"/>
              <w:rPr>
                <w:sz w:val="20"/>
                <w:szCs w:val="20"/>
                <w:color w:val="auto"/>
              </w:rPr>
            </w:pPr>
            <w:r>
              <w:rPr>
                <w:rFonts w:ascii="Arial" w:cs="Arial" w:eastAsia="Arial" w:hAnsi="Arial"/>
                <w:sz w:val="18"/>
                <w:szCs w:val="18"/>
                <w:color w:val="auto"/>
              </w:rPr>
              <w:t>KIM S. PEGULA</w:t>
            </w:r>
          </w:p>
        </w:tc>
      </w:tr>
      <w:tr>
        <w:trPr>
          <w:trHeight w:val="27"/>
        </w:trPr>
        <w:tc>
          <w:tcPr>
            <w:tcW w:w="19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37"/>
        </w:trPr>
        <w:tc>
          <w:tcPr>
            <w:tcW w:w="1900" w:type="dxa"/>
            <w:vAlign w:val="bottom"/>
          </w:tcPr>
          <w:p>
            <w:pPr>
              <w:spacing w:after="0"/>
              <w:rPr>
                <w:sz w:val="20"/>
                <w:szCs w:val="20"/>
                <w:color w:val="auto"/>
              </w:rPr>
            </w:pPr>
          </w:p>
        </w:tc>
        <w:tc>
          <w:tcPr>
            <w:tcW w:w="3140" w:type="dxa"/>
            <w:vAlign w:val="bottom"/>
          </w:tcPr>
          <w:p>
            <w:pPr>
              <w:jc w:val="center"/>
              <w:ind w:right="1810"/>
              <w:spacing w:after="0"/>
              <w:rPr>
                <w:sz w:val="20"/>
                <w:szCs w:val="20"/>
                <w:color w:val="auto"/>
              </w:rPr>
            </w:pPr>
            <w:r>
              <w:rPr>
                <w:rFonts w:ascii="Arial" w:cs="Arial" w:eastAsia="Arial" w:hAnsi="Arial"/>
                <w:sz w:val="18"/>
                <w:szCs w:val="18"/>
                <w:color w:val="auto"/>
                <w:w w:val="91"/>
              </w:rPr>
              <w:t>Kim S. Pegula</w:t>
            </w: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3"/>
              </w:rPr>
              <w:t>Title</w:t>
            </w:r>
          </w:p>
        </w:tc>
        <w:tc>
          <w:tcPr>
            <w:tcW w:w="1920" w:type="dxa"/>
            <w:vAlign w:val="bottom"/>
          </w:tcPr>
          <w:p>
            <w:pPr>
              <w:jc w:val="center"/>
              <w:ind w:left="530"/>
              <w:spacing w:after="0"/>
              <w:rPr>
                <w:sz w:val="20"/>
                <w:szCs w:val="20"/>
                <w:color w:val="auto"/>
              </w:rPr>
            </w:pPr>
            <w:r>
              <w:rPr>
                <w:rFonts w:ascii="Arial" w:cs="Arial" w:eastAsia="Arial" w:hAnsi="Arial"/>
                <w:sz w:val="18"/>
                <w:szCs w:val="18"/>
                <w:color w:val="auto"/>
                <w:w w:val="89"/>
              </w:rPr>
              <w:t>Date</w:t>
            </w:r>
          </w:p>
        </w:tc>
      </w:tr>
      <w:tr>
        <w:trPr>
          <w:trHeight w:val="256"/>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3"/>
              </w:rPr>
              <w:t>Chief Executive Officer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13, 2020</w:t>
            </w:r>
          </w:p>
        </w:tc>
      </w:tr>
      <w:tr>
        <w:trPr>
          <w:trHeight w:val="216"/>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3"/>
              </w:rPr>
              <w:t>and Director</w:t>
            </w:r>
          </w:p>
        </w:tc>
        <w:tc>
          <w:tcPr>
            <w:tcW w:w="1920" w:type="dxa"/>
            <w:vAlign w:val="bottom"/>
          </w:tcPr>
          <w:p>
            <w:pPr>
              <w:spacing w:after="0"/>
              <w:rPr>
                <w:sz w:val="18"/>
                <w:szCs w:val="18"/>
                <w:color w:val="auto"/>
              </w:rPr>
            </w:pPr>
          </w:p>
        </w:tc>
      </w:tr>
      <w:tr>
        <w:trPr>
          <w:trHeight w:val="230"/>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3"/>
              </w:rPr>
              <w:t>(Principal Executive Officer)</w:t>
            </w:r>
          </w:p>
        </w:tc>
        <w:tc>
          <w:tcPr>
            <w:tcW w:w="1920" w:type="dxa"/>
            <w:vAlign w:val="bottom"/>
          </w:tcPr>
          <w:p>
            <w:pPr>
              <w:spacing w:after="0"/>
              <w:rPr>
                <w:sz w:val="20"/>
                <w:szCs w:val="20"/>
                <w:color w:val="auto"/>
              </w:rPr>
            </w:pPr>
          </w:p>
        </w:tc>
      </w:tr>
      <w:tr>
        <w:trPr>
          <w:trHeight w:val="526"/>
        </w:trPr>
        <w:tc>
          <w:tcPr>
            <w:tcW w:w="3180" w:type="dxa"/>
            <w:vAlign w:val="bottom"/>
          </w:tcPr>
          <w:p>
            <w:pPr>
              <w:ind w:left="340"/>
              <w:spacing w:after="0"/>
              <w:rPr>
                <w:sz w:val="20"/>
                <w:szCs w:val="20"/>
                <w:color w:val="auto"/>
              </w:rPr>
            </w:pPr>
            <w:r>
              <w:rPr>
                <w:rFonts w:ascii="Arial" w:cs="Arial" w:eastAsia="Arial" w:hAnsi="Arial"/>
                <w:sz w:val="18"/>
                <w:szCs w:val="18"/>
                <w:color w:val="auto"/>
              </w:rPr>
              <w:t>Executive Vice President,</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13, 2020</w:t>
            </w:r>
          </w:p>
        </w:tc>
      </w:tr>
      <w:tr>
        <w:trPr>
          <w:trHeight w:val="216"/>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4"/>
              </w:rPr>
              <w:t>Chief Financial Officer</w:t>
            </w:r>
          </w:p>
        </w:tc>
        <w:tc>
          <w:tcPr>
            <w:tcW w:w="1920" w:type="dxa"/>
            <w:vAlign w:val="bottom"/>
          </w:tcPr>
          <w:p>
            <w:pPr>
              <w:spacing w:after="0"/>
              <w:rPr>
                <w:sz w:val="18"/>
                <w:szCs w:val="18"/>
                <w:color w:val="auto"/>
              </w:rPr>
            </w:pPr>
          </w:p>
        </w:tc>
      </w:tr>
      <w:tr>
        <w:trPr>
          <w:trHeight w:val="230"/>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4"/>
              </w:rPr>
              <w:t>(Principal Financial Officer)</w:t>
            </w:r>
          </w:p>
        </w:tc>
        <w:tc>
          <w:tcPr>
            <w:tcW w:w="1920" w:type="dxa"/>
            <w:vAlign w:val="bottom"/>
          </w:tcPr>
          <w:p>
            <w:pPr>
              <w:spacing w:after="0"/>
              <w:rPr>
                <w:sz w:val="20"/>
                <w:szCs w:val="20"/>
                <w:color w:val="auto"/>
              </w:rPr>
            </w:pPr>
          </w:p>
        </w:tc>
      </w:tr>
      <w:tr>
        <w:trPr>
          <w:trHeight w:val="526"/>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89"/>
              </w:rPr>
              <w:t>Vice President and</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13, 2020</w:t>
            </w:r>
          </w:p>
        </w:tc>
      </w:tr>
      <w:tr>
        <w:trPr>
          <w:trHeight w:val="216"/>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4"/>
              </w:rPr>
              <w:t>Chief Accounting Officer</w:t>
            </w:r>
          </w:p>
        </w:tc>
        <w:tc>
          <w:tcPr>
            <w:tcW w:w="1920" w:type="dxa"/>
            <w:vAlign w:val="bottom"/>
          </w:tcPr>
          <w:p>
            <w:pPr>
              <w:spacing w:after="0"/>
              <w:rPr>
                <w:sz w:val="18"/>
                <w:szCs w:val="18"/>
                <w:color w:val="auto"/>
              </w:rPr>
            </w:pPr>
          </w:p>
        </w:tc>
      </w:tr>
      <w:tr>
        <w:trPr>
          <w:trHeight w:val="230"/>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4"/>
              </w:rPr>
              <w:t>(Principal Accounting Officer)</w:t>
            </w:r>
          </w:p>
        </w:tc>
        <w:tc>
          <w:tcPr>
            <w:tcW w:w="1920" w:type="dxa"/>
            <w:vAlign w:val="bottom"/>
          </w:tcPr>
          <w:p>
            <w:pPr>
              <w:spacing w:after="0"/>
              <w:rPr>
                <w:sz w:val="20"/>
                <w:szCs w:val="20"/>
                <w:color w:val="auto"/>
              </w:rPr>
            </w:pPr>
          </w:p>
        </w:tc>
      </w:tr>
      <w:tr>
        <w:trPr>
          <w:trHeight w:val="540"/>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2"/>
              </w:rPr>
              <w:t>Chairman of the Board of Directors</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13, 2020</w:t>
            </w:r>
          </w:p>
        </w:tc>
      </w:tr>
      <w:tr>
        <w:trPr>
          <w:trHeight w:val="824"/>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13, 2020</w:t>
            </w:r>
          </w:p>
        </w:tc>
      </w:tr>
      <w:tr>
        <w:trPr>
          <w:trHeight w:val="824"/>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13, 2020</w:t>
            </w:r>
          </w:p>
        </w:tc>
      </w:tr>
      <w:tr>
        <w:trPr>
          <w:trHeight w:val="824"/>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13, 2020</w:t>
            </w:r>
          </w:p>
        </w:tc>
      </w:tr>
      <w:tr>
        <w:trPr>
          <w:trHeight w:val="824"/>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13, 2020</w:t>
            </w:r>
          </w:p>
        </w:tc>
      </w:tr>
      <w:tr>
        <w:trPr>
          <w:trHeight w:val="824"/>
        </w:trPr>
        <w:tc>
          <w:tcPr>
            <w:tcW w:w="3180" w:type="dxa"/>
            <w:vAlign w:val="bottom"/>
          </w:tcPr>
          <w:p>
            <w:pPr>
              <w:jc w:val="center"/>
              <w:ind w:right="53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13, 2020</w:t>
            </w:r>
          </w:p>
        </w:tc>
      </w:tr>
    </w:tbl>
    <w:p>
      <w:pPr>
        <w:spacing w:after="0" w:line="483" w:lineRule="exact"/>
        <w:rPr>
          <w:sz w:val="20"/>
          <w:szCs w:val="20"/>
          <w:color w:val="auto"/>
        </w:rPr>
      </w:pPr>
    </w:p>
    <w:p>
      <w:pPr>
        <w:sectPr>
          <w:pgSz w:w="11900" w:h="16838" w:orient="portrait"/>
          <w:cols w:equalWidth="0" w:num="2">
            <w:col w:w="5120" w:space="720"/>
            <w:col w:w="558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1" w:name="page122"/>
    <w:bookmarkEnd w:id="1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ind w:left="1360"/>
              <w:spacing w:after="0"/>
              <w:rPr>
                <w:sz w:val="20"/>
                <w:szCs w:val="20"/>
                <w:color w:val="auto"/>
              </w:rPr>
            </w:pPr>
            <w:r>
              <w:rPr>
                <w:rFonts w:ascii="Arial" w:cs="Arial" w:eastAsia="Arial" w:hAnsi="Arial"/>
                <w:sz w:val="18"/>
                <w:szCs w:val="18"/>
                <w:color w:val="auto"/>
              </w:rPr>
              <w:t>/s/</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RAMON A. RODRIGUEZ</w:t>
            </w:r>
          </w:p>
        </w:tc>
        <w:tc>
          <w:tcPr>
            <w:tcW w:w="3480" w:type="dxa"/>
            <w:vAlign w:val="bottom"/>
          </w:tcPr>
          <w:p>
            <w:pPr>
              <w:ind w:left="178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100"/>
              <w:spacing w:after="0"/>
              <w:rPr>
                <w:sz w:val="20"/>
                <w:szCs w:val="20"/>
                <w:color w:val="auto"/>
              </w:rPr>
            </w:pPr>
            <w:r>
              <w:rPr>
                <w:rFonts w:ascii="Arial" w:cs="Arial" w:eastAsia="Arial" w:hAnsi="Arial"/>
                <w:sz w:val="18"/>
                <w:szCs w:val="18"/>
                <w:color w:val="auto"/>
                <w:w w:val="88"/>
              </w:rPr>
              <w:t>February 13, 2020</w:t>
            </w:r>
          </w:p>
        </w:tc>
      </w:tr>
      <w:tr>
        <w:trPr>
          <w:trHeight w:val="27"/>
        </w:trPr>
        <w:tc>
          <w:tcPr>
            <w:tcW w:w="17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2"/>
          </w:tcPr>
          <w:p>
            <w:pPr>
              <w:spacing w:after="0"/>
              <w:rPr>
                <w:sz w:val="2"/>
                <w:szCs w:val="2"/>
                <w:color w:val="auto"/>
              </w:rPr>
            </w:pPr>
          </w:p>
        </w:tc>
        <w:tc>
          <w:tcPr>
            <w:tcW w:w="34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3340" w:type="dxa"/>
            <w:vAlign w:val="bottom"/>
            <w:gridSpan w:val="2"/>
          </w:tcPr>
          <w:p>
            <w:pPr>
              <w:jc w:val="center"/>
              <w:ind w:right="1590"/>
              <w:spacing w:after="0"/>
              <w:rPr>
                <w:sz w:val="20"/>
                <w:szCs w:val="20"/>
                <w:color w:val="auto"/>
              </w:rPr>
            </w:pPr>
            <w:r>
              <w:rPr>
                <w:rFonts w:ascii="Arial" w:cs="Arial" w:eastAsia="Arial" w:hAnsi="Arial"/>
                <w:sz w:val="18"/>
                <w:szCs w:val="18"/>
                <w:color w:val="auto"/>
                <w:w w:val="92"/>
              </w:rPr>
              <w:t>Ramon A. Rodriguez</w:t>
            </w:r>
          </w:p>
        </w:tc>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540"/>
        </w:trPr>
        <w:tc>
          <w:tcPr>
            <w:tcW w:w="17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3120" w:type="dxa"/>
            <w:vAlign w:val="bottom"/>
          </w:tcPr>
          <w:p>
            <w:pPr>
              <w:ind w:left="160"/>
              <w:spacing w:after="0"/>
              <w:rPr>
                <w:sz w:val="20"/>
                <w:szCs w:val="20"/>
                <w:color w:val="auto"/>
              </w:rPr>
            </w:pPr>
            <w:r>
              <w:rPr>
                <w:rFonts w:ascii="Arial" w:cs="Arial" w:eastAsia="Arial" w:hAnsi="Arial"/>
                <w:sz w:val="18"/>
                <w:szCs w:val="18"/>
                <w:color w:val="auto"/>
              </w:rPr>
              <w:t>JAMES P. SNEE</w:t>
            </w:r>
          </w:p>
        </w:tc>
        <w:tc>
          <w:tcPr>
            <w:tcW w:w="3480" w:type="dxa"/>
            <w:vAlign w:val="bottom"/>
          </w:tcPr>
          <w:p>
            <w:pPr>
              <w:ind w:left="178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100"/>
              <w:spacing w:after="0"/>
              <w:rPr>
                <w:sz w:val="20"/>
                <w:szCs w:val="20"/>
                <w:color w:val="auto"/>
              </w:rPr>
            </w:pPr>
            <w:r>
              <w:rPr>
                <w:rFonts w:ascii="Arial" w:cs="Arial" w:eastAsia="Arial" w:hAnsi="Arial"/>
                <w:sz w:val="18"/>
                <w:szCs w:val="18"/>
                <w:color w:val="auto"/>
                <w:w w:val="88"/>
              </w:rPr>
              <w:t>February 13, 2020</w:t>
            </w:r>
          </w:p>
        </w:tc>
      </w:tr>
      <w:tr>
        <w:trPr>
          <w:trHeight w:val="27"/>
        </w:trPr>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tcPr>
          <w:p>
            <w:pPr>
              <w:jc w:val="center"/>
              <w:ind w:right="1830"/>
              <w:spacing w:after="0"/>
              <w:rPr>
                <w:sz w:val="20"/>
                <w:szCs w:val="20"/>
                <w:color w:val="auto"/>
              </w:rPr>
            </w:pPr>
            <w:r>
              <w:rPr>
                <w:rFonts w:ascii="Arial" w:cs="Arial" w:eastAsia="Arial" w:hAnsi="Arial"/>
                <w:sz w:val="18"/>
                <w:szCs w:val="18"/>
                <w:color w:val="auto"/>
                <w:w w:val="81"/>
              </w:rPr>
              <w:t>James P. Snee</w:t>
            </w:r>
          </w:p>
        </w:tc>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540"/>
        </w:trPr>
        <w:tc>
          <w:tcPr>
            <w:tcW w:w="1920" w:type="dxa"/>
            <w:vAlign w:val="bottom"/>
            <w:gridSpan w:val="2"/>
          </w:tcPr>
          <w:p>
            <w:pPr>
              <w:ind w:left="1660"/>
              <w:spacing w:after="0"/>
              <w:rPr>
                <w:sz w:val="20"/>
                <w:szCs w:val="20"/>
                <w:color w:val="auto"/>
              </w:rPr>
            </w:pPr>
            <w:r>
              <w:rPr>
                <w:rFonts w:ascii="Arial" w:cs="Arial" w:eastAsia="Arial" w:hAnsi="Arial"/>
                <w:sz w:val="18"/>
                <w:szCs w:val="18"/>
                <w:color w:val="auto"/>
              </w:rPr>
              <w:t>/s/</w:t>
            </w:r>
          </w:p>
        </w:tc>
        <w:tc>
          <w:tcPr>
            <w:tcW w:w="3120" w:type="dxa"/>
            <w:vAlign w:val="bottom"/>
          </w:tcPr>
          <w:p>
            <w:pPr>
              <w:jc w:val="center"/>
              <w:ind w:right="1570"/>
              <w:spacing w:after="0"/>
              <w:rPr>
                <w:sz w:val="20"/>
                <w:szCs w:val="20"/>
                <w:color w:val="auto"/>
              </w:rPr>
            </w:pPr>
            <w:r>
              <w:rPr>
                <w:rFonts w:ascii="Arial" w:cs="Arial" w:eastAsia="Arial" w:hAnsi="Arial"/>
                <w:sz w:val="18"/>
                <w:szCs w:val="18"/>
                <w:color w:val="auto"/>
                <w:w w:val="97"/>
              </w:rPr>
              <w:t>JOHN M. TRANI</w:t>
            </w:r>
          </w:p>
        </w:tc>
        <w:tc>
          <w:tcPr>
            <w:tcW w:w="3480" w:type="dxa"/>
            <w:vAlign w:val="bottom"/>
          </w:tcPr>
          <w:p>
            <w:pPr>
              <w:ind w:left="178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100"/>
              <w:spacing w:after="0"/>
              <w:rPr>
                <w:sz w:val="20"/>
                <w:szCs w:val="20"/>
                <w:color w:val="auto"/>
              </w:rPr>
            </w:pPr>
            <w:r>
              <w:rPr>
                <w:rFonts w:ascii="Arial" w:cs="Arial" w:eastAsia="Arial" w:hAnsi="Arial"/>
                <w:sz w:val="18"/>
                <w:szCs w:val="18"/>
                <w:color w:val="auto"/>
                <w:w w:val="88"/>
              </w:rPr>
              <w:t>February 13, 2020</w:t>
            </w:r>
          </w:p>
        </w:tc>
      </w:tr>
      <w:tr>
        <w:trPr>
          <w:trHeight w:val="27"/>
        </w:trPr>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tcPr>
          <w:p>
            <w:pPr>
              <w:jc w:val="center"/>
              <w:ind w:right="1810"/>
              <w:spacing w:after="0"/>
              <w:rPr>
                <w:sz w:val="20"/>
                <w:szCs w:val="20"/>
                <w:color w:val="auto"/>
              </w:rPr>
            </w:pPr>
            <w:r>
              <w:rPr>
                <w:rFonts w:ascii="Arial" w:cs="Arial" w:eastAsia="Arial" w:hAnsi="Arial"/>
                <w:sz w:val="18"/>
                <w:szCs w:val="18"/>
                <w:color w:val="auto"/>
                <w:w w:val="92"/>
              </w:rPr>
              <w:t>John M. Trani</w:t>
            </w:r>
          </w:p>
        </w:tc>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540"/>
        </w:trPr>
        <w:tc>
          <w:tcPr>
            <w:tcW w:w="1700" w:type="dxa"/>
            <w:vAlign w:val="bottom"/>
          </w:tcPr>
          <w:p>
            <w:pPr>
              <w:ind w:left="1500"/>
              <w:spacing w:after="0"/>
              <w:rPr>
                <w:sz w:val="20"/>
                <w:szCs w:val="20"/>
                <w:color w:val="auto"/>
              </w:rPr>
            </w:pPr>
            <w:r>
              <w:rPr>
                <w:rFonts w:ascii="Arial" w:cs="Arial" w:eastAsia="Arial" w:hAnsi="Arial"/>
                <w:sz w:val="18"/>
                <w:szCs w:val="18"/>
                <w:color w:val="auto"/>
                <w:w w:val="94"/>
              </w:rPr>
              <w:t>/s/</w:t>
            </w:r>
          </w:p>
        </w:tc>
        <w:tc>
          <w:tcPr>
            <w:tcW w:w="3340" w:type="dxa"/>
            <w:vAlign w:val="bottom"/>
            <w:gridSpan w:val="2"/>
          </w:tcPr>
          <w:p>
            <w:pPr>
              <w:jc w:val="center"/>
              <w:ind w:right="1350"/>
              <w:spacing w:after="0"/>
              <w:rPr>
                <w:sz w:val="20"/>
                <w:szCs w:val="20"/>
                <w:color w:val="auto"/>
              </w:rPr>
            </w:pPr>
            <w:r>
              <w:rPr>
                <w:rFonts w:ascii="Arial" w:cs="Arial" w:eastAsia="Arial" w:hAnsi="Arial"/>
                <w:sz w:val="18"/>
                <w:szCs w:val="18"/>
                <w:color w:val="auto"/>
                <w:w w:val="98"/>
              </w:rPr>
              <w:t>SANDRA M. VOLPE</w:t>
            </w:r>
          </w:p>
        </w:tc>
        <w:tc>
          <w:tcPr>
            <w:tcW w:w="3480" w:type="dxa"/>
            <w:vAlign w:val="bottom"/>
          </w:tcPr>
          <w:p>
            <w:pPr>
              <w:ind w:left="178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100"/>
              <w:spacing w:after="0"/>
              <w:rPr>
                <w:sz w:val="20"/>
                <w:szCs w:val="20"/>
                <w:color w:val="auto"/>
              </w:rPr>
            </w:pPr>
            <w:r>
              <w:rPr>
                <w:rFonts w:ascii="Arial" w:cs="Arial" w:eastAsia="Arial" w:hAnsi="Arial"/>
                <w:sz w:val="18"/>
                <w:szCs w:val="18"/>
                <w:color w:val="auto"/>
                <w:w w:val="88"/>
              </w:rPr>
              <w:t>February 13, 2020</w:t>
            </w:r>
          </w:p>
        </w:tc>
      </w:tr>
      <w:tr>
        <w:trPr>
          <w:trHeight w:val="27"/>
        </w:trPr>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tcPr>
          <w:p>
            <w:pPr>
              <w:jc w:val="center"/>
              <w:ind w:right="1810"/>
              <w:spacing w:after="0"/>
              <w:rPr>
                <w:sz w:val="20"/>
                <w:szCs w:val="20"/>
                <w:color w:val="auto"/>
              </w:rPr>
            </w:pPr>
            <w:r>
              <w:rPr>
                <w:rFonts w:ascii="Arial" w:cs="Arial" w:eastAsia="Arial" w:hAnsi="Arial"/>
                <w:sz w:val="18"/>
                <w:szCs w:val="18"/>
                <w:color w:val="auto"/>
                <w:w w:val="90"/>
              </w:rPr>
              <w:t>Sandra M. Volpe</w:t>
            </w:r>
          </w:p>
        </w:tc>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540"/>
        </w:trPr>
        <w:tc>
          <w:tcPr>
            <w:tcW w:w="5040" w:type="dxa"/>
            <w:vAlign w:val="bottom"/>
            <w:gridSpan w:val="3"/>
          </w:tcPr>
          <w:p>
            <w:pPr>
              <w:jc w:val="center"/>
              <w:spacing w:after="0"/>
              <w:rPr>
                <w:sz w:val="20"/>
                <w:szCs w:val="20"/>
                <w:color w:val="auto"/>
              </w:rPr>
            </w:pPr>
            <w:r>
              <w:rPr>
                <w:rFonts w:ascii="Arial" w:cs="Arial" w:eastAsia="Arial" w:hAnsi="Arial"/>
                <w:sz w:val="18"/>
                <w:szCs w:val="18"/>
                <w:color w:val="auto"/>
              </w:rPr>
              <w:t>/s/  KATHARINE B. WEYMOUTH</w:t>
            </w:r>
          </w:p>
        </w:tc>
        <w:tc>
          <w:tcPr>
            <w:tcW w:w="3480" w:type="dxa"/>
            <w:vAlign w:val="bottom"/>
          </w:tcPr>
          <w:p>
            <w:pPr>
              <w:ind w:left="178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100"/>
              <w:spacing w:after="0"/>
              <w:rPr>
                <w:sz w:val="20"/>
                <w:szCs w:val="20"/>
                <w:color w:val="auto"/>
              </w:rPr>
            </w:pPr>
            <w:r>
              <w:rPr>
                <w:rFonts w:ascii="Arial" w:cs="Arial" w:eastAsia="Arial" w:hAnsi="Arial"/>
                <w:sz w:val="18"/>
                <w:szCs w:val="18"/>
                <w:color w:val="auto"/>
                <w:w w:val="88"/>
              </w:rPr>
              <w:t>February 13, 2020</w:t>
            </w:r>
          </w:p>
        </w:tc>
      </w:tr>
      <w:tr>
        <w:trPr>
          <w:trHeight w:val="27"/>
        </w:trPr>
        <w:tc>
          <w:tcPr>
            <w:tcW w:w="5040" w:type="dxa"/>
            <w:vAlign w:val="bottom"/>
            <w:tcBorders>
              <w:bottom w:val="single" w:sz="8" w:color="auto"/>
            </w:tcBorders>
            <w:gridSpan w:val="3"/>
          </w:tcPr>
          <w:p>
            <w:pPr>
              <w:spacing w:after="0"/>
              <w:rPr>
                <w:sz w:val="2"/>
                <w:szCs w:val="2"/>
                <w:color w:val="auto"/>
              </w:rPr>
            </w:pPr>
          </w:p>
        </w:tc>
        <w:tc>
          <w:tcPr>
            <w:tcW w:w="348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1"/>
              </w:rPr>
              <w:t>Katharine B. Weymouth</w:t>
            </w:r>
          </w:p>
        </w:tc>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40"/>
          </w:cols>
          <w:pgMar w:left="240" w:top="118" w:right="7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UNDER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2019, Republic Services, Inc. (“we”, “our” and “us”), has one class of securities registered under Section 12 of the Securities Exchange Act of 1934, as amended: common stock, par value of $0.01 per share (“common stock”).</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Amended and Restated Certificate of Incorporation, as amended (the “Certificate”), our Amended and Restated Bylaws (the “Bylaws”) and applicable provisions of the Delaware General Corporation Law (“DGCL”). Our Certificate and Bylaws are included as exhibits to the Annual Report on Form 10-K of which this Exhibit 4.23 forms a part. We encourage you to carefully read our Certificate, Bylaws and the applicable provisions of the DGCL for 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Certificate, we have the authority to issue 750 million shares of common stock.</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common stock is listed on the New York Stock Exchange and trades under the symbol “RSG.” The rights, preferences and privileges of holders of our common stock are subject to, and may be adversely affected by, the rights of the holders of shares of any series of preferred stock we may issue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Outstanding</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shares of our common stock are duly authorized, validly issued, fully paid and nonassessable.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4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Each holder of a share of our common stock is entitled to one vote for each share held of record on the applicable record date on all matters submitted to a vote of stockholders. Except for elections of directors, all matters properly presented to the stockholders are decided by a majority vote of the voting power of shares present in person or by proxy at a stockholders’ meeting and entitled to vote thereon. Uncontested elections of directors are decided by a majority of the votes cast with respect to that director’s election, and contested elections of directors are decided by a plurality of the votes cast present in person or represented by proxy.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Holders of shares of our common stock have no preemptive right to purchase, subscribe for or otherwise acquire any unissued or treasury shares or other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4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Subject to the preferential rights of any series of preferred stock outstanding from time to time, the holders of shares of our common stock are entitled to such cash dividends as may be declared from time to time by our board of directors from funds available for such purpose.</w:t>
      </w:r>
    </w:p>
    <w:p>
      <w:pPr>
        <w:sectPr>
          <w:pgSz w:w="11900" w:h="16838" w:orient="portrait"/>
          <w:cols w:equalWidth="0" w:num="1">
            <w:col w:w="11420"/>
          </w:cols>
          <w:pgMar w:left="240" w:top="1418"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Liquidation Rights</w:t>
      </w:r>
    </w:p>
    <w:p>
      <w:pPr>
        <w:spacing w:after="0" w:line="2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Subject to the preferential rights of any series of preferred stock outstanding from time to time, upon our liquidation, dissolution or winding up, the holders of shares of our common stock are entitled to receive pro rata all of our assets available for distribution to such 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w:t>
      </w:r>
    </w:p>
    <w:p>
      <w:pPr>
        <w:spacing w:after="0" w:line="24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Our Certificate and Bylaws and Delaware statutory law contain certain provisions that could make the acquisition of our company by means of a tender offer, a proxy contest or otherwise more difficult.</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18"/>
          <w:szCs w:val="18"/>
          <w:i w:val="1"/>
          <w:iCs w:val="1"/>
          <w:color w:val="auto"/>
        </w:rPr>
        <w:t>Number of Directors, Removal; Filling Vacancies</w:t>
      </w:r>
      <w:r>
        <w:rPr>
          <w:rFonts w:ascii="Arial" w:cs="Arial" w:eastAsia="Arial" w:hAnsi="Arial"/>
          <w:sz w:val="18"/>
          <w:szCs w:val="18"/>
          <w:color w:val="auto"/>
        </w:rPr>
        <w:t>. Our Bylaws provide that the business and affairs of our company will be managed by or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direction of a board of directors, consisting of not more than 13 members, the exact number thereof to be determined from time to time by resolution of the board of directors. Our Bylaws also provide that no director may be removed with or without cause before the expiration of his or her term of office except by vote of the stockholders at a meeting called for such a purpose. In addition, our Bylaws provide that any vacancy on our board of directors that results from an increase in the number of directors or any vacancy created by death, removal or resignation may be filled either by the board of directors or by the stockholders.</w:t>
      </w:r>
    </w:p>
    <w:p>
      <w:pPr>
        <w:spacing w:after="0" w:line="21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Special Meeting</w:t>
      </w:r>
      <w:r>
        <w:rPr>
          <w:rFonts w:ascii="Arial" w:cs="Arial" w:eastAsia="Arial" w:hAnsi="Arial"/>
          <w:sz w:val="18"/>
          <w:szCs w:val="18"/>
          <w:color w:val="auto"/>
        </w:rPr>
        <w:t>. Our Bylaws provide that special meetings of stockholders may be called by our board of directors or our president,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prescribed by statute. The business permitted to be conducted at any special meeting of stockholders is limited to the purposes specified in the notice of meeting given by our company.</w:t>
      </w:r>
    </w:p>
    <w:p>
      <w:pPr>
        <w:spacing w:after="0" w:line="20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i w:val="1"/>
          <w:iCs w:val="1"/>
          <w:color w:val="auto"/>
        </w:rPr>
        <w:t>Advance Notice Provisions for Stockholder Nominations, Proxy Access and Stockholder Proposals</w:t>
      </w:r>
      <w:r>
        <w:rPr>
          <w:rFonts w:ascii="Arial" w:cs="Arial" w:eastAsia="Arial" w:hAnsi="Arial"/>
          <w:sz w:val="16"/>
          <w:szCs w:val="16"/>
          <w:color w:val="auto"/>
        </w:rPr>
        <w:t>. Our Bylaws establish an advance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 for stockholders to make nominations of candidates for election of directors, or to bring other business before an annual meeting of stockholders.</w:t>
      </w:r>
    </w:p>
    <w:p>
      <w:pPr>
        <w:spacing w:after="0" w:line="15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stockholder notice procedure provides that only persons who are nominated by, or at the direction of, our board of directors, or by a stockholder who has given timely written notice to our Secretary prior to the meeting at which directors are to be elected, will be eligible for election as directors. The stockholder notice procedure provides that at an annual meeting only such business may be conducted as (1) is pursuant to the notice of meeting, (2) has been brought before the meeting by, or at the direction of, our board of directors or (3) has been brought before the meeting by a stockholder of record entitled to vote that has given timely written notice to our Secretary of such stockholder’s intention to bring proper business before the meeting. Under the stockholder notice procedure, for stockholder notice in respect of the annual meeting of our stockholders to be timely, such notice must be delivered to our principal executive offices not later than the close of business on the 90th day nor earlier than the close of business on the 120th day prior to the first anniversary of the preceding year’s annual meeting.</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Under the stockholder notice procedure, a stockholder’s notice to our company proposing to nominate a person for election as a director must contain certain information, including (1) the identity and address of the nominating stockholder, the class and number of shares of stock that are beneficially owned by such stockholder, and as to each person whom the stockholder proposes to nominate for election or reelection as a director, (2) all information relating to such person that would be required to be disclosed in a proxy statement or other filings required to be made in connection with solicitations of proxies for election of directors in a contested election pursuant to Section 14 of the Securities Exchange Act of 1934, as amended (the “Exchange Act”), and the rules and regulations promulgated thereunder, (3) a description of certain monetary agreements and material relationships between the nominating stockholder and the nominee, (4) a written questionnaire completed by the nominee with respect to the background and qualification of such nominee and the background of any other person or entity on whose behalf the nomination is being made and (5) a written representation and agreement from the nominee that the nominee does not have certain conflicts of interest. Under the stockholder notice procedure, a stockholder’s notice relating to the conduct of business other than the nomination of directors must contain certain information about the proposed business and about the proposing stockholder, including a brief description of the business the stockholder proposes to bring before the meeting, the text of the proposed business, the reasons for conducting such business at such meeting, and any interest of such stockholder in the business so proposed. If the chairman of the</w:t>
      </w:r>
    </w:p>
    <w:p>
      <w:pPr>
        <w:sectPr>
          <w:pgSz w:w="11900" w:h="16838" w:orient="portrait"/>
          <w:cols w:equalWidth="0" w:num="1">
            <w:col w:w="11420"/>
          </w:cols>
          <w:pgMar w:left="240" w:top="1418" w:right="239" w:bottom="1440" w:gutter="0" w:footer="0" w:header="0"/>
        </w:sectPr>
      </w:pPr>
    </w:p>
    <w:bookmarkStart w:id="124" w:name="page125"/>
    <w:bookmarkEnd w:id="124"/>
    <w:p>
      <w:pPr>
        <w:jc w:val="both"/>
        <w:spacing w:after="0" w:line="248" w:lineRule="auto"/>
        <w:rPr>
          <w:sz w:val="20"/>
          <w:szCs w:val="20"/>
          <w:color w:val="auto"/>
        </w:rPr>
      </w:pPr>
      <w:r>
        <w:rPr>
          <w:rFonts w:ascii="Arial" w:cs="Arial" w:eastAsia="Arial" w:hAnsi="Arial"/>
          <w:sz w:val="18"/>
          <w:szCs w:val="18"/>
          <w:color w:val="auto"/>
        </w:rPr>
        <w:t>meeting determines that a nomination or any business proposed to be brought before the meeting was not made or proposed, as the case may be, in accordance with the stockholder notice procedure, or the stockholder (or a qualified representative thereof) does not appear at the annual meeting in person or by proxy to present the nomination or proposal, then such defective proposal or nomination will be disregarded.</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Bylaws also include proxy access to allow eligible stockholders to include their own nominee or nominees for director in our proxy materials for an annual meeting of stockholders, along with the candidates nominated by the board of directors. Any stockholder or a group of up to 20 stockholders who have maintained continuous qualifying ownership of at least 3% of the shares of our outstanding common stock for at least the previous three years would be permitted to include up to 25% of the number of director nominees in our proxy materials for our annual meeting of stockholders. Under the proxy access procedure, for the stockholders’ notice in respect of the annual meeting of our stockholders to be timely, such notice must be delivered to our principal executive offices not earlier than 150 days and no later than 120 days before the anniversary of the date that we issued our proxy statement for the previous year’s annual meeting of stockholders.</w:t>
      </w:r>
    </w:p>
    <w:p>
      <w:pPr>
        <w:spacing w:after="0" w:line="21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Under the proxy access procedure, a stockholder’s notice to our company proposing to nominate a person for election as a director must contain the information required pursuant to the stockholder notice procedure outlined above, as well as a copy of the Schedule 14N that was filed with the Securities and Exchange Commission pursuant to Rule 14a-18 of the Exchange Act and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The nominating stockholders also would be required to make certain representations to and agreements with us, including (1) lack of intent to change or influence control of Republic, (2) intent to maintain qualifying ownership through the annual meeting date, (3) complying with solicitation rules and assuming liabilities related to and indemnifying us against losses arising out of the nomination and (4) the accuracy and completeness of all facts, statements and other information provided to us. We would not be required to include a stockholder nominee in our proxy materials if, among other disqualifying activities and attributes, (a) the nominee is or becomes a party to any agreement or understanding with any person or entity other than Republic with respect to any direct or indirect compensation, reimbursement or indemnification in connection with the nominee’s service as a director, (b) the nominee is not independent, as determined by our board of directors, (c) the nominee’s election to the board of directors would cause us to violate our Bylaws, Certificate or corporate governance guidelines, the rules and listing standards of the New York Stock Exchange, or any applicable state or federal law, rule or regulation, or (d) the nominee is or has been, within the past three years, an officer or director of a competitor. If the board of directors or the chairman of the meeting determines that a nomination was not made in accordance with the proxy access procedure or the stockholder (or a qualified representative thereof) does not appear at the annual meeting in person or by proxy to present the nomination, then such defective nomination will be disregarded.</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Although our Bylaws do not give our board of directors any power to approve or disapprove stockholder nominations for the election of directors or proper stockholder proposals for action, they may have the effect of precluding a contest for the election of directors or the consideration of stockholder proposals if the proper procedures are not followed.</w:t>
      </w:r>
    </w:p>
    <w:p>
      <w:pPr>
        <w:spacing w:after="0" w:line="2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i w:val="1"/>
          <w:iCs w:val="1"/>
          <w:color w:val="auto"/>
        </w:rPr>
        <w:t>Record Date Procedure for Stockholder Action by Written Consent</w:t>
      </w:r>
      <w:r>
        <w:rPr>
          <w:rFonts w:ascii="Arial" w:cs="Arial" w:eastAsia="Arial" w:hAnsi="Arial"/>
          <w:sz w:val="17"/>
          <w:szCs w:val="17"/>
          <w:color w:val="auto"/>
        </w:rPr>
        <w:t>. Our Bylaws establish a procedure for the fixing of a record date in respect of</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action proposed to be taken by our stockholders by written consent in lieu of a meeting. Our Bylaws provide that any person seeking to have the stockholders authorize or take corporate action by written consent without a meeting must, by written notice addressed to our Secretary, request the board of directors to fix a record date. Our Bylaws state that our board of directors must adopt a resolution fixing such requested record date within 10 days after the date upon which the request is received. If our board of directors fails within 10 days after we receive such notice to fix a record date, the Bylaws provide that the record date will be the first day on which a signed written consent setting forth the action taken or proposed to be taken is delivered to us unless prior action by our board of directors is required under the DGCL, in which event the record date will be at the close of business on the date on which our board of directors adopts the resolution taking such prior action. Our Bylaws also provide that nationally recognized independent inspectors of elections will promptly conduct a ministerial review of the validity of any written consents of stockholders duly delivered to us, and no action by written consent without a meeting will be effective until such date as the independent inspectors certify to us that the</w:t>
      </w:r>
    </w:p>
    <w:p>
      <w:pPr>
        <w:sectPr>
          <w:pgSz w:w="11900" w:h="16838" w:orient="portrait"/>
          <w:cols w:equalWidth="0" w:num="1">
            <w:col w:w="11420"/>
          </w:cols>
          <w:pgMar w:left="240" w:top="1422"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duly delivered consents represent at least the minimum number of votes that would be necessary to take the corporate action.</w:t>
      </w:r>
    </w:p>
    <w:p>
      <w:pPr>
        <w:spacing w:after="0" w:line="2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i w:val="1"/>
          <w:iCs w:val="1"/>
          <w:color w:val="auto"/>
        </w:rPr>
        <w:t>Stockholder Meetings</w:t>
      </w:r>
      <w:r>
        <w:rPr>
          <w:rFonts w:ascii="Arial" w:cs="Arial" w:eastAsia="Arial" w:hAnsi="Arial"/>
          <w:sz w:val="18"/>
          <w:szCs w:val="18"/>
          <w:color w:val="auto"/>
        </w:rPr>
        <w:t>. Our Bylaws provide that our board of directors and the chairman of a meeting may adopt rules and regulations for the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stockholder meetings as they deem appropriate (including the establishment of an agenda, rules relating to presence at the meeting of persons other than stockholders, restrictions on entry at the meeting after commencement thereof and the imposition of time limitations for questions by participants at the meeting).</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Our Certificate authorizes our board of directors to provide for the issuance of shares of preferred stock in one or more series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from time to time the number of shares to be included in each such series, and to fix the designation, powers, privileges, preferences and rights of the shares of each such series and the qualifications, limitations and restrictions thereof.</w:t>
      </w: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authorized shares of the preferred stock, as well as shares of common stock, will be available for issuance without further action by our stockholders, unless action is required by applicable law or the rules of any stock exchange or automated quotation system on which our securities may be listed or traded. The New York Stock Exchange currently requires stockholder approval as a prerequisite to listing shares in several instances, including in some cases where the present or potential issuance of shares could result in a 20 percent increase in the number of share of common stock outstanding or in the amount of voting securities outstanding. If the approval of our stockholders is not required for the issuance of shares of preferred stock or common stock, our board of directors may determine not to seek stockholder approval.</w:t>
      </w:r>
    </w:p>
    <w:p>
      <w:pPr>
        <w:spacing w:after="0" w:line="2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Although our board of directors has no intention at the present time of doing so, it could issue a series of preferred stock that could, depending on the terms of such series, impede the completion of a merger, tender offer or other takeover attempt. Our board of directors will make any determination to issue such shares based on its judgment as to the best interests of our company and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 current market price of such stock.</w:t>
      </w:r>
    </w:p>
    <w:p>
      <w:pPr>
        <w:spacing w:after="0" w:line="20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i w:val="1"/>
          <w:iCs w:val="1"/>
          <w:color w:val="auto"/>
        </w:rPr>
        <w:t>Amendment of Certain Provisions of the Certificate of Incorporation and Bylaws</w:t>
      </w:r>
      <w:r>
        <w:rPr>
          <w:rFonts w:ascii="Arial" w:cs="Arial" w:eastAsia="Arial" w:hAnsi="Arial"/>
          <w:sz w:val="18"/>
          <w:szCs w:val="18"/>
          <w:color w:val="auto"/>
        </w:rPr>
        <w:t>. Under the DGCL, the stockholders of a corporation have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adopt, amend or repeal the bylaws and, with the approval of the board of directors, the certificate of incorporation of a corporation. In addition, if the certificate of incorporation so provides, the bylaws may be adopted, amended or repealed by the board of directors. Our Certificate provides that the Bylaws may be amended or repealed by our board of directors.</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i w:val="1"/>
          <w:iCs w:val="1"/>
          <w:color w:val="auto"/>
        </w:rPr>
        <w:t>Anti-takeover Legislation</w:t>
      </w:r>
      <w:r>
        <w:rPr>
          <w:rFonts w:ascii="Arial" w:cs="Arial" w:eastAsia="Arial" w:hAnsi="Arial"/>
          <w:sz w:val="17"/>
          <w:szCs w:val="17"/>
          <w:color w:val="auto"/>
        </w:rPr>
        <w:t>. Section 203 of the DGCL provides that, subject to certain exceptions, a corporation shall not engage in any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with any “interested stockholder” for a three-year period following the time that such stockholder becomes an interested stockholder unless: (1) prior to such time, the board of directors of the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of the voting stock of the corporation outstanding at the time the transaction commenced (excluding certain shares); or (3) on or subsequent to such time, the business combination is approved by the board of directors of the corporation and by the affirmative vote of at least 66 2/3% of the outstanding voting stock that is not owned by the interested stockholder. Section 203 of the DGCL generally defines an “interested stockholder” to include (x) 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relevant date and (y) the affiliates and associates of any such person. Section 203 of the DGCL generally defines a “business combination” to include (i) any merger or consolidation involving the corporation and the interested stockholder, (ii) mergers and sales or other dispositions of 10% or more of the assets of the corporation with or to an interested stockholder, (iii) certain transactions resulting in the issuance or transfer to the interested stockholder of any stock of the corporation or its subsidiaries, (iv) certain transactions that</w:t>
      </w:r>
    </w:p>
    <w:p>
      <w:pPr>
        <w:sectPr>
          <w:pgSz w:w="11900" w:h="16838" w:orient="portrait"/>
          <w:cols w:equalWidth="0" w:num="1">
            <w:col w:w="11420"/>
          </w:cols>
          <w:pgMar w:left="240" w:top="1422" w:right="239" w:bottom="1440" w:gutter="0" w:footer="0" w:header="0"/>
        </w:sectPr>
      </w:pPr>
    </w:p>
    <w:bookmarkStart w:id="126" w:name="page127"/>
    <w:bookmarkEnd w:id="126"/>
    <w:p>
      <w:pPr>
        <w:jc w:val="both"/>
        <w:spacing w:after="0" w:line="324" w:lineRule="auto"/>
        <w:rPr>
          <w:sz w:val="20"/>
          <w:szCs w:val="20"/>
          <w:color w:val="auto"/>
        </w:rPr>
      </w:pPr>
      <w:r>
        <w:rPr>
          <w:rFonts w:ascii="Arial" w:cs="Arial" w:eastAsia="Arial" w:hAnsi="Arial"/>
          <w:sz w:val="16"/>
          <w:szCs w:val="16"/>
          <w:color w:val="auto"/>
        </w:rPr>
        <w:t>would result in increasing the proportionate share of the stock of the corporation or its subsidiaries owned by the interested stockholder and (v) receipt by the interested stockholder of the benefit (except proportionately as a stockholder) of any loans, advances, guarantees, pledges or other financial benefits.</w:t>
      </w:r>
    </w:p>
    <w:p>
      <w:pPr>
        <w:spacing w:after="0" w:line="15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Under certain circumstances, Section 203 of the DGCL makes it more difficult for a person who would be an interested stockholder to effect various business combinations with a corporation for a three-year period, although the certificate of incorporation or stockholder-adopted bylaws may exclude a corporation from the restrictions imposed thereunder. Neither our Certificate nor our Bylaws exclude our company from the restrictions imposed under Section 203 of the DGCL. We anticipate that the provisions of Section 203 of the DGCL may encourage companies interested in acquiring our company to negotiate in advance with our board of directors because the stockholder approval requirement would be avoided if our board of directors approves, prior to the time the stockholder becomes an interested stockholder, either the business combination or the transaction which results in the stockholder becoming an interested stockholder.</w:t>
      </w:r>
    </w:p>
    <w:p>
      <w:pPr>
        <w:sectPr>
          <w:pgSz w:w="11900" w:h="16838" w:orient="portrait"/>
          <w:cols w:equalWidth="0" w:num="1">
            <w:col w:w="11420"/>
          </w:cols>
          <w:pgMar w:left="240" w:top="1422"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21.1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4440" w:type="dxa"/>
            <w:vAlign w:val="bottom"/>
            <w:gridSpan w:val="2"/>
          </w:tcPr>
          <w:p>
            <w:pPr>
              <w:ind w:left="246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91"/>
        </w:trPr>
        <w:tc>
          <w:tcPr>
            <w:tcW w:w="5200" w:type="dxa"/>
            <w:vAlign w:val="bottom"/>
            <w:gridSpan w:val="2"/>
          </w:tcPr>
          <w:p>
            <w:pPr>
              <w:spacing w:after="0"/>
              <w:rPr>
                <w:sz w:val="20"/>
                <w:szCs w:val="20"/>
                <w:color w:val="auto"/>
              </w:rPr>
            </w:pPr>
            <w:r>
              <w:rPr>
                <w:rFonts w:ascii="Arial" w:cs="Arial" w:eastAsia="Arial" w:hAnsi="Arial"/>
                <w:sz w:val="18"/>
                <w:szCs w:val="18"/>
                <w:color w:val="auto"/>
              </w:rPr>
              <w:t>25 Ashdown Road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623 Landfill, Inc.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Virginia</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 D A J Corporation</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California</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A-Best Disposal, Inc.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Ohio</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Abilene Landfill TX, LP</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Ace Disposal Services, Inc.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Ohio</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Action Disposal, Inc.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Texas</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Adrian Landfill, Inc.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Michigan</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ADS of Illinois, Inc.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Illinois</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ADS, Inc.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Oklahoma</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Accabonac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Broadalbin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DE RS I,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DE RS II,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DE RS III,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DE RS IV,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DE RS IX,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DE RS V,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DE RS VI,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DE RS VII,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DE RS VIII,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DE RS X,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DE RS XI,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Gabreski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Greece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Holland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Johnsville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Kekaha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Lawa'i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Monroe Solar A,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Monroe Solar B,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Monroe Solar C,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Monroe Solar D,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Monroe Solar E,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Rochester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Tonawanda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AES Wawarsing Solar,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Agricultural Acquisitions,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Indiana</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Agri-Tech, Inc. of Oregon</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Oregon</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Agromin OC,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California</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Alabama Recycling Services, Inc.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Alabama</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Albany-Lebanon Sanitation, Inc.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Oregon</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Allied Gas Recovery Systems,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Allied Green Power, LLC</w:t>
            </w:r>
          </w:p>
        </w:tc>
        <w:tc>
          <w:tcPr>
            <w:tcW w:w="4440" w:type="dxa"/>
            <w:vAlign w:val="bottom"/>
            <w:gridSpan w:val="2"/>
          </w:tcPr>
          <w:p>
            <w:pPr>
              <w:ind w:left="24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320"/>
          </w:cols>
          <w:pgMar w:left="340" w:top="931"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3700" w:type="dxa"/>
            <w:vAlign w:val="bottom"/>
            <w:gridSpan w:val="2"/>
          </w:tcPr>
          <w:p>
            <w:pPr>
              <w:ind w:left="172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Allied Nova Scotia, Inc.</w:t>
            </w:r>
          </w:p>
        </w:tc>
        <w:tc>
          <w:tcPr>
            <w:tcW w:w="3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Remediation Services,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Research Affiliates,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New Jersey</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Services,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Environmental Management Group,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Holdings (Canada) Ltd.</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Industries (Arizona),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Arizona</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Industries of Illinois,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Illinois</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Industries of Northwest Indiana,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Indiana</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Industries of Tennessee,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Tennessee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Industries,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Landfill Holdings,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Niagara Falls Landfill,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New York</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North America,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of California,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California</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of New Jersey,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New Jersey</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of New Jersey-New York,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of Ponce,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Puerto Rico</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of Puerto Rico,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Puerto Rico</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Recycling Services of New Hampshire,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Rural Sanitation,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Services of Colorado,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Services of Fort Worth,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Texas</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Services of Massachusetts,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Massachusetts</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Services of North America,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Services of Page,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Idaho</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Services of Stillwater,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Oklahoma</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Sycamore Landfill,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Systems Holdings,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Systems of Arizona,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Arizona</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Systems of Colorado,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Colorado</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Systems of Michigan,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Michigan</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Systems of Montana,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Montana</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Systems of New Jersey,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New Jersey</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Systems of Pennsylvania,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Pennsylvania</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Systems,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Transfer Services of Arizona,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Transfer Services of California,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California</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Transfer Services of Florida,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Florida</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Transfer Services of New York,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New York</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Transfer Services of North Carolina,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North Carolina</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Transfer Services of Oregon,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Oregon</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Transfer Services of Rhode Island, LLC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Transfer Services of Utah,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Utah</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Allied Waste Transportation,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r>
        <w:trPr>
          <w:trHeight w:val="270"/>
        </w:trPr>
        <w:tc>
          <w:tcPr>
            <w:tcW w:w="5940" w:type="dxa"/>
            <w:vAlign w:val="bottom"/>
            <w:gridSpan w:val="2"/>
          </w:tcPr>
          <w:p>
            <w:pPr>
              <w:spacing w:after="0"/>
              <w:rPr>
                <w:sz w:val="20"/>
                <w:szCs w:val="20"/>
                <w:color w:val="auto"/>
              </w:rPr>
            </w:pPr>
            <w:r>
              <w:rPr>
                <w:rFonts w:ascii="Arial" w:cs="Arial" w:eastAsia="Arial" w:hAnsi="Arial"/>
                <w:sz w:val="18"/>
                <w:szCs w:val="18"/>
                <w:color w:val="auto"/>
              </w:rPr>
              <w:t>American Disposal Services of Illinois, Inc.</w:t>
            </w:r>
          </w:p>
        </w:tc>
        <w:tc>
          <w:tcPr>
            <w:tcW w:w="3700" w:type="dxa"/>
            <w:vAlign w:val="bottom"/>
            <w:gridSpan w:val="2"/>
          </w:tcPr>
          <w:p>
            <w:pPr>
              <w:ind w:left="17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119"/>
          </w:cols>
          <w:pgMar w:left="340" w:top="972" w:right="1440"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3900" w:type="dxa"/>
            <w:vAlign w:val="bottom"/>
            <w:gridSpan w:val="2"/>
          </w:tcPr>
          <w:p>
            <w:pPr>
              <w:ind w:left="192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91"/>
        </w:trPr>
        <w:tc>
          <w:tcPr>
            <w:tcW w:w="5740" w:type="dxa"/>
            <w:vAlign w:val="bottom"/>
            <w:gridSpan w:val="2"/>
          </w:tcPr>
          <w:p>
            <w:pPr>
              <w:spacing w:after="0"/>
              <w:rPr>
                <w:sz w:val="20"/>
                <w:szCs w:val="20"/>
                <w:color w:val="auto"/>
              </w:rPr>
            </w:pPr>
            <w:r>
              <w:rPr>
                <w:rFonts w:ascii="Arial" w:cs="Arial" w:eastAsia="Arial" w:hAnsi="Arial"/>
                <w:sz w:val="18"/>
                <w:szCs w:val="18"/>
                <w:color w:val="auto"/>
              </w:rPr>
              <w:t>American Disposal Services of Kansas,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Kansas</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American Disposal Services of Missouri,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Oklahoma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American Disposal Services of New Jersey,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American Disposal Services of West Virginia,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American Disposal Services,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American Disposal Transfer Services of Illinois,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American Materials Recycling Corp.</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New Jersey</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American Sanitation,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Idaho</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American Transfer Company,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New York</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Anderson Solid Waste,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Anson County Landfill NC, LLC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Apache Junction Landfill Corporation</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Arizona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APR Walden Solar 1, LLC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Arbor Hills Holdings L.L.C.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Area Disposal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Illinois</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Ariana, LLC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Aries Venture Investments Company</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Astro Waste Services,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Maine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Atlantic Waste Holding Company,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Massachusetts</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Atlas Transport,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Attwoods of North America,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Autauga County Landfill, LLC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Alabama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Automated Modular Systems,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New Jersey</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Autoshred,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Missouri</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AWIN Leasing Company,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AWIN Leasing II, LLC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Ohio</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AWIN Management,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Bakersfield Industrial PV 1, LLC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Bakersfield PV 1, LLC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Barker Brothers Waste, Incorporated</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Tennessee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Barker Brothers,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Tennessee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Bay Collection Services,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Bay Environmental Management,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Bay Landfills,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Bay Leasing Company,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Bayside Disposal,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Washington</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BBCO,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Bealine Service Company,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Belleville Landfill,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Missouri</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Benson Valley Landfill General Partnership</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Kentucky</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Berkeley Sanitary Service,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California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Berrien County Landfill,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Michigan</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BFGSI Series 1997-A Trust</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BFGSI, L.L.C.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BFI Atlantic,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BFI Energy Systems of Albany, Inc.</w:t>
            </w:r>
          </w:p>
        </w:tc>
        <w:tc>
          <w:tcPr>
            <w:tcW w:w="3900" w:type="dxa"/>
            <w:vAlign w:val="bottom"/>
            <w:gridSpan w:val="2"/>
          </w:tcPr>
          <w:p>
            <w:pPr>
              <w:ind w:left="19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119"/>
          </w:cols>
          <w:pgMar w:left="340" w:top="973" w:right="1440"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3260" w:type="dxa"/>
            <w:vAlign w:val="bottom"/>
            <w:gridSpan w:val="2"/>
          </w:tcPr>
          <w:p>
            <w:pPr>
              <w:ind w:left="128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91"/>
        </w:trPr>
        <w:tc>
          <w:tcPr>
            <w:tcW w:w="6380" w:type="dxa"/>
            <w:vAlign w:val="bottom"/>
            <w:gridSpan w:val="2"/>
          </w:tcPr>
          <w:p>
            <w:pPr>
              <w:spacing w:after="0"/>
              <w:rPr>
                <w:sz w:val="20"/>
                <w:szCs w:val="20"/>
                <w:color w:val="auto"/>
              </w:rPr>
            </w:pPr>
            <w:r>
              <w:rPr>
                <w:rFonts w:ascii="Arial" w:cs="Arial" w:eastAsia="Arial" w:hAnsi="Arial"/>
                <w:sz w:val="18"/>
                <w:szCs w:val="18"/>
                <w:color w:val="auto"/>
              </w:rPr>
              <w:t>BFI Energy Systems of Delaware County,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Energy Systems of Essex County,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New Jersey</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Energy Systems of Hempstead,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Energy Systems of Niagara II,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Energy Systems of Niagara,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Energy Systems of SEMASS,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Energy Systems of Southeastern Connecticut,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Energy Systems of Southeastern Connecticut, Limited Partnership</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REF-FUEL,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Trans River (GP),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Trans River (LP),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Transfer Systems of Alabama,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Transfer Systems of Georgia,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Transfer Systems of Massachusetts,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Massachusetts</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Transfer Systems of Mississippi,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Transfer Systems of New Jersey,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New Jersey</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Transfer Systems of Pennsylvania,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Pennsylvania</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Transfer Systems of Texas, LP</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Transfer Systems of Virginia,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Services of Indiana, LP</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Services of Pennsylvania,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Pennsylvania</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Services of Texas, LP</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Services,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Alabama,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Arkansas,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Georgia,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Louisiana,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Massachusetts,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Massachusetts</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Mississippi,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Missouri,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New Jersey,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New Jersey</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North America,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Oklahoma,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Oklahoma</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Tennessee,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BFI Waste Systems of Virginia,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Bio-Med of Oregon,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Oregon</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Bloomington Haulers,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Minnesota</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Blue Mountain Recycling,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Pennsylvania</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Blue Ridge Landfill TX, LP</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Bom Ambiente Insurance Company</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Cayman Islands</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Bond County Landfill,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Borrego Landfill,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California</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Borrow Pit Corp.</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Illinois</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Brenham Total Roll-Offs, LP</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Brickyard Disposal &amp; Recycling, Inc.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Illinois</w:t>
            </w:r>
          </w:p>
        </w:tc>
      </w:tr>
      <w:tr>
        <w:trPr>
          <w:trHeight w:val="270"/>
        </w:trPr>
        <w:tc>
          <w:tcPr>
            <w:tcW w:w="6380" w:type="dxa"/>
            <w:vAlign w:val="bottom"/>
            <w:gridSpan w:val="2"/>
          </w:tcPr>
          <w:p>
            <w:pPr>
              <w:spacing w:after="0"/>
              <w:rPr>
                <w:sz w:val="20"/>
                <w:szCs w:val="20"/>
                <w:color w:val="auto"/>
              </w:rPr>
            </w:pPr>
            <w:r>
              <w:rPr>
                <w:rFonts w:ascii="Arial" w:cs="Arial" w:eastAsia="Arial" w:hAnsi="Arial"/>
                <w:sz w:val="18"/>
                <w:szCs w:val="18"/>
                <w:color w:val="auto"/>
              </w:rPr>
              <w:t>Bridgeton Landfill, LLC</w:t>
            </w:r>
          </w:p>
        </w:tc>
        <w:tc>
          <w:tcPr>
            <w:tcW w:w="326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119"/>
          </w:cols>
          <w:pgMar w:left="340" w:top="972" w:right="1440"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3920" w:type="dxa"/>
            <w:vAlign w:val="bottom"/>
            <w:gridSpan w:val="2"/>
          </w:tcPr>
          <w:p>
            <w:pPr>
              <w:ind w:left="194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color w:val="auto"/>
              </w:rPr>
              <w:t>Bridgeton Transfer Station, LLC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Industries Chemical Services,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Nevada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Industries de Mexico, S.A. de C.V.</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Mexico</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Industries of California,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California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Industries of Florida,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Industries of Illinois,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Industries of New Jersey,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New Jersey</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Industries of New York,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New York</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Industries of Ohio,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Industries of Tennessee,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Tennessee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Industries,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Massachusetts</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Industries, LLC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Services,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Browning-Ferris,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Maryland</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Brunswick Waste Management Facility, LLC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Bunting Trash Service,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Colorado</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Butler County Landfill, LLC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 &amp; C Expanded Sanitary Landfill, LLC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Michigan</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Cactus Waste Systems, LLC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Arizona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Calvert Trash Service, Incorporated</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Maryland</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Calvert Trash Systems, Incorporated</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Maryland</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Camelot Landfill TX, LP</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Capital Waste &amp; Recycling,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New York</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Capitol Recycling and Disposal,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Oregon</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Carbon Limestone Landfill, LLC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Ohio</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CC Landfill,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CECOS International,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New York</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Cefe Landfill TX, LP</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Celina Landfill,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Ohio</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Central Arizona Transfer,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Arizona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Central Sanitary Landfill,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Michigan</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Central Virginia Properties, LLC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Georgia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Champlin Refuse,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Minnesota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Charter Evaporation Resource Recovery Systems</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California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Cherokee Run Landfill,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Ohio</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Chilton Landfill, LLC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Citizens Disposal,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Michigan</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City-Star Services,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Michigan</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Clarkston Disposal,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Michigan</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Clinton County Landfill Partnership</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Indiana</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Cocopah Landfill,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Compactor Rental Systems of Delaware,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Congress Development Co.</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Illinois</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Consolidated Disposal Service, L.L.C.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Delaware</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Consolidated Processing,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Illinois</w:t>
            </w:r>
          </w:p>
        </w:tc>
      </w:tr>
      <w:tr>
        <w:trPr>
          <w:trHeight w:val="270"/>
        </w:trPr>
        <w:tc>
          <w:tcPr>
            <w:tcW w:w="5720" w:type="dxa"/>
            <w:vAlign w:val="bottom"/>
            <w:gridSpan w:val="2"/>
          </w:tcPr>
          <w:p>
            <w:pPr>
              <w:spacing w:after="0"/>
              <w:rPr>
                <w:sz w:val="20"/>
                <w:szCs w:val="20"/>
                <w:color w:val="auto"/>
              </w:rPr>
            </w:pPr>
            <w:r>
              <w:rPr>
                <w:rFonts w:ascii="Arial" w:cs="Arial" w:eastAsia="Arial" w:hAnsi="Arial"/>
                <w:sz w:val="18"/>
                <w:szCs w:val="18"/>
                <w:color w:val="auto"/>
              </w:rPr>
              <w:t>Continental Waste Industries - Gary, Inc.</w:t>
            </w:r>
          </w:p>
        </w:tc>
        <w:tc>
          <w:tcPr>
            <w:tcW w:w="3920" w:type="dxa"/>
            <w:vAlign w:val="bottom"/>
            <w:gridSpan w:val="2"/>
          </w:tcPr>
          <w:p>
            <w:pPr>
              <w:ind w:left="1940"/>
              <w:spacing w:after="0"/>
              <w:rPr>
                <w:sz w:val="20"/>
                <w:szCs w:val="20"/>
                <w:color w:val="auto"/>
              </w:rPr>
            </w:pPr>
            <w:r>
              <w:rPr>
                <w:rFonts w:ascii="Arial" w:cs="Arial" w:eastAsia="Arial" w:hAnsi="Arial"/>
                <w:sz w:val="18"/>
                <w:szCs w:val="18"/>
                <w:color w:val="auto"/>
              </w:rPr>
              <w:t>Indiana</w:t>
            </w:r>
          </w:p>
        </w:tc>
      </w:tr>
    </w:tbl>
    <w:p>
      <w:pPr>
        <w:sectPr>
          <w:pgSz w:w="11900" w:h="16838" w:orient="portrait"/>
          <w:cols w:equalWidth="0" w:num="1">
            <w:col w:w="10119"/>
          </w:cols>
          <w:pgMar w:left="340" w:top="972" w:right="1440"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3980" w:type="dxa"/>
            <w:vAlign w:val="bottom"/>
            <w:gridSpan w:val="2"/>
          </w:tcPr>
          <w:p>
            <w:pPr>
              <w:ind w:left="200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91"/>
        </w:trPr>
        <w:tc>
          <w:tcPr>
            <w:tcW w:w="5660" w:type="dxa"/>
            <w:vAlign w:val="bottom"/>
            <w:gridSpan w:val="2"/>
          </w:tcPr>
          <w:p>
            <w:pPr>
              <w:spacing w:after="0"/>
              <w:rPr>
                <w:sz w:val="20"/>
                <w:szCs w:val="20"/>
                <w:color w:val="auto"/>
              </w:rPr>
            </w:pPr>
            <w:r>
              <w:rPr>
                <w:rFonts w:ascii="Arial" w:cs="Arial" w:eastAsia="Arial" w:hAnsi="Arial"/>
                <w:sz w:val="18"/>
                <w:szCs w:val="18"/>
                <w:color w:val="auto"/>
              </w:rPr>
              <w:t>Continental Waste Industries, L.L.C.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Copper Mountain Landfill,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Corvallis Disposal Co.</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Oregon</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County Disposal (Ohio),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County Disposal,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County Environmental Landfill, LLC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Ohio</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County Land Development Landfill, LLC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Ohio</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County Landfill,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County Line Landfill Partnership</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Indiana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Courtney Ridge Landfill, LLC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Covington Waste,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Tennessee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Crockett Sanitary Service,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California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Crow Landfill TX, L.P.</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Cumberland County Development Company, LLC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Virginia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CWI of Florida,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Florida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CWI of Illinois,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Illinois</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CWI of Missouri,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Missouri</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 &amp; L Disposal L.L.C.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Delano PV 1, LLC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California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Delta Container Corporation</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California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Delta Dade Recycling Corp.</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Florida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Delta Paper Stock, Co.</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California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Delta Resources Corp.</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Florida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Delta Site Development Corp.</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Florida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Delta Waste Corp.</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Florida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Dempsey Waste Systems II,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Ohio</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Denver RL North,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Colorado</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Desarrollo del Rancho La Gloria TX, LP</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Texas</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Devens Recycling Center, LLC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Massachusetts</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Dinverno,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Michigan</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DTC Management,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Indiana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 &amp; P Investment Corporation</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Illinois</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Eagle Industries Leasing,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Michigan</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East Chicago Compost Facility,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ECDC Environmental, L.C.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Utah</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ECDC Holdings,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El Centro Landfill, L.P.</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Texas</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Elder Creek Transfer &amp; Recovery,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California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Ellis County Landfill TX, LP</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Ellis Scott Landfill MO, LLC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Envirocycle,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Florida</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Environmental Development Corp.</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Environmental Reclamation Company</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Illinois</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Environtech, Inc.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Envotech-Illinois L.L.C.</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Delaware</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color w:val="auto"/>
              </w:rPr>
              <w:t>Evergreen National Indemnity Company</w:t>
            </w:r>
          </w:p>
        </w:tc>
        <w:tc>
          <w:tcPr>
            <w:tcW w:w="3980" w:type="dxa"/>
            <w:vAlign w:val="bottom"/>
            <w:gridSpan w:val="2"/>
          </w:tcPr>
          <w:p>
            <w:pPr>
              <w:ind w:left="200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0119"/>
          </w:cols>
          <w:pgMar w:left="340" w:top="972"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3860" w:type="dxa"/>
            <w:vAlign w:val="bottom"/>
            <w:gridSpan w:val="2"/>
          </w:tcPr>
          <w:p>
            <w:pPr>
              <w:ind w:left="188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91"/>
        </w:trPr>
        <w:tc>
          <w:tcPr>
            <w:tcW w:w="5780" w:type="dxa"/>
            <w:vAlign w:val="bottom"/>
            <w:gridSpan w:val="2"/>
          </w:tcPr>
          <w:p>
            <w:pPr>
              <w:spacing w:after="0"/>
              <w:rPr>
                <w:sz w:val="20"/>
                <w:szCs w:val="20"/>
                <w:color w:val="auto"/>
              </w:rPr>
            </w:pPr>
            <w:r>
              <w:rPr>
                <w:rFonts w:ascii="Arial" w:cs="Arial" w:eastAsia="Arial" w:hAnsi="Arial"/>
                <w:sz w:val="18"/>
                <w:szCs w:val="18"/>
                <w:color w:val="auto"/>
              </w:rPr>
              <w:t>Evergreen Scavenger Service,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Evergreen Scavenger Service,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 P. McNamara Rubbish Removal,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Massachusetts</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FCR Camden,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FCR Florida,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FCR Greensboro,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FCR Morris,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FCR Tennessee,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FCR,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Flint Hill Road,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South Carolina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FLL,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Michigan</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Foothill Sanitary Landfill,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California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Forest View Landfill,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Fort Worth Landfill TX, LP</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Forward,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California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Founder's Homestead Farm Solar,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Rhode Island</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Frankfort Environmental Development Company,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Indiana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Frontier Waste Services (Colorado),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Colorado</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Frontier Waste Services (Utah),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Utah</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Frontier Waste Services of Louisiana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Louisiana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Frontier Waste Services, L.P.</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Texas</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 Van Dyken Disposal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Michigan</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Galveston County Landfill TX, LP</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Gateway Landfill,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Georgia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GEK,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Alabama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General Refuse Rolloff Corp.</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General Refuse Service of Ohio,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Ohio</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Georgia Recycling Services,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GGH North Dakota,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North Dakota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Global Indemnity Assurance Company</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Vermont</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Golden Bear Transfer Services,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California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Golden Triangle Landfill TX, LP</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Golden Waste Disposal,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Georgia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Grants Pass Sanitation,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Oregon</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Great Lakes Disposal Service,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Great Plains Landfill OK,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Green Valley Landfill General Partnership</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Kentucky</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Greenridge Reclamation,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Pennsylvania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Greenridge Waste Services,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Pennsylvania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Greenwood Landfill TX, LP</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Gulf West Landfill TX, LP</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Delaware</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Gulfcoast Waste Service,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Florida</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H B Data Security,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Connecticut</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Hancock County Development Company,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Mississippi</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Harland's Sanitary Landfill, Inc.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Michigan</w:t>
            </w:r>
          </w:p>
        </w:tc>
      </w:tr>
      <w:tr>
        <w:trPr>
          <w:trHeight w:val="270"/>
        </w:trPr>
        <w:tc>
          <w:tcPr>
            <w:tcW w:w="5780" w:type="dxa"/>
            <w:vAlign w:val="bottom"/>
            <w:gridSpan w:val="2"/>
          </w:tcPr>
          <w:p>
            <w:pPr>
              <w:spacing w:after="0"/>
              <w:rPr>
                <w:sz w:val="20"/>
                <w:szCs w:val="20"/>
                <w:color w:val="auto"/>
              </w:rPr>
            </w:pPr>
            <w:r>
              <w:rPr>
                <w:rFonts w:ascii="Arial" w:cs="Arial" w:eastAsia="Arial" w:hAnsi="Arial"/>
                <w:sz w:val="18"/>
                <w:szCs w:val="18"/>
                <w:color w:val="auto"/>
              </w:rPr>
              <w:t>Harrison County Landfill, LLC</w:t>
            </w: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Mississippi</w:t>
            </w:r>
          </w:p>
        </w:tc>
      </w:tr>
    </w:tbl>
    <w:p>
      <w:pPr>
        <w:sectPr>
          <w:pgSz w:w="11900" w:h="16838" w:orient="portrait"/>
          <w:cols w:equalWidth="0" w:num="1">
            <w:col w:w="10119"/>
          </w:cols>
          <w:pgMar w:left="340" w:top="972" w:right="1440"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4140" w:type="dxa"/>
            <w:vAlign w:val="bottom"/>
            <w:gridSpan w:val="2"/>
          </w:tcPr>
          <w:p>
            <w:pPr>
              <w:ind w:left="216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HMD Waste, L.L.C.</w:t>
            </w:r>
          </w:p>
        </w:tc>
        <w:tc>
          <w:tcPr>
            <w:tcW w:w="3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Honeygo Run Reclamation Center,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Maryland</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Hudson Baylor 27th Avenue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Hudson Baylor Atlantic County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Hudson Baylor Beacon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Hudson Baylor Cape May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Hudson Baylor North Gateway,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Hudson Baylor Tucson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Hyder Waste Container,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North Carolina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Illiana Disposal Partnership</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Indiana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Illinois Landfill,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Illinois</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Illinois Recycling Services,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Illinois</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Illinois Valley Recycling,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Illinois</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Imperial Landfill,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California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Independent Trucking Company</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California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Ingrum Waste Disposal,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Illinois</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International Disposal Corp. of California</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California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Island Waste Services Ltd.</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New York</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Itasca Landfill TX, LP</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Jefferson City Landfill,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Jetter Disposal,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Iowa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Johnstown Solar 1,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K &amp; K Trash Removal,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Maryland</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Kankakee Quarry,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Illinois</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Keller Canyon Landfill Company</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California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Keller Drop Box,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Oregon</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Kent-Meridian Disposal Company</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Washington</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Kerrville Landfill TX, LP</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Key Waste Indiana Partnership</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Indiana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La Cañada Disposal Company,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California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Lake County C &amp; D Development Partnership</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Indiana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Lake Norman Landfill,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North Carolina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LandComp Corporation</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Illinois</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Lathrop Sunrise Sanitation Corporation</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California</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Lee County Landfill SC,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Lee County Landfill,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Illinois</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Lemons Landfill,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Lewistown Disposal,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Washington</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Lewisville Landfill TX, LP</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LGS Renewables I, 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Texas</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Liberty Waste Holdings,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Liberty Waste Services Limited,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Liberty Waste Services of Illinois,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Illinois</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Liberty Waste Services of McCook,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Local Sanitation of Rowan County, L.L.C.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Delaware</w:t>
            </w:r>
          </w:p>
        </w:tc>
      </w:tr>
      <w:tr>
        <w:trPr>
          <w:trHeight w:val="270"/>
        </w:trPr>
        <w:tc>
          <w:tcPr>
            <w:tcW w:w="5500" w:type="dxa"/>
            <w:vAlign w:val="bottom"/>
            <w:gridSpan w:val="2"/>
          </w:tcPr>
          <w:p>
            <w:pPr>
              <w:spacing w:after="0"/>
              <w:rPr>
                <w:sz w:val="20"/>
                <w:szCs w:val="20"/>
                <w:color w:val="auto"/>
              </w:rPr>
            </w:pPr>
            <w:r>
              <w:rPr>
                <w:rFonts w:ascii="Arial" w:cs="Arial" w:eastAsia="Arial" w:hAnsi="Arial"/>
                <w:sz w:val="18"/>
                <w:szCs w:val="18"/>
                <w:color w:val="auto"/>
              </w:rPr>
              <w:t>Loop Recycling, Inc.</w:t>
            </w:r>
          </w:p>
        </w:tc>
        <w:tc>
          <w:tcPr>
            <w:tcW w:w="4140" w:type="dxa"/>
            <w:vAlign w:val="bottom"/>
            <w:gridSpan w:val="2"/>
          </w:tcPr>
          <w:p>
            <w:pPr>
              <w:ind w:left="2160"/>
              <w:spacing w:after="0"/>
              <w:rPr>
                <w:sz w:val="20"/>
                <w:szCs w:val="20"/>
                <w:color w:val="auto"/>
              </w:rPr>
            </w:pPr>
            <w:r>
              <w:rPr>
                <w:rFonts w:ascii="Arial" w:cs="Arial" w:eastAsia="Arial" w:hAnsi="Arial"/>
                <w:sz w:val="18"/>
                <w:szCs w:val="18"/>
                <w:color w:val="auto"/>
              </w:rPr>
              <w:t>Illinois</w:t>
            </w:r>
          </w:p>
        </w:tc>
      </w:tr>
    </w:tbl>
    <w:p>
      <w:pPr>
        <w:sectPr>
          <w:pgSz w:w="11900" w:h="16838" w:orient="portrait"/>
          <w:cols w:equalWidth="0" w:num="1">
            <w:col w:w="10119"/>
          </w:cols>
          <w:pgMar w:left="340" w:top="972" w:right="1440"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4100" w:type="dxa"/>
            <w:vAlign w:val="bottom"/>
            <w:gridSpan w:val="2"/>
          </w:tcPr>
          <w:p>
            <w:pPr>
              <w:ind w:left="212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91"/>
        </w:trPr>
        <w:tc>
          <w:tcPr>
            <w:tcW w:w="5540" w:type="dxa"/>
            <w:vAlign w:val="bottom"/>
            <w:gridSpan w:val="2"/>
          </w:tcPr>
          <w:p>
            <w:pPr>
              <w:spacing w:after="0"/>
              <w:rPr>
                <w:sz w:val="20"/>
                <w:szCs w:val="20"/>
                <w:color w:val="auto"/>
              </w:rPr>
            </w:pPr>
            <w:r>
              <w:rPr>
                <w:rFonts w:ascii="Arial" w:cs="Arial" w:eastAsia="Arial" w:hAnsi="Arial"/>
                <w:sz w:val="18"/>
                <w:szCs w:val="18"/>
                <w:color w:val="auto"/>
              </w:rPr>
              <w:t>Loop Transfer, Incorporated</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Illinois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Lorain County Landfill,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Ohio</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Louis Pinto &amp; Son, Inc., Sanitation Contractors</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New Jersey</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Lucas County Landfill,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Ohio</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Madison County Development,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Tennessee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Manteca PV 1,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California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Manumit of Florida,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Florida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Marion Investment Group,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Oregon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Marion Recycling Center,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Oregon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Marion Resource Recovery Facility,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Oregon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Maui 17-2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Hawaii</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McCarty Road Landfill TX, LP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McCusker Recycling,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Pennsylvania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McInnis Waste Systems,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Oregon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Menands Environmental Solutions,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New York</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Mesa Disposal,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Arizona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Mesquite Landfill TX, LP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Mexia Landfill TX, LP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M-G Disposal Services,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Mississippi Waste Paper Company</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Mississippi</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Missouri City Landfill,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Missouri</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Modern Power,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Modern-Mallard Energy,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Montana Waste Systems,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Washington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Mountain Home Disposal,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 Leasing Company,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NationsWaste Catawba Regional Landfill,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South Carolina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NationsWaste,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New Mexico Disposal Co.,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California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New Morgan Landfill Company,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Pennsylvania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New York Waste Services,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Newton County Landfill Partnership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Indiana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Nichols Street Properties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NMRT,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New Mexico</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Noble Road Landfill,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Ohio</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Northeast Landfill,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Northlake Transfer,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Illinois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Northwest Tennessee Disposal Corporation</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Tennessee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NY RNM Project1,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NY RNM Project1A,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NY RNM Project2,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NY RNM Project3,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NY RNM Project4,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Oahu SPE 101-14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Hawaii</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Oahu SPE 101-2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Hawaii</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Oahu SPE 101-4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Hawaii</w:t>
            </w:r>
          </w:p>
        </w:tc>
      </w:tr>
    </w:tbl>
    <w:p>
      <w:pPr>
        <w:sectPr>
          <w:pgSz w:w="11900" w:h="16838" w:orient="portrait"/>
          <w:cols w:equalWidth="0" w:num="1">
            <w:col w:w="10119"/>
          </w:cols>
          <w:pgMar w:left="340" w:top="972" w:right="1440"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4260" w:type="dxa"/>
            <w:vAlign w:val="bottom"/>
            <w:gridSpan w:val="2"/>
          </w:tcPr>
          <w:p>
            <w:pPr>
              <w:ind w:left="228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Oahu SPE 101-9 LLC</w:t>
            </w:r>
          </w:p>
        </w:tc>
        <w:tc>
          <w:tcPr>
            <w:tcW w:w="3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Hawaii</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Oahu SPE 101-19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Hawaii</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Oakland Heights Development,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Michigan</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Obscurity Land Development,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Virginia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Oceanside Waste &amp; Recycling Services</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California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Ohio Republic Contracts, II,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Ohio Republic Contracts,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Ohio</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Oklahoma City Landfill,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Oklahoma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Organix Solutions,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Minnesota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Oscar's Collection System of Fremont,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Nebraska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Otay Landfill,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California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Ottawa County Landfill,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Packerton Land Company,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Palomar Transfer Station,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California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Peltier Real Estate Company</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Oregon</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Peninsula Waste Systems,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Maryland</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Perdomo &amp; Sons,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California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Pinal County Landfill Corp.</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Arizona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Pine Bend Holdings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Pine Hill Farms Landfill TX, LP</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Pinecrest Landfill OK,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Pittsburg County Landfill,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Oklahoma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Pleasant Oaks Landfill TX, LP</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Polk County Landfill,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Port Clinton Landfill,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Ohio</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Portable Storage Co.</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Oregon</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Preble County Landfill,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Ohio</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Price &amp; Sons Recycling Company</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Georgia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Prichard Landfill Corporation</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West Virginia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Prince George's County Landfill,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Maryland</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R.C. Miller Enterprises,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Ohio</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R.C. Miller Refuse Service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Ohio</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Rabanco Companies</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Washington</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Rabanco Recycling,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Washington</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Rabanco, Ltd.</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Washington</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Rainbow Disposal Co.,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California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Rainbow Environmental Services,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Rainbow Transfer/Recycling,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California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Rainbow West Florida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Ramona Landfill,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California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Ransomville Solar 1,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RCS,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Illinois</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Re Community Delaware,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Re Community Great Lakes,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RE Community Holdings II, Inc.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Re Community Renew New York LLC</w:t>
            </w:r>
          </w:p>
        </w:tc>
        <w:tc>
          <w:tcPr>
            <w:tcW w:w="426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119"/>
          </w:cols>
          <w:pgMar w:left="340" w:top="973" w:right="1440"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3660" w:type="dxa"/>
            <w:vAlign w:val="bottom"/>
            <w:gridSpan w:val="2"/>
          </w:tcPr>
          <w:p>
            <w:pPr>
              <w:ind w:left="168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91"/>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ReCommunity Corporation</w:t>
            </w:r>
          </w:p>
        </w:tc>
        <w:tc>
          <w:tcPr>
            <w:tcW w:w="3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 York</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ReCommunity Farmingdale,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ReCommunity Kentucky,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ReCommunity West Corporation</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Regional Disposal Company</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Washington</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Reliable Disposal,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Michigan</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Dumpco,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Nevada</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EES,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Louisiana</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Environmental Services,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Environmental Technologies,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Nevada</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Industrial and Energy Solutions,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Ohio Contracts,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Ohio</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Recycling Services of Nevada,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Nevada</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Alliance Group II,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Alliance Group III,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Alliance Group IV,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Alliance Group,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Aviation,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Florida</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Blue Ridge Energy Development,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Customer Resource Center Central,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Customer Resource Center East,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Customer Resource Center West,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Digital Ventures I,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Environmental Solutions II,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Environmental Solutions III,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Environmental,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Group,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Holding Company,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Leasing Company,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National Accounts,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Arizona Hauling,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Arizona</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British Columbia,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British Columbia</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Buffalo,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California Holding Company,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California II,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Canada,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Ontario</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Colorado Hauling,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Colorado</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Colorado I,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Colorado</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Florida GP,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Florida LP,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Florida, Limited Partnership</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Georgia GP,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Georgia LP,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Georgia, Limited Partnership</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Indiana LP, Inc.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Republic Services of Indiana Transportation, LLC</w:t>
            </w:r>
          </w:p>
        </w:tc>
        <w:tc>
          <w:tcPr>
            <w:tcW w:w="3660" w:type="dxa"/>
            <w:vAlign w:val="bottom"/>
            <w:gridSpan w:val="2"/>
          </w:tcPr>
          <w:p>
            <w:pPr>
              <w:ind w:left="168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119"/>
          </w:cols>
          <w:pgMar w:left="340" w:top="972" w:right="1440"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3600" w:type="dxa"/>
            <w:vAlign w:val="bottom"/>
            <w:gridSpan w:val="2"/>
          </w:tcPr>
          <w:p>
            <w:pPr>
              <w:ind w:left="162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91"/>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Indiana, Limited Partnership</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Iowa,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Iowa</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Kentucky,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Kentucky</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Maryland,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Maryland</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Massachusetts,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Michigan Hauling,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Michigan</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Michigan Holding Company,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Michigan I,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Michigan</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Michigan II,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Michigan</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Michigan III,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Michigan</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Michigan IV,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Michigan</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New Jersey,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North Carolina,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North Carolina</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Ohio Hauling,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Ohio</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Ohio I,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Ohio</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Ohio II,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Ohio</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Ohio III,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Ohio</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Ohio IV,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Ohio</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Ohio Transportation,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Oxnard,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California</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PA - Environmental Solutions,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Pennsylvania,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Smith County,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Sonoma County Energy Producers,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California</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Sonoma County,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South Carolina,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Southern California,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Tennessee,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Virginia,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Virginia</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Wisconsin GP,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Wisconsin LP,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of Wisconsin, Limited Partnership</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Organic Holding,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Organic Solutions,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Procurement,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Real Estate Holding,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North Carolina</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Recycling of Indiana,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Renewable Energy II,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Renewable Energy,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Risk Management,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Services Vasco Road,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Silver State Disposal,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Nevada</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Transportation Services of Canada,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Ontario</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Waste Services of Southern California, LLC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Waste Services of Texas GP,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2"/>
          </w:tcPr>
          <w:p>
            <w:pPr>
              <w:spacing w:after="0"/>
              <w:rPr>
                <w:sz w:val="20"/>
                <w:szCs w:val="20"/>
                <w:color w:val="auto"/>
              </w:rPr>
            </w:pPr>
            <w:r>
              <w:rPr>
                <w:rFonts w:ascii="Arial" w:cs="Arial" w:eastAsia="Arial" w:hAnsi="Arial"/>
                <w:sz w:val="18"/>
                <w:szCs w:val="18"/>
                <w:color w:val="auto"/>
              </w:rPr>
              <w:t>Republic Waste Services of Texas LP, Inc.</w:t>
            </w:r>
          </w:p>
        </w:tc>
        <w:tc>
          <w:tcPr>
            <w:tcW w:w="3600" w:type="dxa"/>
            <w:vAlign w:val="bottom"/>
            <w:gridSpan w:val="2"/>
          </w:tcPr>
          <w:p>
            <w:pPr>
              <w:ind w:left="16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119"/>
          </w:cols>
          <w:pgMar w:left="340" w:top="972" w:right="1440"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4100" w:type="dxa"/>
            <w:vAlign w:val="bottom"/>
            <w:gridSpan w:val="2"/>
          </w:tcPr>
          <w:p>
            <w:pPr>
              <w:ind w:left="212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91"/>
        </w:trPr>
        <w:tc>
          <w:tcPr>
            <w:tcW w:w="5540" w:type="dxa"/>
            <w:vAlign w:val="bottom"/>
            <w:gridSpan w:val="2"/>
          </w:tcPr>
          <w:p>
            <w:pPr>
              <w:spacing w:after="0"/>
              <w:rPr>
                <w:sz w:val="20"/>
                <w:szCs w:val="20"/>
                <w:color w:val="auto"/>
              </w:rPr>
            </w:pPr>
            <w:r>
              <w:rPr>
                <w:rFonts w:ascii="Arial" w:cs="Arial" w:eastAsia="Arial" w:hAnsi="Arial"/>
                <w:sz w:val="18"/>
                <w:szCs w:val="18"/>
                <w:color w:val="auto"/>
              </w:rPr>
              <w:t>Republic Waste Services of Texas, Ltd.</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Texas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Republic Waste, Limited Partnership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Resource Recovery Systems,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Resource Recovery,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Kansas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RI/Alameda Corp.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California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Richmond Sanitary Service,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California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Richmond Solar Power 1,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Rhode Island</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Rincon Solar I,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Georgia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RITM,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River Recycling,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River Street Solar 1,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Roosevelt Associates</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Washington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Ross Bros. Waste &amp; Recycling Co.</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Ohio</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Rossman Sanitary Service,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Oregon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Roxana Landfill,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Illinois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Royal Holdings,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Michigan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RSG Cayman Group,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RT52 Walden Solar 1,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Rubbish Control,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RWS Texas Leasing Company,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Texas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RWS Transport, L.P.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 &amp; S Recycling,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Georgia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Saguaro National Captive Insurance Company</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Arizona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Saline County Landfill,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Illinois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San Diego Landfill Systems,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California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San Francisco Bay Railway,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San Marcos NCRRF,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California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Sand Valley Holdings,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Sandy Hollow Landfill Corp.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West Virginia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Sangamon Valley Landfill,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Sanifill,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Tennessee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Sanitary Disposal Service,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Michigan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Sauk Trail Development,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Michigan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Schofield Corporation of Orlando</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Florida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Show-Me Landfill,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Shred - All Recycling Systems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Illinois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Simmons &amp; Eastern,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Solano Garbage Company</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California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Source Recycling,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Oregon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South Trans,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New Jersey</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Southeast Landfill,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Southern Illinois Regional Landfill,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Illinois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Southern Tank Leasing,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Alabama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Southwest Landfill TX, LP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Springfield Environmental General Partnership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Indiana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St. Paul Haulers,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Minnesota</w:t>
            </w:r>
          </w:p>
        </w:tc>
      </w:tr>
    </w:tbl>
    <w:p>
      <w:pPr>
        <w:sectPr>
          <w:pgSz w:w="11900" w:h="16838" w:orient="portrait"/>
          <w:cols w:equalWidth="0" w:num="1">
            <w:col w:w="10119"/>
          </w:cols>
          <w:pgMar w:left="340" w:top="972" w:right="1440"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4100" w:type="dxa"/>
            <w:vAlign w:val="bottom"/>
            <w:gridSpan w:val="2"/>
          </w:tcPr>
          <w:p>
            <w:pPr>
              <w:ind w:left="212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91"/>
        </w:trPr>
        <w:tc>
          <w:tcPr>
            <w:tcW w:w="5540" w:type="dxa"/>
            <w:vAlign w:val="bottom"/>
            <w:gridSpan w:val="2"/>
          </w:tcPr>
          <w:p>
            <w:pPr>
              <w:spacing w:after="0"/>
              <w:rPr>
                <w:sz w:val="20"/>
                <w:szCs w:val="20"/>
                <w:color w:val="auto"/>
              </w:rPr>
            </w:pPr>
            <w:r>
              <w:rPr>
                <w:rFonts w:ascii="Arial" w:cs="Arial" w:eastAsia="Arial" w:hAnsi="Arial"/>
                <w:sz w:val="18"/>
                <w:szCs w:val="18"/>
                <w:color w:val="auto"/>
              </w:rPr>
              <w:t>Standard Disposal Services,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Michigan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Standard Environmental Services,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Michigan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Standard Waste,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Streator Area Landfill,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Illinois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Suburban Transfer,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Illinois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Suburban Warehouse,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Illinois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Summit Waste Systems,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Arizona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Sunrise Sanitation Service,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California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Sunset Disposal Service,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California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Sunset Disposal,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Kansas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Sycamore Landfill,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California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Tate's Transfer Systems,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Missouri</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Tay-Ban Corporation</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Michigan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Tayman Industries,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California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The Ecology Group,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Ohio</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Thomas Disposal Service,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Missouri</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Tidal Tank,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Tippecanoe County Waste Services Partnership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Indiana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Tom Luciano's Disposal Service,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New Jersey</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Total Roll-Offs,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Texas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Total Solid Waste Recyclers,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New Jersey</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Trash Butler,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Florida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Tricil (N.Y.),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New York</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Tri-County Refuse Service,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Michigan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Tri-State Recycling Services,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Illinois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Tri-State Refuse Corporation</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Arizona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Turkey Creek Landfill TX, LP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United Disposal Service,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Oregon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University Solar,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Rhode Island</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Upper Rock Island County Landfill,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Illinois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Valley Landfills,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Oregon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VHG,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Minnesota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Victoria Landfill TX, LP</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Vining Disposal Service,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Massachusetts</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Warner Hill Development Company</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Ohio</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Wasatch Regional Landfill,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Utah</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Waste Control Systems,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Oregon</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Waste Services Group,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Waste Services of New York,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New York</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Wastehaul,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Indiana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Wayne County Land Development,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New York</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Wayne County Landfill IL,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Delaware</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Wayne Developers, LLC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Georgia</w:t>
            </w: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WDTR, Inc.</w:t>
            </w:r>
          </w:p>
        </w:tc>
        <w:tc>
          <w:tcPr>
            <w:tcW w:w="4100" w:type="dxa"/>
            <w:vAlign w:val="bottom"/>
            <w:gridSpan w:val="2"/>
          </w:tcPr>
          <w:p>
            <w:pPr>
              <w:ind w:left="2120"/>
              <w:spacing w:after="0"/>
              <w:rPr>
                <w:sz w:val="20"/>
                <w:szCs w:val="20"/>
                <w:color w:val="auto"/>
              </w:rPr>
            </w:pPr>
            <w:r>
              <w:rPr>
                <w:rFonts w:ascii="Arial" w:cs="Arial" w:eastAsia="Arial" w:hAnsi="Arial"/>
                <w:sz w:val="18"/>
                <w:szCs w:val="18"/>
                <w:color w:val="auto"/>
              </w:rPr>
              <w:t>Oregon</w:t>
            </w:r>
          </w:p>
        </w:tc>
      </w:tr>
    </w:tbl>
    <w:p>
      <w:pPr>
        <w:sectPr>
          <w:pgSz w:w="11900" w:h="16838" w:orient="portrait"/>
          <w:cols w:equalWidth="0" w:num="1">
            <w:col w:w="10119"/>
          </w:cols>
          <w:pgMar w:left="340" w:top="972" w:right="1440"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4120" w:type="dxa"/>
            <w:vAlign w:val="bottom"/>
            <w:gridSpan w:val="2"/>
          </w:tcPr>
          <w:p>
            <w:pPr>
              <w:ind w:left="214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91"/>
        </w:trPr>
        <w:tc>
          <w:tcPr>
            <w:tcW w:w="5520" w:type="dxa"/>
            <w:vAlign w:val="bottom"/>
            <w:gridSpan w:val="2"/>
          </w:tcPr>
          <w:p>
            <w:pPr>
              <w:spacing w:after="0"/>
              <w:rPr>
                <w:sz w:val="20"/>
                <w:szCs w:val="20"/>
                <w:color w:val="auto"/>
              </w:rPr>
            </w:pPr>
            <w:r>
              <w:rPr>
                <w:rFonts w:ascii="Arial" w:cs="Arial" w:eastAsia="Arial" w:hAnsi="Arial"/>
                <w:sz w:val="18"/>
                <w:szCs w:val="18"/>
                <w:color w:val="auto"/>
              </w:rPr>
              <w:t>Webster Parish Landfill, L.L.C.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Wellkept LLC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West Contra Costa Energy Recovery Company</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California</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West Contra Costa Sanitary Landfill, Inc.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California</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West County Landfill, Inc.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California</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West County Resource Recovery, Inc.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California</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West Street Solar 1, LLC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Whispering Pines Landfill TX, LP</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Willamette Resources, Inc.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Oregon</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Williams County Landfill Inc.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Ohio</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Williamsburg East Street Solar LLC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Willow Ridge Landfill, LLC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Wilshire Disposal Service</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California</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Winchendon Ash Street Solar 1 LLC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Winchendon Lincoln Avenue Solar 1 LLC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Winchendon Lincoln Avenue Solar 2 LLC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Delaware</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WJR Environmental, Inc.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Washington</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Woodlake Sanitary Service, Inc.</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Minnesota</w:t>
            </w:r>
          </w:p>
        </w:tc>
      </w:tr>
      <w:tr>
        <w:trPr>
          <w:trHeight w:val="270"/>
        </w:trPr>
        <w:tc>
          <w:tcPr>
            <w:tcW w:w="5520" w:type="dxa"/>
            <w:vAlign w:val="bottom"/>
            <w:gridSpan w:val="2"/>
          </w:tcPr>
          <w:p>
            <w:pPr>
              <w:spacing w:after="0"/>
              <w:rPr>
                <w:sz w:val="20"/>
                <w:szCs w:val="20"/>
                <w:color w:val="auto"/>
              </w:rPr>
            </w:pPr>
            <w:r>
              <w:rPr>
                <w:rFonts w:ascii="Arial" w:cs="Arial" w:eastAsia="Arial" w:hAnsi="Arial"/>
                <w:sz w:val="18"/>
                <w:szCs w:val="18"/>
                <w:color w:val="auto"/>
              </w:rPr>
              <w:t>Zakaroff Services</w:t>
            </w:r>
          </w:p>
        </w:tc>
        <w:tc>
          <w:tcPr>
            <w:tcW w:w="4120" w:type="dxa"/>
            <w:vAlign w:val="bottom"/>
            <w:gridSpan w:val="2"/>
          </w:tcPr>
          <w:p>
            <w:pPr>
              <w:ind w:left="2140"/>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10119"/>
          </w:cols>
          <w:pgMar w:left="340" w:top="972"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00" w:type="dxa"/>
            <w:vAlign w:val="bottom"/>
          </w:tcPr>
          <w:p>
            <w:pPr>
              <w:ind w:left="160"/>
              <w:spacing w:after="0"/>
              <w:rPr>
                <w:sz w:val="20"/>
                <w:szCs w:val="20"/>
                <w:color w:val="auto"/>
              </w:rPr>
            </w:pPr>
            <w:r>
              <w:rPr>
                <w:rFonts w:ascii="Arial" w:cs="Arial" w:eastAsia="Arial" w:hAnsi="Arial"/>
                <w:sz w:val="18"/>
                <w:szCs w:val="18"/>
                <w:b w:val="1"/>
                <w:bCs w:val="1"/>
                <w:color w:val="auto"/>
              </w:rPr>
              <w:t>Consent of Independent Registered Public Accounting Firm</w:t>
            </w:r>
          </w:p>
        </w:tc>
      </w:tr>
      <w:tr>
        <w:trPr>
          <w:trHeight w:val="324"/>
        </w:trPr>
        <w:tc>
          <w:tcPr>
            <w:tcW w:w="11260" w:type="dxa"/>
            <w:vAlign w:val="bottom"/>
            <w:gridSpan w:val="3"/>
          </w:tcPr>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tc>
      </w:tr>
      <w:tr>
        <w:trPr>
          <w:trHeight w:val="527"/>
        </w:trPr>
        <w:tc>
          <w:tcPr>
            <w:tcW w:w="1320" w:type="dxa"/>
            <w:vAlign w:val="bottom"/>
          </w:tcPr>
          <w:p>
            <w:pPr>
              <w:ind w:left="20"/>
              <w:spacing w:after="0"/>
              <w:rPr>
                <w:sz w:val="20"/>
                <w:szCs w:val="20"/>
                <w:color w:val="auto"/>
              </w:rPr>
            </w:pPr>
            <w:r>
              <w:rPr>
                <w:rFonts w:ascii="Arial" w:cs="Arial" w:eastAsia="Arial" w:hAnsi="Arial"/>
                <w:sz w:val="18"/>
                <w:szCs w:val="18"/>
                <w:color w:val="auto"/>
              </w:rPr>
              <w:t>Form S-8</w:t>
            </w:r>
          </w:p>
        </w:tc>
        <w:tc>
          <w:tcPr>
            <w:tcW w:w="1940" w:type="dxa"/>
            <w:vAlign w:val="bottom"/>
          </w:tcPr>
          <w:p>
            <w:pPr>
              <w:ind w:left="620"/>
              <w:spacing w:after="0"/>
              <w:rPr>
                <w:sz w:val="20"/>
                <w:szCs w:val="20"/>
                <w:color w:val="auto"/>
              </w:rPr>
            </w:pPr>
            <w:r>
              <w:rPr>
                <w:rFonts w:ascii="Arial" w:cs="Arial" w:eastAsia="Arial" w:hAnsi="Arial"/>
                <w:sz w:val="18"/>
                <w:szCs w:val="18"/>
                <w:color w:val="auto"/>
              </w:rPr>
              <w:t>No. 333-78125</w:t>
            </w:r>
          </w:p>
        </w:tc>
        <w:tc>
          <w:tcPr>
            <w:tcW w:w="8000" w:type="dxa"/>
            <w:vAlign w:val="bottom"/>
          </w:tcPr>
          <w:p>
            <w:pPr>
              <w:ind w:left="740"/>
              <w:spacing w:after="0"/>
              <w:rPr>
                <w:sz w:val="20"/>
                <w:szCs w:val="20"/>
                <w:color w:val="auto"/>
              </w:rPr>
            </w:pPr>
            <w:r>
              <w:rPr>
                <w:rFonts w:ascii="Arial" w:cs="Arial" w:eastAsia="Arial" w:hAnsi="Arial"/>
                <w:sz w:val="18"/>
                <w:szCs w:val="18"/>
                <w:color w:val="auto"/>
              </w:rPr>
              <w:t>Republic Services, Inc. 1998 Stock Incentive Plan</w:t>
            </w:r>
          </w:p>
        </w:tc>
      </w:tr>
      <w:tr>
        <w:trPr>
          <w:trHeight w:val="527"/>
        </w:trPr>
        <w:tc>
          <w:tcPr>
            <w:tcW w:w="1320" w:type="dxa"/>
            <w:vAlign w:val="bottom"/>
          </w:tcPr>
          <w:p>
            <w:pPr>
              <w:ind w:left="20"/>
              <w:spacing w:after="0"/>
              <w:rPr>
                <w:sz w:val="20"/>
                <w:szCs w:val="20"/>
                <w:color w:val="auto"/>
              </w:rPr>
            </w:pPr>
            <w:r>
              <w:rPr>
                <w:rFonts w:ascii="Arial" w:cs="Arial" w:eastAsia="Arial" w:hAnsi="Arial"/>
                <w:sz w:val="18"/>
                <w:szCs w:val="18"/>
                <w:color w:val="auto"/>
              </w:rPr>
              <w:t>Form S-8</w:t>
            </w:r>
          </w:p>
        </w:tc>
        <w:tc>
          <w:tcPr>
            <w:tcW w:w="1940" w:type="dxa"/>
            <w:vAlign w:val="bottom"/>
          </w:tcPr>
          <w:p>
            <w:pPr>
              <w:ind w:left="620"/>
              <w:spacing w:after="0"/>
              <w:rPr>
                <w:sz w:val="20"/>
                <w:szCs w:val="20"/>
                <w:color w:val="auto"/>
              </w:rPr>
            </w:pPr>
            <w:r>
              <w:rPr>
                <w:rFonts w:ascii="Arial" w:cs="Arial" w:eastAsia="Arial" w:hAnsi="Arial"/>
                <w:sz w:val="18"/>
                <w:szCs w:val="18"/>
                <w:color w:val="auto"/>
              </w:rPr>
              <w:t>No. 333-104048</w:t>
            </w:r>
          </w:p>
        </w:tc>
        <w:tc>
          <w:tcPr>
            <w:tcW w:w="8000" w:type="dxa"/>
            <w:vAlign w:val="bottom"/>
          </w:tcPr>
          <w:p>
            <w:pPr>
              <w:ind w:left="740"/>
              <w:spacing w:after="0"/>
              <w:rPr>
                <w:sz w:val="20"/>
                <w:szCs w:val="20"/>
                <w:color w:val="auto"/>
              </w:rPr>
            </w:pPr>
            <w:r>
              <w:rPr>
                <w:rFonts w:ascii="Arial" w:cs="Arial" w:eastAsia="Arial" w:hAnsi="Arial"/>
                <w:sz w:val="18"/>
                <w:szCs w:val="18"/>
                <w:color w:val="auto"/>
              </w:rPr>
              <w:t>Republic Services, Inc. Amended and Restated 1998 Stock Incentive Plan</w:t>
            </w:r>
          </w:p>
        </w:tc>
      </w:tr>
      <w:tr>
        <w:trPr>
          <w:trHeight w:val="527"/>
        </w:trPr>
        <w:tc>
          <w:tcPr>
            <w:tcW w:w="1320" w:type="dxa"/>
            <w:vAlign w:val="bottom"/>
          </w:tcPr>
          <w:p>
            <w:pPr>
              <w:ind w:left="20"/>
              <w:spacing w:after="0"/>
              <w:rPr>
                <w:sz w:val="20"/>
                <w:szCs w:val="20"/>
                <w:color w:val="auto"/>
              </w:rPr>
            </w:pPr>
            <w:r>
              <w:rPr>
                <w:rFonts w:ascii="Arial" w:cs="Arial" w:eastAsia="Arial" w:hAnsi="Arial"/>
                <w:sz w:val="18"/>
                <w:szCs w:val="18"/>
                <w:color w:val="auto"/>
              </w:rPr>
              <w:t>Form S-8</w:t>
            </w:r>
          </w:p>
        </w:tc>
        <w:tc>
          <w:tcPr>
            <w:tcW w:w="1940" w:type="dxa"/>
            <w:vAlign w:val="bottom"/>
          </w:tcPr>
          <w:p>
            <w:pPr>
              <w:ind w:left="620"/>
              <w:spacing w:after="0"/>
              <w:rPr>
                <w:sz w:val="20"/>
                <w:szCs w:val="20"/>
                <w:color w:val="auto"/>
              </w:rPr>
            </w:pPr>
            <w:r>
              <w:rPr>
                <w:rFonts w:ascii="Arial" w:cs="Arial" w:eastAsia="Arial" w:hAnsi="Arial"/>
                <w:sz w:val="18"/>
                <w:szCs w:val="18"/>
                <w:color w:val="auto"/>
              </w:rPr>
              <w:t>No. 333-150943</w:t>
            </w:r>
          </w:p>
        </w:tc>
        <w:tc>
          <w:tcPr>
            <w:tcW w:w="8000" w:type="dxa"/>
            <w:vAlign w:val="bottom"/>
          </w:tcPr>
          <w:p>
            <w:pPr>
              <w:ind w:left="740"/>
              <w:spacing w:after="0"/>
              <w:rPr>
                <w:sz w:val="20"/>
                <w:szCs w:val="20"/>
                <w:color w:val="auto"/>
              </w:rPr>
            </w:pPr>
            <w:r>
              <w:rPr>
                <w:rFonts w:ascii="Arial" w:cs="Arial" w:eastAsia="Arial" w:hAnsi="Arial"/>
                <w:sz w:val="18"/>
                <w:szCs w:val="18"/>
                <w:color w:val="auto"/>
              </w:rPr>
              <w:t>Republic Services, Inc. 2007 Stock Incentive Plan</w:t>
            </w:r>
          </w:p>
        </w:tc>
      </w:tr>
      <w:tr>
        <w:trPr>
          <w:trHeight w:val="512"/>
        </w:trPr>
        <w:tc>
          <w:tcPr>
            <w:tcW w:w="1320" w:type="dxa"/>
            <w:vAlign w:val="bottom"/>
          </w:tcPr>
          <w:p>
            <w:pPr>
              <w:ind w:left="20"/>
              <w:spacing w:after="0"/>
              <w:rPr>
                <w:sz w:val="20"/>
                <w:szCs w:val="20"/>
                <w:color w:val="auto"/>
              </w:rPr>
            </w:pPr>
            <w:r>
              <w:rPr>
                <w:rFonts w:ascii="Arial" w:cs="Arial" w:eastAsia="Arial" w:hAnsi="Arial"/>
                <w:sz w:val="18"/>
                <w:szCs w:val="18"/>
                <w:color w:val="auto"/>
              </w:rPr>
              <w:t>Form S-8</w:t>
            </w:r>
          </w:p>
        </w:tc>
        <w:tc>
          <w:tcPr>
            <w:tcW w:w="1940" w:type="dxa"/>
            <w:vAlign w:val="bottom"/>
          </w:tcPr>
          <w:p>
            <w:pPr>
              <w:ind w:left="620"/>
              <w:spacing w:after="0"/>
              <w:rPr>
                <w:sz w:val="20"/>
                <w:szCs w:val="20"/>
                <w:color w:val="auto"/>
              </w:rPr>
            </w:pPr>
            <w:r>
              <w:rPr>
                <w:rFonts w:ascii="Arial" w:cs="Arial" w:eastAsia="Arial" w:hAnsi="Arial"/>
                <w:sz w:val="18"/>
                <w:szCs w:val="18"/>
                <w:color w:val="auto"/>
              </w:rPr>
              <w:t>No. 333-156070</w:t>
            </w:r>
          </w:p>
        </w:tc>
        <w:tc>
          <w:tcPr>
            <w:tcW w:w="8000" w:type="dxa"/>
            <w:vAlign w:val="bottom"/>
          </w:tcPr>
          <w:p>
            <w:pPr>
              <w:ind w:left="740"/>
              <w:spacing w:after="0"/>
              <w:rPr>
                <w:sz w:val="20"/>
                <w:szCs w:val="20"/>
                <w:color w:val="auto"/>
              </w:rPr>
            </w:pPr>
            <w:r>
              <w:rPr>
                <w:rFonts w:ascii="Arial" w:cs="Arial" w:eastAsia="Arial" w:hAnsi="Arial"/>
                <w:sz w:val="18"/>
                <w:szCs w:val="18"/>
                <w:color w:val="auto"/>
                <w:w w:val="91"/>
              </w:rPr>
              <w:t>Republic Services, Inc. 2006 Incentive Stock Plan (f/k/a Allied Waste Industries, Inc. 2006 Incentive</w:t>
            </w:r>
          </w:p>
        </w:tc>
      </w:tr>
      <w:tr>
        <w:trPr>
          <w:trHeight w:val="216"/>
        </w:trPr>
        <w:tc>
          <w:tcPr>
            <w:tcW w:w="1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00" w:type="dxa"/>
            <w:vAlign w:val="bottom"/>
          </w:tcPr>
          <w:p>
            <w:pPr>
              <w:ind w:left="740"/>
              <w:spacing w:after="0"/>
              <w:rPr>
                <w:sz w:val="20"/>
                <w:szCs w:val="20"/>
                <w:color w:val="auto"/>
              </w:rPr>
            </w:pPr>
            <w:r>
              <w:rPr>
                <w:rFonts w:ascii="Arial" w:cs="Arial" w:eastAsia="Arial" w:hAnsi="Arial"/>
                <w:sz w:val="18"/>
                <w:szCs w:val="18"/>
                <w:color w:val="auto"/>
                <w:w w:val="94"/>
              </w:rPr>
              <w:t>Stock Plan) and Republic Services, Inc. 2005 Non-Employee Director Equity Compensation Plan</w:t>
            </w:r>
          </w:p>
        </w:tc>
      </w:tr>
      <w:tr>
        <w:trPr>
          <w:trHeight w:val="230"/>
        </w:trPr>
        <w:tc>
          <w:tcPr>
            <w:tcW w:w="1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00" w:type="dxa"/>
            <w:vAlign w:val="bottom"/>
          </w:tcPr>
          <w:p>
            <w:pPr>
              <w:ind w:left="740"/>
              <w:spacing w:after="0"/>
              <w:rPr>
                <w:sz w:val="20"/>
                <w:szCs w:val="20"/>
                <w:color w:val="auto"/>
              </w:rPr>
            </w:pPr>
            <w:r>
              <w:rPr>
                <w:rFonts w:ascii="Arial" w:cs="Arial" w:eastAsia="Arial" w:hAnsi="Arial"/>
                <w:sz w:val="18"/>
                <w:szCs w:val="18"/>
                <w:color w:val="auto"/>
                <w:w w:val="99"/>
              </w:rPr>
              <w:t>(f/k/a Allied Waste Industries, Inc. 2005 Non-Employee Director Equity Compensation Plan)</w:t>
            </w:r>
          </w:p>
        </w:tc>
      </w:tr>
      <w:tr>
        <w:trPr>
          <w:trHeight w:val="527"/>
        </w:trPr>
        <w:tc>
          <w:tcPr>
            <w:tcW w:w="1320" w:type="dxa"/>
            <w:vAlign w:val="bottom"/>
          </w:tcPr>
          <w:p>
            <w:pPr>
              <w:ind w:left="20"/>
              <w:spacing w:after="0"/>
              <w:rPr>
                <w:sz w:val="20"/>
                <w:szCs w:val="20"/>
                <w:color w:val="auto"/>
              </w:rPr>
            </w:pPr>
            <w:r>
              <w:rPr>
                <w:rFonts w:ascii="Arial" w:cs="Arial" w:eastAsia="Arial" w:hAnsi="Arial"/>
                <w:sz w:val="18"/>
                <w:szCs w:val="18"/>
                <w:color w:val="auto"/>
              </w:rPr>
              <w:t>Form S-8</w:t>
            </w:r>
          </w:p>
        </w:tc>
        <w:tc>
          <w:tcPr>
            <w:tcW w:w="1940" w:type="dxa"/>
            <w:vAlign w:val="bottom"/>
          </w:tcPr>
          <w:p>
            <w:pPr>
              <w:ind w:left="620"/>
              <w:spacing w:after="0"/>
              <w:rPr>
                <w:sz w:val="20"/>
                <w:szCs w:val="20"/>
                <w:color w:val="auto"/>
              </w:rPr>
            </w:pPr>
            <w:r>
              <w:rPr>
                <w:rFonts w:ascii="Arial" w:cs="Arial" w:eastAsia="Arial" w:hAnsi="Arial"/>
                <w:sz w:val="18"/>
                <w:szCs w:val="18"/>
                <w:color w:val="auto"/>
              </w:rPr>
              <w:t>No. 333-159779</w:t>
            </w:r>
          </w:p>
        </w:tc>
        <w:tc>
          <w:tcPr>
            <w:tcW w:w="8000" w:type="dxa"/>
            <w:vAlign w:val="bottom"/>
          </w:tcPr>
          <w:p>
            <w:pPr>
              <w:ind w:left="740"/>
              <w:spacing w:after="0"/>
              <w:rPr>
                <w:sz w:val="20"/>
                <w:szCs w:val="20"/>
                <w:color w:val="auto"/>
              </w:rPr>
            </w:pPr>
            <w:r>
              <w:rPr>
                <w:rFonts w:ascii="Arial" w:cs="Arial" w:eastAsia="Arial" w:hAnsi="Arial"/>
                <w:sz w:val="18"/>
                <w:szCs w:val="18"/>
                <w:color w:val="auto"/>
              </w:rPr>
              <w:t>Republic Services, Inc. 2009 Employee Stock Purchase Plan</w:t>
            </w:r>
          </w:p>
        </w:tc>
      </w:tr>
      <w:tr>
        <w:trPr>
          <w:trHeight w:val="527"/>
        </w:trPr>
        <w:tc>
          <w:tcPr>
            <w:tcW w:w="1320" w:type="dxa"/>
            <w:vAlign w:val="bottom"/>
          </w:tcPr>
          <w:p>
            <w:pPr>
              <w:ind w:left="20"/>
              <w:spacing w:after="0"/>
              <w:rPr>
                <w:sz w:val="20"/>
                <w:szCs w:val="20"/>
                <w:color w:val="auto"/>
              </w:rPr>
            </w:pPr>
            <w:r>
              <w:rPr>
                <w:rFonts w:ascii="Arial" w:cs="Arial" w:eastAsia="Arial" w:hAnsi="Arial"/>
                <w:sz w:val="18"/>
                <w:szCs w:val="18"/>
                <w:color w:val="auto"/>
              </w:rPr>
              <w:t>Form S-8</w:t>
            </w:r>
          </w:p>
        </w:tc>
        <w:tc>
          <w:tcPr>
            <w:tcW w:w="1940" w:type="dxa"/>
            <w:vAlign w:val="bottom"/>
          </w:tcPr>
          <w:p>
            <w:pPr>
              <w:ind w:left="620"/>
              <w:spacing w:after="0"/>
              <w:rPr>
                <w:sz w:val="20"/>
                <w:szCs w:val="20"/>
                <w:color w:val="auto"/>
              </w:rPr>
            </w:pPr>
            <w:r>
              <w:rPr>
                <w:rFonts w:ascii="Arial" w:cs="Arial" w:eastAsia="Arial" w:hAnsi="Arial"/>
                <w:sz w:val="18"/>
                <w:szCs w:val="18"/>
                <w:color w:val="auto"/>
              </w:rPr>
              <w:t>No. 333-170174</w:t>
            </w:r>
          </w:p>
        </w:tc>
        <w:tc>
          <w:tcPr>
            <w:tcW w:w="8000" w:type="dxa"/>
            <w:vAlign w:val="bottom"/>
          </w:tcPr>
          <w:p>
            <w:pPr>
              <w:ind w:left="740"/>
              <w:spacing w:after="0"/>
              <w:rPr>
                <w:sz w:val="20"/>
                <w:szCs w:val="20"/>
                <w:color w:val="auto"/>
              </w:rPr>
            </w:pPr>
            <w:r>
              <w:rPr>
                <w:rFonts w:ascii="Arial" w:cs="Arial" w:eastAsia="Arial" w:hAnsi="Arial"/>
                <w:sz w:val="18"/>
                <w:szCs w:val="18"/>
                <w:color w:val="auto"/>
              </w:rPr>
              <w:t>Republic Services, Inc. Deferred Compensation Plan</w:t>
            </w:r>
          </w:p>
        </w:tc>
      </w:tr>
      <w:tr>
        <w:trPr>
          <w:trHeight w:val="527"/>
        </w:trPr>
        <w:tc>
          <w:tcPr>
            <w:tcW w:w="1320" w:type="dxa"/>
            <w:vAlign w:val="bottom"/>
          </w:tcPr>
          <w:p>
            <w:pPr>
              <w:ind w:left="20"/>
              <w:spacing w:after="0"/>
              <w:rPr>
                <w:sz w:val="20"/>
                <w:szCs w:val="20"/>
                <w:color w:val="auto"/>
              </w:rPr>
            </w:pPr>
            <w:r>
              <w:rPr>
                <w:rFonts w:ascii="Arial" w:cs="Arial" w:eastAsia="Arial" w:hAnsi="Arial"/>
                <w:sz w:val="18"/>
                <w:szCs w:val="18"/>
                <w:color w:val="auto"/>
              </w:rPr>
              <w:t>Form S-8</w:t>
            </w:r>
          </w:p>
        </w:tc>
        <w:tc>
          <w:tcPr>
            <w:tcW w:w="1940" w:type="dxa"/>
            <w:vAlign w:val="bottom"/>
          </w:tcPr>
          <w:p>
            <w:pPr>
              <w:ind w:left="620"/>
              <w:spacing w:after="0"/>
              <w:rPr>
                <w:sz w:val="20"/>
                <w:szCs w:val="20"/>
                <w:color w:val="auto"/>
              </w:rPr>
            </w:pPr>
            <w:r>
              <w:rPr>
                <w:rFonts w:ascii="Arial" w:cs="Arial" w:eastAsia="Arial" w:hAnsi="Arial"/>
                <w:sz w:val="18"/>
                <w:szCs w:val="18"/>
                <w:color w:val="auto"/>
              </w:rPr>
              <w:t>No. 333-175879</w:t>
            </w:r>
          </w:p>
        </w:tc>
        <w:tc>
          <w:tcPr>
            <w:tcW w:w="8000" w:type="dxa"/>
            <w:vAlign w:val="bottom"/>
          </w:tcPr>
          <w:p>
            <w:pPr>
              <w:ind w:left="740"/>
              <w:spacing w:after="0"/>
              <w:rPr>
                <w:sz w:val="20"/>
                <w:szCs w:val="20"/>
                <w:color w:val="auto"/>
              </w:rPr>
            </w:pPr>
            <w:r>
              <w:rPr>
                <w:rFonts w:ascii="Arial" w:cs="Arial" w:eastAsia="Arial" w:hAnsi="Arial"/>
                <w:sz w:val="18"/>
                <w:szCs w:val="18"/>
                <w:color w:val="auto"/>
              </w:rPr>
              <w:t>Republic Services, Inc. Amended and Restated 2007 Stock Incentive Plan</w:t>
            </w:r>
          </w:p>
        </w:tc>
      </w:tr>
      <w:tr>
        <w:trPr>
          <w:trHeight w:val="527"/>
        </w:trPr>
        <w:tc>
          <w:tcPr>
            <w:tcW w:w="1320" w:type="dxa"/>
            <w:vAlign w:val="bottom"/>
          </w:tcPr>
          <w:p>
            <w:pPr>
              <w:ind w:left="20"/>
              <w:spacing w:after="0"/>
              <w:rPr>
                <w:sz w:val="20"/>
                <w:szCs w:val="20"/>
                <w:color w:val="auto"/>
              </w:rPr>
            </w:pPr>
            <w:r>
              <w:rPr>
                <w:rFonts w:ascii="Arial" w:cs="Arial" w:eastAsia="Arial" w:hAnsi="Arial"/>
                <w:sz w:val="18"/>
                <w:szCs w:val="18"/>
                <w:color w:val="auto"/>
              </w:rPr>
              <w:t>Form S-8</w:t>
            </w:r>
          </w:p>
        </w:tc>
        <w:tc>
          <w:tcPr>
            <w:tcW w:w="1940" w:type="dxa"/>
            <w:vAlign w:val="bottom"/>
          </w:tcPr>
          <w:p>
            <w:pPr>
              <w:ind w:left="620"/>
              <w:spacing w:after="0"/>
              <w:rPr>
                <w:sz w:val="20"/>
                <w:szCs w:val="20"/>
                <w:color w:val="auto"/>
              </w:rPr>
            </w:pPr>
            <w:r>
              <w:rPr>
                <w:rFonts w:ascii="Arial" w:cs="Arial" w:eastAsia="Arial" w:hAnsi="Arial"/>
                <w:sz w:val="18"/>
                <w:szCs w:val="18"/>
                <w:color w:val="auto"/>
              </w:rPr>
              <w:t>No. 333-221582</w:t>
            </w:r>
          </w:p>
        </w:tc>
        <w:tc>
          <w:tcPr>
            <w:tcW w:w="8000" w:type="dxa"/>
            <w:vAlign w:val="bottom"/>
          </w:tcPr>
          <w:p>
            <w:pPr>
              <w:ind w:left="740"/>
              <w:spacing w:after="0"/>
              <w:rPr>
                <w:sz w:val="20"/>
                <w:szCs w:val="20"/>
                <w:color w:val="auto"/>
              </w:rPr>
            </w:pPr>
            <w:r>
              <w:rPr>
                <w:rFonts w:ascii="Arial" w:cs="Arial" w:eastAsia="Arial" w:hAnsi="Arial"/>
                <w:sz w:val="18"/>
                <w:szCs w:val="18"/>
                <w:color w:val="auto"/>
              </w:rPr>
              <w:t>Republic Services, Inc. Deferred Compensation Plan</w:t>
            </w:r>
          </w:p>
        </w:tc>
      </w:tr>
      <w:tr>
        <w:trPr>
          <w:trHeight w:val="540"/>
        </w:trPr>
        <w:tc>
          <w:tcPr>
            <w:tcW w:w="1320" w:type="dxa"/>
            <w:vAlign w:val="bottom"/>
          </w:tcPr>
          <w:p>
            <w:pPr>
              <w:ind w:left="20"/>
              <w:spacing w:after="0"/>
              <w:rPr>
                <w:sz w:val="20"/>
                <w:szCs w:val="20"/>
                <w:color w:val="auto"/>
              </w:rPr>
            </w:pPr>
            <w:r>
              <w:rPr>
                <w:rFonts w:ascii="Arial" w:cs="Arial" w:eastAsia="Arial" w:hAnsi="Arial"/>
                <w:sz w:val="18"/>
                <w:szCs w:val="18"/>
                <w:color w:val="auto"/>
              </w:rPr>
              <w:t>Form S-8</w:t>
            </w:r>
          </w:p>
        </w:tc>
        <w:tc>
          <w:tcPr>
            <w:tcW w:w="1940" w:type="dxa"/>
            <w:vAlign w:val="bottom"/>
          </w:tcPr>
          <w:p>
            <w:pPr>
              <w:ind w:left="620"/>
              <w:spacing w:after="0"/>
              <w:rPr>
                <w:sz w:val="20"/>
                <w:szCs w:val="20"/>
                <w:color w:val="auto"/>
              </w:rPr>
            </w:pPr>
            <w:r>
              <w:rPr>
                <w:rFonts w:ascii="Arial" w:cs="Arial" w:eastAsia="Arial" w:hAnsi="Arial"/>
                <w:sz w:val="18"/>
                <w:szCs w:val="18"/>
                <w:color w:val="auto"/>
              </w:rPr>
              <w:t>No. 333-228002</w:t>
            </w:r>
          </w:p>
        </w:tc>
        <w:tc>
          <w:tcPr>
            <w:tcW w:w="8000" w:type="dxa"/>
            <w:vAlign w:val="bottom"/>
          </w:tcPr>
          <w:p>
            <w:pPr>
              <w:ind w:left="740"/>
              <w:spacing w:after="0"/>
              <w:rPr>
                <w:sz w:val="20"/>
                <w:szCs w:val="20"/>
                <w:color w:val="auto"/>
              </w:rPr>
            </w:pPr>
            <w:r>
              <w:rPr>
                <w:rFonts w:ascii="Arial" w:cs="Arial" w:eastAsia="Arial" w:hAnsi="Arial"/>
                <w:sz w:val="18"/>
                <w:szCs w:val="18"/>
                <w:color w:val="auto"/>
              </w:rPr>
              <w:t>Republic Services, Inc. 2018 Employee Stock Purchase Plan</w:t>
            </w:r>
          </w:p>
        </w:tc>
      </w:tr>
      <w:tr>
        <w:trPr>
          <w:trHeight w:val="540"/>
        </w:trPr>
        <w:tc>
          <w:tcPr>
            <w:tcW w:w="1320" w:type="dxa"/>
            <w:vAlign w:val="bottom"/>
          </w:tcPr>
          <w:p>
            <w:pPr>
              <w:ind w:left="20"/>
              <w:spacing w:after="0"/>
              <w:rPr>
                <w:sz w:val="20"/>
                <w:szCs w:val="20"/>
                <w:color w:val="auto"/>
              </w:rPr>
            </w:pPr>
            <w:r>
              <w:rPr>
                <w:rFonts w:ascii="Arial" w:cs="Arial" w:eastAsia="Arial" w:hAnsi="Arial"/>
                <w:sz w:val="18"/>
                <w:szCs w:val="18"/>
                <w:color w:val="auto"/>
              </w:rPr>
              <w:t>Form S-3</w:t>
            </w:r>
          </w:p>
        </w:tc>
        <w:tc>
          <w:tcPr>
            <w:tcW w:w="1940" w:type="dxa"/>
            <w:vAlign w:val="bottom"/>
          </w:tcPr>
          <w:p>
            <w:pPr>
              <w:ind w:left="620"/>
              <w:spacing w:after="0"/>
              <w:rPr>
                <w:sz w:val="20"/>
                <w:szCs w:val="20"/>
                <w:color w:val="auto"/>
              </w:rPr>
            </w:pPr>
            <w:r>
              <w:rPr>
                <w:rFonts w:ascii="Arial" w:cs="Arial" w:eastAsia="Arial" w:hAnsi="Arial"/>
                <w:sz w:val="18"/>
                <w:szCs w:val="18"/>
                <w:color w:val="auto"/>
              </w:rPr>
              <w:t>No. 333-234390</w:t>
            </w:r>
          </w:p>
        </w:tc>
        <w:tc>
          <w:tcPr>
            <w:tcW w:w="8000" w:type="dxa"/>
            <w:vAlign w:val="bottom"/>
          </w:tcPr>
          <w:p>
            <w:pPr>
              <w:ind w:left="740"/>
              <w:spacing w:after="0"/>
              <w:rPr>
                <w:sz w:val="20"/>
                <w:szCs w:val="20"/>
                <w:color w:val="auto"/>
              </w:rPr>
            </w:pPr>
            <w:r>
              <w:rPr>
                <w:rFonts w:ascii="Arial" w:cs="Arial" w:eastAsia="Arial" w:hAnsi="Arial"/>
                <w:sz w:val="18"/>
                <w:szCs w:val="18"/>
                <w:color w:val="auto"/>
              </w:rPr>
              <w:t>Registration Statement</w:t>
            </w:r>
          </w:p>
        </w:tc>
      </w:tr>
    </w:tbl>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13, 2020, with respect to the consolidated financial statements of Republic Services, Inc. and the effectiveness of internal control over financial reporting of Republic Services, Inc., included in this Annual Report (Form 10-K) of Republic Services, Inc. for the year ended December 31,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ectPr>
          <w:pgSz w:w="11900" w:h="16838" w:orient="portrait"/>
          <w:cols w:equalWidth="0" w:num="1">
            <w:col w:w="11420"/>
          </w:cols>
          <w:pgMar w:left="240" w:top="1418"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Donald W. Slager, certify that:</w:t>
      </w:r>
    </w:p>
    <w:p>
      <w:pPr>
        <w:spacing w:after="0" w:line="171"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2019 Annual Report on Form 10-K of Republic Services,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220" w:right="180" w:hanging="564"/>
        <w:spacing w:after="0" w:line="264" w:lineRule="auto"/>
        <w:tabs>
          <w:tab w:leader="none" w:pos="121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220" w:right="300" w:hanging="564"/>
        <w:spacing w:after="0" w:line="264" w:lineRule="auto"/>
        <w:tabs>
          <w:tab w:leader="none" w:pos="120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220" w:right="460" w:hanging="564"/>
        <w:spacing w:after="0" w:line="342" w:lineRule="auto"/>
        <w:tabs>
          <w:tab w:leader="none" w:pos="1211"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160" w:hanging="564"/>
        <w:spacing w:after="0" w:line="264" w:lineRule="auto"/>
        <w:tabs>
          <w:tab w:leader="none" w:pos="120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720" w:hanging="564"/>
        <w:spacing w:after="0" w:line="342" w:lineRule="auto"/>
        <w:tabs>
          <w:tab w:leader="none" w:pos="1211"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420" w:hanging="564"/>
        <w:spacing w:after="0" w:line="277" w:lineRule="auto"/>
        <w:tabs>
          <w:tab w:leader="none" w:pos="120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9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W. Slager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Donald W. Slager</w:t>
      </w:r>
    </w:p>
    <w:p>
      <w:pPr>
        <w:spacing w:after="0" w:line="63"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ectPr>
          <w:pgSz w:w="11900" w:h="16838" w:orient="portrait"/>
          <w:cols w:equalWidth="0" w:num="1">
            <w:col w:w="11420"/>
          </w:cols>
          <w:pgMar w:left="240" w:top="89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Charles F. Serianni, certify that:</w:t>
      </w:r>
    </w:p>
    <w:p>
      <w:pPr>
        <w:spacing w:after="0" w:line="171"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2019 Annual Report on Form 10-K of Republic Services, Inc.;</w:t>
      </w:r>
    </w:p>
    <w:p>
      <w:pPr>
        <w:spacing w:after="0" w:line="171"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40" w:hanging="486"/>
        <w:spacing w:after="0" w:line="264" w:lineRule="auto"/>
        <w:tabs>
          <w:tab w:leader="none" w:pos="97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486"/>
        <w:spacing w:after="0" w:line="264"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486"/>
        <w:spacing w:after="0" w:line="342" w:lineRule="auto"/>
        <w:tabs>
          <w:tab w:leader="none" w:pos="97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486"/>
        <w:spacing w:after="0" w:line="264"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40" w:hanging="486"/>
        <w:spacing w:after="0" w:line="277" w:lineRule="auto"/>
        <w:tabs>
          <w:tab w:leader="none" w:pos="97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486"/>
        <w:spacing w:after="0" w:line="277"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340"/>
        <w:spacing w:after="0"/>
        <w:tabs>
          <w:tab w:leader="none" w:pos="8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F. Serianni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Charles F. Serianni</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ectPr>
          <w:pgSz w:w="11900" w:h="16838" w:orient="portrait"/>
          <w:cols w:equalWidth="0" w:num="1">
            <w:col w:w="11420"/>
          </w:cols>
          <w:pgMar w:left="240" w:top="89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this Annual Report on Form 10-K of Republic Services, Inc. (the Company) for the annual period ended December 31, 2019 as filed with the Securities and Exchange Commission on the date hereof (the Report), I, Donald W. Slager, Chief Executive Officer of the Company, hereby certify, pursuant to 18 U.S.C. Section 1350, as adopted pursuant to Section 906 of the Sarbanes-Oxley Act of 2002, that to the best of my knowledge:</w:t>
      </w:r>
    </w:p>
    <w:p>
      <w:pPr>
        <w:spacing w:after="0" w:line="139" w:lineRule="exact"/>
        <w:rPr>
          <w:sz w:val="20"/>
          <w:szCs w:val="20"/>
          <w:color w:val="auto"/>
        </w:rPr>
      </w:pPr>
    </w:p>
    <w:p>
      <w:pPr>
        <w:ind w:left="480" w:hanging="472"/>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480" w:hanging="472"/>
        <w:spacing w:after="0"/>
        <w:tabs>
          <w:tab w:leader="none" w:pos="4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60" w:lineRule="exact"/>
        <w:rPr>
          <w:sz w:val="20"/>
          <w:szCs w:val="20"/>
          <w:color w:val="auto"/>
        </w:rPr>
      </w:pPr>
    </w:p>
    <w:p>
      <w:pPr>
        <w:jc w:val="center"/>
        <w:ind w:left="69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W. Slager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Donald W. Slager</w:t>
      </w:r>
    </w:p>
    <w:p>
      <w:pPr>
        <w:spacing w:after="0" w:line="63"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ectPr>
          <w:pgSz w:w="11900" w:h="16838" w:orient="portrait"/>
          <w:cols w:equalWidth="0" w:num="1">
            <w:col w:w="11420"/>
          </w:cols>
          <w:pgMar w:left="240" w:top="89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this Annual Report on Form 10-K of Republic Services, Inc. (the Company) for the annual period ended December 31, 2019 as filed with the Securities and Exchange Commission on the date hereof (the Report), I, Charles F. Serianni, Chief Financial Officer of the Company, hereby certify, pursuant to 18 U.S.C. Section 1350, as adopted pursuant to Section 906 of the Sarbanes-Oxley Act of 2002, that to the best of my knowledge:</w:t>
      </w:r>
    </w:p>
    <w:p>
      <w:pPr>
        <w:spacing w:after="0" w:line="139" w:lineRule="exact"/>
        <w:rPr>
          <w:sz w:val="20"/>
          <w:szCs w:val="20"/>
          <w:color w:val="auto"/>
        </w:rPr>
      </w:pPr>
    </w:p>
    <w:p>
      <w:pPr>
        <w:ind w:left="480" w:hanging="472"/>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 w:lineRule="exact"/>
        <w:rPr>
          <w:rFonts w:ascii="Arial" w:cs="Arial" w:eastAsia="Arial" w:hAnsi="Arial"/>
          <w:sz w:val="18"/>
          <w:szCs w:val="18"/>
          <w:color w:val="auto"/>
        </w:rPr>
      </w:pPr>
    </w:p>
    <w:p>
      <w:pPr>
        <w:ind w:left="480" w:hanging="472"/>
        <w:spacing w:after="0"/>
        <w:tabs>
          <w:tab w:leader="none" w:pos="4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60" w:lineRule="exact"/>
        <w:rPr>
          <w:sz w:val="20"/>
          <w:szCs w:val="20"/>
          <w:color w:val="auto"/>
        </w:rPr>
      </w:pPr>
    </w:p>
    <w:p>
      <w:pPr>
        <w:jc w:val="center"/>
        <w:ind w:left="69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F. Serianni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Charles F. Serianni</w:t>
      </w:r>
    </w:p>
    <w:p>
      <w:pPr>
        <w:spacing w:after="0" w:line="63"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1)"/>
      <w:numFmt w:val="decimal"/>
      <w:start w:val="15"/>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2"/>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1)"/>
      <w:numFmt w:val="decimal"/>
      <w:start w:val="5"/>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1."/>
      <w:numFmt w:val="decimal"/>
      <w:start w:val="3"/>
    </w:lvl>
  </w:abstractNum>
  <w:abstractNum w:abstractNumId="52">
    <w:nsid w:val="7E0C57B1"/>
    <w:multiLevelType w:val="hybridMultilevel"/>
    <w:lvl w:ilvl="0">
      <w:lvlJc w:val="left"/>
      <w:lvlText w:val="%1."/>
      <w:numFmt w:val="decimal"/>
      <w:start w:val="4"/>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5"/>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8"/>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1."/>
      <w:numFmt w:val="decimal"/>
      <w:start w:val="9"/>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20"/>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75" Type="http://schemas.openxmlformats.org/officeDocument/2006/relationships/image" Target="media/image156.png"/><Relationship Id="rId191" Type="http://schemas.openxmlformats.org/officeDocument/2006/relationships/image" Target="media/image157.png"/><Relationship Id="rId210" Type="http://schemas.openxmlformats.org/officeDocument/2006/relationships/image" Target="media/image158.png"/><Relationship Id="rId230" Type="http://schemas.openxmlformats.org/officeDocument/2006/relationships/image" Target="media/image159.png"/><Relationship Id="rId234" Type="http://schemas.openxmlformats.org/officeDocument/2006/relationships/image" Target="media/image160.png"/><Relationship Id="rId235" Type="http://schemas.openxmlformats.org/officeDocument/2006/relationships/image" Target="media/image161.png"/><Relationship Id="rId236" Type="http://schemas.openxmlformats.org/officeDocument/2006/relationships/image" Target="media/image162.png"/><Relationship Id="rId237" Type="http://schemas.openxmlformats.org/officeDocument/2006/relationships/image" Target="media/image163.png"/><Relationship Id="rId238" Type="http://schemas.openxmlformats.org/officeDocument/2006/relationships/image" Target="media/image164.png"/><Relationship Id="rId239" Type="http://schemas.openxmlformats.org/officeDocument/2006/relationships/image" Target="media/image165.png"/><Relationship Id="rId240" Type="http://schemas.openxmlformats.org/officeDocument/2006/relationships/image" Target="media/image166.png"/><Relationship Id="rId241" Type="http://schemas.openxmlformats.org/officeDocument/2006/relationships/image" Target="media/image167.png"/><Relationship Id="rId39" Type="http://schemas.openxmlformats.org/officeDocument/2006/relationships/hyperlink" Target="http://www.sec.gov/ix?doc=/Archives/edgar/data/1060391/000106039119000008/rsg-2018x1231x10xk.htm" TargetMode="External"/><Relationship Id="rId164" Type="http://schemas.openxmlformats.org/officeDocument/2006/relationships/hyperlink" Target="http://www.sec.gov/Archives/edgar/data/1060391/0000950144-98-009679.txt" TargetMode="External"/><Relationship Id="rId165" Type="http://schemas.openxmlformats.org/officeDocument/2006/relationships/hyperlink" Target="http://www.sec.gov/Archives/edgar/data/1060391/000095014499008298/0000950144-99-008298.txt" TargetMode="External"/><Relationship Id="rId166" Type="http://schemas.openxmlformats.org/officeDocument/2006/relationships/hyperlink" Target="http://www.sec.gov/Archives/edgar/data/1060391/000106039116000079/exhibit33amendedandrestate.htm" TargetMode="External"/><Relationship Id="rId167" Type="http://schemas.openxmlformats.org/officeDocument/2006/relationships/hyperlink" Target="http://www.sec.gov/Archives/edgar/data/1060391/000095014405005037/g95037exv4w1.htm" TargetMode="External"/><Relationship Id="rId168" Type="http://schemas.openxmlformats.org/officeDocument/2006/relationships/hyperlink" Target="http://www.sec.gov/Archives/edgar/data/1060391/000095012309042209/p15846exv4w1.htm" TargetMode="External"/><Relationship Id="rId169" Type="http://schemas.openxmlformats.org/officeDocument/2006/relationships/hyperlink" Target="http://www.sec.gov/Archives/edgar/data/1060391/000095012311047183/p18861exv4w2.htm" TargetMode="External"/><Relationship Id="rId170" Type="http://schemas.openxmlformats.org/officeDocument/2006/relationships/hyperlink" Target="http://www.sec.gov/Archives/edgar/data/1060391/000095012311047183/p18861exv4w3.htm" TargetMode="External"/><Relationship Id="rId171" Type="http://schemas.openxmlformats.org/officeDocument/2006/relationships/hyperlink" Target="http://www.sec.gov/Archives/edgar/data/1060391/000095012309066038/p16405exv4w1.htm" TargetMode="External"/><Relationship Id="rId172" Type="http://schemas.openxmlformats.org/officeDocument/2006/relationships/hyperlink" Target="http://www.sec.gov/Archives/edgar/data/1060391/000095012309066038/p16405exv4w2.htm" TargetMode="External"/><Relationship Id="rId173" Type="http://schemas.openxmlformats.org/officeDocument/2006/relationships/hyperlink" Target="http://www.sec.gov/Archives/edgar/data/1060391/000095012310020978/p17075exv4w1.htm" TargetMode="External"/><Relationship Id="rId174" Type="http://schemas.openxmlformats.org/officeDocument/2006/relationships/hyperlink" Target="http://www.sec.gov/Archives/edgar/data/1060391/000095012310020978/p17075exv4w2.htm" TargetMode="External"/><Relationship Id="rId176" Type="http://schemas.openxmlformats.org/officeDocument/2006/relationships/hyperlink" Target="http://www.sec.gov/Archives/edgar/data/1060391/000119312512241490/d356828dex41.htm" TargetMode="External"/><Relationship Id="rId177" Type="http://schemas.openxmlformats.org/officeDocument/2006/relationships/hyperlink" Target="http://www.sec.gov/Archives/edgar/data/1060391/000119312512241490/d356828dex42.htm" TargetMode="External"/><Relationship Id="rId178" Type="http://schemas.openxmlformats.org/officeDocument/2006/relationships/hyperlink" Target="http://www.sec.gov/Archives/edgar/data/848865/000095012301504402/p65122a1ex4-22.txt" TargetMode="External"/><Relationship Id="rId179" Type="http://schemas.openxmlformats.org/officeDocument/2006/relationships/hyperlink" Target="http://www.sec.gov/Archives/edgar/data/848865/000095012301504402/p65122a1ex4-23.txt" TargetMode="External"/><Relationship Id="rId180" Type="http://schemas.openxmlformats.org/officeDocument/2006/relationships/hyperlink" Target="http://www.sec.gov/Archives/edgar/data/848865/000095015305000309/p70182exv4w33.txt" TargetMode="External"/><Relationship Id="rId181" Type="http://schemas.openxmlformats.org/officeDocument/2006/relationships/hyperlink" Target="http://www.sec.gov/Archives/edgar/data/1060391/000095014408009225/g16932exv4w1.htm" TargetMode="External"/><Relationship Id="rId182" Type="http://schemas.openxmlformats.org/officeDocument/2006/relationships/hyperlink" Target="http://www.sec.gov/Archives/edgar/data/1060391/000119312515087339/d888900dex41.htm" TargetMode="External"/><Relationship Id="rId183" Type="http://schemas.openxmlformats.org/officeDocument/2006/relationships/hyperlink" Target="http://www.sec.gov/Archives/edgar/data/1060391/000119312516641673/d207655dex41.htm" TargetMode="External"/><Relationship Id="rId184" Type="http://schemas.openxmlformats.org/officeDocument/2006/relationships/hyperlink" Target="http://www.sec.gov/Archives/edgar/data/1060391/000119312517343919/d493740dex41.htm" TargetMode="External"/><Relationship Id="rId185" Type="http://schemas.openxmlformats.org/officeDocument/2006/relationships/hyperlink" Target="http://www.sec.gov/Archives/edgar/data/1060391/000119312518189164/d604892dex41.htm" TargetMode="External"/><Relationship Id="rId186" Type="http://schemas.openxmlformats.org/officeDocument/2006/relationships/hyperlink" Target="http://www.sec.gov/Archives/edgar/data/1060391/000119312518160817/d582592dex41.htm" TargetMode="External"/><Relationship Id="rId187" Type="http://schemas.openxmlformats.org/officeDocument/2006/relationships/hyperlink" Target="http://www.sec.gov/Archives/edgar/data/1060391/000106039119000042/rsgex4193019.htm" TargetMode="External"/><Relationship Id="rId188" Type="http://schemas.openxmlformats.org/officeDocument/2006/relationships/hyperlink" Target="http://www.sec.gov/Archives/edgar/data/1060391/000119312519210900/d769978dex41.htm" TargetMode="External"/><Relationship Id="rId189" Type="http://schemas.openxmlformats.org/officeDocument/2006/relationships/hyperlink" Target="http://www.sec.gov/Archives/edgar/data/1060391/000095014407007203/g08737exv10w1.htm" TargetMode="External"/><Relationship Id="rId190" Type="http://schemas.openxmlformats.org/officeDocument/2006/relationships/hyperlink" Target="http://www.sec.gov/Archives/edgar/data/1060391/000095015309000172/p14076exv10w8.htm" TargetMode="External"/><Relationship Id="rId192" Type="http://schemas.openxmlformats.org/officeDocument/2006/relationships/hyperlink" Target="http://www.sec.gov/Archives/edgar/data/1060391/000095012311031647/p18747def14a.htm" TargetMode="External"/><Relationship Id="rId193" Type="http://schemas.openxmlformats.org/officeDocument/2006/relationships/hyperlink" Target="http://www.sec.gov/Archives/edgar/data/1060391/000095015309000172/p14076exv10w9.htm" TargetMode="External"/><Relationship Id="rId194" Type="http://schemas.openxmlformats.org/officeDocument/2006/relationships/hyperlink" Target="http://www.sec.gov/Archives/edgar/data/1060391/000119312511284442/d246002dex101.htm" TargetMode="External"/><Relationship Id="rId195" Type="http://schemas.openxmlformats.org/officeDocument/2006/relationships/hyperlink" Target="http://www.sec.gov/Archives/edgar/data/1060391/000119312511284442/d246002dex102.htm" TargetMode="External"/><Relationship Id="rId196" Type="http://schemas.openxmlformats.org/officeDocument/2006/relationships/hyperlink" Target="http://www.sec.gov/Archives/edgar/data/1060391/000119312511284442/d246002dex103.htm" TargetMode="External"/><Relationship Id="rId197" Type="http://schemas.openxmlformats.org/officeDocument/2006/relationships/hyperlink" Target="http://www.sec.gov/Archives/edgar/data/1060391/000119312511284442/d246002dex104.htm" TargetMode="External"/><Relationship Id="rId198" Type="http://schemas.openxmlformats.org/officeDocument/2006/relationships/hyperlink" Target="http://www.sec.gov/Archives/edgar/data/1060391/000119312511352982/d273980dex101.htm" TargetMode="External"/><Relationship Id="rId199" Type="http://schemas.openxmlformats.org/officeDocument/2006/relationships/hyperlink" Target="http://www.sec.gov/Archives/edgar/data/1060391/000119312511352982/d273980dex102.htm" TargetMode="External"/><Relationship Id="rId200" Type="http://schemas.openxmlformats.org/officeDocument/2006/relationships/hyperlink" Target="http://www.sec.gov/Archives/edgar/data/1060391/000119312511352982/d273980dex103.htm" TargetMode="External"/><Relationship Id="rId201" Type="http://schemas.openxmlformats.org/officeDocument/2006/relationships/hyperlink" Target="http://www.sec.gov/Archives/edgar/data/1060391/000095012310096732/p18259exv4w4.htm" TargetMode="External"/><Relationship Id="rId202" Type="http://schemas.openxmlformats.org/officeDocument/2006/relationships/hyperlink" Target="http://www.sec.gov/Archives/edgar/data/1060391/000095012311015710/p18372exv10w17.htm" TargetMode="External"/><Relationship Id="rId203" Type="http://schemas.openxmlformats.org/officeDocument/2006/relationships/hyperlink" Target="http://www.sec.gov/Archives/edgar/data/1060391/000119312514116469/d686329ddef14a.htm" TargetMode="External"/><Relationship Id="rId204" Type="http://schemas.openxmlformats.org/officeDocument/2006/relationships/hyperlink" Target="http://www.sec.gov/Archives/edgar/data/1060391/000106039113000046/rsgex10193013.htm" TargetMode="External"/><Relationship Id="rId205" Type="http://schemas.openxmlformats.org/officeDocument/2006/relationships/hyperlink" Target="http://www.sec.gov/Archives/edgar/data/1060391/000106039113000011/exhibit1061hughesemploymen.htm" TargetMode="External"/><Relationship Id="rId206" Type="http://schemas.openxmlformats.org/officeDocument/2006/relationships/hyperlink" Target="http://www.sec.gov/Archives/edgar/data/848865/000095015306002001/p72635exv10w2.htm" TargetMode="External"/><Relationship Id="rId207" Type="http://schemas.openxmlformats.org/officeDocument/2006/relationships/hyperlink" Target="http://www.sec.gov/Archives/edgar/data/848865/000095015306002698/p73046exv10w1.htm" TargetMode="External"/><Relationship Id="rId208" Type="http://schemas.openxmlformats.org/officeDocument/2006/relationships/hyperlink" Target="http://www.sec.gov/Archives/edgar/data/848865/000095015306002698/p73046exv10w2.htm" TargetMode="External"/><Relationship Id="rId209" Type="http://schemas.openxmlformats.org/officeDocument/2006/relationships/hyperlink" Target="http://www.sec.gov/Archives/edgar/data/848865/000095015307000379/p73468exv10w47.htm" TargetMode="External"/><Relationship Id="rId211" Type="http://schemas.openxmlformats.org/officeDocument/2006/relationships/hyperlink" Target="http://www.sec.gov/Archives/edgar/data/848865/000095015308000350/p74969exv10w122.htm" TargetMode="External"/><Relationship Id="rId212" Type="http://schemas.openxmlformats.org/officeDocument/2006/relationships/hyperlink" Target="http://www.sec.gov/Archives/edgar/data/1060391/000095015309000172/p14076exv10w51.htm" TargetMode="External"/><Relationship Id="rId213" Type="http://schemas.openxmlformats.org/officeDocument/2006/relationships/hyperlink" Target="http://www.sec.gov/Archives/edgar/data/848865/000095015306002698/p73046exv10w3.htm" TargetMode="External"/><Relationship Id="rId214" Type="http://schemas.openxmlformats.org/officeDocument/2006/relationships/hyperlink" Target="http://www.sec.gov/Archives/edgar/data/848865/000095015304001111/p69046exv10w19.txt" TargetMode="External"/><Relationship Id="rId215" Type="http://schemas.openxmlformats.org/officeDocument/2006/relationships/hyperlink" Target="http://www.sec.gov/Archives/edgar/data/1060391/000119312512190173/d323401dex102.htm" TargetMode="External"/><Relationship Id="rId216" Type="http://schemas.openxmlformats.org/officeDocument/2006/relationships/hyperlink" Target="http://www.sec.gov/Archives/edgar/data/1060391/000119312512190173/d323401dex103.htm" TargetMode="External"/><Relationship Id="rId217" Type="http://schemas.openxmlformats.org/officeDocument/2006/relationships/hyperlink" Target="http://www.sec.gov/Archives/edgar/data/1060391/000106039113000032/rsgex10163013.htm" TargetMode="External"/><Relationship Id="rId218" Type="http://schemas.openxmlformats.org/officeDocument/2006/relationships/hyperlink" Target="http://www.sec.gov/Archives/edgar/data/1060391/000106039113000046/rsgex10393013.htm" TargetMode="External"/><Relationship Id="rId219" Type="http://schemas.openxmlformats.org/officeDocument/2006/relationships/hyperlink" Target="http://www.sec.gov/Archives/edgar/data/1060391/000119312514319325/d779493dex101.htm" TargetMode="External"/><Relationship Id="rId220" Type="http://schemas.openxmlformats.org/officeDocument/2006/relationships/hyperlink" Target="http://www.sec.gov/Archives/edgar/data/1060391/000106039114000063/exhibit101-clawbackpolicy.htm" TargetMode="External"/><Relationship Id="rId221" Type="http://schemas.openxmlformats.org/officeDocument/2006/relationships/hyperlink" Target="http://www.sec.gov/Archives/edgar/data/1060391/000106039114000066/exhibit101-amendmenttoceoe.htm" TargetMode="External"/><Relationship Id="rId222" Type="http://schemas.openxmlformats.org/officeDocument/2006/relationships/hyperlink" Target="http://www.sec.gov/Archives/edgar/data/1060391/000106039115000002/exhibit101-formofperforman.htm" TargetMode="External"/><Relationship Id="rId223" Type="http://schemas.openxmlformats.org/officeDocument/2006/relationships/hyperlink" Target="http://www.sec.gov/Archives/edgar/data/1060391/000106039115000002/exhibit102-formofemployeer.htm" TargetMode="External"/><Relationship Id="rId224" Type="http://schemas.openxmlformats.org/officeDocument/2006/relationships/hyperlink" Target="http://www.sec.gov/Archives/edgar/data/1060391/000106039115000010/exhibit1053-amendmentno4to.htm" TargetMode="External"/><Relationship Id="rId225" Type="http://schemas.openxmlformats.org/officeDocument/2006/relationships/hyperlink" Target="http://www.sec.gov/Archives/edgar/data/1060391/000106039116000094/exhibit101-rissmanseparation.htm" TargetMode="External"/><Relationship Id="rId226" Type="http://schemas.openxmlformats.org/officeDocument/2006/relationships/hyperlink" Target="http://www.sec.gov/Archives/edgar/data/1060391/000106039116000091/exhibit101marusterseparation.htm" TargetMode="External"/><Relationship Id="rId227" Type="http://schemas.openxmlformats.org/officeDocument/2006/relationships/hyperlink" Target="http://www.sec.gov/Archives/edgar/data/1060391/000106039117000012/exhibit1037-offerlettercat.htm" TargetMode="External"/><Relationship Id="rId228" Type="http://schemas.openxmlformats.org/officeDocument/2006/relationships/hyperlink" Target="http://www.sec.gov/Archives/edgar/data/1060391/000106039117000012/exhibit1038-nonxcompetecat.htm" TargetMode="External"/><Relationship Id="rId229" Type="http://schemas.openxmlformats.org/officeDocument/2006/relationships/hyperlink" Target="http://www.sec.gov/Archives/edgar/data/1060391/000106039119000033/rsgex10163019.htm" TargetMode="External"/><Relationship Id="rId231" Type="http://schemas.openxmlformats.org/officeDocument/2006/relationships/hyperlink" Target="http://www.sec.gov/Archives/edgar/data/1060391/000106039119000033/rsgex10263019.htm" TargetMode="External"/><Relationship Id="rId232" Type="http://schemas.openxmlformats.org/officeDocument/2006/relationships/hyperlink" Target="http://www.sec.gov/Archives/edgar/data/1060391/000106039119000033/rsgex10363019.htm" TargetMode="External"/><Relationship Id="rId233" Type="http://schemas.openxmlformats.org/officeDocument/2006/relationships/hyperlink" Target="http://www.sec.gov/Archives/edgar/data/1060391/000106039119000033/rsgex10463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2020-02-14T06:03:15Z</dcterms:created>
  <dcterms:modified xsi:type="dcterms:W3CDTF">2020-02-14T06:03:15Z</dcterms:modified>
</cp:coreProperties>
</file>