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067-1_4seq1.xml.htm"/>
      <w:bookmarkStart w:id="1" w:name="kstm2624067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CASCADE INVESTMENT, L.L.C.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2365 CARILLON POINT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KIRKLAND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REPUBLIC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71"/>
        <w:gridCol w:w="920"/>
        <w:gridCol w:w="791"/>
        <w:gridCol w:w="611"/>
        <w:gridCol w:w="333"/>
        <w:gridCol w:w="994"/>
        <w:gridCol w:w="399"/>
        <w:gridCol w:w="1103"/>
        <w:gridCol w:w="1432"/>
        <w:gridCol w:w="940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7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9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7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42,112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222.45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112,846,023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217,350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222.8427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113,063,373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42,177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223.728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113,105,550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101,653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221.1248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113,207,203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128,729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222.0374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113,335,932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23,321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223.0445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113,359,253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15,774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223.7365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113,375,027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2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082"/>
      </w:tblGrid>
      <w:tr>
        <w:trPr/>
        <w:tc>
          <w:tcPr>
            <w:tcW w:w="4082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8">
                    <w:r>
                      <w:rPr>
                        <w:rStyle w:val="InternetLink"/>
                      </w:rPr>
                      <w:t>CASCADE INVESTMENT, L.L.C.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2365 CARILLON POINT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KIRKLAND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9">
                    <w:r>
                      <w:rPr>
                        <w:rStyle w:val="InternetLink"/>
                      </w:rPr>
                      <w:t>GATES WILLIAM H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2365 CARILLON POINT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KIRKLAND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$221.5500 to $222.5400.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$222.5500 to $223.5450.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$223.5500 to $224.1900.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$220.5800 to $221.5750.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$221.5800 to $222.5700.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$222.5800 to $223.5750.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$223.5800 to $223.9800.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Cascade Investment, L.L.C. by: /s/ Alan Heuberger, Attorney-in-fact for Michael Larson, Business Manager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William H. Gates III by: /s/ Alan Heuberger,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52192" TargetMode="External"/><Relationship Id="rId5" Type="http://schemas.openxmlformats.org/officeDocument/2006/relationships/hyperlink" Target="http://www.sec.gov/cgi-bin/browse-edgar?action=getcompany&amp;CIK=00010603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hyperlink" Target="http://www.sec.gov/cgi-bin/browse-edgar?action=getcompany&amp;CIK=0001052192" TargetMode="External"/><Relationship Id="rId9" Type="http://schemas.openxmlformats.org/officeDocument/2006/relationships/hyperlink" Target="http://www.sec.gov/cgi-bin/browse-edgar?action=getcompany&amp;CIK=0000902012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1120</Words>
  <Characters>6131</Characters>
  <CharactersWithSpaces>7103</CharactersWithSpaces>
  <Paragraphs>176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