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SCHEDULE 13D</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26)*</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REPUBLIC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760759100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Jacki Badal,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2365 Carillon Point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Kirkland, WA 98033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(425) 889-7900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right="60" w:firstLine="109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4"/>
          <w:szCs w:val="24"/>
          <w:color w:val="auto"/>
        </w:rPr>
      </w:pPr>
    </w:p>
    <w:p>
      <w:pPr>
        <w:ind w:right="20" w:firstLine="1053"/>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 parties to whom copies are to be sent.</w:t>
      </w:r>
    </w:p>
    <w:p>
      <w:pPr>
        <w:spacing w:after="0" w:line="166" w:lineRule="exact"/>
        <w:rPr>
          <w:sz w:val="24"/>
          <w:szCs w:val="24"/>
          <w:color w:val="auto"/>
        </w:rPr>
      </w:pPr>
    </w:p>
    <w:p>
      <w:pPr>
        <w:ind w:right="340" w:firstLine="1053"/>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firstLine="105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ind w:left="80"/>
        <w:spacing w:after="0"/>
        <w:rPr>
          <w:sz w:val="20"/>
          <w:szCs w:val="20"/>
          <w:color w:val="auto"/>
        </w:rPr>
      </w:pPr>
      <w:r>
        <w:rPr>
          <w:rFonts w:ascii="Arial" w:cs="Arial" w:eastAsia="Arial" w:hAnsi="Arial"/>
          <w:sz w:val="18"/>
          <w:szCs w:val="18"/>
          <w:color w:val="auto"/>
        </w:rPr>
        <w:t>CUSIP No. 760759100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top w:val="single" w:sz="8" w:color="auto"/>
              <w:right w:val="single" w:sz="8" w:color="auto"/>
            </w:tcBorders>
          </w:tcPr>
          <w:p>
            <w:pPr>
              <w:spacing w:after="0"/>
              <w:rPr>
                <w:sz w:val="24"/>
                <w:szCs w:val="24"/>
                <w:color w:val="auto"/>
              </w:rPr>
            </w:pPr>
          </w:p>
        </w:tc>
        <w:tc>
          <w:tcPr>
            <w:tcW w:w="1076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Cascade Investment, L.L.C.</w:t>
            </w: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24"/>
                <w:szCs w:val="24"/>
                <w:color w:val="auto"/>
              </w:rPr>
            </w:pPr>
          </w:p>
        </w:tc>
        <w:tc>
          <w:tcPr>
            <w:tcW w:w="97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(a) o</w:t>
            </w:r>
          </w:p>
        </w:tc>
        <w:tc>
          <w:tcPr>
            <w:tcW w:w="460" w:type="dxa"/>
            <w:vAlign w:val="bottom"/>
          </w:tcPr>
          <w:p>
            <w:pPr>
              <w:spacing w:after="0"/>
              <w:rPr>
                <w:sz w:val="24"/>
                <w:szCs w:val="24"/>
                <w:color w:val="auto"/>
              </w:rPr>
            </w:pPr>
          </w:p>
        </w:tc>
        <w:tc>
          <w:tcPr>
            <w:tcW w:w="80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(b) o</w:t>
            </w:r>
          </w:p>
        </w:tc>
        <w:tc>
          <w:tcPr>
            <w:tcW w:w="460" w:type="dxa"/>
            <w:vAlign w:val="bottom"/>
          </w:tcPr>
          <w:p>
            <w:pPr>
              <w:spacing w:after="0"/>
              <w:rPr>
                <w:sz w:val="20"/>
                <w:szCs w:val="20"/>
                <w:color w:val="auto"/>
              </w:rPr>
            </w:pPr>
          </w:p>
        </w:tc>
        <w:tc>
          <w:tcPr>
            <w:tcW w:w="80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w w:val="98"/>
              </w:rPr>
              <w:t>SEC Use Only</w:t>
            </w:r>
          </w:p>
        </w:tc>
        <w:tc>
          <w:tcPr>
            <w:tcW w:w="46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22"/>
                <w:szCs w:val="22"/>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WC</w:t>
            </w:r>
          </w:p>
        </w:tc>
        <w:tc>
          <w:tcPr>
            <w:tcW w:w="46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24"/>
                <w:szCs w:val="24"/>
                <w:color w:val="auto"/>
              </w:rPr>
            </w:pPr>
          </w:p>
        </w:tc>
        <w:tc>
          <w:tcPr>
            <w:tcW w:w="97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   o</w:t>
            </w: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22"/>
                <w:szCs w:val="22"/>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color w:val="auto"/>
                <w:w w:val="98"/>
              </w:rPr>
              <w:t>State of Washington</w:t>
            </w:r>
          </w:p>
        </w:tc>
        <w:tc>
          <w:tcPr>
            <w:tcW w:w="80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9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5"/>
        </w:trPr>
        <w:tc>
          <w:tcPr>
            <w:tcW w:w="360" w:type="dxa"/>
            <w:vAlign w:val="bottom"/>
          </w:tcPr>
          <w:p>
            <w:pPr>
              <w:spacing w:after="0"/>
              <w:rPr>
                <w:sz w:val="24"/>
                <w:szCs w:val="24"/>
                <w:color w:val="auto"/>
              </w:rPr>
            </w:pPr>
          </w:p>
        </w:tc>
        <w:tc>
          <w:tcPr>
            <w:tcW w:w="136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109,175,321 </w:t>
            </w: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w:t>
            </w:r>
            <w:r>
              <w:rPr>
                <w:rFonts w:ascii="Arial" w:cs="Arial" w:eastAsia="Arial" w:hAnsi="Arial"/>
                <w:sz w:val="29"/>
                <w:szCs w:val="29"/>
                <w:color w:val="auto"/>
                <w:vertAlign w:val="superscript"/>
              </w:rPr>
              <w:t>)</w:t>
            </w: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90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84"/>
              </w:rPr>
              <w:t>Shares</w:t>
            </w:r>
          </w:p>
        </w:tc>
        <w:tc>
          <w:tcPr>
            <w:tcW w:w="460" w:type="dxa"/>
            <w:vAlign w:val="bottom"/>
            <w:tcBorders>
              <w:right w:val="single" w:sz="8" w:color="auto"/>
            </w:tcBorders>
            <w:vMerge w:val="continue"/>
          </w:tcPr>
          <w:p>
            <w:pPr>
              <w:spacing w:after="0"/>
              <w:rPr>
                <w:sz w:val="12"/>
                <w:szCs w:val="12"/>
                <w:color w:val="auto"/>
              </w:rPr>
            </w:pPr>
          </w:p>
        </w:tc>
        <w:tc>
          <w:tcPr>
            <w:tcW w:w="90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36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right w:val="single" w:sz="8" w:color="auto"/>
            </w:tcBorders>
          </w:tcPr>
          <w:p>
            <w:pPr>
              <w:spacing w:after="0"/>
              <w:rPr>
                <w:sz w:val="14"/>
                <w:szCs w:val="14"/>
                <w:color w:val="auto"/>
              </w:rPr>
            </w:pPr>
          </w:p>
        </w:tc>
        <w:tc>
          <w:tcPr>
            <w:tcW w:w="8080" w:type="dxa"/>
            <w:vAlign w:val="bottom"/>
            <w:vMerge w:val="continue"/>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60" w:type="dxa"/>
            <w:vAlign w:val="bottom"/>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20" w:type="dxa"/>
            <w:vAlign w:val="bottom"/>
            <w:tcBorders>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1"/>
              </w:rPr>
              <w:t>Owned by Each</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90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5"/>
        </w:trPr>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Borders>
              <w:right w:val="single" w:sz="8" w:color="auto"/>
            </w:tcBorders>
            <w:vMerge w:val="restart"/>
          </w:tcPr>
          <w:p>
            <w:pPr>
              <w:jc w:val="center"/>
              <w:ind w:right="430"/>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vMerge w:val="continue"/>
          </w:tcPr>
          <w:p>
            <w:pPr>
              <w:spacing w:after="0"/>
              <w:rPr>
                <w:sz w:val="7"/>
                <w:szCs w:val="7"/>
                <w:color w:val="auto"/>
              </w:rPr>
            </w:pPr>
          </w:p>
        </w:tc>
        <w:tc>
          <w:tcPr>
            <w:tcW w:w="90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080" w:type="dxa"/>
            <w:vAlign w:val="bottom"/>
            <w:vMerge w:val="restart"/>
          </w:tcPr>
          <w:p>
            <w:pPr>
              <w:ind w:left="60"/>
              <w:spacing w:after="0" w:line="308" w:lineRule="exact"/>
              <w:rPr>
                <w:sz w:val="20"/>
                <w:szCs w:val="20"/>
                <w:color w:val="auto"/>
              </w:rPr>
            </w:pPr>
            <w:r>
              <w:rPr>
                <w:rFonts w:ascii="Arial" w:cs="Arial" w:eastAsia="Arial" w:hAnsi="Arial"/>
                <w:sz w:val="18"/>
                <w:szCs w:val="18"/>
                <w:color w:val="auto"/>
              </w:rPr>
              <w:t xml:space="preserve">109,175,321 </w:t>
            </w:r>
            <w:r>
              <w:rPr>
                <w:rFonts w:ascii="Arial" w:cs="Arial" w:eastAsia="Arial" w:hAnsi="Arial"/>
                <w:sz w:val="29"/>
                <w:szCs w:val="29"/>
                <w:color w:val="auto"/>
                <w:vertAlign w:val="superscript"/>
              </w:rPr>
              <w:t>(1)</w:t>
            </w: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360" w:type="dxa"/>
            <w:vAlign w:val="bottom"/>
            <w:tcBorders>
              <w:right w:val="single" w:sz="8" w:color="auto"/>
            </w:tcBorders>
            <w:gridSpan w:val="2"/>
            <w:vMerge w:val="restart"/>
          </w:tcPr>
          <w:p>
            <w:pPr>
              <w:jc w:val="center"/>
              <w:ind w:right="270"/>
              <w:spacing w:after="0" w:line="203" w:lineRule="exact"/>
              <w:rPr>
                <w:sz w:val="20"/>
                <w:szCs w:val="20"/>
                <w:color w:val="auto"/>
              </w:rPr>
            </w:pPr>
            <w:r>
              <w:rPr>
                <w:rFonts w:ascii="Arial" w:cs="Arial" w:eastAsia="Arial" w:hAnsi="Arial"/>
                <w:sz w:val="18"/>
                <w:szCs w:val="18"/>
                <w:color w:val="auto"/>
                <w:w w:val="89"/>
              </w:rPr>
              <w:t>Person With</w:t>
            </w:r>
          </w:p>
        </w:tc>
        <w:tc>
          <w:tcPr>
            <w:tcW w:w="460" w:type="dxa"/>
            <w:vAlign w:val="bottom"/>
            <w:tcBorders>
              <w:right w:val="single" w:sz="8" w:color="auto"/>
            </w:tcBorders>
          </w:tcPr>
          <w:p>
            <w:pPr>
              <w:spacing w:after="0"/>
              <w:rPr>
                <w:sz w:val="15"/>
                <w:szCs w:val="15"/>
                <w:color w:val="auto"/>
              </w:rPr>
            </w:pPr>
          </w:p>
        </w:tc>
        <w:tc>
          <w:tcPr>
            <w:tcW w:w="8080" w:type="dxa"/>
            <w:vAlign w:val="bottom"/>
            <w:vMerge w:val="continue"/>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360" w:type="dxa"/>
            <w:vAlign w:val="bottom"/>
            <w:tcBorders>
              <w:right w:val="single" w:sz="8" w:color="auto"/>
            </w:tcBorders>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9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3"/>
                <w:szCs w:val="23"/>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35"/>
        </w:trPr>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 xml:space="preserve">109,175,321 </w:t>
            </w:r>
            <w:r>
              <w:rPr>
                <w:rFonts w:ascii="Arial" w:cs="Arial" w:eastAsia="Arial" w:hAnsi="Arial"/>
                <w:sz w:val="29"/>
                <w:szCs w:val="29"/>
                <w:color w:val="auto"/>
                <w:w w:val="88"/>
                <w:vertAlign w:val="superscript"/>
              </w:rPr>
              <w:t>(1)</w:t>
            </w:r>
          </w:p>
        </w:tc>
        <w:tc>
          <w:tcPr>
            <w:tcW w:w="4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97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 o</w:t>
            </w: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780" w:type="dxa"/>
            <w:vAlign w:val="bottom"/>
            <w:tcBorders>
              <w:bottom w:val="single" w:sz="8" w:color="auto"/>
              <w:right w:val="single" w:sz="8" w:color="auto"/>
            </w:tcBorders>
            <w:gridSpan w:val="3"/>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Borders>
              <w:right w:val="single" w:sz="8" w:color="auto"/>
            </w:tcBorders>
          </w:tcPr>
          <w:p>
            <w:pPr>
              <w:spacing w:after="0"/>
              <w:rPr>
                <w:sz w:val="23"/>
                <w:szCs w:val="23"/>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35"/>
        </w:trPr>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34.5% </w:t>
            </w: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2</w:t>
            </w:r>
            <w:r>
              <w:rPr>
                <w:rFonts w:ascii="Arial" w:cs="Arial" w:eastAsia="Arial" w:hAnsi="Arial"/>
                <w:sz w:val="29"/>
                <w:szCs w:val="29"/>
                <w:color w:val="auto"/>
                <w:vertAlign w:val="superscript"/>
              </w:rPr>
              <w:t>)</w:t>
            </w:r>
          </w:p>
        </w:tc>
        <w:tc>
          <w:tcPr>
            <w:tcW w:w="4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14</w:t>
            </w:r>
          </w:p>
        </w:tc>
        <w:tc>
          <w:tcPr>
            <w:tcW w:w="120" w:type="dxa"/>
            <w:vAlign w:val="bottom"/>
            <w:tcBorders>
              <w:right w:val="single" w:sz="8" w:color="auto"/>
            </w:tcBorders>
          </w:tcPr>
          <w:p>
            <w:pPr>
              <w:spacing w:after="0"/>
              <w:rPr>
                <w:sz w:val="22"/>
                <w:szCs w:val="22"/>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ind w:right="5"/>
              <w:spacing w:after="0"/>
              <w:rPr>
                <w:sz w:val="20"/>
                <w:szCs w:val="20"/>
                <w:color w:val="auto"/>
              </w:rPr>
            </w:pPr>
            <w:r>
              <w:rPr>
                <w:rFonts w:ascii="Arial" w:cs="Arial" w:eastAsia="Arial" w:hAnsi="Arial"/>
                <w:sz w:val="15"/>
                <w:szCs w:val="15"/>
                <w:color w:val="auto"/>
                <w:w w:val="89"/>
              </w:rPr>
              <w:t>(</w:t>
            </w:r>
            <w:r>
              <w:rPr>
                <w:rFonts w:ascii="Arial" w:cs="Arial" w:eastAsia="Arial" w:hAnsi="Arial"/>
                <w:sz w:val="14"/>
                <w:szCs w:val="14"/>
                <w:color w:val="auto"/>
                <w:w w:val="89"/>
              </w:rPr>
              <w:t>1</w:t>
            </w:r>
            <w:r>
              <w:rPr>
                <w:rFonts w:ascii="Arial" w:cs="Arial" w:eastAsia="Arial" w:hAnsi="Arial"/>
                <w:sz w:val="15"/>
                <w:szCs w:val="15"/>
                <w:color w:val="auto"/>
                <w:w w:val="89"/>
              </w:rPr>
              <w:t>)</w:t>
            </w:r>
          </w:p>
        </w:tc>
        <w:tc>
          <w:tcPr>
            <w:tcW w:w="10980" w:type="dxa"/>
            <w:vAlign w:val="bottom"/>
          </w:tcPr>
          <w:p>
            <w:pPr>
              <w:ind w:left="80"/>
              <w:spacing w:after="0"/>
              <w:rPr>
                <w:sz w:val="20"/>
                <w:szCs w:val="20"/>
                <w:color w:val="auto"/>
              </w:rPr>
            </w:pPr>
            <w:r>
              <w:rPr>
                <w:rFonts w:ascii="Arial" w:cs="Arial" w:eastAsia="Arial" w:hAnsi="Arial"/>
                <w:sz w:val="18"/>
                <w:szCs w:val="18"/>
                <w:color w:val="auto"/>
                <w:w w:val="97"/>
              </w:rPr>
              <w:t>All shares of the common stock, $0.01 par value per share (the “Common Stock”), of Republic Services, Inc. (the “Issuer”), held by Cascade</w:t>
            </w:r>
          </w:p>
        </w:tc>
      </w:tr>
      <w:tr>
        <w:trPr>
          <w:trHeight w:val="230"/>
        </w:trPr>
        <w:tc>
          <w:tcPr>
            <w:tcW w:w="260" w:type="dxa"/>
            <w:vAlign w:val="bottom"/>
          </w:tcPr>
          <w:p>
            <w:pPr>
              <w:spacing w:after="0"/>
              <w:rPr>
                <w:sz w:val="20"/>
                <w:szCs w:val="20"/>
                <w:color w:val="auto"/>
              </w:rPr>
            </w:pPr>
          </w:p>
        </w:tc>
        <w:tc>
          <w:tcPr>
            <w:tcW w:w="10980" w:type="dxa"/>
            <w:vAlign w:val="bottom"/>
          </w:tcPr>
          <w:p>
            <w:pPr>
              <w:ind w:left="80"/>
              <w:spacing w:after="0"/>
              <w:rPr>
                <w:sz w:val="20"/>
                <w:szCs w:val="20"/>
                <w:color w:val="auto"/>
              </w:rPr>
            </w:pPr>
            <w:r>
              <w:rPr>
                <w:rFonts w:ascii="Arial" w:cs="Arial" w:eastAsia="Arial" w:hAnsi="Arial"/>
                <w:sz w:val="18"/>
                <w:szCs w:val="18"/>
                <w:color w:val="auto"/>
              </w:rPr>
              <w:t>Investment, L.L.C. (“Cascade”) may be deemed to be beneficially owned by William H. Gates III as the sole member of Cascade.</w:t>
            </w:r>
          </w:p>
        </w:tc>
      </w:tr>
      <w:tr>
        <w:trPr>
          <w:trHeight w:val="432"/>
        </w:trPr>
        <w:tc>
          <w:tcPr>
            <w:tcW w:w="260" w:type="dxa"/>
            <w:vAlign w:val="bottom"/>
          </w:tcPr>
          <w:p>
            <w:pPr>
              <w:jc w:val="right"/>
              <w:ind w:right="5"/>
              <w:spacing w:after="0"/>
              <w:rPr>
                <w:sz w:val="20"/>
                <w:szCs w:val="20"/>
                <w:color w:val="auto"/>
              </w:rPr>
            </w:pPr>
            <w:r>
              <w:rPr>
                <w:rFonts w:ascii="Arial" w:cs="Arial" w:eastAsia="Arial" w:hAnsi="Arial"/>
                <w:sz w:val="15"/>
                <w:szCs w:val="15"/>
                <w:color w:val="auto"/>
                <w:w w:val="89"/>
              </w:rPr>
              <w:t>(</w:t>
            </w:r>
            <w:r>
              <w:rPr>
                <w:rFonts w:ascii="Arial" w:cs="Arial" w:eastAsia="Arial" w:hAnsi="Arial"/>
                <w:sz w:val="14"/>
                <w:szCs w:val="14"/>
                <w:color w:val="auto"/>
                <w:w w:val="89"/>
              </w:rPr>
              <w:t>2</w:t>
            </w:r>
            <w:r>
              <w:rPr>
                <w:rFonts w:ascii="Arial" w:cs="Arial" w:eastAsia="Arial" w:hAnsi="Arial"/>
                <w:sz w:val="15"/>
                <w:szCs w:val="15"/>
                <w:color w:val="auto"/>
                <w:w w:val="89"/>
              </w:rPr>
              <w:t>)</w:t>
            </w:r>
          </w:p>
        </w:tc>
        <w:tc>
          <w:tcPr>
            <w:tcW w:w="10980" w:type="dxa"/>
            <w:vAlign w:val="bottom"/>
          </w:tcPr>
          <w:p>
            <w:pPr>
              <w:ind w:left="80"/>
              <w:spacing w:after="0"/>
              <w:rPr>
                <w:sz w:val="20"/>
                <w:szCs w:val="20"/>
                <w:color w:val="auto"/>
              </w:rPr>
            </w:pPr>
            <w:r>
              <w:rPr>
                <w:rFonts w:ascii="Arial" w:cs="Arial" w:eastAsia="Arial" w:hAnsi="Arial"/>
                <w:sz w:val="18"/>
                <w:szCs w:val="18"/>
                <w:color w:val="auto"/>
                <w:w w:val="90"/>
              </w:rPr>
              <w:t>Based on 316,431,349 shares of Common Stock outstanding as of February 3, 2022, as reported in the Issuer’s Form 10-K filed on February 11, 2022.</w:t>
            </w:r>
          </w:p>
        </w:tc>
      </w:tr>
      <w:tr>
        <w:trPr>
          <w:trHeight w:val="445"/>
        </w:trPr>
        <w:tc>
          <w:tcPr>
            <w:tcW w:w="2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76" w:right="339" w:bottom="1440" w:gutter="0" w:footer="0" w:header="0"/>
        </w:sectPr>
      </w:pPr>
    </w:p>
    <w:bookmarkStart w:id="2" w:name="page3"/>
    <w:bookmarkEnd w:id="2"/>
    <w:p>
      <w:pPr>
        <w:ind w:left="80"/>
        <w:spacing w:after="0"/>
        <w:rPr>
          <w:sz w:val="20"/>
          <w:szCs w:val="20"/>
          <w:color w:val="auto"/>
        </w:rPr>
      </w:pPr>
      <w:r>
        <w:rPr>
          <w:rFonts w:ascii="Arial" w:cs="Arial" w:eastAsia="Arial" w:hAnsi="Arial"/>
          <w:sz w:val="18"/>
          <w:szCs w:val="18"/>
          <w:color w:val="auto"/>
        </w:rPr>
        <w:t>CUSIP No. 760759100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Borders>
              <w:top w:val="single" w:sz="8" w:color="auto"/>
              <w:right w:val="single" w:sz="8" w:color="auto"/>
            </w:tcBorders>
          </w:tcPr>
          <w:p>
            <w:pPr>
              <w:spacing w:after="0"/>
              <w:rPr>
                <w:sz w:val="24"/>
                <w:szCs w:val="24"/>
                <w:color w:val="auto"/>
              </w:rPr>
            </w:pPr>
          </w:p>
        </w:tc>
        <w:tc>
          <w:tcPr>
            <w:tcW w:w="10760" w:type="dxa"/>
            <w:vAlign w:val="bottom"/>
            <w:tcBorders>
              <w:top w:val="single" w:sz="8" w:color="auto"/>
              <w:right w:val="single" w:sz="8" w:color="auto"/>
            </w:tcBorders>
            <w:gridSpan w:val="4"/>
          </w:tcPr>
          <w:p>
            <w:pPr>
              <w:ind w:left="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William H. Gates III</w:t>
            </w:r>
          </w:p>
        </w:tc>
        <w:tc>
          <w:tcPr>
            <w:tcW w:w="80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2</w:t>
            </w:r>
          </w:p>
        </w:tc>
        <w:tc>
          <w:tcPr>
            <w:tcW w:w="120" w:type="dxa"/>
            <w:vAlign w:val="bottom"/>
            <w:tcBorders>
              <w:right w:val="single" w:sz="8" w:color="auto"/>
            </w:tcBorders>
          </w:tcPr>
          <w:p>
            <w:pPr>
              <w:spacing w:after="0"/>
              <w:rPr>
                <w:sz w:val="24"/>
                <w:szCs w:val="24"/>
                <w:color w:val="auto"/>
              </w:rPr>
            </w:pPr>
          </w:p>
        </w:tc>
        <w:tc>
          <w:tcPr>
            <w:tcW w:w="97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(a) o</w:t>
            </w:r>
          </w:p>
        </w:tc>
        <w:tc>
          <w:tcPr>
            <w:tcW w:w="460" w:type="dxa"/>
            <w:vAlign w:val="bottom"/>
          </w:tcPr>
          <w:p>
            <w:pPr>
              <w:spacing w:after="0"/>
              <w:rPr>
                <w:sz w:val="24"/>
                <w:szCs w:val="24"/>
                <w:color w:val="auto"/>
              </w:rPr>
            </w:pPr>
          </w:p>
        </w:tc>
        <w:tc>
          <w:tcPr>
            <w:tcW w:w="80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(b) o</w:t>
            </w:r>
          </w:p>
        </w:tc>
        <w:tc>
          <w:tcPr>
            <w:tcW w:w="460" w:type="dxa"/>
            <w:vAlign w:val="bottom"/>
          </w:tcPr>
          <w:p>
            <w:pPr>
              <w:spacing w:after="0"/>
              <w:rPr>
                <w:sz w:val="20"/>
                <w:szCs w:val="20"/>
                <w:color w:val="auto"/>
              </w:rPr>
            </w:pPr>
          </w:p>
        </w:tc>
        <w:tc>
          <w:tcPr>
            <w:tcW w:w="80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Borders>
              <w:right w:val="single" w:sz="8" w:color="auto"/>
            </w:tcBorders>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w w:val="98"/>
              </w:rPr>
              <w:t>SEC Use Only</w:t>
            </w:r>
          </w:p>
        </w:tc>
        <w:tc>
          <w:tcPr>
            <w:tcW w:w="46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Borders>
              <w:right w:val="single" w:sz="8" w:color="auto"/>
            </w:tcBorders>
          </w:tcPr>
          <w:p>
            <w:pPr>
              <w:spacing w:after="0"/>
              <w:rPr>
                <w:sz w:val="22"/>
                <w:szCs w:val="22"/>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WC</w:t>
            </w:r>
          </w:p>
        </w:tc>
        <w:tc>
          <w:tcPr>
            <w:tcW w:w="46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5</w:t>
            </w:r>
          </w:p>
        </w:tc>
        <w:tc>
          <w:tcPr>
            <w:tcW w:w="120" w:type="dxa"/>
            <w:vAlign w:val="bottom"/>
            <w:tcBorders>
              <w:right w:val="single" w:sz="8" w:color="auto"/>
            </w:tcBorders>
          </w:tcPr>
          <w:p>
            <w:pPr>
              <w:spacing w:after="0"/>
              <w:rPr>
                <w:sz w:val="24"/>
                <w:szCs w:val="24"/>
                <w:color w:val="auto"/>
              </w:rPr>
            </w:pPr>
          </w:p>
        </w:tc>
        <w:tc>
          <w:tcPr>
            <w:tcW w:w="97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if Disclosure of Legal Proceedings Is Required Pursuant to Items 2(d) or 2(e)   o</w:t>
            </w: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8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6</w:t>
            </w:r>
          </w:p>
        </w:tc>
        <w:tc>
          <w:tcPr>
            <w:tcW w:w="120" w:type="dxa"/>
            <w:vAlign w:val="bottom"/>
            <w:tcBorders>
              <w:right w:val="single" w:sz="8" w:color="auto"/>
            </w:tcBorders>
          </w:tcPr>
          <w:p>
            <w:pPr>
              <w:spacing w:after="0"/>
              <w:rPr>
                <w:sz w:val="22"/>
                <w:szCs w:val="22"/>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9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5"/>
        </w:trPr>
        <w:tc>
          <w:tcPr>
            <w:tcW w:w="360" w:type="dxa"/>
            <w:vAlign w:val="bottom"/>
          </w:tcPr>
          <w:p>
            <w:pPr>
              <w:spacing w:after="0"/>
              <w:rPr>
                <w:sz w:val="24"/>
                <w:szCs w:val="24"/>
                <w:color w:val="auto"/>
              </w:rPr>
            </w:pPr>
          </w:p>
        </w:tc>
        <w:tc>
          <w:tcPr>
            <w:tcW w:w="1360" w:type="dxa"/>
            <w:vAlign w:val="bottom"/>
            <w:tcBorders>
              <w:right w:val="single" w:sz="8" w:color="auto"/>
            </w:tcBorders>
            <w:gridSpan w:val="2"/>
            <w:vMerge w:val="restart"/>
          </w:tcPr>
          <w:p>
            <w:pPr>
              <w:jc w:val="center"/>
              <w:ind w:right="33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109,175,321 </w:t>
            </w: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w:t>
            </w:r>
            <w:r>
              <w:rPr>
                <w:rFonts w:ascii="Arial" w:cs="Arial" w:eastAsia="Arial" w:hAnsi="Arial"/>
                <w:sz w:val="29"/>
                <w:szCs w:val="29"/>
                <w:color w:val="auto"/>
                <w:vertAlign w:val="superscript"/>
              </w:rPr>
              <w:t>)</w:t>
            </w: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90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84"/>
              </w:rPr>
              <w:t>Shares</w:t>
            </w:r>
          </w:p>
        </w:tc>
        <w:tc>
          <w:tcPr>
            <w:tcW w:w="460" w:type="dxa"/>
            <w:vAlign w:val="bottom"/>
            <w:tcBorders>
              <w:right w:val="single" w:sz="8" w:color="auto"/>
            </w:tcBorders>
            <w:vMerge w:val="continue"/>
          </w:tcPr>
          <w:p>
            <w:pPr>
              <w:spacing w:after="0"/>
              <w:rPr>
                <w:sz w:val="12"/>
                <w:szCs w:val="12"/>
                <w:color w:val="auto"/>
              </w:rPr>
            </w:pPr>
          </w:p>
        </w:tc>
        <w:tc>
          <w:tcPr>
            <w:tcW w:w="90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360" w:type="dxa"/>
            <w:vAlign w:val="bottom"/>
          </w:tcPr>
          <w:p>
            <w:pPr>
              <w:spacing w:after="0"/>
              <w:rPr>
                <w:sz w:val="14"/>
                <w:szCs w:val="14"/>
                <w:color w:val="auto"/>
              </w:rPr>
            </w:pPr>
          </w:p>
        </w:tc>
        <w:tc>
          <w:tcPr>
            <w:tcW w:w="136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right w:val="single" w:sz="8" w:color="auto"/>
            </w:tcBorders>
          </w:tcPr>
          <w:p>
            <w:pPr>
              <w:spacing w:after="0"/>
              <w:rPr>
                <w:sz w:val="14"/>
                <w:szCs w:val="14"/>
                <w:color w:val="auto"/>
              </w:rPr>
            </w:pPr>
          </w:p>
        </w:tc>
        <w:tc>
          <w:tcPr>
            <w:tcW w:w="8080" w:type="dxa"/>
            <w:vAlign w:val="bottom"/>
            <w:vMerge w:val="continue"/>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60" w:type="dxa"/>
            <w:vAlign w:val="bottom"/>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720" w:type="dxa"/>
            <w:vAlign w:val="bottom"/>
            <w:tcBorders>
              <w:right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1"/>
              </w:rPr>
              <w:t>Owned by Each</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90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5"/>
        </w:trPr>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Borders>
              <w:right w:val="single" w:sz="8" w:color="auto"/>
            </w:tcBorders>
            <w:vMerge w:val="restart"/>
          </w:tcPr>
          <w:p>
            <w:pPr>
              <w:jc w:val="center"/>
              <w:ind w:right="430"/>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vMerge w:val="continue"/>
          </w:tcPr>
          <w:p>
            <w:pPr>
              <w:spacing w:after="0"/>
              <w:rPr>
                <w:sz w:val="7"/>
                <w:szCs w:val="7"/>
                <w:color w:val="auto"/>
              </w:rPr>
            </w:pPr>
          </w:p>
        </w:tc>
        <w:tc>
          <w:tcPr>
            <w:tcW w:w="90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8080" w:type="dxa"/>
            <w:vAlign w:val="bottom"/>
            <w:vMerge w:val="restart"/>
          </w:tcPr>
          <w:p>
            <w:pPr>
              <w:ind w:left="60"/>
              <w:spacing w:after="0" w:line="308" w:lineRule="exact"/>
              <w:rPr>
                <w:sz w:val="20"/>
                <w:szCs w:val="20"/>
                <w:color w:val="auto"/>
              </w:rPr>
            </w:pPr>
            <w:r>
              <w:rPr>
                <w:rFonts w:ascii="Arial" w:cs="Arial" w:eastAsia="Arial" w:hAnsi="Arial"/>
                <w:sz w:val="18"/>
                <w:szCs w:val="18"/>
                <w:color w:val="auto"/>
              </w:rPr>
              <w:t xml:space="preserve">109,175,321 </w:t>
            </w:r>
            <w:r>
              <w:rPr>
                <w:rFonts w:ascii="Arial" w:cs="Arial" w:eastAsia="Arial" w:hAnsi="Arial"/>
                <w:sz w:val="29"/>
                <w:szCs w:val="29"/>
                <w:color w:val="auto"/>
                <w:vertAlign w:val="superscript"/>
              </w:rPr>
              <w:t>(1)</w:t>
            </w: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360" w:type="dxa"/>
            <w:vAlign w:val="bottom"/>
            <w:tcBorders>
              <w:right w:val="single" w:sz="8" w:color="auto"/>
            </w:tcBorders>
            <w:gridSpan w:val="2"/>
            <w:vMerge w:val="restart"/>
          </w:tcPr>
          <w:p>
            <w:pPr>
              <w:jc w:val="center"/>
              <w:ind w:right="270"/>
              <w:spacing w:after="0" w:line="203" w:lineRule="exact"/>
              <w:rPr>
                <w:sz w:val="20"/>
                <w:szCs w:val="20"/>
                <w:color w:val="auto"/>
              </w:rPr>
            </w:pPr>
            <w:r>
              <w:rPr>
                <w:rFonts w:ascii="Arial" w:cs="Arial" w:eastAsia="Arial" w:hAnsi="Arial"/>
                <w:sz w:val="18"/>
                <w:szCs w:val="18"/>
                <w:color w:val="auto"/>
                <w:w w:val="89"/>
              </w:rPr>
              <w:t>Person With</w:t>
            </w:r>
          </w:p>
        </w:tc>
        <w:tc>
          <w:tcPr>
            <w:tcW w:w="460" w:type="dxa"/>
            <w:vAlign w:val="bottom"/>
            <w:tcBorders>
              <w:right w:val="single" w:sz="8" w:color="auto"/>
            </w:tcBorders>
          </w:tcPr>
          <w:p>
            <w:pPr>
              <w:spacing w:after="0"/>
              <w:rPr>
                <w:sz w:val="15"/>
                <w:szCs w:val="15"/>
                <w:color w:val="auto"/>
              </w:rPr>
            </w:pPr>
          </w:p>
        </w:tc>
        <w:tc>
          <w:tcPr>
            <w:tcW w:w="8080" w:type="dxa"/>
            <w:vAlign w:val="bottom"/>
            <w:vMerge w:val="continue"/>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360" w:type="dxa"/>
            <w:vAlign w:val="bottom"/>
            <w:tcBorders>
              <w:right w:val="single" w:sz="8" w:color="auto"/>
            </w:tcBorders>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9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-0-</w:t>
            </w: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3"/>
                <w:szCs w:val="23"/>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35"/>
        </w:trPr>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 xml:space="preserve">109,175,321 </w:t>
            </w:r>
            <w:r>
              <w:rPr>
                <w:rFonts w:ascii="Arial" w:cs="Arial" w:eastAsia="Arial" w:hAnsi="Arial"/>
                <w:sz w:val="29"/>
                <w:szCs w:val="29"/>
                <w:color w:val="auto"/>
                <w:w w:val="88"/>
                <w:vertAlign w:val="superscript"/>
              </w:rPr>
              <w:t>(1)</w:t>
            </w:r>
          </w:p>
        </w:tc>
        <w:tc>
          <w:tcPr>
            <w:tcW w:w="4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4"/>
                <w:szCs w:val="24"/>
                <w:color w:val="auto"/>
              </w:rPr>
            </w:pPr>
          </w:p>
        </w:tc>
        <w:tc>
          <w:tcPr>
            <w:tcW w:w="97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Check if the Aggregate Amount in Row (11) Excludes Certain Shares (See Instructions) o</w:t>
            </w: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780" w:type="dxa"/>
            <w:vAlign w:val="bottom"/>
            <w:tcBorders>
              <w:bottom w:val="single" w:sz="8" w:color="auto"/>
              <w:right w:val="single" w:sz="8" w:color="auto"/>
            </w:tcBorders>
            <w:gridSpan w:val="3"/>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13</w:t>
            </w:r>
          </w:p>
        </w:tc>
        <w:tc>
          <w:tcPr>
            <w:tcW w:w="120" w:type="dxa"/>
            <w:vAlign w:val="bottom"/>
            <w:tcBorders>
              <w:right w:val="single" w:sz="8" w:color="auto"/>
            </w:tcBorders>
          </w:tcPr>
          <w:p>
            <w:pPr>
              <w:spacing w:after="0"/>
              <w:rPr>
                <w:sz w:val="23"/>
                <w:szCs w:val="23"/>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35"/>
        </w:trPr>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xml:space="preserve">34.5% </w:t>
            </w:r>
            <w:r>
              <w:rPr>
                <w:rFonts w:ascii="Arial" w:cs="Arial" w:eastAsia="Arial" w:hAnsi="Arial"/>
                <w:sz w:val="29"/>
                <w:szCs w:val="29"/>
                <w:color w:val="auto"/>
                <w:vertAlign w:val="superscript"/>
              </w:rPr>
              <w:t>(2)</w:t>
            </w:r>
          </w:p>
        </w:tc>
        <w:tc>
          <w:tcPr>
            <w:tcW w:w="4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14</w:t>
            </w:r>
          </w:p>
        </w:tc>
        <w:tc>
          <w:tcPr>
            <w:tcW w:w="120" w:type="dxa"/>
            <w:vAlign w:val="bottom"/>
            <w:tcBorders>
              <w:right w:val="single" w:sz="8" w:color="auto"/>
            </w:tcBorders>
          </w:tcPr>
          <w:p>
            <w:pPr>
              <w:spacing w:after="0"/>
              <w:rPr>
                <w:sz w:val="22"/>
                <w:szCs w:val="22"/>
                <w:color w:val="auto"/>
              </w:rPr>
            </w:pPr>
          </w:p>
        </w:tc>
        <w:tc>
          <w:tcPr>
            <w:tcW w:w="1076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1</w:t>
            </w:r>
            <w:r>
              <w:rPr>
                <w:rFonts w:ascii="Arial" w:cs="Arial" w:eastAsia="Arial" w:hAnsi="Arial"/>
                <w:sz w:val="15"/>
                <w:szCs w:val="15"/>
                <w:color w:val="auto"/>
              </w:rPr>
              <w:t>)</w:t>
            </w:r>
          </w:p>
        </w:tc>
        <w:tc>
          <w:tcPr>
            <w:tcW w:w="10980" w:type="dxa"/>
            <w:vAlign w:val="bottom"/>
          </w:tcPr>
          <w:p>
            <w:pPr>
              <w:ind w:left="80"/>
              <w:spacing w:after="0"/>
              <w:rPr>
                <w:sz w:val="20"/>
                <w:szCs w:val="20"/>
                <w:color w:val="auto"/>
              </w:rPr>
            </w:pPr>
            <w:r>
              <w:rPr>
                <w:rFonts w:ascii="Arial" w:cs="Arial" w:eastAsia="Arial" w:hAnsi="Arial"/>
                <w:sz w:val="18"/>
                <w:szCs w:val="18"/>
                <w:color w:val="auto"/>
                <w:w w:val="90"/>
              </w:rPr>
              <w:t>All shares of the Common Stock of the Issuer held by Cascade may be deemed to be beneficially owned by William H. Gates III as the sole member of</w:t>
            </w:r>
          </w:p>
        </w:tc>
      </w:tr>
      <w:tr>
        <w:trPr>
          <w:trHeight w:val="230"/>
        </w:trPr>
        <w:tc>
          <w:tcPr>
            <w:tcW w:w="260" w:type="dxa"/>
            <w:vAlign w:val="bottom"/>
          </w:tcPr>
          <w:p>
            <w:pPr>
              <w:spacing w:after="0"/>
              <w:rPr>
                <w:sz w:val="20"/>
                <w:szCs w:val="20"/>
                <w:color w:val="auto"/>
              </w:rPr>
            </w:pPr>
          </w:p>
        </w:tc>
        <w:tc>
          <w:tcPr>
            <w:tcW w:w="10980" w:type="dxa"/>
            <w:vAlign w:val="bottom"/>
          </w:tcPr>
          <w:p>
            <w:pPr>
              <w:ind w:left="80"/>
              <w:spacing w:after="0"/>
              <w:rPr>
                <w:sz w:val="20"/>
                <w:szCs w:val="20"/>
                <w:color w:val="auto"/>
              </w:rPr>
            </w:pPr>
            <w:r>
              <w:rPr>
                <w:rFonts w:ascii="Arial" w:cs="Arial" w:eastAsia="Arial" w:hAnsi="Arial"/>
                <w:sz w:val="18"/>
                <w:szCs w:val="18"/>
                <w:color w:val="auto"/>
              </w:rPr>
              <w:t>Cascade.</w:t>
            </w:r>
          </w:p>
        </w:tc>
      </w:tr>
      <w:tr>
        <w:trPr>
          <w:trHeight w:val="432"/>
        </w:trPr>
        <w:tc>
          <w:tcPr>
            <w:tcW w:w="26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2</w:t>
            </w:r>
            <w:r>
              <w:rPr>
                <w:rFonts w:ascii="Arial" w:cs="Arial" w:eastAsia="Arial" w:hAnsi="Arial"/>
                <w:sz w:val="12"/>
                <w:szCs w:val="12"/>
                <w:color w:val="auto"/>
              </w:rPr>
              <w:t>)</w:t>
            </w:r>
          </w:p>
        </w:tc>
        <w:tc>
          <w:tcPr>
            <w:tcW w:w="10980" w:type="dxa"/>
            <w:vAlign w:val="bottom"/>
          </w:tcPr>
          <w:p>
            <w:pPr>
              <w:ind w:left="80"/>
              <w:spacing w:after="0"/>
              <w:rPr>
                <w:sz w:val="20"/>
                <w:szCs w:val="20"/>
                <w:color w:val="auto"/>
              </w:rPr>
            </w:pPr>
            <w:r>
              <w:rPr>
                <w:rFonts w:ascii="Arial" w:cs="Arial" w:eastAsia="Arial" w:hAnsi="Arial"/>
                <w:sz w:val="18"/>
                <w:szCs w:val="18"/>
                <w:color w:val="auto"/>
                <w:w w:val="90"/>
              </w:rPr>
              <w:t>Based on 316,431,349 shares of Common Stock outstanding as of February 3, 2022, as reported in the Issuer’s Form 10-K filed on February 11, 2022.</w:t>
            </w:r>
          </w:p>
        </w:tc>
      </w:tr>
      <w:tr>
        <w:trPr>
          <w:trHeight w:val="445"/>
        </w:trPr>
        <w:tc>
          <w:tcPr>
            <w:tcW w:w="2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7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STATEMENT</w:t>
      </w:r>
    </w:p>
    <w:p>
      <w:pPr>
        <w:spacing w:after="0" w:line="22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This Amendment No. 26 to Schedule 13D (“Amendment”) amends and restates in its entirety the Schedule 13D previously filed by Cascade Investment, L.L.C. (“Cascade”), William H. Gates III (together with Cascade, the “Reporting Persons”), the Bill &amp; Melinda Gates Foundation Trust (the “Trust”), and Melinda French Gates with the Securities and Exchange Commission on July 21, 2008, as amended on August 1, 2008; August 18, 2008; September 22, 2008; December 16, 2008; January 15, 2009; January 29, 2009; February 9, 2009; February 23, 2009; March 3, 2009; October 30, 2009; November 5, 2010; August 19, 2011; December 9, 2011; May 4, 2012; May 25, 2012; August 3, 2012; November 19, 2012; June 12, 2014; July 1, 2014; August 5, 2014; August 26, 2014; September 23, 2014; November 3, 2015; August 1, 2017; and July 30, 2018, relating to the common stock, par value $0.01 per share (the “Common Stock”), of Republic Services, Inc. (the “Issuer”). As disclosed in a prior amendment, the Trust and Melinda French Gates are no longer reporting persons hereunder.</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ind w:left="800" w:right="280"/>
        <w:spacing w:after="0" w:line="277" w:lineRule="auto"/>
        <w:rPr>
          <w:sz w:val="20"/>
          <w:szCs w:val="20"/>
          <w:color w:val="auto"/>
        </w:rPr>
      </w:pPr>
      <w:r>
        <w:rPr>
          <w:rFonts w:ascii="Arial" w:cs="Arial" w:eastAsia="Arial" w:hAnsi="Arial"/>
          <w:sz w:val="18"/>
          <w:szCs w:val="18"/>
          <w:color w:val="auto"/>
        </w:rPr>
        <w:t>This statement relates to the Common Stock, par value $0.01 per share (the “Common Stock”), of Republic Services, Inc. (the “Issuer”). The principal executive offices of the Issuer are located at 18500 North Allied Way, Phoenix, Arizona 85054.</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1260" w:hanging="456"/>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statement is being filed jointly by the Reporting Persons.</w:t>
      </w:r>
    </w:p>
    <w:p>
      <w:pPr>
        <w:spacing w:after="0" w:line="225" w:lineRule="exact"/>
        <w:rPr>
          <w:rFonts w:ascii="Arial" w:cs="Arial" w:eastAsia="Arial" w:hAnsi="Arial"/>
          <w:sz w:val="18"/>
          <w:szCs w:val="18"/>
          <w:color w:val="auto"/>
        </w:rPr>
      </w:pPr>
    </w:p>
    <w:p>
      <w:pPr>
        <w:ind w:left="1260" w:hanging="456"/>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business addresses of the Reporting Persons are as follows:</w:t>
      </w:r>
    </w:p>
    <w:p>
      <w:pPr>
        <w:spacing w:after="0" w:line="225" w:lineRule="exact"/>
        <w:rPr>
          <w:rFonts w:ascii="Arial" w:cs="Arial" w:eastAsia="Arial" w:hAnsi="Arial"/>
          <w:sz w:val="18"/>
          <w:szCs w:val="18"/>
          <w:color w:val="auto"/>
        </w:rPr>
      </w:pPr>
    </w:p>
    <w:p>
      <w:pPr>
        <w:ind w:left="1900" w:hanging="448"/>
        <w:spacing w:after="0"/>
        <w:tabs>
          <w:tab w:leader="none" w:pos="1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Cascade: 2365 Carillon Point, Kirkland, Washington 98033</w:t>
      </w:r>
    </w:p>
    <w:p>
      <w:pPr>
        <w:spacing w:after="0" w:line="23" w:lineRule="exact"/>
        <w:rPr>
          <w:rFonts w:ascii="Arial" w:cs="Arial" w:eastAsia="Arial" w:hAnsi="Arial"/>
          <w:sz w:val="18"/>
          <w:szCs w:val="18"/>
          <w:color w:val="auto"/>
        </w:rPr>
      </w:pPr>
    </w:p>
    <w:p>
      <w:pPr>
        <w:ind w:left="1900" w:hanging="448"/>
        <w:spacing w:after="0"/>
        <w:tabs>
          <w:tab w:leader="none" w:pos="1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Mr. Gates: 500 Fifth Ave North, Seattle, Washington 98109</w:t>
      </w:r>
    </w:p>
    <w:p>
      <w:pPr>
        <w:spacing w:after="0" w:line="210" w:lineRule="exact"/>
        <w:rPr>
          <w:rFonts w:ascii="Arial" w:cs="Arial" w:eastAsia="Arial" w:hAnsi="Arial"/>
          <w:sz w:val="18"/>
          <w:szCs w:val="18"/>
          <w:color w:val="auto"/>
        </w:rPr>
      </w:pPr>
    </w:p>
    <w:p>
      <w:pPr>
        <w:ind w:left="1260" w:right="300" w:hanging="456"/>
        <w:spacing w:after="0" w:line="277"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Cascade is a limited liability company organized under the laws of the State of Washington. Cascade is a private investment entity that seeks appreciation of its assets for the benefit of its sole member, Mr. Gates.</w:t>
      </w:r>
    </w:p>
    <w:p>
      <w:pPr>
        <w:spacing w:after="0" w:line="170" w:lineRule="exact"/>
        <w:rPr>
          <w:rFonts w:ascii="Arial" w:cs="Arial" w:eastAsia="Arial" w:hAnsi="Arial"/>
          <w:sz w:val="18"/>
          <w:szCs w:val="18"/>
          <w:color w:val="auto"/>
        </w:rPr>
      </w:pPr>
    </w:p>
    <w:p>
      <w:pPr>
        <w:ind w:left="1260"/>
        <w:spacing w:after="0" w:line="263" w:lineRule="auto"/>
        <w:rPr>
          <w:rFonts w:ascii="Arial" w:cs="Arial" w:eastAsia="Arial" w:hAnsi="Arial"/>
          <w:sz w:val="18"/>
          <w:szCs w:val="18"/>
          <w:color w:val="auto"/>
        </w:rPr>
      </w:pPr>
      <w:r>
        <w:rPr>
          <w:rFonts w:ascii="Arial" w:cs="Arial" w:eastAsia="Arial" w:hAnsi="Arial"/>
          <w:sz w:val="18"/>
          <w:szCs w:val="18"/>
          <w:color w:val="auto"/>
        </w:rPr>
        <w:t>Mr. Gates, a natural person, is a Co-Trustee of the Bill &amp; Melinda Gates Foundation (the "Foundation") and the Bill &amp; Melinda Gates Foundation Trust. The Foundation is a nonprofit organization fighting poverty, disease, and inequity around the world; its business address is 500 Fifth Avenue North, Seattle, Washington 98109.</w:t>
      </w:r>
    </w:p>
    <w:p>
      <w:pPr>
        <w:spacing w:after="0" w:line="183" w:lineRule="exact"/>
        <w:rPr>
          <w:rFonts w:ascii="Arial" w:cs="Arial" w:eastAsia="Arial" w:hAnsi="Arial"/>
          <w:sz w:val="18"/>
          <w:szCs w:val="18"/>
          <w:color w:val="auto"/>
        </w:rPr>
      </w:pPr>
    </w:p>
    <w:p>
      <w:pPr>
        <w:ind w:left="1260" w:hanging="456"/>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260" w:hanging="456"/>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260" w:hanging="456"/>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Gates is a citizen of the United States of America.</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Cascade purchased the Common Stock with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Cascade is acquiring shares of Common Stock of the Issuer for investment purposes.</w:t>
      </w:r>
    </w:p>
    <w:p>
      <w:pPr>
        <w:spacing w:after="0" w:line="225" w:lineRule="exact"/>
        <w:rPr>
          <w:sz w:val="20"/>
          <w:szCs w:val="20"/>
          <w:color w:val="auto"/>
        </w:rPr>
      </w:pPr>
    </w:p>
    <w:p>
      <w:pPr>
        <w:ind w:left="920"/>
        <w:spacing w:after="0" w:line="263" w:lineRule="auto"/>
        <w:rPr>
          <w:sz w:val="20"/>
          <w:szCs w:val="20"/>
          <w:color w:val="auto"/>
        </w:rPr>
      </w:pPr>
      <w:r>
        <w:rPr>
          <w:rFonts w:ascii="Arial" w:cs="Arial" w:eastAsia="Arial" w:hAnsi="Arial"/>
          <w:sz w:val="18"/>
          <w:szCs w:val="18"/>
          <w:color w:val="auto"/>
        </w:rPr>
        <w:t>Cascade’s decisions about how many shares to purchase and over what timeframe depend on market conditions and valuations. There can be no assurances that Cascade will continue purchasing shares or that it will materially increase its percentage of ownership of the Issuer. Cascade expects to use working capital to fund any such purchases.</w:t>
      </w:r>
    </w:p>
    <w:p>
      <w:pPr>
        <w:spacing w:after="0" w:line="184"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The Reporting Persons consider and evaluate on an ongoing basis all of their alternatives with respect to their investment in the Issuer and reserve the right to change their plans and intentions at any time, and to take any and all actions that they deem appropriate to maximize the value of their investment. This may include increasing or decreasing their ownership interest in the Issuer depending upon subsequent changes to market conditions, developments affecting the Issuer, their general investment policies or other factors.</w:t>
      </w:r>
    </w:p>
    <w:p>
      <w:pPr>
        <w:spacing w:after="0" w:line="171"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Michael Larson, Cascade’s business manager and an employee of Mr. Gates, and Thomas Handley, an employee of Mr. Gates, serve on the Issuer’s board of directors.</w:t>
      </w:r>
    </w:p>
    <w:p>
      <w:pPr>
        <w:spacing w:after="0" w:line="170" w:lineRule="exact"/>
        <w:rPr>
          <w:sz w:val="20"/>
          <w:szCs w:val="20"/>
          <w:color w:val="auto"/>
        </w:rPr>
      </w:pPr>
    </w:p>
    <w:p>
      <w:pPr>
        <w:ind w:left="920" w:right="180"/>
        <w:spacing w:after="0" w:line="277" w:lineRule="auto"/>
        <w:rPr>
          <w:sz w:val="20"/>
          <w:szCs w:val="20"/>
          <w:color w:val="auto"/>
        </w:rPr>
      </w:pPr>
      <w:r>
        <w:rPr>
          <w:rFonts w:ascii="Arial" w:cs="Arial" w:eastAsia="Arial" w:hAnsi="Arial"/>
          <w:sz w:val="18"/>
          <w:szCs w:val="18"/>
          <w:color w:val="auto"/>
        </w:rPr>
        <w:t>Except as set forth herein, the Reporting Persons have no current intention, plan or proposal with respect to items (a) through (j) of Schedule 13D.</w:t>
      </w:r>
    </w:p>
    <w:p>
      <w:pPr>
        <w:spacing w:after="0" w:line="1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left="1260" w:right="20" w:hanging="456"/>
        <w:spacing w:after="0" w:line="277" w:lineRule="auto"/>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items 11 and 13 of the cover pages to this Amendment for the aggregate number of Common Stock and percentage of Common Stock beneficially owned by each of the Reporting Persons.</w:t>
      </w:r>
    </w:p>
    <w:p>
      <w:pPr>
        <w:spacing w:after="0" w:line="170" w:lineRule="exact"/>
        <w:rPr>
          <w:rFonts w:ascii="Arial" w:cs="Arial" w:eastAsia="Arial" w:hAnsi="Arial"/>
          <w:sz w:val="18"/>
          <w:szCs w:val="18"/>
          <w:color w:val="auto"/>
        </w:rPr>
      </w:pPr>
    </w:p>
    <w:p>
      <w:pPr>
        <w:ind w:left="1260" w:hanging="456"/>
        <w:spacing w:after="0" w:line="263" w:lineRule="auto"/>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items 7 through 10 of the cover pages to this Amendment for the number of Common Stock beneficially owned by each of the Reporting Persons as to which there is sole power to vote or to direct the vote, shared power to vote or to direct the vote and sole or shared power to dispose or to direct the disposition.</w:t>
      </w:r>
    </w:p>
    <w:p>
      <w:pPr>
        <w:spacing w:after="0" w:line="183" w:lineRule="exact"/>
        <w:rPr>
          <w:rFonts w:ascii="Arial" w:cs="Arial" w:eastAsia="Arial" w:hAnsi="Arial"/>
          <w:sz w:val="18"/>
          <w:szCs w:val="18"/>
          <w:color w:val="auto"/>
        </w:rPr>
      </w:pPr>
    </w:p>
    <w:p>
      <w:pPr>
        <w:ind w:left="1260" w:right="320" w:hanging="456"/>
        <w:spacing w:after="0" w:line="277" w:lineRule="auto"/>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Cascade purchased 362,747 shares of Common Stock on February 18, 2022, in open-market transactions at the sale price per share set forth in Exhibit 99.1, attached hereto and incorporated herein by reference.</w:t>
      </w:r>
    </w:p>
    <w:p>
      <w:pPr>
        <w:spacing w:after="0" w:line="170" w:lineRule="exact"/>
        <w:rPr>
          <w:rFonts w:ascii="Arial" w:cs="Arial" w:eastAsia="Arial" w:hAnsi="Arial"/>
          <w:sz w:val="18"/>
          <w:szCs w:val="18"/>
          <w:color w:val="auto"/>
        </w:rPr>
      </w:pPr>
    </w:p>
    <w:p>
      <w:pPr>
        <w:ind w:left="1260" w:hanging="456"/>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260" w:hanging="456"/>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Item 4.</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ind w:left="8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Exhibit 99.1 – Transactions effected during the past sixty days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3680" w:type="dxa"/>
            <w:vAlign w:val="bottom"/>
          </w:tcPr>
          <w:p>
            <w:pPr>
              <w:spacing w:after="0"/>
              <w:rPr>
                <w:sz w:val="20"/>
                <w:szCs w:val="20"/>
                <w:color w:val="auto"/>
              </w:rPr>
            </w:pPr>
            <w:r>
              <w:rPr>
                <w:rFonts w:ascii="Arial" w:cs="Arial" w:eastAsia="Arial" w:hAnsi="Arial"/>
                <w:sz w:val="18"/>
                <w:szCs w:val="18"/>
                <w:color w:val="auto"/>
              </w:rPr>
              <w:t>Date: February 18, 2022</w:t>
            </w:r>
          </w:p>
        </w:tc>
        <w:tc>
          <w:tcPr>
            <w:tcW w:w="7560" w:type="dxa"/>
            <w:vAlign w:val="bottom"/>
            <w:gridSpan w:val="3"/>
          </w:tcPr>
          <w:p>
            <w:pPr>
              <w:ind w:left="1920"/>
              <w:spacing w:after="0"/>
              <w:rPr>
                <w:sz w:val="20"/>
                <w:szCs w:val="20"/>
                <w:color w:val="auto"/>
              </w:rPr>
            </w:pPr>
            <w:r>
              <w:rPr>
                <w:rFonts w:ascii="Arial" w:cs="Arial" w:eastAsia="Arial" w:hAnsi="Arial"/>
                <w:sz w:val="18"/>
                <w:szCs w:val="18"/>
                <w:color w:val="auto"/>
              </w:rPr>
              <w:t xml:space="preserve">CASCADE INVESTMENT, L.L.C. </w:t>
            </w: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w:t>
            </w:r>
            <w:r>
              <w:rPr>
                <w:rFonts w:ascii="Arial" w:cs="Arial" w:eastAsia="Arial" w:hAnsi="Arial"/>
                <w:sz w:val="29"/>
                <w:szCs w:val="29"/>
                <w:color w:val="auto"/>
                <w:vertAlign w:val="superscript"/>
              </w:rPr>
              <w:t>)</w:t>
            </w:r>
          </w:p>
        </w:tc>
      </w:tr>
      <w:tr>
        <w:trPr>
          <w:trHeight w:val="309"/>
        </w:trPr>
        <w:tc>
          <w:tcPr>
            <w:tcW w:w="3680" w:type="dxa"/>
            <w:vAlign w:val="bottom"/>
          </w:tcPr>
          <w:p>
            <w:pPr>
              <w:spacing w:after="0"/>
              <w:rPr>
                <w:sz w:val="24"/>
                <w:szCs w:val="24"/>
                <w:color w:val="auto"/>
              </w:rPr>
            </w:pPr>
          </w:p>
        </w:tc>
        <w:tc>
          <w:tcPr>
            <w:tcW w:w="284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472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36"/>
        </w:trPr>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spacing w:after="0" w:line="236" w:lineRule="exact"/>
              <w:rPr>
                <w:sz w:val="20"/>
                <w:szCs w:val="20"/>
                <w:color w:val="auto"/>
              </w:rPr>
            </w:pPr>
            <w:r>
              <w:rPr>
                <w:rFonts w:ascii="Arial" w:cs="Arial" w:eastAsia="Arial" w:hAnsi="Arial"/>
                <w:sz w:val="17"/>
                <w:szCs w:val="17"/>
                <w:color w:val="auto"/>
              </w:rPr>
              <w:t xml:space="preserve">Alan Heuberger </w:t>
            </w:r>
            <w:r>
              <w:rPr>
                <w:rFonts w:ascii="Arial" w:cs="Arial" w:eastAsia="Arial" w:hAnsi="Arial"/>
                <w:sz w:val="27"/>
                <w:szCs w:val="27"/>
                <w:color w:val="auto"/>
                <w:vertAlign w:val="superscript"/>
              </w:rPr>
              <w:t>(</w:t>
            </w:r>
            <w:r>
              <w:rPr>
                <w:rFonts w:ascii="Arial" w:cs="Arial" w:eastAsia="Arial" w:hAnsi="Arial"/>
                <w:sz w:val="26"/>
                <w:szCs w:val="26"/>
                <w:color w:val="auto"/>
                <w:vertAlign w:val="superscript"/>
              </w:rPr>
              <w:t>2</w:t>
            </w:r>
            <w:r>
              <w:rPr>
                <w:rFonts w:ascii="Arial" w:cs="Arial" w:eastAsia="Arial" w:hAnsi="Arial"/>
                <w:sz w:val="27"/>
                <w:szCs w:val="27"/>
                <w:color w:val="auto"/>
                <w:vertAlign w:val="superscript"/>
              </w:rPr>
              <w:t>)</w:t>
            </w:r>
          </w:p>
        </w:tc>
      </w:tr>
      <w:tr>
        <w:trPr>
          <w:trHeight w:val="216"/>
        </w:trPr>
        <w:tc>
          <w:tcPr>
            <w:tcW w:w="3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Attorney-in-fact for Michael Larson,</w:t>
            </w:r>
          </w:p>
        </w:tc>
      </w:tr>
      <w:tr>
        <w:trPr>
          <w:trHeight w:val="230"/>
        </w:trPr>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Business Manager</w:t>
            </w:r>
          </w:p>
        </w:tc>
      </w:tr>
      <w:tr>
        <w:trPr>
          <w:trHeight w:val="595"/>
        </w:trPr>
        <w:tc>
          <w:tcPr>
            <w:tcW w:w="3680" w:type="dxa"/>
            <w:vAlign w:val="bottom"/>
          </w:tcPr>
          <w:p>
            <w:pPr>
              <w:spacing w:after="0"/>
              <w:rPr>
                <w:sz w:val="24"/>
                <w:szCs w:val="24"/>
                <w:color w:val="auto"/>
              </w:rPr>
            </w:pPr>
          </w:p>
        </w:tc>
        <w:tc>
          <w:tcPr>
            <w:tcW w:w="7560" w:type="dxa"/>
            <w:vAlign w:val="bottom"/>
            <w:gridSpan w:val="3"/>
          </w:tcPr>
          <w:p>
            <w:pPr>
              <w:ind w:left="1920"/>
              <w:spacing w:after="0"/>
              <w:rPr>
                <w:sz w:val="20"/>
                <w:szCs w:val="20"/>
                <w:color w:val="auto"/>
              </w:rPr>
            </w:pPr>
            <w:r>
              <w:rPr>
                <w:rFonts w:ascii="Arial" w:cs="Arial" w:eastAsia="Arial" w:hAnsi="Arial"/>
                <w:sz w:val="18"/>
                <w:szCs w:val="18"/>
                <w:color w:val="auto"/>
              </w:rPr>
              <w:t xml:space="preserve">WILLIAM H. GATES III </w:t>
            </w:r>
            <w:r>
              <w:rPr>
                <w:rFonts w:ascii="Arial" w:cs="Arial" w:eastAsia="Arial" w:hAnsi="Arial"/>
                <w:sz w:val="29"/>
                <w:szCs w:val="29"/>
                <w:color w:val="auto"/>
                <w:vertAlign w:val="superscript"/>
              </w:rPr>
              <w:t>(1)</w:t>
            </w:r>
          </w:p>
        </w:tc>
      </w:tr>
      <w:tr>
        <w:trPr>
          <w:trHeight w:val="309"/>
        </w:trPr>
        <w:tc>
          <w:tcPr>
            <w:tcW w:w="3680" w:type="dxa"/>
            <w:vAlign w:val="bottom"/>
          </w:tcPr>
          <w:p>
            <w:pPr>
              <w:spacing w:after="0"/>
              <w:rPr>
                <w:sz w:val="24"/>
                <w:szCs w:val="24"/>
                <w:color w:val="auto"/>
              </w:rPr>
            </w:pPr>
          </w:p>
        </w:tc>
        <w:tc>
          <w:tcPr>
            <w:tcW w:w="2840" w:type="dxa"/>
            <w:vAlign w:val="bottom"/>
            <w:gridSpan w:val="2"/>
          </w:tcPr>
          <w:p>
            <w:pPr>
              <w:ind w:left="1920"/>
              <w:spacing w:after="0"/>
              <w:rPr>
                <w:sz w:val="20"/>
                <w:szCs w:val="20"/>
                <w:color w:val="auto"/>
              </w:rPr>
            </w:pPr>
            <w:r>
              <w:rPr>
                <w:rFonts w:ascii="Arial" w:cs="Arial" w:eastAsia="Arial" w:hAnsi="Arial"/>
                <w:sz w:val="18"/>
                <w:szCs w:val="18"/>
                <w:color w:val="auto"/>
              </w:rPr>
              <w:t>By:</w:t>
            </w:r>
          </w:p>
        </w:tc>
        <w:tc>
          <w:tcPr>
            <w:tcW w:w="472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36"/>
        </w:trPr>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spacing w:after="0" w:line="236" w:lineRule="exact"/>
              <w:rPr>
                <w:sz w:val="20"/>
                <w:szCs w:val="20"/>
                <w:color w:val="auto"/>
              </w:rPr>
            </w:pPr>
            <w:r>
              <w:rPr>
                <w:rFonts w:ascii="Arial" w:cs="Arial" w:eastAsia="Arial" w:hAnsi="Arial"/>
                <w:sz w:val="17"/>
                <w:szCs w:val="17"/>
                <w:color w:val="auto"/>
              </w:rPr>
              <w:t xml:space="preserve">Alan Heuberger </w:t>
            </w:r>
            <w:r>
              <w:rPr>
                <w:rFonts w:ascii="Arial" w:cs="Arial" w:eastAsia="Arial" w:hAnsi="Arial"/>
                <w:sz w:val="27"/>
                <w:szCs w:val="27"/>
                <w:color w:val="auto"/>
                <w:vertAlign w:val="superscript"/>
              </w:rPr>
              <w:t>(</w:t>
            </w:r>
            <w:r>
              <w:rPr>
                <w:rFonts w:ascii="Arial" w:cs="Arial" w:eastAsia="Arial" w:hAnsi="Arial"/>
                <w:sz w:val="26"/>
                <w:szCs w:val="26"/>
                <w:color w:val="auto"/>
                <w:vertAlign w:val="superscript"/>
              </w:rPr>
              <w:t>3</w:t>
            </w:r>
            <w:r>
              <w:rPr>
                <w:rFonts w:ascii="Arial" w:cs="Arial" w:eastAsia="Arial" w:hAnsi="Arial"/>
                <w:sz w:val="27"/>
                <w:szCs w:val="27"/>
                <w:color w:val="auto"/>
                <w:vertAlign w:val="superscript"/>
              </w:rPr>
              <w:t>)</w:t>
            </w:r>
          </w:p>
        </w:tc>
      </w:tr>
      <w:tr>
        <w:trPr>
          <w:trHeight w:val="230"/>
        </w:trPr>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3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Heuberger</w:t>
            </w:r>
          </w:p>
        </w:tc>
      </w:tr>
      <w:tr>
        <w:trPr>
          <w:trHeight w:val="224"/>
        </w:trPr>
        <w:tc>
          <w:tcPr>
            <w:tcW w:w="3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Alan Heuberger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2" w:lineRule="exact"/>
        <w:rPr>
          <w:sz w:val="20"/>
          <w:szCs w:val="20"/>
          <w:color w:val="auto"/>
        </w:rPr>
      </w:pPr>
    </w:p>
    <w:p>
      <w:pPr>
        <w:ind w:left="340" w:right="360" w:hanging="323"/>
        <w:spacing w:after="0" w:line="342" w:lineRule="auto"/>
        <w:tabs>
          <w:tab w:leader="none" w:pos="320" w:val="left"/>
        </w:tabs>
        <w:rPr>
          <w:sz w:val="20"/>
          <w:szCs w:val="20"/>
          <w:color w:val="auto"/>
        </w:rPr>
      </w:pP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w:t>
      </w: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6"/>
          <w:szCs w:val="16"/>
          <w:color w:val="auto"/>
        </w:rPr>
        <w:t>This Amendment is being filed jointly by the Reporting Persons pursuant to the Joint Filing Agreement dated July 21, 2008, and included with the signature page to the Reporting Persons’ Schedule 13D filed on July 21, 2008, SEC File No. 005-54333, and incorporated by reference herein.</w:t>
      </w:r>
    </w:p>
    <w:p>
      <w:pPr>
        <w:spacing w:after="0" w:line="124" w:lineRule="exact"/>
        <w:rPr>
          <w:sz w:val="20"/>
          <w:szCs w:val="20"/>
          <w:color w:val="auto"/>
        </w:rPr>
      </w:pPr>
    </w:p>
    <w:p>
      <w:pPr>
        <w:ind w:left="340" w:right="280" w:hanging="332"/>
        <w:spacing w:after="0" w:line="243" w:lineRule="auto"/>
        <w:tabs>
          <w:tab w:leader="none" w:pos="34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 005-81261, and incorporated by reference herein.</w:t>
      </w:r>
    </w:p>
    <w:p>
      <w:pPr>
        <w:spacing w:after="0" w:line="200" w:lineRule="exact"/>
        <w:rPr>
          <w:sz w:val="20"/>
          <w:szCs w:val="20"/>
          <w:color w:val="auto"/>
        </w:rPr>
      </w:pPr>
    </w:p>
    <w:p>
      <w:pPr>
        <w:ind w:left="340" w:right="180" w:hanging="323"/>
        <w:spacing w:after="0" w:line="263" w:lineRule="auto"/>
        <w:tabs>
          <w:tab w:leader="none" w:pos="320" w:val="left"/>
        </w:tabs>
        <w:rPr>
          <w:sz w:val="20"/>
          <w:szCs w:val="20"/>
          <w:color w:val="auto"/>
        </w:rPr>
      </w:pP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3</w:t>
      </w:r>
      <w:r>
        <w:rPr>
          <w:rFonts w:ascii="Arial" w:cs="Arial" w:eastAsia="Arial" w:hAnsi="Arial"/>
          <w:sz w:val="29"/>
          <w:szCs w:val="29"/>
          <w:color w:val="auto"/>
          <w:vertAlign w:val="superscript"/>
        </w:rPr>
        <w:t>)</w:t>
      </w:r>
      <w:r>
        <w:rPr>
          <w:rFonts w:ascii="Arial" w:cs="Arial" w:eastAsia="Arial" w:hAnsi="Arial"/>
          <w:sz w:val="18"/>
          <w:szCs w:val="18"/>
          <w:color w:val="auto"/>
        </w:rPr>
        <w:tab/>
        <w:t>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10120"/>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table below specifies the date of the transaction, number of shares, weighted-average price per share and range of price per share of the Common Stock of Republic Services, Inc. purchased by Cascade Investment, L.L.C. during the past sixty days. All transactions were effected in the open market through brokers. The reporting person making such transactions undertakes to provide to the staff of the Securities and Exchange Commission, upon request, full information regarding the number of shares purchased at each separate price within the ranges set forth in the table below.</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50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Date of Transaction</w:t>
            </w:r>
          </w:p>
        </w:tc>
        <w:tc>
          <w:tcPr>
            <w:tcW w:w="326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Number of Shares</w:t>
            </w: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3120" w:type="dxa"/>
            <w:vAlign w:val="bottom"/>
            <w:tcBorders>
              <w:top w:val="single" w:sz="8" w:color="auto"/>
              <w:bottom w:val="single" w:sz="8" w:color="auto"/>
              <w:right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Range of Price per Share ($)</w:t>
            </w:r>
          </w:p>
        </w:tc>
        <w:tc>
          <w:tcPr>
            <w:tcW w:w="0" w:type="dxa"/>
            <w:vAlign w:val="bottom"/>
          </w:tcPr>
          <w:p>
            <w:pPr>
              <w:spacing w:after="0"/>
              <w:rPr>
                <w:sz w:val="1"/>
                <w:szCs w:val="1"/>
                <w:color w:val="auto"/>
              </w:rPr>
            </w:pPr>
          </w:p>
        </w:tc>
      </w:tr>
      <w:tr>
        <w:trPr>
          <w:trHeight w:val="102"/>
        </w:trPr>
        <w:tc>
          <w:tcPr>
            <w:tcW w:w="2500" w:type="dxa"/>
            <w:vAlign w:val="bottom"/>
            <w:tcBorders>
              <w:left w:val="single" w:sz="8" w:color="auto"/>
              <w:right w:val="single" w:sz="8" w:color="auto"/>
            </w:tcBorders>
            <w:vMerge w:val="continue"/>
          </w:tcPr>
          <w:p>
            <w:pPr>
              <w:spacing w:after="0"/>
              <w:rPr>
                <w:sz w:val="8"/>
                <w:szCs w:val="8"/>
                <w:color w:val="auto"/>
              </w:rPr>
            </w:pPr>
          </w:p>
        </w:tc>
        <w:tc>
          <w:tcPr>
            <w:tcW w:w="32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Price per Share ($)</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Low</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High</w:t>
            </w:r>
          </w:p>
        </w:tc>
        <w:tc>
          <w:tcPr>
            <w:tcW w:w="0" w:type="dxa"/>
            <w:vAlign w:val="bottom"/>
          </w:tcPr>
          <w:p>
            <w:pPr>
              <w:spacing w:after="0"/>
              <w:rPr>
                <w:sz w:val="1"/>
                <w:szCs w:val="1"/>
                <w:color w:val="auto"/>
              </w:rPr>
            </w:pPr>
          </w:p>
        </w:tc>
      </w:tr>
      <w:tr>
        <w:trPr>
          <w:trHeight w:val="121"/>
        </w:trPr>
        <w:tc>
          <w:tcPr>
            <w:tcW w:w="2500" w:type="dxa"/>
            <w:vAlign w:val="bottom"/>
            <w:tcBorders>
              <w:left w:val="single" w:sz="8" w:color="auto"/>
              <w:bottom w:val="single" w:sz="8" w:color="auto"/>
              <w:right w:val="single" w:sz="8" w:color="auto"/>
            </w:tcBorders>
          </w:tcPr>
          <w:p>
            <w:pPr>
              <w:spacing w:after="0"/>
              <w:rPr>
                <w:sz w:val="10"/>
                <w:szCs w:val="10"/>
                <w:color w:val="auto"/>
              </w:rPr>
            </w:pPr>
          </w:p>
        </w:tc>
        <w:tc>
          <w:tcPr>
            <w:tcW w:w="32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1560" w:type="dxa"/>
            <w:vAlign w:val="bottom"/>
            <w:tcBorders>
              <w:bottom w:val="single" w:sz="8" w:color="auto"/>
              <w:right w:val="single" w:sz="8" w:color="auto"/>
            </w:tcBorders>
            <w:vMerge w:val="continue"/>
          </w:tcPr>
          <w:p>
            <w:pPr>
              <w:spacing w:after="0"/>
              <w:rPr>
                <w:sz w:val="10"/>
                <w:szCs w:val="10"/>
                <w:color w:val="auto"/>
              </w:rPr>
            </w:pPr>
          </w:p>
        </w:tc>
        <w:tc>
          <w:tcPr>
            <w:tcW w:w="1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February 18, 2022</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162,186</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116.6002</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116.15</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117.14</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February 18, 2022</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200,561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117.6253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117.15</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118.00</w:t>
            </w:r>
          </w:p>
        </w:tc>
        <w:tc>
          <w:tcPr>
            <w:tcW w:w="0" w:type="dxa"/>
            <w:vAlign w:val="bottom"/>
          </w:tcPr>
          <w:p>
            <w:pPr>
              <w:spacing w:after="0"/>
              <w:rPr>
                <w:sz w:val="1"/>
                <w:szCs w:val="1"/>
                <w:color w:val="auto"/>
              </w:rPr>
            </w:pPr>
          </w:p>
        </w:tc>
      </w:tr>
      <w:tr>
        <w:trPr>
          <w:trHeight w:val="425"/>
        </w:trPr>
        <w:tc>
          <w:tcPr>
            <w:tcW w:w="25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2022-02-18T16:22:47Z</dcterms:created>
  <dcterms:modified xsi:type="dcterms:W3CDTF">2022-02-18T16:22:47Z</dcterms:modified>
</cp:coreProperties>
</file>