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6, 2026</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Republic Services,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02" w:type="dxa"/>
        <w:jc w:val="center"/>
        <w:tblInd w:w="0" w:type="dxa"/>
        <w:tblLayout w:type="fixed"/>
        <w:tblCellMar>
          <w:top w:w="28" w:type="dxa"/>
          <w:left w:w="28" w:type="dxa"/>
          <w:bottom w:w="28" w:type="dxa"/>
          <w:right w:w="28" w:type="dxa"/>
        </w:tblCellMar>
      </w:tblPr>
      <w:tblGrid>
        <w:gridCol w:w="889"/>
        <w:gridCol w:w="781"/>
        <w:gridCol w:w="789"/>
        <w:gridCol w:w="109"/>
        <w:gridCol w:w="109"/>
        <w:gridCol w:w="109"/>
        <w:gridCol w:w="762"/>
        <w:gridCol w:w="762"/>
        <w:gridCol w:w="770"/>
        <w:gridCol w:w="109"/>
        <w:gridCol w:w="109"/>
        <w:gridCol w:w="109"/>
        <w:gridCol w:w="845"/>
        <w:gridCol w:w="845"/>
        <w:gridCol w:w="1205"/>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1-14267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65-0716904</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58" w:type="dxa"/>
        <w:jc w:val="left"/>
        <w:tblInd w:w="0" w:type="dxa"/>
        <w:tblLayout w:type="fixed"/>
        <w:tblCellMar>
          <w:top w:w="28" w:type="dxa"/>
          <w:left w:w="28" w:type="dxa"/>
          <w:bottom w:w="28" w:type="dxa"/>
          <w:right w:w="28" w:type="dxa"/>
        </w:tblCellMar>
      </w:tblPr>
      <w:tblGrid>
        <w:gridCol w:w="611"/>
        <w:gridCol w:w="537"/>
        <w:gridCol w:w="537"/>
        <w:gridCol w:w="537"/>
        <w:gridCol w:w="537"/>
        <w:gridCol w:w="537"/>
        <w:gridCol w:w="109"/>
        <w:gridCol w:w="109"/>
        <w:gridCol w:w="109"/>
        <w:gridCol w:w="303"/>
        <w:gridCol w:w="303"/>
        <w:gridCol w:w="429"/>
      </w:tblGrid>
      <w:tr>
        <w:trPr/>
        <w:tc>
          <w:tcPr>
            <w:tcW w:w="6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5353 East City North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Phoenix, </w:t>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Arizona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85054</w:t>
            </w:r>
          </w:p>
        </w:tc>
      </w:tr>
      <w:tr>
        <w:trPr/>
        <w:tc>
          <w:tcPr>
            <w:tcW w:w="32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(480) 627-2700</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120" w:after="283"/>
        <w:jc w:val="left"/>
        <w:rPr/>
      </w:pPr>
      <w:r>
        <w:rPr/>
      </w:r>
    </w:p>
    <w:p>
      <w:pPr>
        <w:pStyle w:val="TextBody"/>
        <w:bidi w:val="0"/>
        <w:spacing w:lineRule="auto" w:line="240"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40"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40"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40"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04" w:type="dxa"/>
        <w:jc w:val="left"/>
        <w:tblInd w:w="0" w:type="dxa"/>
        <w:tblLayout w:type="fixed"/>
        <w:tblCellMar>
          <w:top w:w="28" w:type="dxa"/>
          <w:left w:w="28" w:type="dxa"/>
          <w:bottom w:w="28" w:type="dxa"/>
          <w:right w:w="28" w:type="dxa"/>
        </w:tblCellMar>
      </w:tblPr>
      <w:tblGrid>
        <w:gridCol w:w="1263"/>
        <w:gridCol w:w="1113"/>
        <w:gridCol w:w="1119"/>
        <w:gridCol w:w="474"/>
        <w:gridCol w:w="474"/>
        <w:gridCol w:w="476"/>
        <w:gridCol w:w="962"/>
        <w:gridCol w:w="962"/>
        <w:gridCol w:w="1361"/>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8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34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42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RSG</w:t>
            </w:r>
          </w:p>
        </w:tc>
        <w:tc>
          <w:tcPr>
            <w:tcW w:w="328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3607"/>
        <w:gridCol w:w="3100"/>
        <w:gridCol w:w="3125"/>
        <w:gridCol w:w="109"/>
        <w:gridCol w:w="109"/>
        <w:gridCol w:w="155"/>
      </w:tblGrid>
      <w:tr>
        <w:trPr/>
        <w:tc>
          <w:tcPr>
            <w:tcW w:w="3607"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sz w:val="20"/>
              </w:rPr>
            </w:pPr>
            <w:r>
              <w:rPr>
                <w:rFonts w:ascii="Wingdings;sans-serif" w:hAnsi="Wingdings;sans-serif"/>
                <w:b w:val="false"/>
                <w:sz w:val="20"/>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tbl>
      <w:tblPr>
        <w:tblW w:w="5780" w:type="dxa"/>
        <w:jc w:val="center"/>
        <w:tblInd w:w="0" w:type="dxa"/>
        <w:tblLayout w:type="fixed"/>
        <w:tblCellMar>
          <w:top w:w="28" w:type="dxa"/>
          <w:left w:w="28" w:type="dxa"/>
          <w:bottom w:w="28" w:type="dxa"/>
          <w:right w:w="28" w:type="dxa"/>
        </w:tblCellMar>
      </w:tblPr>
      <w:tblGrid>
        <w:gridCol w:w="1720"/>
        <w:gridCol w:w="1512"/>
        <w:gridCol w:w="1522"/>
        <w:gridCol w:w="109"/>
        <w:gridCol w:w="109"/>
        <w:gridCol w:w="109"/>
        <w:gridCol w:w="109"/>
        <w:gridCol w:w="109"/>
        <w:gridCol w:w="109"/>
        <w:gridCol w:w="109"/>
        <w:gridCol w:w="109"/>
        <w:gridCol w:w="154"/>
      </w:tblGrid>
      <w:tr>
        <w:trPr/>
        <w:tc>
          <w:tcPr>
            <w:tcW w:w="172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6261c52054fd1816be3cab2ce96bf_10">
              <w:r>
                <w:rPr>
                  <w:rStyle w:val="InternetLink"/>
                  <w:rFonts w:ascii="Times New Roman;serif" w:hAnsi="Times New Roman;serif"/>
                  <w:b w:val="false"/>
                  <w:strike w:val="false"/>
                  <w:dstrike w:val="false"/>
                  <w:color w:val="000000"/>
                  <w:sz w:val="20"/>
                  <w:u w:val="none"/>
                  <w:effect w:val="none"/>
                </w:rPr>
                <w:t>Item 2.02 Results of Operations and Financial Condition</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46261c52054fd1816be3cab2ce96bf_118">
              <w:r>
                <w:rPr>
                  <w:rStyle w:val="InternetLink"/>
                  <w:rFonts w:ascii="Times New Roman;serif" w:hAnsi="Times New Roman;serif"/>
                  <w:b w:val="false"/>
                  <w:color w:val="0000FF"/>
                  <w:sz w:val="20"/>
                  <w:u w:val="single"/>
                </w:rPr>
                <w:t>3</w:t>
              </w:r>
            </w:hyperlink>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7.01 Regulation FD Disclosure.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46261c52054fd1816be3cab2ce96bf_118">
              <w:r>
                <w:rPr>
                  <w:rStyle w:val="InternetLink"/>
                  <w:rFonts w:ascii="Times New Roman;serif" w:hAnsi="Times New Roman;serif"/>
                  <w:b w:val="false"/>
                  <w:color w:val="0000FF"/>
                  <w:sz w:val="20"/>
                  <w:u w:val="single"/>
                </w:rPr>
                <w:t>3</w:t>
              </w:r>
            </w:hyperlink>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6261c52054fd1816be3cab2ce96bf_10">
              <w:r>
                <w:rPr>
                  <w:rStyle w:val="InternetLink"/>
                  <w:rFonts w:ascii="Times New Roman;serif" w:hAnsi="Times New Roman;serif"/>
                  <w:b w:val="false"/>
                  <w:strike w:val="false"/>
                  <w:dstrike w:val="false"/>
                  <w:color w:val="000000"/>
                  <w:sz w:val="20"/>
                  <w:u w:val="none"/>
                  <w:effect w:val="none"/>
                </w:rPr>
                <w:t>Item 9.01 Financial Statements and Exhibits</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46261c52054fd1816be3cab2ce96bf_154">
              <w:r>
                <w:rPr>
                  <w:rStyle w:val="InternetLink"/>
                  <w:rFonts w:ascii="Times New Roman;serif" w:hAnsi="Times New Roman;serif"/>
                  <w:b w:val="false"/>
                  <w:color w:val="0000FF"/>
                  <w:sz w:val="20"/>
                  <w:u w:val="single"/>
                </w:rPr>
                <w:t>4</w:t>
              </w:r>
            </w:hyperlink>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6261c52054fd1816be3cab2ce96bf_13">
              <w:r>
                <w:rPr>
                  <w:rStyle w:val="InternetLink"/>
                  <w:rFonts w:ascii="Times New Roman;serif" w:hAnsi="Times New Roman;serif"/>
                  <w:b w:val="false"/>
                  <w:strike w:val="false"/>
                  <w:dstrike w:val="false"/>
                  <w:color w:val="000000"/>
                  <w:sz w:val="20"/>
                  <w:u w:val="none"/>
                  <w:effect w:val="non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46261c52054fd1816be3cab2ce96bf_13">
              <w:r>
                <w:rPr>
                  <w:rStyle w:val="InternetLink"/>
                  <w:rFonts w:ascii="Times New Roman;serif" w:hAnsi="Times New Roman;serif"/>
                  <w:b w:val="false"/>
                  <w:color w:val="0000FF"/>
                  <w:sz w:val="20"/>
                  <w:u w:val="single"/>
                </w:rPr>
                <w:t>5</w:t>
              </w:r>
            </w:hyperlink>
          </w:p>
        </w:tc>
      </w:tr>
      <w:tr>
        <w:trPr/>
        <w:tc>
          <w:tcPr>
            <w:tcW w:w="578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EX-99.1</w:t>
            </w:r>
          </w:p>
        </w:tc>
      </w:tr>
      <w:tr>
        <w:trPr/>
        <w:tc>
          <w:tcPr>
            <w:tcW w:w="578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EX-104</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On August 6, 2026, Republic Services, Inc. (the Company) issued a press release containing information about the Company’s financial results for the three and six months ended June 30, 2026. A copy of this press release is furnished as Exhibit 99.1 to this Current Report on Form 8-K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Updated Full-Year 2026 Financial Guidance</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Our guidance is based on current economic conditions.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expects full-year revenue to be in a range of $17,200 million to $17,300 million.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Republic Services, Inc. is expected to be in a range of $2,210 million to $2,220 million for 2026. The Company raised its full-year adjusted Earnings Before Interest, Taxes, Depreciation, and Amortization ("adjusted EBITDA") guidance and expects it to be in a range of $5,525 million to $5,550 million. Adjusted EBITDA consists of net income, plus provision for income taxes, which is expected to be in a range of $530 million to $535 million, plus interest expense, net, which is expected to be $605 million, plus depreciation, depletion, amortization and accretion, which is expected to be in a range of $2,000 million to $2,010 million, plus loss from unconsolidated equity method investments, which is expected to be $190 million, plus other income, net, which is expected to be $30 million, plus restructuring charges, which is expected to be $20 million.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We believe adjusted EBITDA provides an understanding of operational activities before the financial impact of certain items. We use this measure, and believe investors will find it helpful, in understanding the ongoing performance of our operations separate from items that have a disproportionate impact on our results for a particular period. We have incurred comparable charges, costs and recoveries in prior periods, and similar types of adjustments can reasonably be expected to be recorded in future periods. Our definition of adjusted EBITDA may not be comparable to similarly titled measures presented by other companies.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Diluted earnings per share is expected to be in a range of $7.18 to $7.23 for the full year. The Company updated its adjusted diluted earnings per share guidance for 2026 and expects it to be in a range of $7.23 to $7.28. Adjusted diluted earnings per share excludes the impact of restructuring charges.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believe adjusted diluted earnings per share provides an understanding of operational activities before the financial impact of certain items. We use this measure, and believe investors will find it helpful, in understanding the ongoing performance of our operations separate from items that have a disproportionate impact on our results for a particular period. We have incurred comparable charges, costs, and recoveries in prior periods, and similar types of adjustments can reasonably be expected to be recorded in future periods. Our definition of adjusted diluted earnings per share may not be comparable to similarly titled measures presented by other companies.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is expected to be in a range of $4,485 million to $4,560 million for the full year. Adjusted free cash flow for 2026 is expected to be in a range of $2,540 million to $2,575 million. Adjusted free cash flow consists of cash provided by operating activities, less property and equipment received, which is expected to be in a range of $1,970 million to $2,010 million, plus proceeds from the sale of property and equipment of approximately $10 million, and is exclusive of cash paid for restructuring activities of approximately $15 million, net of tax.</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believe adjusted free cash flow provides useful information regarding our recurring cash provided by operating activities after certain expenditures or recoveries. It also demonstrates our ability to execute our financial strategy and is a key metric we use to determine compensation. The presentation of adjusted free cash flow has material limitations. Adjusted free cash flow does not represent our cash flow available for discretionary expenditures because it excludes certain expenditures that are required or to which we have committed, such as debt service requirements and dividend payments. Our definition of adjusted free cash flow may not be comparable to similarly titled measures presented by other companies.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For a reconciliation of adjusted EBITDA to net income attributable to Republic Services, Inc. guidance, adjusted diluted earnings per share to diluted earnings per share guidance and adjusted free cash flow to cash provided by operating activities guidance, see page 13 and page 14 of the press release included as Exhibit 99.1 hereto.</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Forward-Looking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contains certain forward-looking information about the Company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and similar expressions are intended to identify forward-looking statements. These statements include information about the Company's plans, strategies, and expectations of future financial performance and prospects. Forward-looking statements are not guarantees of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These statements are based upon the current beliefs and expectations of the Company's management and are subject to risks and uncertainties that could cause actual results to differ materially from those expressed in, or implied or projected by, the forward-looking information and statements. Although the Company believes that the expectations reflected in the forward-looking statements are reasonable, such expectations may not prove to be correct. Among the factors that could cause actual results to differ materially from the expectations expressed in the forward-looking statements are the impacts of the overall global economy and changing interest rates, impacts from international trade restrictions and tariffs, the Company's ability to effectively integrate and manage companies it acquires, and to realize the anticipated benefits of any such acquisitions, the impact of prolonged work stoppages or other labor disruptions, the amount of the financial contribution of the Company's sustainability initiatives, acts of war, riots or terrorism, and the impact of these acts on economic, financial and social conditions in the United States, as well as the Company's dependence on large, long-term collection, transfer and disposal contracts. More information on factors that could cause actual results or events to differ materially from those anticipated is included from time to time in the Company's reports filed with the Securities and Exchange Commission, including its Annual Report on Form 10-K for the year ended December 31, 2025, particularly under Part I, Item 1A – Risk Factors. Additionally, new risk factors emerge from time to time and it is not possible for the Company to predict all such risk factors, or to assess the impact such risk factors might have on its business. The Company undertakes no obligation to update publicly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00" w:after="283"/>
        <w:ind w:left="0" w:right="0" w:firstLine="30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52"/>
        <w:gridCol w:w="309"/>
        <w:gridCol w:w="312"/>
        <w:gridCol w:w="109"/>
        <w:gridCol w:w="109"/>
        <w:gridCol w:w="109"/>
        <w:gridCol w:w="2607"/>
        <w:gridCol w:w="2607"/>
        <w:gridCol w:w="3691"/>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exhibit991q22026.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of Republic Services, Inc. issued August 6, 2026 to announce the financial results for the three and six months ended June 30, 2026.</w:t>
            </w:r>
          </w:p>
        </w:tc>
      </w:tr>
      <w:tr>
        <w:trPr/>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r>
        <w:trPr/>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79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392"/>
        <w:gridCol w:w="392"/>
        <w:gridCol w:w="392"/>
        <w:gridCol w:w="792"/>
        <w:gridCol w:w="792"/>
        <w:gridCol w:w="11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BRIAN D</w:t>
            </w:r>
            <w:r>
              <w:rPr>
                <w:rFonts w:ascii="Times New Roman;serif" w:hAnsi="Times New Roman;serif"/>
                <w:b w:val="false"/>
                <w:color w:val="000000"/>
                <w:sz w:val="16"/>
              </w:rPr>
              <w:t>EL</w:t>
            </w:r>
            <w:r>
              <w:rPr>
                <w:rFonts w:ascii="Times New Roman;serif" w:hAnsi="Times New Roman;serif"/>
                <w:b w:val="false"/>
                <w:color w:val="000000"/>
                <w:sz w:val="20"/>
              </w:rPr>
              <w:t>GHIACCIO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Brian D</w:t>
            </w:r>
            <w:r>
              <w:rPr>
                <w:rFonts w:ascii="Times New Roman;serif" w:hAnsi="Times New Roman;serif"/>
                <w:b/>
                <w:color w:val="000000"/>
                <w:sz w:val="18"/>
              </w:rPr>
              <w:t>el</w:t>
            </w:r>
            <w:r>
              <w:rPr>
                <w:rFonts w:ascii="Times New Roman;serif" w:hAnsi="Times New Roman;serif"/>
                <w:b/>
                <w:color w:val="000000"/>
                <w:sz w:val="20"/>
              </w:rPr>
              <w:t>Ghiaccio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Executive Vice President,</w:t>
              <w:br/>
              <w:t>Chief Financial Officer</w:t>
              <w:b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ELYSE M. CARLSEN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Elyse M. Carlsen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Vice President and</w:t>
              <w:br/>
              <w:t>Chief Accounting Officer</w:t>
              <w:b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drawing>
          <wp:inline distT="0" distB="0" distL="0" distR="0">
            <wp:extent cx="1333500" cy="13335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333500" cy="1333500"/>
                    </a:xfrm>
                    <a:prstGeom prst="rect">
                      <a:avLst/>
                    </a:prstGeom>
                  </pic:spPr>
                </pic:pic>
              </a:graphicData>
            </a:graphic>
          </wp:inline>
        </w:drawing>
      </w:r>
    </w:p>
    <w:p>
      <w:pPr>
        <w:pStyle w:val="TextBody"/>
        <w:bidi w:val="0"/>
        <w:spacing w:before="60" w:after="283"/>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Republic Services, Inc. Reports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Second Quarter 2026 Results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862"/>
        <w:gridCol w:w="2763"/>
        <w:gridCol w:w="39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39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Reported Earnings Per Share of $1.84 and Adjusted Earnings Per Share of $1.85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Generated Year-to-Date Cash Flow from Operations of $2.38 Billion and Adjusted Free Cash Flow of $1.58 Billion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Invested Approximately $860 Million in Value-Creating Acquisitions During the First-Half of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Increased Full-Year 2026 Financial Guidance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Increased Quarterly Dividend by Approximately 7 Percent</w:t>
            </w:r>
          </w:p>
        </w:tc>
      </w:tr>
    </w:tbl>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417" w:before="0" w:after="0"/>
        <w:jc w:val="left"/>
        <w:rPr/>
      </w:pPr>
      <w:r>
        <w:rPr>
          <w:rFonts w:ascii="Times New Roman;serif" w:hAnsi="Times New Roman;serif"/>
          <w:b/>
          <w:color w:val="000000"/>
          <w:sz w:val="24"/>
        </w:rPr>
        <w:t>PHOENIX (August 6, 2026)</w:t>
      </w:r>
      <w:r>
        <w:rPr>
          <w:color w:val="000000"/>
        </w:rPr>
        <w:t xml:space="preserve"> – </w:t>
      </w:r>
      <w:r>
        <w:rPr>
          <w:rFonts w:ascii="Times New Roman;serif" w:hAnsi="Times New Roman;serif"/>
          <w:b w:val="false"/>
          <w:color w:val="000000"/>
          <w:sz w:val="24"/>
        </w:rPr>
        <w:t>Republic Services, Inc. (NYSE: RSG) today reported net income of $566 million, or $1.84 per diluted share, for the three months ended June 30, 2026, versus $550 million, or $1.75 per diluted share, for the comparable 2025 period. Excluding certain expenses and other items, on an adjusted basis, net income for the three months ended June 30, 2026, was $569 million, or $1.85 per diluted share, versus $556 million, or $1.77 per diluted share, for the comparable 2025 period.</w:t>
      </w:r>
    </w:p>
    <w:p>
      <w:pPr>
        <w:pStyle w:val="TextBody"/>
        <w:bidi w:val="0"/>
        <w:spacing w:before="0" w:after="0"/>
        <w:jc w:val="left"/>
        <w:rPr/>
      </w:pPr>
      <w:r>
        <w:rPr/>
      </w:r>
    </w:p>
    <w:p>
      <w:pPr>
        <w:pStyle w:val="TextBody"/>
        <w:bidi w:val="0"/>
        <w:spacing w:lineRule="auto" w:line="417" w:before="100" w:after="283"/>
        <w:jc w:val="left"/>
        <w:rPr>
          <w:color w:val="000000"/>
        </w:rPr>
      </w:pPr>
      <w:r>
        <w:rPr>
          <w:color w:val="000000"/>
        </w:rPr>
        <w:t>“</w:t>
      </w:r>
      <w:r>
        <w:rPr>
          <w:rFonts w:ascii="Times New Roman;serif" w:hAnsi="Times New Roman;serif"/>
          <w:b w:val="false"/>
          <w:color w:val="000000"/>
          <w:sz w:val="24"/>
        </w:rPr>
        <w:t>Our second quarter results reflect the strength and resilience of our business model, as we continue to execute our strategy and deliver differentiated value for our customers,” said Jon Vander Ark, president and chief executive officer. “Pricing in excess of cost inflation and our disciplined cost management supported accelerated growth in revenue and EBITDA. Given our strong operating performance and momentum across the business, we are increasing our full-year financial guidance.”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417" w:before="0" w:after="0"/>
        <w:jc w:val="both"/>
        <w:rPr/>
      </w:pPr>
      <w:r>
        <w:rPr>
          <w:rFonts w:ascii="Times New Roman;serif" w:hAnsi="Times New Roman;serif"/>
          <w:b w:val="false"/>
          <w:i/>
          <w:color w:val="000000"/>
          <w:sz w:val="24"/>
          <w:u w:val="single"/>
        </w:rPr>
        <w:t>Second-Quarter and Year-to-Date 2026 Highlights</w:t>
      </w:r>
      <w:r>
        <w:rPr>
          <w:rFonts w:ascii="Times New Roman;serif" w:hAnsi="Times New Roman;serif"/>
          <w:b w:val="false"/>
          <w:i/>
          <w:color w:val="000000"/>
          <w:sz w:val="24"/>
        </w:rPr>
        <w:t>:</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Total revenue growth of 4.6 percent includes 3.7 percent organic growth from our recycling and waste business, 0.2 percent decline from our environmental solutions business, and 1.1 percent growth from acquisitions.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Core price on total revenue increased revenue by 5.3 percent. Core price on related business revenue increased revenue by 6.4 percent, which consisted of 7.8 percent in the open market and 4.1 percent in the restricted portion of the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Revenue growth from average yield on total revenue was 3.4 percent, and volume decreased revenue by 1.6 percent. Revenue growth from average yield on related business revenue was 4.0 percent, and volume decreased related business revenue by 1.9 percent.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Net income was $566 million, or a margin of 12.8 percent.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EPS was $1.84 per share, an increase of 5.1 percent over the prior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Adjusted EPS, a non-GAAP measure, was $1.85 per share, an increase of 4.5 percent over the prior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Adjusted EBITDA, a non-GAAP measure, was $1.42 billion. Adjusted EBITDA margin, a non-GAAP measure, was 32.1 percent of revenue, which remained consistent with the prior year. The Company overcame 50 basis points of margin headwind from event driven landfill volumes received in the prior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Year-to-date cash invested in acquisitions was $860 million.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Year-to-date cash returned to shareholders was $1.04 billion, which included $651 million of share repurchases and $385 million of dividends paid.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The Company's average recycled commodity price per ton sold at its recycling centers during the second quarter was $136. This represents a decrease of $13 per ton over the prior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The Company completed and commenced operations on two renewable natural gas projects during the 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Republic was recognized by several leading organizations during the quarter, including: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Dow Jones Best-in-Class Indices for the 10th consecutive year</w:t>
      </w:r>
    </w:p>
    <w:p>
      <w:pPr>
        <w:pStyle w:val="TextBody"/>
        <w:bidi w:val="0"/>
        <w:spacing w:lineRule="auto" w:line="268"/>
        <w:ind w:left="0" w:right="0" w:hanging="360"/>
        <w:jc w:val="left"/>
        <w:rPr/>
      </w:pPr>
      <w:r>
        <w:rPr>
          <w:color w:val="000000"/>
        </w:rPr>
        <w:t>◦</w:t>
      </w:r>
      <w:r>
        <w:rPr>
          <w:rFonts w:ascii="Times New Roman;serif" w:hAnsi="Times New Roman;serif"/>
          <w:b w:val="false"/>
          <w:color w:val="000000"/>
          <w:sz w:val="24"/>
        </w:rPr>
        <w:t>Forbes list of America’s Best Employers for Company Culture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Updated Full-Year 2026 Financial Guidance</w:t>
      </w:r>
    </w:p>
    <w:p>
      <w:pPr>
        <w:pStyle w:val="TextBody"/>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Republic's financial guidance is based on current economic conditions and does not assume any significant changes in the overall economy for the remainder of 2026. Please refer to the Reconciliation of Full-Year 2026 Financial Guidance section of this document for detail relating to the computation of non-GAAP measures as well as the Information Regarding Forward-Looking Statements section of this document.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provided additional details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4"/>
        </w:rPr>
        <w:t xml:space="preserve">Revenue: </w:t>
      </w:r>
      <w:r>
        <w:rPr>
          <w:rFonts w:ascii="Times New Roman;serif" w:hAnsi="Times New Roman;serif"/>
          <w:b w:val="false"/>
          <w:color w:val="000000"/>
          <w:sz w:val="24"/>
        </w:rPr>
        <w:t>Increased original guidance to a range</w:t>
      </w:r>
      <w:r>
        <w:rPr>
          <w:color w:val="000000"/>
        </w:rPr>
        <w:t xml:space="preserve"> </w:t>
      </w:r>
      <w:r>
        <w:rPr>
          <w:rFonts w:ascii="Times New Roman;serif" w:hAnsi="Times New Roman;serif"/>
          <w:b w:val="false"/>
          <w:color w:val="000000"/>
          <w:sz w:val="24"/>
        </w:rPr>
        <w:t>of $17.200 billion to $17.300 billion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4"/>
        </w:rPr>
        <w:t>Adjusted EBITDA:</w:t>
      </w:r>
      <w:r>
        <w:rPr>
          <w:color w:val="000000"/>
        </w:rPr>
        <w:t xml:space="preserve"> </w:t>
      </w:r>
      <w:r>
        <w:rPr>
          <w:rFonts w:ascii="Times New Roman;serif" w:hAnsi="Times New Roman;serif"/>
          <w:b w:val="false"/>
          <w:color w:val="000000"/>
          <w:sz w:val="24"/>
        </w:rPr>
        <w:t>Increased original guidance to a range</w:t>
      </w:r>
      <w:r>
        <w:rPr>
          <w:color w:val="000000"/>
        </w:rPr>
        <w:t xml:space="preserve"> </w:t>
      </w:r>
      <w:r>
        <w:rPr>
          <w:rFonts w:ascii="Times New Roman;serif" w:hAnsi="Times New Roman;serif"/>
          <w:b w:val="false"/>
          <w:color w:val="000000"/>
          <w:sz w:val="24"/>
        </w:rPr>
        <w:t>of $5.525 billion to $5.550 billion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4"/>
        </w:rPr>
        <w:t xml:space="preserve">Adjusted Diluted Earnings per Share: </w:t>
      </w:r>
      <w:r>
        <w:rPr>
          <w:rFonts w:ascii="Times New Roman;serif" w:hAnsi="Times New Roman;serif"/>
          <w:b w:val="false"/>
          <w:color w:val="000000"/>
          <w:sz w:val="24"/>
        </w:rPr>
        <w:t>Updated original guidance to a range of $7.23 to $7.28 per share</w:t>
      </w:r>
    </w:p>
    <w:p>
      <w:pPr>
        <w:pStyle w:val="TextBody"/>
        <w:bidi w:val="0"/>
        <w:spacing w:before="0" w:after="0"/>
        <w:jc w:val="left"/>
        <w:rPr/>
      </w:pPr>
      <w:r>
        <w:rPr/>
      </w:r>
    </w:p>
    <w:p>
      <w:pPr>
        <w:pStyle w:val="TextBody"/>
        <w:bidi w:val="0"/>
        <w:spacing w:lineRule="auto" w:line="417" w:before="0" w:after="0"/>
        <w:ind w:left="0" w:right="0" w:hanging="360"/>
        <w:jc w:val="left"/>
        <w:rPr/>
      </w:pPr>
      <w:r>
        <w:rPr>
          <w:color w:val="000000"/>
        </w:rPr>
        <w:t>•</w:t>
      </w:r>
      <w:r>
        <w:rPr>
          <w:rFonts w:ascii="Times New Roman;serif" w:hAnsi="Times New Roman;serif"/>
          <w:b/>
          <w:color w:val="000000"/>
          <w:sz w:val="24"/>
        </w:rPr>
        <w:t>Adjusted Free Cash Flow:</w:t>
      </w:r>
      <w:r>
        <w:rPr>
          <w:color w:val="000000"/>
        </w:rPr>
        <w:t xml:space="preserve"> </w:t>
      </w:r>
      <w:r>
        <w:rPr>
          <w:rFonts w:ascii="Times New Roman;serif" w:hAnsi="Times New Roman;serif"/>
          <w:b w:val="false"/>
          <w:color w:val="000000"/>
          <w:sz w:val="24"/>
        </w:rPr>
        <w:t>Increased original guidance to a range of $2.540 billion to $2.575 billion</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Company Increases Quarterly Dividend</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Republic continues to increase cash returns to shareholders, and previously announced that its Board of Directors approved a 4.5-cent increase in the quarterly dividend. The quarterly dividend of $0.670 per share for shareholders of record on October 2, 2026, will be paid on October 15, 2026.</w: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Presentation of Certain Performance Metrics and Non-GAAP Measures</w:t>
      </w:r>
    </w:p>
    <w:p>
      <w:pPr>
        <w:pStyle w:val="TextBody"/>
        <w:bidi w:val="0"/>
        <w:spacing w:before="0" w:after="0"/>
        <w:jc w:val="left"/>
        <w:rPr/>
      </w:pPr>
      <w:r>
        <w:rPr/>
      </w:r>
    </w:p>
    <w:p>
      <w:pPr>
        <w:pStyle w:val="TextBody"/>
        <w:bidi w:val="0"/>
        <w:spacing w:lineRule="auto" w:line="417"/>
        <w:jc w:val="left"/>
        <w:rPr>
          <w:rFonts w:ascii="Times New Roman;serif" w:hAnsi="Times New Roman;serif"/>
          <w:b w:val="false"/>
          <w:color w:val="000000"/>
          <w:sz w:val="24"/>
        </w:rPr>
      </w:pPr>
      <w:r>
        <w:rPr>
          <w:rFonts w:ascii="Times New Roman;serif" w:hAnsi="Times New Roman;serif"/>
          <w:b w:val="false"/>
          <w:color w:val="000000"/>
          <w:sz w:val="24"/>
        </w:rPr>
        <w:t>Adjusted diluted earnings per share, adjusted net income - Republic, adjusted pre-tax income, adjusted tax impact, EBITDA, EBITDA margin, adjusted EBITDA, adjusted EBITDA margin, adjusted EBITDA by business type, adjusted EBITDA margin by business type and adjusted free cash flow are described in the Performance Metrics and Reconciliations of Certain Non-GAAP Measures section of this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About Republic Services</w:t>
      </w:r>
    </w:p>
    <w:p>
      <w:pPr>
        <w:pStyle w:val="TextBody"/>
        <w:bidi w:val="0"/>
        <w:spacing w:before="0" w:after="0"/>
        <w:jc w:val="center"/>
        <w:rPr/>
      </w:pPr>
      <w:r>
        <w:rPr/>
      </w:r>
    </w:p>
    <w:p>
      <w:pPr>
        <w:pStyle w:val="TextBody"/>
        <w:bidi w:val="0"/>
        <w:spacing w:lineRule="auto" w:line="417" w:before="0" w:after="0"/>
        <w:jc w:val="left"/>
        <w:rPr/>
      </w:pPr>
      <w:r>
        <w:rPr>
          <w:rFonts w:ascii="Times New Roman;serif" w:hAnsi="Times New Roman;serif"/>
          <w:b w:val="false"/>
          <w:color w:val="000000"/>
          <w:sz w:val="24"/>
        </w:rPr>
        <w:t>Republic Services, Inc. is a leader in the environmental services industry. Through its subsidiaries, the Company provides customers with the most complete set of products and services, including recycling, solid waste, special waste, hazardous waste and field services. Republic’s industry-leading commitments to advance circularity and support decarbonization are helping deliver on its vision to partner with customers to create a more sustainable world. For more information, please visit</w:t>
      </w:r>
      <w:r>
        <w:rPr>
          <w:color w:val="3051F2"/>
        </w:rPr>
        <w:t xml:space="preserve"> </w:t>
      </w:r>
      <w:r>
        <w:rPr>
          <w:rFonts w:ascii="Times New Roman;serif" w:hAnsi="Times New Roman;serif"/>
          <w:b w:val="false"/>
          <w:color w:val="3051F2"/>
          <w:sz w:val="24"/>
          <w:u w:val="single"/>
        </w:rPr>
        <w:t>RepublicServices.com</w:t>
      </w:r>
      <w:r>
        <w:rPr>
          <w:rFonts w:ascii="Times New Roman;serif" w:hAnsi="Times New Roman;serif"/>
          <w:b w:val="false"/>
          <w:color w:val="000000"/>
          <w:sz w:val="24"/>
        </w:rPr>
        <w:t>.</w:t>
      </w:r>
    </w:p>
    <w:p>
      <w:pPr>
        <w:pStyle w:val="TextBody"/>
        <w:bidi w:val="0"/>
        <w:spacing w:before="0" w:after="0"/>
        <w:jc w:val="left"/>
        <w:rPr/>
      </w:pPr>
      <w:r>
        <w:rPr/>
      </w:r>
    </w:p>
    <w:tbl>
      <w:tblPr>
        <w:tblW w:w="6734" w:type="dxa"/>
        <w:jc w:val="left"/>
        <w:tblInd w:w="0" w:type="dxa"/>
        <w:tblLayout w:type="fixed"/>
        <w:tblCellMar>
          <w:top w:w="28" w:type="dxa"/>
          <w:left w:w="28" w:type="dxa"/>
          <w:bottom w:w="28" w:type="dxa"/>
          <w:right w:w="28" w:type="dxa"/>
        </w:tblCellMar>
      </w:tblPr>
      <w:tblGrid>
        <w:gridCol w:w="1265"/>
        <w:gridCol w:w="1114"/>
        <w:gridCol w:w="1116"/>
        <w:gridCol w:w="949"/>
        <w:gridCol w:w="949"/>
        <w:gridCol w:w="1341"/>
      </w:tblGrid>
      <w:tr>
        <w:trPr/>
        <w:tc>
          <w:tcPr>
            <w:tcW w:w="126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For more information, contact:</w:t>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ind w:left="0" w:right="0" w:hanging="5040"/>
              <w:jc w:val="left"/>
              <w:rPr>
                <w:rFonts w:ascii="Times New Roman;serif" w:hAnsi="Times New Roman;serif"/>
                <w:b w:val="false"/>
                <w:color w:val="000000"/>
                <w:sz w:val="24"/>
              </w:rPr>
            </w:pPr>
            <w:r>
              <w:rPr>
                <w:rFonts w:ascii="Times New Roman;serif" w:hAnsi="Times New Roman;serif"/>
                <w:b w:val="false"/>
                <w:color w:val="000000"/>
                <w:sz w:val="24"/>
              </w:rPr>
              <w:t>Media Inquiries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ind w:left="0" w:right="0" w:hanging="5040"/>
              <w:jc w:val="left"/>
              <w:rPr>
                <w:rFonts w:ascii="Times New Roman;serif" w:hAnsi="Times New Roman;serif"/>
                <w:b w:val="false"/>
                <w:color w:val="000000"/>
                <w:sz w:val="24"/>
              </w:rPr>
            </w:pPr>
            <w:r>
              <w:rPr>
                <w:rFonts w:ascii="Times New Roman;serif" w:hAnsi="Times New Roman;serif"/>
                <w:b w:val="false"/>
                <w:color w:val="000000"/>
                <w:sz w:val="24"/>
              </w:rPr>
              <w:t>Investor Inquiries</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ind w:left="0" w:right="0" w:hanging="5040"/>
              <w:jc w:val="left"/>
              <w:rPr>
                <w:rFonts w:ascii="Times New Roman;serif" w:hAnsi="Times New Roman;serif"/>
                <w:b w:val="false"/>
                <w:color w:val="000000"/>
                <w:sz w:val="24"/>
              </w:rPr>
            </w:pPr>
            <w:r>
              <w:rPr>
                <w:rFonts w:ascii="Times New Roman;serif" w:hAnsi="Times New Roman;serif"/>
                <w:b w:val="false"/>
                <w:color w:val="000000"/>
                <w:sz w:val="24"/>
              </w:rPr>
              <w:t>Roman Blahoski (480) 718-0328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ind w:left="0" w:right="0" w:hanging="5040"/>
              <w:jc w:val="left"/>
              <w:rPr>
                <w:rFonts w:ascii="Times New Roman;serif" w:hAnsi="Times New Roman;serif"/>
                <w:b w:val="false"/>
                <w:color w:val="000000"/>
                <w:sz w:val="24"/>
              </w:rPr>
            </w:pPr>
            <w:r>
              <w:rPr>
                <w:rFonts w:ascii="Times New Roman;serif" w:hAnsi="Times New Roman;serif"/>
                <w:b w:val="false"/>
                <w:color w:val="000000"/>
                <w:sz w:val="24"/>
              </w:rPr>
              <w:t>John Weeks (480) 718-0309</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ind w:left="0" w:right="0" w:hanging="5040"/>
              <w:jc w:val="left"/>
              <w:rPr/>
            </w:pPr>
            <w:r>
              <w:rPr>
                <w:rFonts w:ascii="Times New Roman;serif" w:hAnsi="Times New Roman;serif"/>
                <w:b w:val="false"/>
                <w:color w:val="0000FF"/>
                <w:sz w:val="24"/>
                <w:u w:val="single"/>
              </w:rPr>
              <w:t>media@RepublicServices.com</w:t>
            </w:r>
            <w:r>
              <w:rPr>
                <w:color w:val="000000"/>
              </w:rPr>
              <w:t xml:space="preserve">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ind w:left="0" w:right="0" w:hanging="5040"/>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investor@RepublicServices.com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484"/>
        <w:gridCol w:w="2004"/>
        <w:gridCol w:w="1960"/>
        <w:gridCol w:w="323"/>
        <w:gridCol w:w="1103"/>
        <w:gridCol w:w="166"/>
        <w:gridCol w:w="166"/>
        <w:gridCol w:w="166"/>
        <w:gridCol w:w="166"/>
        <w:gridCol w:w="323"/>
        <w:gridCol w:w="1103"/>
        <w:gridCol w:w="241"/>
      </w:tblGrid>
      <w:tr>
        <w:trPr/>
        <w:tc>
          <w:tcPr>
            <w:tcW w:w="2484"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SUPPLEMENTAL UNAUDITED FINANCIAL INFORMATION</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AND OPERATING DATA</w:t>
            </w:r>
          </w:p>
        </w:tc>
      </w:tr>
      <w:tr>
        <w:trPr/>
        <w:tc>
          <w:tcPr>
            <w:tcW w:w="6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REPUBLIC SERVICES,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(in millions, except per share amounts)</w:t>
            </w:r>
          </w:p>
        </w:tc>
      </w:tr>
      <w:tr>
        <w:trPr/>
        <w:tc>
          <w:tcPr>
            <w:tcW w:w="6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6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 for doubtful accounts and other of $59 and $66, respectively</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marketable securities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35,159 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34,366 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and current maturities of long-term debt</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landfill and environmental costs, current portion</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landfill and environmental costs, net of current portion</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other long-term tax liabilities, net</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reserves, net of current portion</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$0.01 per share; 50 shares authorized; none issued</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 750 shares authorized; 314 and 313 issued including shares held in treasury, respectively</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8 and 5 shares, respectively</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Republic Services, Inc. stockholders' equity</w:t>
            </w:r>
          </w:p>
        </w:tc>
        <w:tc>
          <w:tcPr>
            <w:tcW w:w="14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consolidated subsidiary</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4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12,033 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35,159 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34,366 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03"/>
        <w:gridCol w:w="1575"/>
        <w:gridCol w:w="1590"/>
        <w:gridCol w:w="234"/>
        <w:gridCol w:w="684"/>
        <w:gridCol w:w="120"/>
        <w:gridCol w:w="120"/>
        <w:gridCol w:w="120"/>
        <w:gridCol w:w="120"/>
        <w:gridCol w:w="234"/>
        <w:gridCol w:w="684"/>
        <w:gridCol w:w="120"/>
        <w:gridCol w:w="114"/>
        <w:gridCol w:w="114"/>
        <w:gridCol w:w="114"/>
        <w:gridCol w:w="221"/>
        <w:gridCol w:w="646"/>
        <w:gridCol w:w="114"/>
        <w:gridCol w:w="114"/>
        <w:gridCol w:w="114"/>
        <w:gridCol w:w="114"/>
        <w:gridCol w:w="221"/>
        <w:gridCol w:w="646"/>
        <w:gridCol w:w="169"/>
      </w:tblGrid>
      <w:tr>
        <w:trPr/>
        <w:tc>
          <w:tcPr>
            <w:tcW w:w="1903"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REPUBLIC SERVICES,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CONSOLIDATED STATEMENTS OF INCOME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(in millions, except per share data)</w:t>
            </w:r>
          </w:p>
        </w:tc>
      </w:tr>
      <w:tr>
        <w:trPr/>
        <w:tc>
          <w:tcPr>
            <w:tcW w:w="5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business divestitures and impairments, net</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unconsolidated equity method investments</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in consolidated subsidiary</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Republic Services, Inc.</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attributable to Republic Services, Inc. stockholders:</w:t>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91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1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6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attributable to Republic Services, Inc. stockholders:</w:t>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and common equivalent shares outstanding</w:t>
            </w:r>
          </w:p>
        </w:tc>
        <w:tc>
          <w:tcPr>
            <w:tcW w:w="9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307.6 </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313.4 </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6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per common share</w:t>
            </w:r>
          </w:p>
        </w:tc>
        <w:tc>
          <w:tcPr>
            <w:tcW w:w="23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0.625 </w:t>
            </w:r>
          </w:p>
        </w:tc>
        <w:tc>
          <w:tcPr>
            <w:tcW w:w="12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0.580 </w:t>
            </w:r>
          </w:p>
        </w:tc>
        <w:tc>
          <w:tcPr>
            <w:tcW w:w="12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1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6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37"/>
        <w:gridCol w:w="1821"/>
        <w:gridCol w:w="1820"/>
        <w:gridCol w:w="414"/>
        <w:gridCol w:w="1177"/>
        <w:gridCol w:w="229"/>
        <w:gridCol w:w="229"/>
        <w:gridCol w:w="229"/>
        <w:gridCol w:w="229"/>
        <w:gridCol w:w="414"/>
        <w:gridCol w:w="1177"/>
        <w:gridCol w:w="329"/>
      </w:tblGrid>
      <w:tr>
        <w:trPr/>
        <w:tc>
          <w:tcPr>
            <w:tcW w:w="2137"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REPUBLIC SERVICES,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CONSOLIDATED STATEMENTS OF CASH FLOWS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(in millions)</w:t>
            </w:r>
          </w:p>
        </w:tc>
      </w:tr>
      <w:tr>
        <w:trPr/>
        <w:tc>
          <w:tcPr>
            <w:tcW w:w="5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5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1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cash provided by operating activities:</w:t>
            </w:r>
          </w:p>
        </w:tc>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amortization and accretion</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778"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provision (benefit)</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778"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778"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unconsolidated equity method investments</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778"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778"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assets and liabilities, net of effects from business acquisitions and divestitures:</w:t>
            </w:r>
          </w:p>
        </w:tc>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Capping, closure and post-closure expenditures</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Remediation expenditures</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15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3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1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and equipment</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acquisitions and investments, net of cash and restricted cash acquired</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from business divestitures</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778"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15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financing activities:</w:t>
            </w:r>
          </w:p>
        </w:tc>
        <w:tc>
          <w:tcPr>
            <w:tcW w:w="18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credit facilities and notes payable, net of fees</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senior notes, net of discount and fees</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credit facilities and notes payable</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(26,394)</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(21,030)</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778"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 of common stock, net</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common stock for treasury</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payments</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financing activities</w:t>
            </w:r>
          </w:p>
        </w:tc>
        <w:tc>
          <w:tcPr>
            <w:tcW w:w="15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3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w:t>
            </w:r>
          </w:p>
        </w:tc>
        <w:tc>
          <w:tcPr>
            <w:tcW w:w="15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cash, cash equivalents, restricted cash and restricted cash equivalents</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restricted cash equivalents at beginning of period</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restricted cash equivalents at end of period</w:t>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3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You should read the following information in conjunction with our audited consolidated financial statements and notes thereto appearing in our Annual Report on Form 10-K as of and for the year ended December 31, 2025. All amounts below are in millions and as a percentage of our revenue, except per share data.</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our total revenue by line of business for the three and six months ended June 30, 2026 and 2025:</w:t>
      </w:r>
    </w:p>
    <w:tbl>
      <w:tblPr>
        <w:tblW w:w="11129" w:type="dxa"/>
        <w:jc w:val="left"/>
        <w:tblInd w:w="0" w:type="dxa"/>
        <w:tblLayout w:type="fixed"/>
        <w:tblCellMar>
          <w:top w:w="28" w:type="dxa"/>
          <w:left w:w="28" w:type="dxa"/>
          <w:bottom w:w="28" w:type="dxa"/>
          <w:right w:w="28" w:type="dxa"/>
        </w:tblCellMar>
      </w:tblPr>
      <w:tblGrid>
        <w:gridCol w:w="444"/>
        <w:gridCol w:w="392"/>
        <w:gridCol w:w="395"/>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09"/>
        <w:gridCol w:w="109"/>
        <w:gridCol w:w="109"/>
        <w:gridCol w:w="109"/>
        <w:gridCol w:w="154"/>
      </w:tblGrid>
      <w:tr>
        <w:trPr/>
        <w:tc>
          <w:tcPr>
            <w:tcW w:w="44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Small-container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Large-container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collection</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intercompany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net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Landfill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intercompany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Landfill, net</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Environmental solutions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intercompany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Environmental solutions, net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Recycling processing and commodity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non-core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changes in components of our revenue, as a percentage of total revenue, for the three and six months ended June 30, 2026 and 2025:</w:t>
      </w:r>
    </w:p>
    <w:tbl>
      <w:tblPr>
        <w:tblW w:w="9218" w:type="dxa"/>
        <w:jc w:val="left"/>
        <w:tblInd w:w="0" w:type="dxa"/>
        <w:tblLayout w:type="fixed"/>
        <w:tblCellMar>
          <w:top w:w="28" w:type="dxa"/>
          <w:left w:w="28" w:type="dxa"/>
          <w:bottom w:w="28" w:type="dxa"/>
          <w:right w:w="28" w:type="dxa"/>
        </w:tblCellMar>
      </w:tblPr>
      <w:tblGrid>
        <w:gridCol w:w="1332"/>
        <w:gridCol w:w="1167"/>
        <w:gridCol w:w="1175"/>
        <w:gridCol w:w="240"/>
        <w:gridCol w:w="240"/>
        <w:gridCol w:w="526"/>
        <w:gridCol w:w="211"/>
        <w:gridCol w:w="211"/>
        <w:gridCol w:w="211"/>
        <w:gridCol w:w="240"/>
        <w:gridCol w:w="240"/>
        <w:gridCol w:w="526"/>
        <w:gridCol w:w="109"/>
        <w:gridCol w:w="109"/>
        <w:gridCol w:w="109"/>
        <w:gridCol w:w="263"/>
        <w:gridCol w:w="217"/>
        <w:gridCol w:w="478"/>
        <w:gridCol w:w="192"/>
        <w:gridCol w:w="192"/>
        <w:gridCol w:w="192"/>
        <w:gridCol w:w="263"/>
        <w:gridCol w:w="217"/>
        <w:gridCol w:w="558"/>
      </w:tblGrid>
      <w:tr>
        <w:trPr/>
        <w:tc>
          <w:tcPr>
            <w:tcW w:w="133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yield</w:t>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recovery fees</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price</w:t>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workdays</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Recycling processing and commodity sales </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solutions</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internal growth</w:t>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 divestitures, net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price</w:t>
            </w:r>
          </w:p>
        </w:tc>
        <w:tc>
          <w:tcPr>
            <w:tcW w:w="48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Average yield is defined as revenue growth from the change in average price per unit of service, expressed as a percentage. Core price is defined as price increases to our customers and fees, excluding fuel recovery fees, net of price decreases to retain customers. We also measure changes in core price, average yield and volume as a percentage of related-business revenue, defined as total revenue excluding recycled commodities, fuel recovery fees and environmental solutions revenue, to determine the effectiveness of our pricing and organic growth strategies. The following table reflects core price, average yield and volume as a percentage of related-business revenue for the three and six months ended June 30, 2026 and 2025:</w:t>
      </w:r>
    </w:p>
    <w:tbl>
      <w:tblPr>
        <w:tblW w:w="6745" w:type="dxa"/>
        <w:jc w:val="left"/>
        <w:tblInd w:w="0" w:type="dxa"/>
        <w:tblLayout w:type="fixed"/>
        <w:tblCellMar>
          <w:top w:w="28" w:type="dxa"/>
          <w:left w:w="28" w:type="dxa"/>
          <w:bottom w:w="28" w:type="dxa"/>
          <w:right w:w="28" w:type="dxa"/>
        </w:tblCellMar>
      </w:tblPr>
      <w:tblGrid>
        <w:gridCol w:w="455"/>
        <w:gridCol w:w="400"/>
        <w:gridCol w:w="404"/>
        <w:gridCol w:w="240"/>
        <w:gridCol w:w="240"/>
        <w:gridCol w:w="526"/>
        <w:gridCol w:w="211"/>
        <w:gridCol w:w="211"/>
        <w:gridCol w:w="211"/>
        <w:gridCol w:w="211"/>
        <w:gridCol w:w="211"/>
        <w:gridCol w:w="526"/>
        <w:gridCol w:w="109"/>
        <w:gridCol w:w="109"/>
        <w:gridCol w:w="109"/>
        <w:gridCol w:w="263"/>
        <w:gridCol w:w="217"/>
        <w:gridCol w:w="478"/>
        <w:gridCol w:w="192"/>
        <w:gridCol w:w="192"/>
        <w:gridCol w:w="192"/>
        <w:gridCol w:w="263"/>
        <w:gridCol w:w="217"/>
        <w:gridCol w:w="558"/>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3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7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a % of Related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a % of Related Business</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price</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yield</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changes in average yield and volume, as a percentage of related business revenue by line of business,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635"/>
        <w:gridCol w:w="561"/>
        <w:gridCol w:w="565"/>
        <w:gridCol w:w="203"/>
        <w:gridCol w:w="203"/>
        <w:gridCol w:w="268"/>
        <w:gridCol w:w="109"/>
        <w:gridCol w:w="109"/>
        <w:gridCol w:w="109"/>
        <w:gridCol w:w="250"/>
        <w:gridCol w:w="253"/>
        <w:gridCol w:w="366"/>
        <w:gridCol w:w="109"/>
        <w:gridCol w:w="109"/>
        <w:gridCol w:w="109"/>
        <w:gridCol w:w="203"/>
        <w:gridCol w:w="203"/>
        <w:gridCol w:w="268"/>
        <w:gridCol w:w="109"/>
        <w:gridCol w:w="109"/>
        <w:gridCol w:w="109"/>
        <w:gridCol w:w="232"/>
        <w:gridCol w:w="234"/>
        <w:gridCol w:w="366"/>
        <w:gridCol w:w="109"/>
        <w:gridCol w:w="109"/>
        <w:gridCol w:w="109"/>
        <w:gridCol w:w="203"/>
        <w:gridCol w:w="203"/>
        <w:gridCol w:w="268"/>
        <w:gridCol w:w="109"/>
        <w:gridCol w:w="109"/>
        <w:gridCol w:w="109"/>
        <w:gridCol w:w="250"/>
        <w:gridCol w:w="253"/>
        <w:gridCol w:w="366"/>
        <w:gridCol w:w="109"/>
        <w:gridCol w:w="109"/>
        <w:gridCol w:w="109"/>
        <w:gridCol w:w="203"/>
        <w:gridCol w:w="203"/>
        <w:gridCol w:w="268"/>
        <w:gridCol w:w="109"/>
        <w:gridCol w:w="109"/>
        <w:gridCol w:w="109"/>
        <w:gridCol w:w="232"/>
        <w:gridCol w:w="234"/>
        <w:gridCol w:w="423"/>
      </w:tblGrid>
      <w:tr>
        <w:trPr/>
        <w:tc>
          <w:tcPr>
            <w:tcW w:w="63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Yield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Yield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Yield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Yield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Volume</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Collection:</w:t>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Small-container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Large-container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Landfill:</w:t>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solid waste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demolition waste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waste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COST OF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major components of our cost of operations for the three and six months ended June 30, 2026 and 2025 (in millions of dollars and as a percentage of revenue):</w:t>
      </w:r>
    </w:p>
    <w:tbl>
      <w:tblPr>
        <w:tblW w:w="10392" w:type="dxa"/>
        <w:jc w:val="left"/>
        <w:tblInd w:w="0" w:type="dxa"/>
        <w:tblLayout w:type="fixed"/>
        <w:tblCellMar>
          <w:top w:w="28" w:type="dxa"/>
          <w:left w:w="28" w:type="dxa"/>
          <w:bottom w:w="28" w:type="dxa"/>
          <w:right w:w="28" w:type="dxa"/>
        </w:tblCellMar>
      </w:tblPr>
      <w:tblGrid>
        <w:gridCol w:w="697"/>
        <w:gridCol w:w="244"/>
        <w:gridCol w:w="245"/>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316"/>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and related benefits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and disposal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and repairs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Transportation and subcontract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Disposal fees and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operating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management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These cost categories may change from time to time and may not be comparable to similarly titled categories used by other companies. As such, you should take care when comparing our cost of operations by cost component to that of other companies and of ours for prior periods.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selling, general and administrative expenses for the three and six months ended June 30, 2026 and 2025 (in millions of dollars and as a percentage of revenue):</w:t>
      </w:r>
    </w:p>
    <w:tbl>
      <w:tblPr>
        <w:tblW w:w="10205" w:type="dxa"/>
        <w:jc w:val="left"/>
        <w:tblInd w:w="0" w:type="dxa"/>
        <w:tblLayout w:type="fixed"/>
        <w:tblCellMar>
          <w:top w:w="28" w:type="dxa"/>
          <w:left w:w="28" w:type="dxa"/>
          <w:bottom w:w="28" w:type="dxa"/>
          <w:right w:w="28" w:type="dxa"/>
        </w:tblCellMar>
      </w:tblPr>
      <w:tblGrid>
        <w:gridCol w:w="877"/>
        <w:gridCol w:w="359"/>
        <w:gridCol w:w="361"/>
        <w:gridCol w:w="211"/>
        <w:gridCol w:w="466"/>
        <w:gridCol w:w="109"/>
        <w:gridCol w:w="109"/>
        <w:gridCol w:w="109"/>
        <w:gridCol w:w="109"/>
        <w:gridCol w:w="255"/>
        <w:gridCol w:w="256"/>
        <w:gridCol w:w="271"/>
        <w:gridCol w:w="109"/>
        <w:gridCol w:w="109"/>
        <w:gridCol w:w="109"/>
        <w:gridCol w:w="211"/>
        <w:gridCol w:w="466"/>
        <w:gridCol w:w="109"/>
        <w:gridCol w:w="109"/>
        <w:gridCol w:w="109"/>
        <w:gridCol w:w="109"/>
        <w:gridCol w:w="255"/>
        <w:gridCol w:w="256"/>
        <w:gridCol w:w="271"/>
        <w:gridCol w:w="109"/>
        <w:gridCol w:w="109"/>
        <w:gridCol w:w="109"/>
        <w:gridCol w:w="211"/>
        <w:gridCol w:w="466"/>
        <w:gridCol w:w="109"/>
        <w:gridCol w:w="109"/>
        <w:gridCol w:w="109"/>
        <w:gridCol w:w="109"/>
        <w:gridCol w:w="255"/>
        <w:gridCol w:w="256"/>
        <w:gridCol w:w="271"/>
        <w:gridCol w:w="109"/>
        <w:gridCol w:w="109"/>
        <w:gridCol w:w="109"/>
        <w:gridCol w:w="211"/>
        <w:gridCol w:w="466"/>
        <w:gridCol w:w="109"/>
        <w:gridCol w:w="109"/>
        <w:gridCol w:w="109"/>
        <w:gridCol w:w="109"/>
        <w:gridCol w:w="255"/>
        <w:gridCol w:w="256"/>
        <w:gridCol w:w="318"/>
      </w:tblGrid>
      <w:tr>
        <w:trPr/>
        <w:tc>
          <w:tcPr>
            <w:tcW w:w="87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benefits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These cost categories may change from time to time and may not be comparable to similarly titled categories used by other companies. As such, you should take care when comparing our selling, general and administrative expenses by cost component to those of other companies and of ours for prior periods.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PERFORMANCE METRICS AND RECONCILIATIONS OF CERTAIN NON-GAAP MEASURES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calculate EBITDA, EBITDA margin, adjusted EBITDA, adjusted EBITDA margin, adjusted EBITDA and adjusted EBITDA margin by business type, adjusted pre-tax income, adjusted tax impact, adjusted net income - Republic, adjusted diluted earnings per share, and adjusted free cash flow, which are not measures determined in accordance with U.S. generally accepted accounting principles (U.S. GAAP), for the three and six months ended June 30, 2026 and 2025. Our definitions of the foregoing non-GAAP financial measures may not be comparable to similarly titled measures presented by other companies.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Adjusted EBITDA and Adjusted EBITDA Margin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calculates adjusted EBITDA and adjusted EBITDA margin for the three and six months ended June 30, 2026 and 2025 (in millions of dollars and as a percentage of revenue):</w:t>
      </w:r>
    </w:p>
    <w:tbl>
      <w:tblPr>
        <w:tblW w:w="10587" w:type="dxa"/>
        <w:jc w:val="left"/>
        <w:tblInd w:w="0" w:type="dxa"/>
        <w:tblLayout w:type="fixed"/>
        <w:tblCellMar>
          <w:top w:w="28" w:type="dxa"/>
          <w:left w:w="28" w:type="dxa"/>
          <w:bottom w:w="28" w:type="dxa"/>
          <w:right w:w="28" w:type="dxa"/>
        </w:tblCellMar>
      </w:tblPr>
      <w:tblGrid>
        <w:gridCol w:w="701"/>
        <w:gridCol w:w="339"/>
        <w:gridCol w:w="341"/>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316"/>
      </w:tblGrid>
      <w:tr>
        <w:trPr/>
        <w:tc>
          <w:tcPr>
            <w:tcW w:w="7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Republic Services, Inc. and net income margin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and EBITDA margin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unconsolidated equity method investments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business divestitures and impairments,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Adjusted EBITDA and Adjusted EBITDA Margin by Business Type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 adjusted EBITDA and adjusted EBITDA margin by business type for the three and six months ended June 30, 2026 and 2025 (in millions of dollars and adjusted EBITDA margin as a percentage of revenue):</w:t>
      </w:r>
    </w:p>
    <w:tbl>
      <w:tblPr>
        <w:tblW w:w="10205" w:type="dxa"/>
        <w:jc w:val="left"/>
        <w:tblInd w:w="0" w:type="dxa"/>
        <w:tblLayout w:type="fixed"/>
        <w:tblCellMar>
          <w:top w:w="28" w:type="dxa"/>
          <w:left w:w="28" w:type="dxa"/>
          <w:bottom w:w="28" w:type="dxa"/>
          <w:right w:w="28" w:type="dxa"/>
        </w:tblCellMar>
      </w:tblPr>
      <w:tblGrid>
        <w:gridCol w:w="461"/>
        <w:gridCol w:w="327"/>
        <w:gridCol w:w="311"/>
        <w:gridCol w:w="109"/>
        <w:gridCol w:w="109"/>
        <w:gridCol w:w="109"/>
        <w:gridCol w:w="222"/>
        <w:gridCol w:w="630"/>
        <w:gridCol w:w="290"/>
        <w:gridCol w:w="109"/>
        <w:gridCol w:w="109"/>
        <w:gridCol w:w="109"/>
        <w:gridCol w:w="313"/>
        <w:gridCol w:w="673"/>
        <w:gridCol w:w="409"/>
        <w:gridCol w:w="109"/>
        <w:gridCol w:w="109"/>
        <w:gridCol w:w="109"/>
        <w:gridCol w:w="196"/>
        <w:gridCol w:w="556"/>
        <w:gridCol w:w="256"/>
        <w:gridCol w:w="109"/>
        <w:gridCol w:w="109"/>
        <w:gridCol w:w="109"/>
        <w:gridCol w:w="222"/>
        <w:gridCol w:w="630"/>
        <w:gridCol w:w="290"/>
        <w:gridCol w:w="109"/>
        <w:gridCol w:w="109"/>
        <w:gridCol w:w="109"/>
        <w:gridCol w:w="313"/>
        <w:gridCol w:w="673"/>
        <w:gridCol w:w="409"/>
        <w:gridCol w:w="109"/>
        <w:gridCol w:w="109"/>
        <w:gridCol w:w="109"/>
        <w:gridCol w:w="196"/>
        <w:gridCol w:w="556"/>
        <w:gridCol w:w="310"/>
      </w:tblGrid>
      <w:tr>
        <w:trPr/>
        <w:tc>
          <w:tcPr>
            <w:tcW w:w="46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2025</w:t>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Recycling &amp; Waste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Environmental Solutions</w:t>
            </w:r>
            <w:r>
              <w:rPr>
                <w:rFonts w:ascii="Times New Roman;serif" w:hAnsi="Times New Roman;serif"/>
                <w:b w:val="false"/>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Recycling &amp; Waste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Environmental Solutions</w:t>
            </w:r>
            <w:r>
              <w:rPr>
                <w:rFonts w:ascii="Times New Roman;serif" w:hAnsi="Times New Roman;serif"/>
                <w:b w:val="false"/>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3,773 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4,235 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33.5 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20.2 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33.1 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24.4 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32.1 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466"/>
        <w:gridCol w:w="332"/>
        <w:gridCol w:w="317"/>
        <w:gridCol w:w="109"/>
        <w:gridCol w:w="109"/>
        <w:gridCol w:w="109"/>
        <w:gridCol w:w="223"/>
        <w:gridCol w:w="633"/>
        <w:gridCol w:w="291"/>
        <w:gridCol w:w="109"/>
        <w:gridCol w:w="109"/>
        <w:gridCol w:w="109"/>
        <w:gridCol w:w="315"/>
        <w:gridCol w:w="678"/>
        <w:gridCol w:w="412"/>
        <w:gridCol w:w="109"/>
        <w:gridCol w:w="109"/>
        <w:gridCol w:w="109"/>
        <w:gridCol w:w="196"/>
        <w:gridCol w:w="556"/>
        <w:gridCol w:w="256"/>
        <w:gridCol w:w="109"/>
        <w:gridCol w:w="109"/>
        <w:gridCol w:w="109"/>
        <w:gridCol w:w="223"/>
        <w:gridCol w:w="633"/>
        <w:gridCol w:w="291"/>
        <w:gridCol w:w="109"/>
        <w:gridCol w:w="109"/>
        <w:gridCol w:w="109"/>
        <w:gridCol w:w="305"/>
        <w:gridCol w:w="656"/>
        <w:gridCol w:w="399"/>
        <w:gridCol w:w="109"/>
        <w:gridCol w:w="109"/>
        <w:gridCol w:w="109"/>
        <w:gridCol w:w="196"/>
        <w:gridCol w:w="556"/>
        <w:gridCol w:w="309"/>
      </w:tblGrid>
      <w:tr>
        <w:trPr/>
        <w:tc>
          <w:tcPr>
            <w:tcW w:w="4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2025</w:t>
            </w:r>
          </w:p>
        </w:tc>
      </w:tr>
      <w:tr>
        <w:trPr/>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Recycling &amp; Waste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Environmental Solutions</w:t>
            </w:r>
            <w:r>
              <w:rPr>
                <w:rFonts w:ascii="Times New Roman;serif" w:hAnsi="Times New Roman;serif"/>
                <w:b w:val="false"/>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Recycling &amp; Waste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Environmental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7,681 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7,333 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33.5 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19.7 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33.0 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22.6 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31.9 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bl>
    <w:p>
      <w:pPr>
        <w:pStyle w:val="TextBody"/>
        <w:bidi w:val="0"/>
        <w:spacing w:lineRule="auto" w:line="288" w:before="60" w:after="283"/>
        <w:jc w:val="left"/>
        <w:rPr>
          <w:rFonts w:ascii="Times New Roman;serif" w:hAnsi="Times New Roman;serif"/>
          <w:b w:val="false"/>
          <w:color w:val="000000"/>
          <w:sz w:val="13"/>
        </w:rPr>
      </w:pPr>
      <w:r>
        <w:rPr>
          <w:rFonts w:ascii="Times New Roman;serif" w:hAnsi="Times New Roman;serif"/>
          <w:b w:val="false"/>
          <w:color w:val="000000"/>
          <w:sz w:val="13"/>
        </w:rPr>
        <w:t>(a) Certain corporate expenses, including selling, general and administrative expenses, and National Accounts revenue are allocated to the two business types.</w:t>
      </w:r>
    </w:p>
    <w:p>
      <w:pPr>
        <w:pStyle w:val="TextBody"/>
        <w:bidi w:val="0"/>
        <w:spacing w:lineRule="auto" w:line="288" w:before="60" w:after="283"/>
        <w:jc w:val="left"/>
        <w:rPr>
          <w:rFonts w:ascii="Times New Roman;serif" w:hAnsi="Times New Roman;serif"/>
          <w:b w:val="false"/>
          <w:color w:val="000000"/>
          <w:sz w:val="13"/>
        </w:rPr>
      </w:pPr>
      <w:r>
        <w:rPr>
          <w:rFonts w:ascii="Times New Roman;serif" w:hAnsi="Times New Roman;serif"/>
          <w:b w:val="false"/>
          <w:color w:val="000000"/>
          <w:sz w:val="13"/>
        </w:rPr>
        <w:t>(b) Adjusted EBITDA Margin does not calculate due to rounding.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amounts shown for Recycling &amp; Waste represent the sum of our Group 1 and Group 2 reportable segments, and Environmental Solutions represents our Group 3 reportable segment.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Adjusted Diluted Earnings Per Share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calculates adjusted pre-tax income, adjusted tax impact, adjusted net income - Republic, and adjusted diluted earnings per share for the three and six months ended June 30, 2026 and 2025 (in millions of dollars except per share data):</w:t>
      </w:r>
    </w:p>
    <w:tbl>
      <w:tblPr>
        <w:tblW w:w="10205" w:type="dxa"/>
        <w:jc w:val="left"/>
        <w:tblInd w:w="0" w:type="dxa"/>
        <w:tblLayout w:type="fixed"/>
        <w:tblCellMar>
          <w:top w:w="28" w:type="dxa"/>
          <w:left w:w="28" w:type="dxa"/>
          <w:bottom w:w="28" w:type="dxa"/>
          <w:right w:w="28" w:type="dxa"/>
        </w:tblCellMar>
      </w:tblPr>
      <w:tblGrid>
        <w:gridCol w:w="514"/>
        <w:gridCol w:w="453"/>
        <w:gridCol w:w="458"/>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66"/>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66"/>
        <w:gridCol w:w="109"/>
        <w:gridCol w:w="109"/>
        <w:gridCol w:w="157"/>
      </w:tblGrid>
      <w:tr>
        <w:trPr/>
        <w:tc>
          <w:tcPr>
            <w:tcW w:w="5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Impact</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Impact</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business divestitures and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98"/>
        <w:gridCol w:w="351"/>
        <w:gridCol w:w="355"/>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46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466"/>
        <w:gridCol w:w="156"/>
      </w:tblGrid>
      <w:tr>
        <w:trPr/>
        <w:tc>
          <w:tcPr>
            <w:tcW w:w="39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2025</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Diluted</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Impact</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Impact</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w:t>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300" w:before="0" w:after="0"/>
              <w:ind w:left="0" w:right="0" w:hanging="180"/>
              <w:jc w:val="left"/>
              <w:rPr/>
            </w:pPr>
            <w:r>
              <w:rPr>
                <w:rFonts w:ascii="Times New Roman;serif" w:hAnsi="Times New Roman;serif"/>
                <w:b w:val="false"/>
                <w:color w:val="000000"/>
                <w:sz w:val="16"/>
              </w:rPr>
              <w:t>(Gain) loss on business divestitures and impairments, net</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3"/>
        </w:rPr>
      </w:pPr>
      <w:r>
        <w:rPr>
          <w:rFonts w:ascii="Times New Roman;serif" w:hAnsi="Times New Roman;serif"/>
          <w:b w:val="false"/>
          <w:color w:val="000000"/>
          <w:sz w:val="13"/>
        </w:rPr>
        <w:t>(1) The income tax effect related to our adjustments includes both current and deferred income tax impact and is individually calculated based on the statutory rates applicable to each adjustment.</w:t>
      </w:r>
    </w:p>
    <w:p>
      <w:pPr>
        <w:pStyle w:val="TextBody"/>
        <w:bidi w:val="0"/>
        <w:spacing w:lineRule="auto" w:line="288" w:before="60" w:after="283"/>
        <w:jc w:val="left"/>
        <w:rPr>
          <w:rFonts w:ascii="Times New Roman;serif" w:hAnsi="Times New Roman;serif"/>
          <w:b w:val="false"/>
          <w:color w:val="000000"/>
          <w:sz w:val="13"/>
        </w:rPr>
      </w:pPr>
      <w:r>
        <w:rPr>
          <w:rFonts w:ascii="Times New Roman;serif" w:hAnsi="Times New Roman;serif"/>
          <w:b w:val="false"/>
          <w:color w:val="000000"/>
          <w:sz w:val="13"/>
        </w:rPr>
        <w:t>(2) The aggregate impact to adjusted diluted earnings per share totals to less than $0.01 for the six months ended June 30, 2026 and 2025.</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color w:val="000000"/>
          <w:sz w:val="20"/>
        </w:rPr>
        <w:t>We believe that presenting EBITDA and EBITDA margin is useful to investors because they provide important information concerning our operating performance exclusive of certain non-cash and other costs. EBITDA and EBITDA margin demonstrate our ability to execute our financial strategy, which includes reinvesting in existing capital assets to ensure a high level of customer service, investing in capital assets to facilitate growth in our customer base and services provided, maintaining our investment grade credit ratings and minimizing debt, paying cash dividends, repurchasing our common stock, and maintaining and improving our market position through business optimization. Although depreciation, depletion, amortization and accretion are considered operating costs in accordance with U.S. GAAP, they represent the allocation of non-cash costs generally associated with long-lived assets acquired or constructed in prior years.</w:t>
      </w:r>
      <w:r>
        <w:rPr>
          <w:color w:val="FF0000"/>
        </w:rPr>
        <w:t xml:space="preserv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presenting adjusted EBITDA and adjusted EBITDA margin, adjusted EBITDA margin by business type, adjusted pre-tax income, adjusted tax impact, adjusted net income - Republic, and adjusted diluted earnings per share provide an understanding of operational activities before the financial impact of certain items. We use these measures, and believe investors will find them helpful, in understanding the ongoing performance of our operations separate from items that have a disproportionate impact on our results for a particular period. We have incurred comparable charges, costs and recoveries in prior periods, and similar types of adjustments can reasonably be expected to be recorded in future periods. </w:t>
      </w:r>
    </w:p>
    <w:p>
      <w:pPr>
        <w:pStyle w:val="TextBody"/>
        <w:bidi w:val="0"/>
        <w:spacing w:lineRule="auto" w:line="288" w:before="100" w:after="283"/>
        <w:jc w:val="left"/>
        <w:rPr/>
      </w:pPr>
      <w:r>
        <w:rPr>
          <w:rFonts w:ascii="Times New Roman;serif" w:hAnsi="Times New Roman;serif"/>
          <w:b w:val="false"/>
          <w:i/>
          <w:color w:val="000000"/>
          <w:sz w:val="20"/>
        </w:rPr>
        <w:t>Restructuring charges.</w:t>
      </w:r>
      <w:r>
        <w:rPr>
          <w:color w:val="000000"/>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and six months ended June 30, 2026</w:t>
      </w:r>
      <w:r>
        <w:rPr>
          <w:rFonts w:ascii="Times New Roman;serif" w:hAnsi="Times New Roman;serif"/>
          <w:b w:val="false"/>
          <w:color w:val="000000"/>
          <w:sz w:val="20"/>
          <w:shd w:fill="FFFFFF" w:val="clear"/>
        </w:rPr>
        <w:t>, we incurred restructuring charges of $</w:t>
      </w:r>
      <w:r>
        <w:rPr>
          <w:rFonts w:ascii="Times New Roman;serif" w:hAnsi="Times New Roman;serif"/>
          <w:b w:val="false"/>
          <w:color w:val="000000"/>
          <w:sz w:val="20"/>
        </w:rPr>
        <w:t>4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$6 million</w:t>
      </w:r>
      <w:r>
        <w:rPr>
          <w:rFonts w:ascii="Times New Roman;serif" w:hAnsi="Times New Roman;serif"/>
          <w:b w:val="false"/>
          <w:color w:val="000000"/>
          <w:sz w:val="20"/>
          <w:shd w:fill="FFFFFF" w:val="clear"/>
        </w:rPr>
        <w:t>, respectively, and during the</w:t>
      </w:r>
      <w:r>
        <w:rPr>
          <w:color w:val="000000"/>
        </w:rPr>
        <w:t xml:space="preserve"> </w:t>
      </w:r>
      <w:r>
        <w:rPr>
          <w:rFonts w:ascii="Times New Roman;serif" w:hAnsi="Times New Roman;serif"/>
          <w:b w:val="false"/>
          <w:color w:val="000000"/>
          <w:sz w:val="20"/>
        </w:rPr>
        <w:t xml:space="preserve">three and six months ended June 30, 2025, we incurred restructuring charges of $6 million and $9 million, respectively.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charges in these periods related primarily to</w:t>
      </w:r>
      <w:r>
        <w:rPr>
          <w:color w:val="000000"/>
          <w:shd w:fill="FFFFFF" w:val="clear"/>
        </w:rPr>
        <w:t xml:space="preserve"> </w:t>
      </w:r>
      <w:r>
        <w:rPr>
          <w:rFonts w:ascii="Times New Roman;serif" w:hAnsi="Times New Roman;serif"/>
          <w:b w:val="false"/>
          <w:color w:val="000000"/>
          <w:sz w:val="20"/>
          <w:shd w:fill="FFFFFF" w:val="clear"/>
        </w:rPr>
        <w:t>the design and implementation of our new accounts receivable system.</w:t>
      </w:r>
    </w:p>
    <w:p>
      <w:pPr>
        <w:pStyle w:val="TextBody"/>
        <w:bidi w:val="0"/>
        <w:spacing w:lineRule="auto" w:line="288" w:before="100" w:after="283"/>
        <w:jc w:val="left"/>
        <w:rPr/>
      </w:pPr>
      <w:r>
        <w:rPr>
          <w:rFonts w:ascii="Times New Roman;serif" w:hAnsi="Times New Roman;serif"/>
          <w:b w:val="false"/>
          <w:i/>
          <w:color w:val="000000"/>
          <w:sz w:val="20"/>
        </w:rPr>
        <w:t>(Gain) loss on business divestitures and impairments, net.</w:t>
      </w:r>
      <w:r>
        <w:rPr>
          <w:color w:val="000000"/>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six months ended June 30, 2026, we recorded a net gain on business divestitures and impairments of $1 million. During the three and six months ended June 30, 2025, we recorded a loss on business divestitures and impairments of $3 million and $1 million, respectively.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Adjusted Free Cash Flow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calculates our adjusted free cash flow, which is not a measure determined in accordance with U.S. GAAP, for the six months ended June 30, 2026 and 2025 (in millions of dollars):</w:t>
      </w:r>
    </w:p>
    <w:tbl>
      <w:tblPr>
        <w:tblW w:w="8415" w:type="dxa"/>
        <w:jc w:val="left"/>
        <w:tblInd w:w="0" w:type="dxa"/>
        <w:tblLayout w:type="fixed"/>
        <w:tblCellMar>
          <w:top w:w="28" w:type="dxa"/>
          <w:left w:w="28" w:type="dxa"/>
          <w:bottom w:w="28" w:type="dxa"/>
          <w:right w:w="28" w:type="dxa"/>
        </w:tblCellMar>
      </w:tblPr>
      <w:tblGrid>
        <w:gridCol w:w="1411"/>
        <w:gridCol w:w="1243"/>
        <w:gridCol w:w="1246"/>
        <w:gridCol w:w="109"/>
        <w:gridCol w:w="109"/>
        <w:gridCol w:w="256"/>
        <w:gridCol w:w="182"/>
        <w:gridCol w:w="182"/>
        <w:gridCol w:w="182"/>
        <w:gridCol w:w="182"/>
        <w:gridCol w:w="354"/>
        <w:gridCol w:w="1033"/>
        <w:gridCol w:w="182"/>
        <w:gridCol w:w="109"/>
        <w:gridCol w:w="109"/>
        <w:gridCol w:w="109"/>
        <w:gridCol w:w="211"/>
        <w:gridCol w:w="616"/>
        <w:gridCol w:w="109"/>
        <w:gridCol w:w="109"/>
        <w:gridCol w:w="109"/>
        <w:gridCol w:w="109"/>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2"/>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744" w:type="dxa"/>
            <w:gridSpan w:val="10"/>
            <w:tcBorders/>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2"/>
            <w:tcBorders/>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2"/>
            <w:tcBorders/>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received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2"/>
            <w:tcBorders/>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2"/>
            <w:tcBorders/>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2"/>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payments,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2"/>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2"/>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2"/>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2"/>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gridSpan w:val="2"/>
            <w:tcBorders/>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believe that presenting adjusted free cash flow provides useful information regarding our recurring cash provided by operating activities after certain expenditures or recoveries. It also demonstrates our ability to execute our financial strategy and is a key metric we use to determine compensation. The presentation of adjusted free cash flow has material limitations. Adjusted free cash flow does not represent our cash flow available for discretionary payments because it excludes certain payments that are required or to which we have committed, such as debt service requirements and dividend payments.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as reflected on our consolidated statements of cash flows represent amounts paid during the period for such expenditures. A reconciliation of property and equipment expenditures reflected on our consolidated statements of cash flows to property and equipment received during the period follows for the six months ended June 30, 2026 and 2025 (in millions of dollars):</w:t>
      </w:r>
    </w:p>
    <w:tbl>
      <w:tblPr>
        <w:tblW w:w="10205" w:type="dxa"/>
        <w:jc w:val="left"/>
        <w:tblInd w:w="0" w:type="dxa"/>
        <w:tblLayout w:type="fixed"/>
        <w:tblCellMar>
          <w:top w:w="28" w:type="dxa"/>
          <w:left w:w="28" w:type="dxa"/>
          <w:bottom w:w="28" w:type="dxa"/>
          <w:right w:w="28" w:type="dxa"/>
        </w:tblCellMar>
      </w:tblPr>
      <w:tblGrid>
        <w:gridCol w:w="2140"/>
        <w:gridCol w:w="1878"/>
        <w:gridCol w:w="1890"/>
        <w:gridCol w:w="109"/>
        <w:gridCol w:w="109"/>
        <w:gridCol w:w="957"/>
        <w:gridCol w:w="957"/>
        <w:gridCol w:w="211"/>
        <w:gridCol w:w="466"/>
        <w:gridCol w:w="109"/>
        <w:gridCol w:w="109"/>
        <w:gridCol w:w="211"/>
        <w:gridCol w:w="466"/>
        <w:gridCol w:w="109"/>
        <w:gridCol w:w="109"/>
        <w:gridCol w:w="109"/>
        <w:gridCol w:w="109"/>
        <w:gridCol w:w="157"/>
      </w:tblGrid>
      <w:tr>
        <w:trPr/>
        <w:tc>
          <w:tcPr>
            <w:tcW w:w="2140"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4"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2165" w:type="dxa"/>
            <w:gridSpan w:val="11"/>
            <w:tcBorders/>
          </w:tcPr>
          <w:p>
            <w:pPr>
              <w:pStyle w:val="TableContents"/>
              <w:bidi w:val="0"/>
              <w:spacing w:before="0" w:after="283"/>
              <w:jc w:val="left"/>
              <w:rPr>
                <w:sz w:val="4"/>
                <w:szCs w:val="4"/>
              </w:rPr>
            </w:pPr>
            <w:r>
              <w:rPr>
                <w:sz w:val="4"/>
                <w:szCs w:val="4"/>
              </w:rPr>
            </w:r>
          </w:p>
        </w:tc>
      </w:tr>
      <w:tr>
        <w:trPr/>
        <w:tc>
          <w:tcPr>
            <w:tcW w:w="5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per the unaudited consolidated statements of cash flows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for property and equipment received in a different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received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adjustments noted above do not affect our net change in cash, cash equivalents, restricted cash and restricted cash equivalents as reflected in our consolidated statements of cash flows.</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accounts receivable were $2,029 million and $1,897 million, net of allowance for doubtful accounts of $59 million and $66 million, respectively, resulting in days sales outstanding of 41.7, or 31.8 days net of deferred revenue, compared to 41.8, or 30.8 days net of deferred revenue, respectively.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DIVIDENDS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April 2026, we paid a cash dividend of $192 million to shareholders of record as of April 2, 2026. As of June 30, 2026, we recorded a quarterly dividend payable of $191 million to shareholders of record at the close of business on July 2, 2026, which was paid on July 15,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repurchased 1.6 million shares of our common stock for $337 million at a weighted average cost per share of $206.70. As of June 30, 2026, the remaining authorized purchase capacity under our October 2023 repurchase program was approximately $1.0 billion.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RECONCILIATION OF FULL-YEAR 2026 FINANCIAL GUIDANCE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anticipated adjusted EBITDA, which is not a measure determined in accordance with U.S. GAAP, for the year ending December 31, 2026 (in millions of dollars):</w:t>
      </w:r>
    </w:p>
    <w:tbl>
      <w:tblPr>
        <w:tblW w:w="7477" w:type="dxa"/>
        <w:jc w:val="left"/>
        <w:tblInd w:w="0" w:type="dxa"/>
        <w:tblLayout w:type="fixed"/>
        <w:tblCellMar>
          <w:top w:w="28" w:type="dxa"/>
          <w:left w:w="28" w:type="dxa"/>
          <w:bottom w:w="28" w:type="dxa"/>
          <w:right w:w="28" w:type="dxa"/>
        </w:tblCellMar>
      </w:tblPr>
      <w:tblGrid>
        <w:gridCol w:w="1619"/>
        <w:gridCol w:w="1421"/>
        <w:gridCol w:w="1430"/>
        <w:gridCol w:w="914"/>
        <w:gridCol w:w="914"/>
        <w:gridCol w:w="916"/>
        <w:gridCol w:w="109"/>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(Anticipated)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 Ending December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Republic Services, Inc.</w:t>
            </w:r>
          </w:p>
        </w:tc>
        <w:tc>
          <w:tcPr>
            <w:tcW w:w="27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$ 2,210 - 2,220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530 - 535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w:t>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2,000 - 2,010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unconsolidated equity method investments</w:t>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74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$ 5,525 - 5,550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believe that presenting adjusted EBITDA provides an understanding of operational activities before the financial impact of certain items. We use this measure, and believe investors will find it helpful, in understanding the ongoing performance of our operations separate from items that have a disproportionate impact on our results for a particular period. We have incurred comparable charges, costs and recoveries in prior periods, and similar types of adjustments can reasonably be expected to be recorded in future periods. Our definition of adjusted EBITDA may not be comparable to similarly titled measures presented by other companies.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Adjusted Diluted Earnings per Share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anticipated adjusted diluted earnings per share, which is not a measure determined in accordance with U.S. GAAP, for the year ending December 31, 2026:</w:t>
      </w:r>
    </w:p>
    <w:tbl>
      <w:tblPr>
        <w:tblW w:w="5991" w:type="dxa"/>
        <w:jc w:val="left"/>
        <w:tblInd w:w="0" w:type="dxa"/>
        <w:tblLayout w:type="fixed"/>
        <w:tblCellMar>
          <w:top w:w="28" w:type="dxa"/>
          <w:left w:w="28" w:type="dxa"/>
          <w:bottom w:w="28" w:type="dxa"/>
          <w:right w:w="28" w:type="dxa"/>
        </w:tblCellMar>
      </w:tblPr>
      <w:tblGrid>
        <w:gridCol w:w="1082"/>
        <w:gridCol w:w="949"/>
        <w:gridCol w:w="953"/>
        <w:gridCol w:w="914"/>
        <w:gridCol w:w="914"/>
        <w:gridCol w:w="916"/>
        <w:gridCol w:w="109"/>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(Anticipated)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 Ending December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7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$ 7.18 - 7.23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earnings per share</w:t>
            </w:r>
          </w:p>
        </w:tc>
        <w:tc>
          <w:tcPr>
            <w:tcW w:w="274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$ 7.23 - 7.28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presenting adjusted diluted earnings per share provides an understanding of operational activities before the financial impact of certain items. We use this measure, and believe investors will find it helpful, in understanding the ongoing performance of our operations separate from items that have a disproportionate impact on our results for a particular period. We have incurred comparable charges, costs and recoveries in prior periods, and similar types of adjustments can reasonably be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expected to be recorded in future periods. Our definition of adjusted diluted earnings per share may not be comparable to similarly titled measures presented by other companies.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Adjusted Free Cash Flow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anticipated adjusted free cash flow, which is not a measure determined in accordance with U.S. GAAP, for the year ending December 31, 2026, is calculated as follows (in millions of dollars):</w:t>
      </w:r>
    </w:p>
    <w:tbl>
      <w:tblPr>
        <w:tblW w:w="6907" w:type="dxa"/>
        <w:jc w:val="left"/>
        <w:tblInd w:w="0" w:type="dxa"/>
        <w:tblLayout w:type="fixed"/>
        <w:tblCellMar>
          <w:top w:w="28" w:type="dxa"/>
          <w:left w:w="28" w:type="dxa"/>
          <w:bottom w:w="28" w:type="dxa"/>
          <w:right w:w="28" w:type="dxa"/>
        </w:tblCellMar>
      </w:tblPr>
      <w:tblGrid>
        <w:gridCol w:w="1411"/>
        <w:gridCol w:w="1243"/>
        <w:gridCol w:w="1246"/>
        <w:gridCol w:w="914"/>
        <w:gridCol w:w="914"/>
        <w:gridCol w:w="916"/>
        <w:gridCol w:w="109"/>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(Anticipated)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 Ending December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7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$ 4,485 - 4,560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received</w:t>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 (2,010)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property and equipment</w:t>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payments, net of tax</w:t>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27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74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$ 2,540 - 2,575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believe that presenting adjusted free cash flow provides useful information regarding our recurring cash provided by operating activities after certain expenditures or recoveries. It also demonstrates our ability to execute our financial strategy and is a key metric we use to determine compensation. The presentation of adjusted free cash flow has material limitations. Adjusted free cash flow does not represent our cash flow available for discretionary payments because it excludes certain payments that are required or to which we have committed, such as debt service requirements and dividend payments. Our definition of adjusted free cash flow may not be comparable to similarly titled measures presented by other companies.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financial guidance is based on current economic conditions and does not assume any significant changes in the overall economy for the remainder of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INFORMATION REGARDING FORWARD-LOOKING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and similar expressions are intended to identify forward-looking statements. These statements include information about our plans, strategies, and expectations of future financial performance and prospects. Forward-looking statements are not guarantees of performance. These statements are based upon the current beliefs and expectations of our management and are subject to risks and uncertainties that could cause actual results to differ materially from those expressed in, or implied or projected by, the forward-looking information and statements. Although we believe that the expectations reflected in the forward-looking statements are reasonable, such expectations may not prove to be correct. Among the factors that could cause actual results to differ materially from the expectations expressed in the forward-looking statements are the impacts of the overall global economy and changing interest rates, impacts from international trade restrictions and tariffs, our ability to effectively integrate and manage companies we acquire, and to realize the anticipated benefits of any such acquisitions, the impact of prolonged work stoppages or other labor disruptions, the amount of the financial contribution of our sustainability initiatives, acts of war, riots or terrorism, and the impact of these acts on economic, financial and social conditions in the United States and Canada, as well as our dependence on large, long-term collection, transfer and disposal contracts. More information on factors that could cause actual results or events to differ materially from those anticipated is included from time to time in our reports filed with the Securities and Exchange Commission, including our Annual Report on Form 10-K for the year ended December 31, 2025, particularly under Part I, Item 1A – Risk Factors. Additionally, new risk factors emerge from time to time and it is not possible for us to predict all such risk factors, or to assess the impact such risk factors might have on our business. We undertake no obligation to update publicly any forward-looking statements whether as a result of new information, future events or otherwise, except as required by law.</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7043</Words>
  <Characters>37242</Characters>
  <CharactersWithSpaces>43409</CharactersWithSpaces>
  <Paragraphs>1589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