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99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9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75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Rodriguez Courtney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REPUBLIC SERVICES,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5353 E. CITY NORTH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REPUBLIC SERVICES,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RSG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HR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64"/>
            <w:col w:w="3336"/>
          </w:cols>
          <w:pgMar w:left="460" w:top="216" w:right="359" w:bottom="75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5,074.26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208.15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4,853.26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534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5,387.26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208.15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5,166.26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-2469515</wp:posOffset>
            </wp:positionV>
            <wp:extent cx="29210" cy="24745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4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("RSUs") granted on 04/28/2023 vest 25% on each of the first four anniversaries of the date of grant. 534 RSUs, that included accrued dividends, vested on 04/28/2026 and were paid out in the form of Republic Services, Inc.'s common stock.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to satisfy the tax liability of the Reporting Person upon the vesting of shares under a Restricted Stock Unit award on 04/28/2026. The fair market value of the exchanged shares was $208.15 per share (the closing price of Republic Services, Inc.'s common stock on 04/28/2026).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one share of common stock of Republic Services, Inc.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Lauren McKeon,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5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456" TargetMode="External"/><Relationship Id="rId14" Type="http://schemas.openxmlformats.org/officeDocument/2006/relationships/hyperlink" Target="http://www.sec.gov/cgi-bin/browse-edgar?action=getcompany&amp;CIK=00010603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2026-04-29T19:22:50Z</dcterms:created>
  <dcterms:modified xsi:type="dcterms:W3CDTF">2026-04-29T19:22:50Z</dcterms:modified>
</cp:coreProperties>
</file>