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4324525.xml.htm"/>
      <w:bookmarkStart w:id="1" w:name="kswkform4_178432452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Duffy Michael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5353 E. CITY NORTH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PHOENIX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AZ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85054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REPUBLIC SERVICES,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RSG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05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1026"/>
        <w:gridCol w:w="831"/>
        <w:gridCol w:w="846"/>
      </w:tblGrid>
      <w:tr>
        <w:trPr>
          <w:tblHeader w:val="true"/>
        </w:trPr>
        <w:tc>
          <w:tcPr>
            <w:tcW w:w="1205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10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28.79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28.79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217.34</w:t>
            </w:r>
            <w:r>
              <w:rPr/>
              <w:t xml:space="preserve"> </w:t>
            </w:r>
          </w:p>
        </w:tc>
        <w:tc>
          <w:tcPr>
            <w:tcW w:w="10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10,040.89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Based on 1 on 1 conversion.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additional Restricted Stock Units (RSUs) accrued as dividends on outstanding RSU awards that will vest and be settled to the extent the RSU is vested and settles.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A portion of the Restricted Stock Units are held under the Company's Deferred Compensation Plan.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Lauren McKeon,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19603" TargetMode="External"/><Relationship Id="rId5" Type="http://schemas.openxmlformats.org/officeDocument/2006/relationships/hyperlink" Target="http://www.sec.gov/cgi-bin/browse-edgar?action=getcompany&amp;CIK=000106039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618</Words>
  <Characters>3338</Characters>
  <CharactersWithSpaces>3893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