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5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00" w:lineRule="exact"/>
        <w:rPr>
          <w:sz w:val="24"/>
          <w:szCs w:val="24"/>
          <w:color w:val="auto"/>
        </w:rPr>
      </w:pPr>
    </w:p>
    <w:p>
      <w:pPr>
        <w:spacing w:after="0" w:line="26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28, 2026</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43"/>
          <w:szCs w:val="43"/>
          <w:b w:val="1"/>
          <w:bCs w:val="1"/>
          <w:color w:val="auto"/>
        </w:rPr>
        <w:t>Republic Services, Inc.</w:t>
      </w:r>
    </w:p>
    <w:p>
      <w:pPr>
        <w:spacing w:after="0" w:line="7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60"/>
          </w:cols>
          <w:pgMar w:left="320" w:top="988" w:right="319" w:bottom="1440" w:gutter="0" w:footer="0" w:header="0"/>
        </w:sectPr>
      </w:pPr>
    </w:p>
    <w:p>
      <w:pPr>
        <w:spacing w:after="0" w:line="107"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ind w:right="5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1-14267</w:t>
      </w:r>
    </w:p>
    <w:p>
      <w:pPr>
        <w:spacing w:after="0" w:line="40"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8"/>
          <w:szCs w:val="18"/>
          <w:b w:val="1"/>
          <w:bCs w:val="1"/>
          <w:color w:val="auto"/>
        </w:rPr>
        <w:t>65-0716904</w:t>
      </w:r>
    </w:p>
    <w:p>
      <w:pPr>
        <w:spacing w:after="0" w:line="40" w:lineRule="exact"/>
        <w:rPr>
          <w:sz w:val="24"/>
          <w:szCs w:val="24"/>
          <w:color w:val="auto"/>
        </w:rPr>
      </w:pPr>
    </w:p>
    <w:p>
      <w:pPr>
        <w:jc w:val="center"/>
        <w:ind w:right="480"/>
        <w:spacing w:after="0"/>
        <w:rPr>
          <w:sz w:val="20"/>
          <w:szCs w:val="20"/>
          <w:color w:val="auto"/>
        </w:rPr>
      </w:pPr>
      <w:r>
        <w:rPr>
          <w:rFonts w:ascii="Times New Roman" w:cs="Times New Roman" w:eastAsia="Times New Roman" w:hAnsi="Times New Roman"/>
          <w:sz w:val="17"/>
          <w:szCs w:val="17"/>
          <w:color w:val="auto"/>
        </w:rPr>
        <w:t>(IRS Employer Identification No.)</w:t>
      </w:r>
    </w:p>
    <w:p>
      <w:pPr>
        <w:spacing w:after="0" w:line="7" w:lineRule="exact"/>
        <w:rPr>
          <w:sz w:val="24"/>
          <w:szCs w:val="24"/>
          <w:color w:val="auto"/>
        </w:rPr>
      </w:pPr>
    </w:p>
    <w:p>
      <w:pPr>
        <w:sectPr>
          <w:pgSz w:w="11900" w:h="16838" w:orient="portrait"/>
          <w:cols w:equalWidth="0" w:num="3">
            <w:col w:w="3900" w:space="720"/>
            <w:col w:w="2960" w:space="720"/>
            <w:col w:w="2960"/>
          </w:cols>
          <w:pgMar w:left="320" w:top="988" w:right="319" w:bottom="1440" w:gutter="0" w:footer="0" w:header="0"/>
          <w:type w:val="continuous"/>
        </w:sectPr>
      </w:pPr>
    </w:p>
    <w:p>
      <w:pPr>
        <w:ind w:left="118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60"/>
          </w:cols>
          <w:pgMar w:left="320" w:top="988" w:right="319" w:bottom="1440" w:gutter="0" w:footer="0" w:header="0"/>
          <w:type w:val="continuous"/>
        </w:sectPr>
      </w:pPr>
    </w:p>
    <w:p>
      <w:pPr>
        <w:spacing w:after="0" w:line="194"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b w:val="1"/>
          <w:bCs w:val="1"/>
          <w:color w:val="auto"/>
        </w:rPr>
        <w:t>5353 East City North Drive</w:t>
      </w:r>
    </w:p>
    <w:p>
      <w:pPr>
        <w:spacing w:after="0" w:line="36"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b w:val="1"/>
          <w:bCs w:val="1"/>
          <w:color w:val="auto"/>
        </w:rPr>
        <w:t>Phoenix, Arizona</w:t>
      </w:r>
    </w:p>
    <w:p>
      <w:pPr>
        <w:spacing w:after="0" w:line="40"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7"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85054</w:t>
      </w:r>
    </w:p>
    <w:p>
      <w:pPr>
        <w:spacing w:after="0" w:line="40" w:lineRule="exact"/>
        <w:rPr>
          <w:sz w:val="24"/>
          <w:szCs w:val="24"/>
          <w:color w:val="auto"/>
        </w:rPr>
      </w:pPr>
    </w:p>
    <w:p>
      <w:pPr>
        <w:jc w:val="center"/>
        <w:ind w:right="23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7420" w:space="720"/>
            <w:col w:w="3120"/>
          </w:cols>
          <w:pgMar w:left="320" w:top="988" w:right="319" w:bottom="1440" w:gutter="0" w:footer="0" w:header="0"/>
          <w:type w:val="continuous"/>
        </w:sectPr>
      </w:pPr>
    </w:p>
    <w:p>
      <w:pPr>
        <w:spacing w:after="0" w:line="1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(480) 627-2700</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342" w:lineRule="exact"/>
        <w:rPr>
          <w:sz w:val="24"/>
          <w:szCs w:val="24"/>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83"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right="3000" w:firstLine="8"/>
        <w:spacing w:after="0" w:line="397"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52"/>
        </w:trPr>
        <w:tc>
          <w:tcPr>
            <w:tcW w:w="44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4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exchange on which registered</w:t>
            </w:r>
          </w:p>
        </w:tc>
      </w:tr>
      <w:tr>
        <w:trPr>
          <w:trHeight w:val="263"/>
        </w:trPr>
        <w:tc>
          <w:tcPr>
            <w:tcW w:w="4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RSG</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319" w:lineRule="exact"/>
        <w:rPr>
          <w:sz w:val="24"/>
          <w:szCs w:val="24"/>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91" w:lineRule="exact"/>
        <w:rPr>
          <w:sz w:val="24"/>
          <w:szCs w:val="24"/>
          <w:color w:val="auto"/>
        </w:rPr>
      </w:pPr>
    </w:p>
    <w:p>
      <w:pPr>
        <w:ind w:left="20" w:right="420"/>
        <w:spacing w:after="0" w:line="226"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922020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88" w:right="3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7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540" w:type="dxa"/>
            <w:vAlign w:val="bottom"/>
            <w:gridSpan w:val="3"/>
          </w:tcPr>
          <w:p>
            <w:pPr>
              <w:jc w:val="right"/>
              <w:ind w:right="4620"/>
              <w:spacing w:after="0"/>
              <w:rPr>
                <w:sz w:val="20"/>
                <w:szCs w:val="20"/>
                <w:color w:val="auto"/>
              </w:rPr>
            </w:pPr>
            <w:r>
              <w:rPr>
                <w:rFonts w:ascii="Times New Roman" w:cs="Times New Roman" w:eastAsia="Times New Roman" w:hAnsi="Times New Roman"/>
                <w:sz w:val="18"/>
                <w:szCs w:val="18"/>
                <w:b w:val="1"/>
                <w:bCs w:val="1"/>
                <w:color w:val="auto"/>
                <w:w w:val="97"/>
              </w:rPr>
              <w:t>TABLE OF CONTENTS</w:t>
            </w:r>
          </w:p>
        </w:tc>
      </w:tr>
      <w:tr>
        <w:trPr>
          <w:trHeight w:val="588"/>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2.02 Results of Operations and Financial Condition.</w:t>
            </w:r>
          </w:p>
        </w:tc>
        <w:tc>
          <w:tcPr>
            <w:tcW w:w="2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4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4380" w:type="dxa"/>
            <w:vAlign w:val="bottom"/>
            <w:gridSpan w:val="2"/>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7.01 Regulation FD Disclosure.</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3</w:t>
            </w:r>
          </w:p>
        </w:tc>
      </w:tr>
      <w:tr>
        <w:trPr>
          <w:trHeight w:val="20"/>
        </w:trPr>
        <w:tc>
          <w:tcPr>
            <w:tcW w:w="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8.01</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Events.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7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223"/>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Item 9.01</w:t>
            </w:r>
          </w:p>
        </w:tc>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and Exhibits.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4</w:t>
            </w:r>
          </w:p>
        </w:tc>
      </w:tr>
      <w:tr>
        <w:trPr>
          <w:trHeight w:val="20"/>
        </w:trPr>
        <w:tc>
          <w:tcPr>
            <w:tcW w:w="4380" w:type="dxa"/>
            <w:vAlign w:val="bottom"/>
            <w:gridSpan w:val="2"/>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479"/>
        </w:trPr>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SIGNATURES</w:t>
            </w:r>
          </w:p>
        </w:tc>
        <w:tc>
          <w:tcPr>
            <w:tcW w:w="67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0000FF"/>
              </w:rPr>
              <w:t>5</w:t>
            </w:r>
          </w:p>
        </w:tc>
      </w:tr>
      <w:tr>
        <w:trPr>
          <w:trHeight w:val="263"/>
        </w:trPr>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EX-99.1</w:t>
            </w:r>
          </w:p>
        </w:tc>
        <w:tc>
          <w:tcPr>
            <w:tcW w:w="3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4540" w:type="dxa"/>
            <w:vAlign w:val="bottom"/>
          </w:tcPr>
          <w:p>
            <w:pPr>
              <w:spacing w:after="0"/>
              <w:rPr>
                <w:sz w:val="22"/>
                <w:szCs w:val="22"/>
                <w:color w:val="auto"/>
              </w:rPr>
            </w:pPr>
          </w:p>
        </w:tc>
        <w:tc>
          <w:tcPr>
            <w:tcW w:w="80" w:type="dxa"/>
            <w:vAlign w:val="bottom"/>
            <w:tcBorders>
              <w:top w:val="single" w:sz="8" w:color="0000FF"/>
            </w:tcBorders>
          </w:tcPr>
          <w:p>
            <w:pPr>
              <w:spacing w:after="0"/>
              <w:rPr>
                <w:sz w:val="22"/>
                <w:szCs w:val="22"/>
                <w:color w:val="auto"/>
              </w:rPr>
            </w:pPr>
          </w:p>
        </w:tc>
      </w:tr>
      <w:tr>
        <w:trPr>
          <w:trHeight w:val="243"/>
        </w:trPr>
        <w:tc>
          <w:tcPr>
            <w:tcW w:w="7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EX-104</w:t>
            </w:r>
          </w:p>
        </w:tc>
        <w:tc>
          <w:tcPr>
            <w:tcW w:w="3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8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60" w:top="1202"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October 29, 2026, Republic Services, Inc. (the Company) issued a press release containing information about the Company’s financial results for the three and nine months ended September 30, 2026. A copy of this press release is furnished as Exhibit 99.1 to this Current Report on Form 8-K and is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Updated Full-Year 2026 Financial Guidance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guidance is based on current economic conditions.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full-year revenue to be in a range of $17,425 million to $17,475 million.</w:t>
      </w:r>
    </w:p>
    <w:p>
      <w:pPr>
        <w:spacing w:after="0" w:line="9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income attributable to Republic Services, Inc. is expected to be in a range of $2,210 million to $2,220 million for 2026. The Company raised its full-year adjusted Earnings Before Interest, Taxes, Depreciation, and Amortization ("adjusted EBITDA") guidance and expects it to be in a range of $5,550 million to $5,575 million. Adjusted EBITDA consists of net income, plus provision for income taxes, which is expected to be in a range of $520 million to $525 million, plus interest expense, net, which is expected to be $610 million, plus depreciation, depletion, amortization and accretion, which is expected to be in a range of $2,025 million to $2,035 million, plus loss from unconsolidated equity method investments, which is expected to be $200 million, less other income, net, which is expected to be $30 million, plus restructuring charges, which are expected to be $15 million.</w:t>
      </w:r>
    </w:p>
    <w:p>
      <w:pPr>
        <w:spacing w:after="0" w:line="13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presenting adjusted EBITDA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 of adjusted EBITDA may not be comparable to similarly titled measures presented by other companies.</w:t>
      </w:r>
    </w:p>
    <w:p>
      <w:pPr>
        <w:spacing w:after="0" w:line="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is expected to be in a range of $4,510 million to $4,570 million for the full year. The Company raised its full-year adjusted free cash flow guidance for 2026 and expects it to be in a range of $2,565 million to $2,585 million. Adjusted free cash flow consists of cash provided by operating activities, less property and equipment received, which is expected to be in a range of $1,970 million to $2,010 million, plus proceeds from the sale of property and equipment of approximately $10 million, and is exclusive of cash paid for restructuring activities of approximately $15 million, net of tax.</w:t>
      </w:r>
    </w:p>
    <w:p>
      <w:pPr>
        <w:spacing w:after="0" w:line="6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 Our definition of adjusted free cash flow may not be comparable to similarly titled measures presented by other companies.</w:t>
      </w:r>
    </w:p>
    <w:p>
      <w:pPr>
        <w:spacing w:after="0" w:line="4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For a reconciliation of adjusted EBITDA to net income attributable to Republic Services, Inc. guidance and adjusted free cash flow to cash provided by operating activities guidance, see page 13 and page 14 of the press release furnished as Exhibit 99.1 hereto.</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0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This Current Report on Form 8-K contains certain forward-looking information about the Company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the Company's plans, strategies, and expectations of future financial performance and prospects. Forward-looking statements are not guarantees of performance. These statements are based upon the current beliefs and expectations of the Company's management and are subject to risks and uncertainties that could cause actual results to differ materially from those expressed in, or implied or projected by, the forward-looking information and statements. Although the Company believes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the Company's ability to effectively integrate and manage companies it acquires, and to realize the anticipated benefits of any such acquisitions, the impact of prolonged work stoppages or other labor disruptions, the amount of the financial contribution of the Company's sustainability initiatives, acts of war, riots or terrorism, and the impact of these acts on economic, financial and social conditions in the United States, as well as the Company's dependence on large, long-term collection, transfer and disposal contracts. More</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3" w:name="page4"/>
    <w:bookmarkEnd w:id="3"/>
    <w:p>
      <w:pPr>
        <w:ind w:right="60"/>
        <w:spacing w:after="0" w:line="258" w:lineRule="auto"/>
        <w:rPr>
          <w:sz w:val="20"/>
          <w:szCs w:val="20"/>
          <w:color w:val="auto"/>
        </w:rPr>
      </w:pPr>
      <w:r>
        <w:rPr>
          <w:rFonts w:ascii="Times New Roman" w:cs="Times New Roman" w:eastAsia="Times New Roman" w:hAnsi="Times New Roman"/>
          <w:sz w:val="18"/>
          <w:szCs w:val="18"/>
          <w:color w:val="auto"/>
        </w:rPr>
        <w:t>information on factors that could cause actual results or events to differ materially from those anticipated is included from time to time in the Company's reports filed with the Securities and Exchange Commission, including its Annual Report on Form 10-K for the year ended December 31, 2025, particularly under Part I, Item 1A – Risk Factors. Additionally, new risk factors emerge from time to time and it is not possible for the Company to predict all such risk factors, or to assess the impact such risk factors might have on its business. The Company undertakes no obligation to update publicly any forward-looking statements whether as a result of new information, future events or otherwise, except as required by law.</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94"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On October 28, 2026, the Board of Directors of the Company declared a regular quarterly dividend of $0.670 per share for shareholders of record on January 4, 2027. The dividend will be paid on January 15, 2027.</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gridSpan w:val="4"/>
          </w:tcPr>
          <w:p>
            <w:pPr>
              <w:ind w:left="280"/>
              <w:spacing w:after="0"/>
              <w:rPr>
                <w:sz w:val="20"/>
                <w:szCs w:val="20"/>
                <w:color w:val="auto"/>
              </w:rPr>
            </w:pPr>
            <w:r>
              <w:rPr>
                <w:rFonts w:ascii="Times New Roman" w:cs="Times New Roman" w:eastAsia="Times New Roman" w:hAnsi="Times New Roman"/>
                <w:sz w:val="18"/>
                <w:szCs w:val="18"/>
                <w:color w:val="auto"/>
              </w:rPr>
              <w:t>(d) Exhibits</w:t>
            </w:r>
          </w:p>
        </w:tc>
        <w:tc>
          <w:tcPr>
            <w:tcW w:w="9780" w:type="dxa"/>
            <w:vAlign w:val="bottom"/>
          </w:tcPr>
          <w:p>
            <w:pPr>
              <w:spacing w:after="0"/>
              <w:rPr>
                <w:sz w:val="20"/>
                <w:szCs w:val="20"/>
                <w:color w:val="auto"/>
              </w:rPr>
            </w:pPr>
          </w:p>
        </w:tc>
      </w:tr>
      <w:tr>
        <w:trPr>
          <w:trHeight w:val="338"/>
        </w:trPr>
        <w:tc>
          <w:tcPr>
            <w:tcW w:w="146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Exhibit No.</w:t>
            </w: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196"/>
        </w:trPr>
        <w:tc>
          <w:tcPr>
            <w:tcW w:w="1340" w:type="dxa"/>
            <w:vAlign w:val="bottom"/>
            <w:tcBorders>
              <w:top w:val="single" w:sz="8" w:color="auto"/>
            </w:tcBorders>
            <w:gridSpan w:val="3"/>
          </w:tcPr>
          <w:p>
            <w:pPr>
              <w:jc w:val="right"/>
              <w:ind w:right="500"/>
              <w:spacing w:after="0" w:line="196"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120" w:type="dxa"/>
            <w:vAlign w:val="bottom"/>
          </w:tcPr>
          <w:p>
            <w:pPr>
              <w:spacing w:after="0"/>
              <w:rPr>
                <w:sz w:val="17"/>
                <w:szCs w:val="17"/>
                <w:color w:val="auto"/>
              </w:rPr>
            </w:pPr>
          </w:p>
        </w:tc>
        <w:tc>
          <w:tcPr>
            <w:tcW w:w="9780" w:type="dxa"/>
            <w:vAlign w:val="bottom"/>
            <w:tcBorders>
              <w:top w:val="single" w:sz="8" w:color="auto"/>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Press release of Republic Services, Inc. issued October 29, 2026 to announce the financial results for the three and nine months ended</w:t>
            </w:r>
          </w:p>
        </w:tc>
      </w:tr>
      <w:tr>
        <w:trPr>
          <w:trHeight w:val="214"/>
        </w:trPr>
        <w:tc>
          <w:tcPr>
            <w:tcW w:w="52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2026.</w:t>
            </w:r>
          </w:p>
        </w:tc>
      </w:tr>
    </w:tbl>
    <w:p>
      <w:pPr>
        <w:spacing w:after="0" w:line="4" w:lineRule="exact"/>
        <w:rPr>
          <w:sz w:val="20"/>
          <w:szCs w:val="20"/>
          <w:color w:val="auto"/>
        </w:rPr>
      </w:pPr>
    </w:p>
    <w:p>
      <w:pPr>
        <w:ind w:left="1480" w:hanging="939"/>
        <w:spacing w:after="0"/>
        <w:tabs>
          <w:tab w:leader="none" w:pos="14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55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7120" w:type="dxa"/>
            <w:vAlign w:val="bottom"/>
            <w:gridSpan w:val="3"/>
          </w:tcPr>
          <w:p>
            <w:pPr>
              <w:ind w:left="2220"/>
              <w:spacing w:after="0"/>
              <w:rPr>
                <w:sz w:val="20"/>
                <w:szCs w:val="20"/>
                <w:color w:val="auto"/>
              </w:rPr>
            </w:pPr>
            <w:r>
              <w:rPr>
                <w:rFonts w:ascii="Times New Roman" w:cs="Times New Roman" w:eastAsia="Times New Roman" w:hAnsi="Times New Roman"/>
                <w:sz w:val="18"/>
                <w:szCs w:val="18"/>
                <w:color w:val="auto"/>
              </w:rPr>
              <w:t>REPUBLIC SERVICES, INC.</w:t>
            </w:r>
          </w:p>
        </w:tc>
      </w:tr>
      <w:tr>
        <w:trPr>
          <w:trHeight w:val="310"/>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2026</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tcBorders>
              <w:bottom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rPr>
              <w:t>BRIAN D</w:t>
            </w:r>
            <w:r>
              <w:rPr>
                <w:rFonts w:ascii="Times New Roman" w:cs="Times New Roman" w:eastAsia="Times New Roman" w:hAnsi="Times New Roman"/>
                <w:sz w:val="14"/>
                <w:szCs w:val="14"/>
                <w:color w:val="auto"/>
              </w:rPr>
              <w:t>EL</w:t>
            </w:r>
            <w:r>
              <w:rPr>
                <w:rFonts w:ascii="Times New Roman" w:cs="Times New Roman" w:eastAsia="Times New Roman" w:hAnsi="Times New Roman"/>
                <w:sz w:val="18"/>
                <w:szCs w:val="18"/>
                <w:color w:val="auto"/>
              </w:rPr>
              <w:t>GHIACCIO</w:t>
            </w:r>
          </w:p>
        </w:tc>
      </w:tr>
      <w:tr>
        <w:trPr>
          <w:trHeight w:val="237"/>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jc w:val="center"/>
              <w:ind w:right="1350"/>
              <w:spacing w:after="0"/>
              <w:rPr>
                <w:sz w:val="20"/>
                <w:szCs w:val="20"/>
                <w:color w:val="auto"/>
              </w:rPr>
            </w:pPr>
            <w:r>
              <w:rPr>
                <w:rFonts w:ascii="Times New Roman" w:cs="Times New Roman" w:eastAsia="Times New Roman" w:hAnsi="Times New Roman"/>
                <w:sz w:val="18"/>
                <w:szCs w:val="18"/>
                <w:b w:val="1"/>
                <w:bCs w:val="1"/>
                <w:color w:val="auto"/>
              </w:rPr>
              <w:t>Brian D</w:t>
            </w:r>
            <w:r>
              <w:rPr>
                <w:rFonts w:ascii="Times New Roman" w:cs="Times New Roman" w:eastAsia="Times New Roman" w:hAnsi="Times New Roman"/>
                <w:sz w:val="16"/>
                <w:szCs w:val="16"/>
                <w:b w:val="1"/>
                <w:bCs w:val="1"/>
                <w:color w:val="auto"/>
              </w:rPr>
              <w:t>el</w:t>
            </w:r>
            <w:r>
              <w:rPr>
                <w:rFonts w:ascii="Times New Roman" w:cs="Times New Roman" w:eastAsia="Times New Roman" w:hAnsi="Times New Roman"/>
                <w:sz w:val="18"/>
                <w:szCs w:val="18"/>
                <w:b w:val="1"/>
                <w:bCs w:val="1"/>
                <w:color w:val="auto"/>
              </w:rPr>
              <w:t>Ghiaccio</w:t>
            </w:r>
          </w:p>
        </w:tc>
      </w:tr>
      <w:tr>
        <w:trPr>
          <w:trHeight w:val="189"/>
        </w:trPr>
        <w:tc>
          <w:tcPr>
            <w:tcW w:w="5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4460" w:type="dxa"/>
            <w:vAlign w:val="bottom"/>
            <w:gridSpan w:val="2"/>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Executive Vice President,</w:t>
            </w:r>
          </w:p>
        </w:tc>
      </w:tr>
      <w:tr>
        <w:trPr>
          <w:trHeight w:val="175"/>
        </w:trPr>
        <w:tc>
          <w:tcPr>
            <w:tcW w:w="5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44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238"/>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4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Financial Officer)</w:t>
            </w:r>
          </w:p>
        </w:tc>
      </w:tr>
      <w:tr>
        <w:trPr>
          <w:trHeight w:val="30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October 29, 2026</w:t>
            </w:r>
          </w:p>
        </w:tc>
        <w:tc>
          <w:tcPr>
            <w:tcW w:w="266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By:</w:t>
            </w:r>
          </w:p>
        </w:tc>
        <w:tc>
          <w:tcPr>
            <w:tcW w:w="144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rPr>
              <w:t>/s/</w:t>
            </w:r>
          </w:p>
        </w:tc>
        <w:tc>
          <w:tcPr>
            <w:tcW w:w="3020" w:type="dxa"/>
            <w:vAlign w:val="bottom"/>
            <w:tcBorders>
              <w:bottom w:val="single" w:sz="8" w:color="auto"/>
            </w:tcBorders>
          </w:tcPr>
          <w:p>
            <w:pPr>
              <w:jc w:val="center"/>
              <w:ind w:right="1010"/>
              <w:spacing w:after="0"/>
              <w:rPr>
                <w:sz w:val="20"/>
                <w:szCs w:val="20"/>
                <w:color w:val="auto"/>
              </w:rPr>
            </w:pPr>
            <w:r>
              <w:rPr>
                <w:rFonts w:ascii="Times New Roman" w:cs="Times New Roman" w:eastAsia="Times New Roman" w:hAnsi="Times New Roman"/>
                <w:sz w:val="18"/>
                <w:szCs w:val="18"/>
                <w:color w:val="auto"/>
                <w:w w:val="97"/>
              </w:rPr>
              <w:t>ELYSE M. CARLSEN</w:t>
            </w:r>
          </w:p>
        </w:tc>
      </w:tr>
      <w:tr>
        <w:trPr>
          <w:trHeight w:val="237"/>
        </w:trPr>
        <w:tc>
          <w:tcPr>
            <w:tcW w:w="50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20" w:type="dxa"/>
            <w:vAlign w:val="bottom"/>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Elyse M. Carlsen</w:t>
            </w:r>
          </w:p>
        </w:tc>
      </w:tr>
    </w:tbl>
    <w:p>
      <w:pPr>
        <w:jc w:val="center"/>
        <w:ind w:left="6660"/>
        <w:spacing w:after="0" w:line="236" w:lineRule="auto"/>
        <w:rPr>
          <w:sz w:val="20"/>
          <w:szCs w:val="20"/>
          <w:color w:val="auto"/>
        </w:rPr>
      </w:pPr>
      <w:r>
        <w:rPr>
          <w:rFonts w:ascii="Times New Roman" w:cs="Times New Roman" w:eastAsia="Times New Roman" w:hAnsi="Times New Roman"/>
          <w:sz w:val="18"/>
          <w:szCs w:val="18"/>
          <w:b w:val="1"/>
          <w:bCs w:val="1"/>
          <w:color w:val="auto"/>
        </w:rPr>
        <w:t>Vice President and</w:t>
      </w:r>
    </w:p>
    <w:p>
      <w:pPr>
        <w:jc w:val="center"/>
        <w:ind w:left="6660"/>
        <w:spacing w:after="0" w:line="204" w:lineRule="auto"/>
        <w:rPr>
          <w:sz w:val="20"/>
          <w:szCs w:val="20"/>
          <w:color w:val="auto"/>
        </w:rPr>
      </w:pPr>
      <w:r>
        <w:rPr>
          <w:rFonts w:ascii="Times New Roman" w:cs="Times New Roman" w:eastAsia="Times New Roman" w:hAnsi="Times New Roman"/>
          <w:sz w:val="18"/>
          <w:szCs w:val="18"/>
          <w:b w:val="1"/>
          <w:bCs w:val="1"/>
          <w:color w:val="auto"/>
        </w:rPr>
        <w:t>Chief Accounting Officer</w:t>
      </w:r>
    </w:p>
    <w:p>
      <w:pPr>
        <w:jc w:val="center"/>
        <w:ind w:left="6660"/>
        <w:spacing w:after="0"/>
        <w:rPr>
          <w:sz w:val="20"/>
          <w:szCs w:val="20"/>
          <w:color w:val="auto"/>
        </w:rPr>
      </w:pPr>
      <w:r>
        <w:rPr>
          <w:rFonts w:ascii="Times New Roman" w:cs="Times New Roman" w:eastAsia="Times New Roman" w:hAnsi="Times New Roman"/>
          <w:sz w:val="18"/>
          <w:szCs w:val="18"/>
          <w:b w:val="1"/>
          <w:b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00"/>
          </w:cols>
          <w:pgMar w:left="320" w:top="1211"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19685</wp:posOffset>
            </wp:positionV>
            <wp:extent cx="1200150" cy="1200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00150" cy="1200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Republic Services, Inc. Reports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Third Quarter 2026 Results</w:t>
      </w:r>
    </w:p>
    <w:p>
      <w:pPr>
        <w:spacing w:after="0" w:line="290" w:lineRule="exact"/>
        <w:rPr>
          <w:sz w:val="20"/>
          <w:szCs w:val="20"/>
          <w:color w:val="auto"/>
        </w:rPr>
      </w:pPr>
    </w:p>
    <w:p>
      <w:pPr>
        <w:ind w:left="2720" w:right="2100" w:hanging="381"/>
        <w:spacing w:after="0" w:line="269" w:lineRule="auto"/>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Reported Earnings Per Share of $1.93 and Adjusted Earnings Per Share of $1.94</w:t>
      </w:r>
    </w:p>
    <w:p>
      <w:pPr>
        <w:spacing w:after="0" w:line="13" w:lineRule="exact"/>
        <w:rPr>
          <w:rFonts w:ascii="Times New Roman" w:cs="Times New Roman" w:eastAsia="Times New Roman" w:hAnsi="Times New Roman"/>
          <w:sz w:val="22"/>
          <w:szCs w:val="22"/>
          <w:color w:val="auto"/>
          <w:vertAlign w:val="superscript"/>
        </w:rPr>
      </w:pPr>
    </w:p>
    <w:p>
      <w:pPr>
        <w:ind w:left="2720" w:right="2220" w:hanging="381"/>
        <w:spacing w:after="0" w:line="269" w:lineRule="auto"/>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Generated Year-to-Date Cash Flow from Operations of $3.52 Billion and Adjusted Free Cash Flow of $2.28 Billion</w:t>
      </w:r>
    </w:p>
    <w:p>
      <w:pPr>
        <w:spacing w:after="0" w:line="13" w:lineRule="exact"/>
        <w:rPr>
          <w:rFonts w:ascii="Times New Roman" w:cs="Times New Roman" w:eastAsia="Times New Roman" w:hAnsi="Times New Roman"/>
          <w:sz w:val="22"/>
          <w:szCs w:val="22"/>
          <w:color w:val="auto"/>
          <w:vertAlign w:val="superscript"/>
        </w:rPr>
      </w:pPr>
    </w:p>
    <w:p>
      <w:pPr>
        <w:ind w:left="2720" w:right="1860" w:hanging="381"/>
        <w:spacing w:after="0" w:line="269" w:lineRule="auto"/>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Invested Approximately $1.1 Billion in Value-Creating Acquisitions Year-to-Date</w:t>
      </w:r>
    </w:p>
    <w:p>
      <w:pPr>
        <w:spacing w:after="0" w:line="13" w:lineRule="exact"/>
        <w:rPr>
          <w:rFonts w:ascii="Times New Roman" w:cs="Times New Roman" w:eastAsia="Times New Roman" w:hAnsi="Times New Roman"/>
          <w:sz w:val="22"/>
          <w:szCs w:val="22"/>
          <w:color w:val="auto"/>
          <w:vertAlign w:val="superscript"/>
        </w:rPr>
      </w:pPr>
    </w:p>
    <w:p>
      <w:pPr>
        <w:ind w:left="2720" w:hanging="381"/>
        <w:spacing w:after="0"/>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Updated Full-Year Financial Guidance</w:t>
      </w:r>
    </w:p>
    <w:p>
      <w:pPr>
        <w:spacing w:after="0" w:line="71" w:lineRule="exact"/>
        <w:rPr>
          <w:rFonts w:ascii="Times New Roman" w:cs="Times New Roman" w:eastAsia="Times New Roman" w:hAnsi="Times New Roman"/>
          <w:sz w:val="22"/>
          <w:szCs w:val="22"/>
          <w:color w:val="auto"/>
          <w:vertAlign w:val="superscript"/>
        </w:rPr>
      </w:pPr>
    </w:p>
    <w:p>
      <w:pPr>
        <w:ind w:left="2720" w:hanging="381"/>
        <w:spacing w:after="0"/>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Board Authorized $5 Billion for Share Repurchases</w:t>
      </w:r>
    </w:p>
    <w:p>
      <w:pPr>
        <w:spacing w:after="0" w:line="65" w:lineRule="exact"/>
        <w:rPr>
          <w:rFonts w:ascii="Times New Roman" w:cs="Times New Roman" w:eastAsia="Times New Roman" w:hAnsi="Times New Roman"/>
          <w:sz w:val="22"/>
          <w:szCs w:val="22"/>
          <w:color w:val="auto"/>
          <w:vertAlign w:val="superscript"/>
        </w:rPr>
      </w:pPr>
    </w:p>
    <w:p>
      <w:pPr>
        <w:ind w:left="2720" w:hanging="381"/>
        <w:spacing w:after="0"/>
        <w:tabs>
          <w:tab w:leader="none" w:pos="272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22"/>
          <w:szCs w:val="22"/>
          <w:color w:val="auto"/>
        </w:rPr>
        <w:t>Great Place to Work Certification for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Consecutive Year</w:t>
      </w:r>
    </w:p>
    <w:p>
      <w:pPr>
        <w:spacing w:after="0" w:line="368" w:lineRule="exact"/>
        <w:rPr>
          <w:sz w:val="20"/>
          <w:szCs w:val="20"/>
          <w:color w:val="auto"/>
        </w:rPr>
      </w:pPr>
    </w:p>
    <w:p>
      <w:pPr>
        <w:ind w:right="20"/>
        <w:spacing w:after="0" w:line="363" w:lineRule="auto"/>
        <w:rPr>
          <w:sz w:val="20"/>
          <w:szCs w:val="20"/>
          <w:color w:val="auto"/>
        </w:rPr>
      </w:pPr>
      <w:r>
        <w:rPr>
          <w:rFonts w:ascii="Times New Roman" w:cs="Times New Roman" w:eastAsia="Times New Roman" w:hAnsi="Times New Roman"/>
          <w:sz w:val="22"/>
          <w:szCs w:val="22"/>
          <w:b w:val="1"/>
          <w:bCs w:val="1"/>
          <w:color w:val="auto"/>
        </w:rPr>
        <w:t xml:space="preserve">PHOENIX (October 29, 2026) </w:t>
      </w:r>
      <w:r>
        <w:rPr>
          <w:rFonts w:ascii="Times New Roman" w:cs="Times New Roman" w:eastAsia="Times New Roman" w:hAnsi="Times New Roman"/>
          <w:sz w:val="19"/>
          <w:szCs w:val="19"/>
          <w:color w:val="auto"/>
        </w:rPr>
        <w: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Republic Services, Inc. (NYSE: RSG) today reported net income of $592 million, or $1.93 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diluted share, for the three months ended September 30, 2026, versus $550 million, or $1.76 per diluted share, for the comparable 2025 period. Excluding certain expenses and other items, on an adjusted basis, net income for the three months ended September 30, 2026, was $595 million, or $1.94 per diluted share, versus $594 million, or $1.90 per diluted share, for the comparable 2025 period.</w:t>
      </w:r>
    </w:p>
    <w:p>
      <w:pPr>
        <w:spacing w:after="0" w:line="291" w:lineRule="exact"/>
        <w:rPr>
          <w:sz w:val="20"/>
          <w:szCs w:val="20"/>
          <w:color w:val="auto"/>
        </w:rPr>
      </w:pPr>
    </w:p>
    <w:p>
      <w:pPr>
        <w:ind w:right="160"/>
        <w:spacing w:after="0" w:line="365" w:lineRule="auto"/>
        <w:rPr>
          <w:sz w:val="20"/>
          <w:szCs w:val="20"/>
          <w:color w:val="auto"/>
        </w:rPr>
      </w:pPr>
      <w:r>
        <w:rPr>
          <w:rFonts w:ascii="Times New Roman" w:cs="Times New Roman" w:eastAsia="Times New Roman" w:hAnsi="Times New Roman"/>
          <w:sz w:val="22"/>
          <w:szCs w:val="22"/>
          <w:color w:val="auto"/>
        </w:rPr>
        <w:t>“We delivered strong third quarter results that underscored the resilience of our business model and the effectiveness of our strategy," said Jon Vander Ark, president and chief executive officer. "Positive growth trends across the business and improved performance in Environmental Solutions reinforce our confidence in the opportunities ahead. We remain focused on disciplined pricing, effective cost management and strategic investments that are designed to strengthen our competitive position and create long-term value for our customers and shareholders.”</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8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i w:val="1"/>
          <w:iCs w:val="1"/>
          <w:u w:val="single" w:color="auto"/>
          <w:color w:val="auto"/>
        </w:rPr>
        <w:t>Third-Quarter and Year-to-Date 2026 Highlights</w:t>
      </w:r>
      <w:r>
        <w:rPr>
          <w:rFonts w:ascii="Times New Roman" w:cs="Times New Roman" w:eastAsia="Times New Roman" w:hAnsi="Times New Roman"/>
          <w:sz w:val="22"/>
          <w:szCs w:val="22"/>
          <w:i w:val="1"/>
          <w:iCs w:val="1"/>
          <w:color w:val="auto"/>
        </w:rPr>
        <w:t>:</w:t>
      </w:r>
    </w:p>
    <w:p>
      <w:pPr>
        <w:spacing w:after="0" w:line="318" w:lineRule="exact"/>
        <w:rPr>
          <w:sz w:val="20"/>
          <w:szCs w:val="20"/>
          <w:color w:val="auto"/>
        </w:rPr>
      </w:pPr>
    </w:p>
    <w:p>
      <w:pPr>
        <w:ind w:left="660" w:right="58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Total revenue growth of 8.2 percent includes 4.8 percent organic growth from our recycling and waste business, 2.1 percent growth from our environmental solutions business, and 1.3 percent growth from acquisitions.</w:t>
      </w:r>
    </w:p>
    <w:p>
      <w:pPr>
        <w:spacing w:after="0" w:line="184" w:lineRule="exact"/>
        <w:rPr>
          <w:rFonts w:ascii="Times New Roman" w:cs="Times New Roman" w:eastAsia="Times New Roman" w:hAnsi="Times New Roman"/>
          <w:sz w:val="22"/>
          <w:szCs w:val="22"/>
          <w:color w:val="auto"/>
        </w:rPr>
      </w:pPr>
    </w:p>
    <w:p>
      <w:pPr>
        <w:ind w:left="660" w:hanging="328"/>
        <w:spacing w:after="0" w:line="295" w:lineRule="auto"/>
        <w:tabs>
          <w:tab w:leader="none" w:pos="65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Core price on total revenue increased revenue by 5.3 percent. Core price on related business revenue increased revenue by 6.3 percent, which consisted of 7.6 percent in the open market and 4.1 percent in the restricted portion of the business.</w:t>
      </w:r>
    </w:p>
    <w:p>
      <w:pPr>
        <w:spacing w:after="0" w:line="175" w:lineRule="exact"/>
        <w:rPr>
          <w:rFonts w:ascii="Times New Roman" w:cs="Times New Roman" w:eastAsia="Times New Roman" w:hAnsi="Times New Roman"/>
          <w:sz w:val="21"/>
          <w:szCs w:val="21"/>
          <w:color w:val="auto"/>
        </w:rPr>
      </w:pPr>
    </w:p>
    <w:p>
      <w:pPr>
        <w:ind w:left="660" w:right="160" w:hanging="328"/>
        <w:spacing w:after="0" w:line="257"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Revenue growth from average yield on total revenue was 2.9 percent, and volume decreased revenue by 0.6 percent. Revenue growth from average yield on related business revenue was 3.5 percent, and volume decreased related business revenue by 0.7 percent.</w:t>
      </w:r>
    </w:p>
    <w:p>
      <w:pPr>
        <w:spacing w:after="0" w:line="19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i w:val="1"/>
          <w:iCs w:val="1"/>
          <w:color w:val="auto"/>
        </w:rPr>
      </w:pPr>
      <w:r>
        <w:rPr>
          <w:rFonts w:ascii="Times New Roman" w:cs="Times New Roman" w:eastAsia="Times New Roman" w:hAnsi="Times New Roman"/>
          <w:sz w:val="22"/>
          <w:szCs w:val="22"/>
          <w:color w:val="auto"/>
        </w:rPr>
        <w:t>Net income was $592 million, or a margin of 13.0 percent.</w:t>
      </w:r>
    </w:p>
    <w:p>
      <w:pPr>
        <w:spacing w:after="0" w:line="246" w:lineRule="exact"/>
        <w:rPr>
          <w:rFonts w:ascii="Times New Roman" w:cs="Times New Roman" w:eastAsia="Times New Roman" w:hAnsi="Times New Roman"/>
          <w:sz w:val="22"/>
          <w:szCs w:val="22"/>
          <w:i w:val="1"/>
          <w:iCs w:val="1"/>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EPS was $1.93 per share, an increase of 9.7 percent over the prior year.</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EPS, a non-GAAP measure, was $1.94 per share, an increase of 2.1 percent over the prior year.</w:t>
      </w:r>
    </w:p>
    <w:p>
      <w:pPr>
        <w:spacing w:after="0" w:line="246" w:lineRule="exact"/>
        <w:rPr>
          <w:rFonts w:ascii="Times New Roman" w:cs="Times New Roman" w:eastAsia="Times New Roman" w:hAnsi="Times New Roman"/>
          <w:sz w:val="22"/>
          <w:szCs w:val="22"/>
          <w:color w:val="auto"/>
        </w:rPr>
      </w:pPr>
    </w:p>
    <w:p>
      <w:pPr>
        <w:ind w:left="660" w:right="4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Adjusted EBITDA, a non-GAAP measure, was $1.45 billion. Adjusted EBITDA margin, a non-GAAP measure, was 31.8 percent of revenue.</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Year-to-date cash invested in acquisitions was $1.12 billion.</w:t>
      </w:r>
    </w:p>
    <w:p>
      <w:pPr>
        <w:spacing w:after="0" w:line="246" w:lineRule="exact"/>
        <w:rPr>
          <w:rFonts w:ascii="Times New Roman" w:cs="Times New Roman" w:eastAsia="Times New Roman" w:hAnsi="Times New Roman"/>
          <w:sz w:val="22"/>
          <w:szCs w:val="22"/>
          <w:color w:val="auto"/>
        </w:rPr>
      </w:pPr>
    </w:p>
    <w:p>
      <w:pPr>
        <w:ind w:left="660" w:right="10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Year-to-date cash returned to shareholders was $1.43 billion, which included $848 million of share repurchases and $577 million of dividends paid.</w:t>
      </w:r>
    </w:p>
    <w:p>
      <w:pPr>
        <w:spacing w:after="0" w:line="198" w:lineRule="exact"/>
        <w:rPr>
          <w:rFonts w:ascii="Times New Roman" w:cs="Times New Roman" w:eastAsia="Times New Roman" w:hAnsi="Times New Roman"/>
          <w:sz w:val="22"/>
          <w:szCs w:val="22"/>
          <w:color w:val="auto"/>
        </w:rPr>
      </w:pPr>
    </w:p>
    <w:p>
      <w:pPr>
        <w:ind w:left="660" w:right="120" w:hanging="328"/>
        <w:spacing w:after="0" w:line="271" w:lineRule="auto"/>
        <w:tabs>
          <w:tab w:leader="none" w:pos="65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average recycled commodity price per ton sold at its recycling centers during the third quarter was $142. This represents an increase of $16 per ton over the prior year.</w:t>
      </w:r>
    </w:p>
    <w:p>
      <w:pPr>
        <w:spacing w:after="0" w:line="1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Republic was recognized by several leading organizations during the quarter, including:</w:t>
      </w:r>
    </w:p>
    <w:p>
      <w:pPr>
        <w:spacing w:after="0" w:line="14" w:lineRule="exact"/>
        <w:rPr>
          <w:rFonts w:ascii="Times New Roman" w:cs="Times New Roman" w:eastAsia="Times New Roman" w:hAnsi="Times New Roman"/>
          <w:sz w:val="22"/>
          <w:szCs w:val="22"/>
          <w:color w:val="auto"/>
        </w:rPr>
      </w:pPr>
    </w:p>
    <w:p>
      <w:pPr>
        <w:ind w:left="1300" w:hanging="320"/>
        <w:spacing w:after="0" w:line="181" w:lineRule="auto"/>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Great Place to Work certification for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consecutive year</w:t>
      </w:r>
    </w:p>
    <w:p>
      <w:pPr>
        <w:ind w:left="1300" w:hanging="320"/>
        <w:spacing w:after="0"/>
        <w:tabs>
          <w:tab w:leader="none" w:pos="1300"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3BL's 2026 100 Best Corporate Citizens list</w:t>
      </w: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20"/>
          </w:cols>
          <w:pgMar w:left="320" w:top="945" w:right="35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Updated Full-Year 2026 Financial Guidance</w:t>
      </w:r>
    </w:p>
    <w:p>
      <w:pPr>
        <w:spacing w:after="0" w:line="129" w:lineRule="exact"/>
        <w:rPr>
          <w:sz w:val="20"/>
          <w:szCs w:val="20"/>
          <w:color w:val="auto"/>
        </w:rPr>
      </w:pPr>
    </w:p>
    <w:p>
      <w:pPr>
        <w:ind w:right="40"/>
        <w:spacing w:after="0" w:line="363" w:lineRule="auto"/>
        <w:rPr>
          <w:sz w:val="20"/>
          <w:szCs w:val="20"/>
          <w:color w:val="auto"/>
        </w:rPr>
      </w:pPr>
      <w:r>
        <w:rPr>
          <w:rFonts w:ascii="Times New Roman" w:cs="Times New Roman" w:eastAsia="Times New Roman" w:hAnsi="Times New Roman"/>
          <w:sz w:val="22"/>
          <w:szCs w:val="22"/>
          <w:color w:val="auto"/>
        </w:rPr>
        <w:t>Republic's financial guidance is based on current economic conditions and does not assume any significant changes in the overall economy for the remainder of 2026. Please refer to the Reconciliation of Full-Year 2026 Financial Guidance section of this document for detail relating to the computation of non-GAAP measures as well as the Information Regarding Forward-Looking Statements section of this document.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updated its revenue, adjusted EBITDA, and adjusted free cash flow financial guidance as follows:</w:t>
      </w:r>
    </w:p>
    <w:p>
      <w:pPr>
        <w:spacing w:after="0" w:line="243"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Revenue: </w:t>
      </w:r>
      <w:r>
        <w:rPr>
          <w:rFonts w:ascii="Times New Roman" w:cs="Times New Roman" w:eastAsia="Times New Roman" w:hAnsi="Times New Roman"/>
          <w:sz w:val="22"/>
          <w:szCs w:val="22"/>
          <w:color w:val="auto"/>
        </w:rPr>
        <w:t>Increased most recent guidance to a range of $17.425 billion to $17.475 billion</w:t>
      </w:r>
    </w:p>
    <w:p>
      <w:pPr>
        <w:spacing w:after="0" w:line="260"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Adjusted EBITDA: </w:t>
      </w:r>
      <w:r>
        <w:rPr>
          <w:rFonts w:ascii="Times New Roman" w:cs="Times New Roman" w:eastAsia="Times New Roman" w:hAnsi="Times New Roman"/>
          <w:sz w:val="22"/>
          <w:szCs w:val="22"/>
          <w:color w:val="auto"/>
        </w:rPr>
        <w:t>Increased most recent guidance to a range of $5.550 billion to $5.575 billion</w:t>
      </w:r>
    </w:p>
    <w:p>
      <w:pPr>
        <w:spacing w:after="0" w:line="246" w:lineRule="exact"/>
        <w:rPr>
          <w:rFonts w:ascii="Times New Roman" w:cs="Times New Roman" w:eastAsia="Times New Roman" w:hAnsi="Times New Roman"/>
          <w:sz w:val="22"/>
          <w:szCs w:val="22"/>
          <w:b w:val="1"/>
          <w:b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Adjusted Free Cash Flow: </w:t>
      </w:r>
      <w:r>
        <w:rPr>
          <w:rFonts w:ascii="Times New Roman" w:cs="Times New Roman" w:eastAsia="Times New Roman" w:hAnsi="Times New Roman"/>
          <w:sz w:val="22"/>
          <w:szCs w:val="22"/>
          <w:color w:val="auto"/>
        </w:rPr>
        <w:t>Increased most recent guidance to a range of $2.565 billion to $2.585 billion</w:t>
      </w:r>
    </w:p>
    <w:p>
      <w:pPr>
        <w:spacing w:after="0" w:line="300" w:lineRule="exact"/>
        <w:rPr>
          <w:rFonts w:ascii="Times New Roman" w:cs="Times New Roman" w:eastAsia="Times New Roman" w:hAnsi="Times New Roman"/>
          <w:sz w:val="22"/>
          <w:szCs w:val="22"/>
          <w:color w:val="auto"/>
        </w:rPr>
      </w:pPr>
    </w:p>
    <w:p>
      <w:pPr>
        <w:ind w:left="32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Board Authorized $5 Billion for Share Repurchases</w:t>
      </w:r>
    </w:p>
    <w:p>
      <w:pPr>
        <w:spacing w:after="0" w:line="372" w:lineRule="exact"/>
        <w:rPr>
          <w:sz w:val="20"/>
          <w:szCs w:val="20"/>
          <w:color w:val="auto"/>
        </w:rPr>
      </w:pPr>
    </w:p>
    <w:p>
      <w:pPr>
        <w:ind w:right="120"/>
        <w:spacing w:after="0" w:line="366" w:lineRule="auto"/>
        <w:rPr>
          <w:sz w:val="20"/>
          <w:szCs w:val="20"/>
          <w:color w:val="auto"/>
        </w:rPr>
      </w:pPr>
      <w:r>
        <w:rPr>
          <w:rFonts w:ascii="Times New Roman" w:cs="Times New Roman" w:eastAsia="Times New Roman" w:hAnsi="Times New Roman"/>
          <w:sz w:val="22"/>
          <w:szCs w:val="22"/>
          <w:color w:val="auto"/>
        </w:rPr>
        <w:t>On October 28, 2026, the Board of Directors approved a $5 billion share repurchase authorization effective January 1, 2027, and extending through December 31, 2029. As of September 30, 2026, the remaining purchase capacity under the prior repurchase authorization was $0.8 billion, which continues through December 31, 2026.</w:t>
      </w: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Company Declared Quarterly Dividend</w:t>
      </w:r>
    </w:p>
    <w:p>
      <w:pPr>
        <w:spacing w:after="0" w:line="372" w:lineRule="exact"/>
        <w:rPr>
          <w:sz w:val="20"/>
          <w:szCs w:val="20"/>
          <w:color w:val="auto"/>
        </w:rPr>
      </w:pPr>
    </w:p>
    <w:p>
      <w:pPr>
        <w:ind w:right="100"/>
        <w:spacing w:after="0" w:line="386" w:lineRule="auto"/>
        <w:rPr>
          <w:sz w:val="20"/>
          <w:szCs w:val="20"/>
          <w:color w:val="auto"/>
        </w:rPr>
      </w:pPr>
      <w:r>
        <w:rPr>
          <w:rFonts w:ascii="Times New Roman" w:cs="Times New Roman" w:eastAsia="Times New Roman" w:hAnsi="Times New Roman"/>
          <w:sz w:val="22"/>
          <w:szCs w:val="22"/>
          <w:color w:val="auto"/>
        </w:rPr>
        <w:t>On October 28, 2026, the Board of Directors declared a regular quarterly dividend of $0.670 per share for shareholders of record on January 4, 2027. The dividend will be paid on January 15, 2027.</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Presentation of Certain Performance Metrics and Non-GAAP Measures</w:t>
      </w:r>
    </w:p>
    <w:p>
      <w:pPr>
        <w:spacing w:after="0" w:line="372" w:lineRule="exact"/>
        <w:rPr>
          <w:sz w:val="20"/>
          <w:szCs w:val="20"/>
          <w:color w:val="auto"/>
        </w:rPr>
      </w:pPr>
    </w:p>
    <w:p>
      <w:pPr>
        <w:spacing w:after="0" w:line="363" w:lineRule="auto"/>
        <w:rPr>
          <w:sz w:val="20"/>
          <w:szCs w:val="20"/>
          <w:color w:val="auto"/>
        </w:rPr>
      </w:pPr>
      <w:r>
        <w:rPr>
          <w:rFonts w:ascii="Times New Roman" w:cs="Times New Roman" w:eastAsia="Times New Roman" w:hAnsi="Times New Roman"/>
          <w:sz w:val="22"/>
          <w:szCs w:val="22"/>
          <w:color w:val="auto"/>
        </w:rPr>
        <w:t>Adjusted diluted earnings per share, adjusted net income - Republic, adjusted pre-tax income, adjusted tax impact, EBITDA, EBITDA margin, adjusted EBITDA, adjusted EBITDA margin, adjusted EBITDA by business type, adjusted EBITDA margin by business type and adjusted free cash flow are described in the Performance Metrics and Reconciliations of Certain Non-GAAP Measures section of this document.</w:t>
      </w: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945" w:right="33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About Republic Services</w:t>
      </w:r>
    </w:p>
    <w:p>
      <w:pPr>
        <w:spacing w:after="0" w:line="372" w:lineRule="exact"/>
        <w:rPr>
          <w:sz w:val="20"/>
          <w:szCs w:val="20"/>
          <w:color w:val="auto"/>
        </w:rPr>
      </w:pPr>
    </w:p>
    <w:p>
      <w:pPr>
        <w:spacing w:after="0" w:line="362" w:lineRule="auto"/>
        <w:rPr>
          <w:sz w:val="20"/>
          <w:szCs w:val="20"/>
          <w:color w:val="auto"/>
        </w:rPr>
      </w:pPr>
      <w:r>
        <w:rPr>
          <w:rFonts w:ascii="Times New Roman" w:cs="Times New Roman" w:eastAsia="Times New Roman" w:hAnsi="Times New Roman"/>
          <w:sz w:val="22"/>
          <w:szCs w:val="22"/>
          <w:color w:val="auto"/>
        </w:rPr>
        <w:t xml:space="preserve">Republic Services, Inc. is a leader in the environmental services industry. Through its subsidiaries, the Company provides customers with the most complete set of products and services, including recycling, solid waste, special waste, hazardous waste and field services. Republic’s industry-leading commitments to advance circularity and support decarbonization are helping deliver on its vision to partner with customers to create a more sustainable world. For more information, please visit </w:t>
      </w:r>
      <w:r>
        <w:rPr>
          <w:rFonts w:ascii="Times New Roman" w:cs="Times New Roman" w:eastAsia="Times New Roman" w:hAnsi="Times New Roman"/>
          <w:sz w:val="22"/>
          <w:szCs w:val="22"/>
          <w:u w:val="single" w:color="auto"/>
          <w:color w:val="3051F2"/>
        </w:rPr>
        <w:t>RepublicServices.com</w:t>
      </w:r>
      <w:r>
        <w:rPr>
          <w:rFonts w:ascii="Times New Roman" w:cs="Times New Roman" w:eastAsia="Times New Roman" w:hAnsi="Times New Roman"/>
          <w:sz w:val="22"/>
          <w:szCs w:val="22"/>
          <w:color w:val="000000"/>
        </w:rPr>
        <w:t>.</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86"/>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For more information, contact:</w:t>
            </w:r>
          </w:p>
        </w:tc>
        <w:tc>
          <w:tcPr>
            <w:tcW w:w="13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83"/>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Media Inquiries</w:t>
            </w:r>
          </w:p>
        </w:tc>
        <w:tc>
          <w:tcPr>
            <w:tcW w:w="134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Investor Inquiries</w:t>
            </w:r>
          </w:p>
        </w:tc>
      </w:tr>
      <w:tr>
        <w:trPr>
          <w:trHeight w:val="283"/>
        </w:trPr>
        <w:tc>
          <w:tcPr>
            <w:tcW w:w="42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Roman Blahoski (480) 718-0328</w:t>
            </w:r>
          </w:p>
        </w:tc>
        <w:tc>
          <w:tcPr>
            <w:tcW w:w="1340" w:type="dxa"/>
            <w:vAlign w:val="bottom"/>
          </w:tcPr>
          <w:p>
            <w:pPr>
              <w:spacing w:after="0"/>
              <w:rPr>
                <w:sz w:val="24"/>
                <w:szCs w:val="24"/>
                <w:color w:val="auto"/>
              </w:rPr>
            </w:pPr>
          </w:p>
        </w:tc>
        <w:tc>
          <w:tcPr>
            <w:tcW w:w="2840" w:type="dxa"/>
            <w:vAlign w:val="bottom"/>
          </w:tcPr>
          <w:p>
            <w:pPr>
              <w:spacing w:after="0"/>
              <w:rPr>
                <w:sz w:val="20"/>
                <w:szCs w:val="20"/>
                <w:color w:val="auto"/>
              </w:rPr>
            </w:pPr>
            <w:r>
              <w:rPr>
                <w:rFonts w:ascii="Times New Roman" w:cs="Times New Roman" w:eastAsia="Times New Roman" w:hAnsi="Times New Roman"/>
                <w:sz w:val="22"/>
                <w:szCs w:val="22"/>
                <w:color w:val="auto"/>
              </w:rPr>
              <w:t>John Weeks (480) 718-0309</w:t>
            </w:r>
          </w:p>
        </w:tc>
      </w:tr>
      <w:tr>
        <w:trPr>
          <w:trHeight w:val="231"/>
        </w:trPr>
        <w:tc>
          <w:tcPr>
            <w:tcW w:w="2680" w:type="dxa"/>
            <w:vAlign w:val="bottom"/>
            <w:tcBorders>
              <w:bottom w:val="single" w:sz="8" w:color="0000FF"/>
            </w:tcBorders>
          </w:tcPr>
          <w:p>
            <w:pPr>
              <w:spacing w:after="0" w:line="231" w:lineRule="exact"/>
              <w:rPr>
                <w:sz w:val="20"/>
                <w:szCs w:val="20"/>
                <w:color w:val="auto"/>
              </w:rPr>
            </w:pPr>
            <w:r>
              <w:rPr>
                <w:rFonts w:ascii="Times New Roman" w:cs="Times New Roman" w:eastAsia="Times New Roman" w:hAnsi="Times New Roman"/>
                <w:sz w:val="22"/>
                <w:szCs w:val="22"/>
                <w:color w:val="0000FF"/>
                <w:w w:val="97"/>
              </w:rPr>
              <w:t>media@RepublicServices.com</w:t>
            </w:r>
          </w:p>
        </w:tc>
        <w:tc>
          <w:tcPr>
            <w:tcW w:w="15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40" w:type="dxa"/>
            <w:vAlign w:val="bottom"/>
            <w:tcBorders>
              <w:bottom w:val="single" w:sz="8" w:color="0000FF"/>
            </w:tcBorders>
          </w:tcPr>
          <w:p>
            <w:pPr>
              <w:spacing w:after="0" w:line="231" w:lineRule="exact"/>
              <w:rPr>
                <w:sz w:val="20"/>
                <w:szCs w:val="20"/>
                <w:color w:val="auto"/>
              </w:rPr>
            </w:pPr>
            <w:r>
              <w:rPr>
                <w:rFonts w:ascii="Times New Roman" w:cs="Times New Roman" w:eastAsia="Times New Roman" w:hAnsi="Times New Roman"/>
                <w:sz w:val="22"/>
                <w:szCs w:val="22"/>
                <w:color w:val="0000FF"/>
                <w:w w:val="97"/>
              </w:rPr>
              <w:t>investor@RepublicServices.com</w:t>
            </w:r>
          </w:p>
        </w:tc>
      </w:tr>
      <w:tr>
        <w:trPr>
          <w:trHeight w:val="898"/>
        </w:trPr>
        <w:tc>
          <w:tcPr>
            <w:tcW w:w="26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80" w:type="dxa"/>
            <w:vAlign w:val="bottom"/>
            <w:gridSpan w:val="2"/>
          </w:tcPr>
          <w:p>
            <w:pPr>
              <w:ind w:left="134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040"/>
          </w:cols>
          <w:pgMar w:left="320" w:top="945" w:right="5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UNAUDITED FINANCIAL INFORMATION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OPERATING DATA</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6" w:lineRule="exact"/>
        <w:rPr>
          <w:sz w:val="20"/>
          <w:szCs w:val="20"/>
          <w:color w:val="auto"/>
        </w:rPr>
      </w:pPr>
    </w:p>
    <w:p>
      <w:pPr>
        <w:jc w:val="right"/>
        <w:ind w:right="4060"/>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6" w:lineRule="exact"/>
        <w:rPr>
          <w:sz w:val="20"/>
          <w:szCs w:val="20"/>
          <w:color w:val="auto"/>
        </w:rPr>
      </w:pPr>
    </w:p>
    <w:p>
      <w:pPr>
        <w:jc w:val="right"/>
        <w:ind w:right="4100"/>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September 30,</w:t>
            </w:r>
          </w:p>
        </w:tc>
        <w:tc>
          <w:tcPr>
            <w:tcW w:w="140" w:type="dxa"/>
            <w:vAlign w:val="bottom"/>
          </w:tcPr>
          <w:p>
            <w:pPr>
              <w:spacing w:after="0"/>
              <w:rPr>
                <w:sz w:val="20"/>
                <w:szCs w:val="20"/>
                <w:color w:val="auto"/>
              </w:rPr>
            </w:pPr>
          </w:p>
        </w:tc>
        <w:tc>
          <w:tcPr>
            <w:tcW w:w="12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December 31,</w:t>
            </w:r>
          </w:p>
        </w:tc>
      </w:tr>
      <w:tr>
        <w:trPr>
          <w:trHeight w:val="243"/>
        </w:trPr>
        <w:tc>
          <w:tcPr>
            <w:tcW w:w="84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2026</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8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8"/>
              </w:rPr>
              <w:t>(Unaudited)</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43"/>
        </w:trPr>
        <w:tc>
          <w:tcPr>
            <w:tcW w:w="8400" w:type="dxa"/>
            <w:vAlign w:val="bottom"/>
            <w:shd w:val="clear" w:color="auto" w:fill="CCEEFF"/>
          </w:tcPr>
          <w:p>
            <w:pPr>
              <w:ind w:left="52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doubtful accounts and other of $59 and $66, respectively</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w:t>
            </w: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37"/>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marketable securities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12,639</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17,330</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16,715</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r>
      <w:tr>
        <w:trPr>
          <w:trHeight w:val="236"/>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34,366</w:t>
            </w: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10"/>
        </w:trPr>
        <w:tc>
          <w:tcPr>
            <w:tcW w:w="8400" w:type="dxa"/>
            <w:vAlign w:val="bottom"/>
            <w:shd w:val="clear" w:color="auto" w:fill="CCEEFF"/>
          </w:tcPr>
          <w:p>
            <w:pPr>
              <w:ind w:left="36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w:t>
            </w: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Notes payable and current maturities of long-term debt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landfill and environmental costs, current portion</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interest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3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3,928</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12,985</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landfill and environmental costs, net of current portion</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 and other long-term tax liabilities, net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 reserves, net of current portion</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Preferred stock, par value $0.01 per share; 50 shares authorized; none issued</w:t>
            </w:r>
          </w:p>
        </w:tc>
        <w:tc>
          <w:tcPr>
            <w:tcW w:w="14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89"/>
        </w:trPr>
        <w:tc>
          <w:tcPr>
            <w:tcW w:w="8400" w:type="dxa"/>
            <w:vAlign w:val="bottom"/>
          </w:tcPr>
          <w:p>
            <w:pPr>
              <w:ind w:left="140"/>
              <w:spacing w:after="0" w:line="189" w:lineRule="exact"/>
              <w:rPr>
                <w:sz w:val="20"/>
                <w:szCs w:val="20"/>
                <w:color w:val="auto"/>
              </w:rPr>
            </w:pPr>
            <w:r>
              <w:rPr>
                <w:rFonts w:ascii="Times New Roman" w:cs="Times New Roman" w:eastAsia="Times New Roman" w:hAnsi="Times New Roman"/>
                <w:sz w:val="18"/>
                <w:szCs w:val="18"/>
                <w:color w:val="auto"/>
              </w:rPr>
              <w:t>Common stock, par value $0.01 per share; 750 shares authorized; 314 and 313 issued including shares held in</w:t>
            </w: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respectively</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r>
      <w:tr>
        <w:trPr>
          <w:trHeight w:val="24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12,253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11,161</w:t>
            </w:r>
          </w:p>
        </w:tc>
      </w:tr>
      <w:tr>
        <w:trPr>
          <w:trHeight w:val="24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Treasury stock, at cost; 9 and 5 shares, respectively</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43"/>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Republic Services, Inc. stockholders' equity</w:t>
            </w: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11,968</w:t>
            </w:r>
          </w:p>
        </w:tc>
      </w:tr>
      <w:tr>
        <w:trPr>
          <w:trHeight w:val="243"/>
        </w:trPr>
        <w:tc>
          <w:tcPr>
            <w:tcW w:w="8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Non-controlling interests in consolidated subsidiary</w:t>
            </w: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6"/>
        </w:trPr>
        <w:tc>
          <w:tcPr>
            <w:tcW w:w="8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12,240</w:t>
            </w:r>
          </w:p>
        </w:tc>
        <w:tc>
          <w:tcPr>
            <w:tcW w:w="12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11,969</w:t>
            </w:r>
          </w:p>
        </w:tc>
      </w:tr>
      <w:tr>
        <w:trPr>
          <w:trHeight w:val="237"/>
        </w:trPr>
        <w:tc>
          <w:tcPr>
            <w:tcW w:w="8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35,512</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34,366</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94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1900" w:h="16838" w:orient="portrait"/>
          <w:cols w:equalWidth="0" w:num="1">
            <w:col w:w="11240"/>
          </w:cols>
          <w:pgMar w:left="320" w:top="941"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REPUBLIC SERVICES, INC.</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CONSOLIDATED STATEMENTS OF INCOME</w:t>
      </w:r>
    </w:p>
    <w:p>
      <w:pPr>
        <w:spacing w:after="0" w:line="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Three Months Ended</w:t>
            </w:r>
          </w:p>
        </w:tc>
        <w:tc>
          <w:tcPr>
            <w:tcW w:w="240" w:type="dxa"/>
            <w:vAlign w:val="bottom"/>
          </w:tcPr>
          <w:p>
            <w:pPr>
              <w:spacing w:after="0"/>
              <w:rPr>
                <w:sz w:val="17"/>
                <w:szCs w:val="17"/>
                <w:color w:val="auto"/>
              </w:rPr>
            </w:pPr>
          </w:p>
        </w:tc>
        <w:tc>
          <w:tcPr>
            <w:tcW w:w="1980" w:type="dxa"/>
            <w:vAlign w:val="bottom"/>
            <w:gridSpan w:val="4"/>
          </w:tcPr>
          <w:p>
            <w:pPr>
              <w:jc w:val="right"/>
              <w:ind w:right="290"/>
              <w:spacing w:after="0"/>
              <w:rPr>
                <w:sz w:val="20"/>
                <w:szCs w:val="20"/>
                <w:color w:val="auto"/>
              </w:rPr>
            </w:pPr>
            <w:r>
              <w:rPr>
                <w:rFonts w:ascii="Times New Roman" w:cs="Times New Roman" w:eastAsia="Times New Roman" w:hAnsi="Times New Roman"/>
                <w:sz w:val="18"/>
                <w:szCs w:val="18"/>
                <w:color w:val="auto"/>
              </w:rPr>
              <w:t>Nine Months Ended</w:t>
            </w:r>
          </w:p>
        </w:tc>
        <w:tc>
          <w:tcPr>
            <w:tcW w:w="0" w:type="dxa"/>
            <w:vAlign w:val="bottom"/>
          </w:tcPr>
          <w:p>
            <w:pPr>
              <w:spacing w:after="0"/>
              <w:rPr>
                <w:sz w:val="1"/>
                <w:szCs w:val="1"/>
                <w:color w:val="auto"/>
              </w:rPr>
            </w:pPr>
          </w:p>
        </w:tc>
      </w:tr>
      <w:tr>
        <w:trPr>
          <w:trHeight w:val="239"/>
        </w:trPr>
        <w:tc>
          <w:tcPr>
            <w:tcW w:w="6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September 30,</w:t>
            </w:r>
          </w:p>
        </w:tc>
        <w:tc>
          <w:tcPr>
            <w:tcW w:w="240" w:type="dxa"/>
            <w:vAlign w:val="bottom"/>
          </w:tcPr>
          <w:p>
            <w:pPr>
              <w:spacing w:after="0"/>
              <w:rPr>
                <w:sz w:val="20"/>
                <w:szCs w:val="20"/>
                <w:color w:val="auto"/>
              </w:rPr>
            </w:pPr>
          </w:p>
        </w:tc>
        <w:tc>
          <w:tcPr>
            <w:tcW w:w="198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41"/>
        </w:trPr>
        <w:tc>
          <w:tcPr>
            <w:tcW w:w="67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7"/>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12,456</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Expenses:</w:t>
            </w: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Accretion</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Restructuring charges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Gain on business divestitures and impairments, net</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0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 w:type="dxa"/>
            <w:vAlign w:val="bottom"/>
            <w:tcBorders>
              <w:top w:val="single" w:sz="8" w:color="CCEEFF"/>
            </w:tcBorders>
            <w:shd w:val="clear" w:color="auto" w:fill="CCEEFF"/>
          </w:tcPr>
          <w:p>
            <w:pPr>
              <w:spacing w:after="0"/>
              <w:rPr>
                <w:sz w:val="20"/>
                <w:szCs w:val="20"/>
                <w:color w:val="auto"/>
              </w:rPr>
            </w:pPr>
          </w:p>
        </w:tc>
        <w:tc>
          <w:tcPr>
            <w:tcW w:w="240" w:type="dxa"/>
            <w:vAlign w:val="bottom"/>
            <w:tcBorders>
              <w:top w:val="single" w:sz="8" w:color="auto"/>
            </w:tcBorders>
            <w:shd w:val="clear" w:color="auto" w:fill="CCEEFF"/>
          </w:tcPr>
          <w:p>
            <w:pPr>
              <w:spacing w:after="0"/>
              <w:rPr>
                <w:sz w:val="20"/>
                <w:szCs w:val="20"/>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unconsolidated equity method investments</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43"/>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37"/>
        </w:trPr>
        <w:tc>
          <w:tcPr>
            <w:tcW w:w="6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0" w:type="dxa"/>
            <w:vAlign w:val="bottom"/>
          </w:tcPr>
          <w:p>
            <w:pPr>
              <w:spacing w:after="0"/>
              <w:rPr>
                <w:sz w:val="1"/>
                <w:szCs w:val="1"/>
                <w:color w:val="auto"/>
              </w:rPr>
            </w:pPr>
          </w:p>
        </w:tc>
      </w:tr>
      <w:tr>
        <w:trPr>
          <w:trHeight w:val="237"/>
        </w:trPr>
        <w:tc>
          <w:tcPr>
            <w:tcW w:w="6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43"/>
        </w:trPr>
        <w:tc>
          <w:tcPr>
            <w:tcW w:w="6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 attributable to non-controlling interests in consolidated subsidiary</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share attributable to Republic Services, Inc. stockholders: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Diluted earnings per share attributable to Republic Services, Inc. stockholders: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70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6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Weighted average common and common equivalent shares outstanding</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700" w:type="dxa"/>
            <w:vAlign w:val="bottom"/>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312.9</w:t>
            </w:r>
          </w:p>
        </w:tc>
        <w:tc>
          <w:tcPr>
            <w:tcW w:w="0" w:type="dxa"/>
            <w:vAlign w:val="bottom"/>
          </w:tcPr>
          <w:p>
            <w:pPr>
              <w:spacing w:after="0"/>
              <w:rPr>
                <w:sz w:val="1"/>
                <w:szCs w:val="1"/>
                <w:color w:val="auto"/>
              </w:rPr>
            </w:pP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0.625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941"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2"/>
        </w:trPr>
        <w:tc>
          <w:tcPr>
            <w:tcW w:w="8260" w:type="dxa"/>
            <w:vAlign w:val="bottom"/>
          </w:tcPr>
          <w:p>
            <w:pPr>
              <w:ind w:left="4580"/>
              <w:spacing w:after="0"/>
              <w:rPr>
                <w:sz w:val="20"/>
                <w:szCs w:val="20"/>
                <w:color w:val="auto"/>
              </w:rPr>
            </w:pPr>
            <w:r>
              <w:rPr>
                <w:rFonts w:ascii="Times New Roman" w:cs="Times New Roman" w:eastAsia="Times New Roman" w:hAnsi="Times New Roman"/>
                <w:sz w:val="16"/>
                <w:szCs w:val="16"/>
                <w:b w:val="1"/>
                <w:bCs w:val="1"/>
                <w:color w:val="auto"/>
              </w:rPr>
              <w:t>REPUBLIC SERVICES, INC.</w:t>
            </w:r>
          </w:p>
        </w:tc>
        <w:tc>
          <w:tcPr>
            <w:tcW w:w="2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9"/>
        </w:trPr>
        <w:tc>
          <w:tcPr>
            <w:tcW w:w="8260" w:type="dxa"/>
            <w:vAlign w:val="bottom"/>
          </w:tcPr>
          <w:p>
            <w:pPr>
              <w:ind w:left="3200"/>
              <w:spacing w:after="0"/>
              <w:rPr>
                <w:sz w:val="20"/>
                <w:szCs w:val="20"/>
                <w:color w:val="auto"/>
              </w:rPr>
            </w:pPr>
            <w:r>
              <w:rPr>
                <w:rFonts w:ascii="Times New Roman" w:cs="Times New Roman" w:eastAsia="Times New Roman" w:hAnsi="Times New Roman"/>
                <w:sz w:val="16"/>
                <w:szCs w:val="16"/>
                <w:b w:val="1"/>
                <w:bCs w:val="1"/>
                <w:color w:val="auto"/>
              </w:rPr>
              <w:t>UNAUDITED CONSOLIDATED STATEMENTS OF CASH FLOWS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8260" w:type="dxa"/>
            <w:vAlign w:val="bottom"/>
          </w:tcPr>
          <w:p>
            <w:pPr>
              <w:ind w:left="52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3"/>
        </w:trPr>
        <w:tc>
          <w:tcPr>
            <w:tcW w:w="8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259"/>
              <w:spacing w:after="0"/>
              <w:rPr>
                <w:sz w:val="20"/>
                <w:szCs w:val="20"/>
                <w:color w:val="auto"/>
              </w:rPr>
            </w:pPr>
            <w:r>
              <w:rPr>
                <w:rFonts w:ascii="Times New Roman" w:cs="Times New Roman" w:eastAsia="Times New Roman" w:hAnsi="Times New Roman"/>
                <w:sz w:val="16"/>
                <w:szCs w:val="16"/>
                <w:color w:val="auto"/>
              </w:rPr>
              <w:t>Nine Months Ended September 30,</w:t>
            </w:r>
          </w:p>
        </w:tc>
      </w:tr>
      <w:tr>
        <w:trPr>
          <w:trHeight w:val="223"/>
        </w:trPr>
        <w:tc>
          <w:tcPr>
            <w:tcW w:w="82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color w:val="auto"/>
              </w:rPr>
              <w:t>2025</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1,684</w:t>
            </w:r>
          </w:p>
        </w:tc>
        <w:tc>
          <w:tcPr>
            <w:tcW w:w="100" w:type="dxa"/>
            <w:vAlign w:val="bottom"/>
          </w:tcPr>
          <w:p>
            <w:pPr>
              <w:spacing w:after="0"/>
              <w:rPr>
                <w:sz w:val="19"/>
                <w:szCs w:val="19"/>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cash provided by operating activities: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depletion, amortization and accretion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r>
      <w:tr>
        <w:trPr>
          <w:trHeight w:val="232"/>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Non-cash interest expense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tax provision</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from unconsolidated equity method investments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non-cash items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Change in assets and liabilities, net of effects from business acquisitions and divestitures: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r>
      <w:tr>
        <w:trPr>
          <w:trHeight w:val="23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33"/>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Capping, closure and post-closure expenditures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r>
      <w:tr>
        <w:trPr>
          <w:trHeight w:val="227"/>
        </w:trPr>
        <w:tc>
          <w:tcPr>
            <w:tcW w:w="82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Remediation expenditures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32"/>
        </w:trPr>
        <w:tc>
          <w:tcPr>
            <w:tcW w:w="82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r>
      <w:tr>
        <w:trPr>
          <w:trHeight w:val="220"/>
        </w:trPr>
        <w:tc>
          <w:tcPr>
            <w:tcW w:w="82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Cash provided by operating activities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3,315</w:t>
            </w:r>
          </w:p>
        </w:tc>
      </w:tr>
      <w:tr>
        <w:trPr>
          <w:trHeight w:val="21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sales of property and equipment</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used in acquisitions and investments, net of cash and restricted cash acquired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(1,259)</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received from business divestitures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22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used in investing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(2,571)</w:t>
            </w:r>
          </w:p>
        </w:tc>
      </w:tr>
      <w:tr>
        <w:trPr>
          <w:trHeight w:val="206"/>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credit facilities and notes payable, net of fees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38,330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26,896</w:t>
            </w:r>
          </w:p>
        </w:tc>
      </w:tr>
      <w:tr>
        <w:trPr>
          <w:trHeight w:val="227"/>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issuance of senior notes, net of discount and fees</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1,183</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credit facilities and notes payable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(39,061)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(27,639)</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Issuances of common stock, net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common stock for treasury</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w:t>
            </w:r>
          </w:p>
        </w:tc>
      </w:tr>
      <w:tr>
        <w:trPr>
          <w:trHeight w:val="226"/>
        </w:trPr>
        <w:tc>
          <w:tcPr>
            <w:tcW w:w="8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dividends paid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(544)</w:t>
            </w:r>
          </w:p>
        </w:tc>
      </w:tr>
      <w:tr>
        <w:trPr>
          <w:trHeight w:val="233"/>
        </w:trPr>
        <w:tc>
          <w:tcPr>
            <w:tcW w:w="8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Distributions paid to non-controlling interests in consolidated subsidiary</w:t>
            </w:r>
          </w:p>
        </w:tc>
        <w:tc>
          <w:tcPr>
            <w:tcW w:w="2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26"/>
        </w:trPr>
        <w:tc>
          <w:tcPr>
            <w:tcW w:w="8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Contingent consideration payments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26"/>
        </w:trPr>
        <w:tc>
          <w:tcPr>
            <w:tcW w:w="8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used in financing activities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r>
      <w:tr>
        <w:trPr>
          <w:trHeight w:val="220"/>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3"/>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in cash, cash equivalents, restricted cash and restricted cash equivalents</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26"/>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beginning of period</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203</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restricted cash and restricted cash equivalents at end of period</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947" w:right="339" w:bottom="1440" w:gutter="0" w:footer="0" w:header="0"/>
        </w:sectPr>
      </w:pPr>
    </w:p>
    <w:bookmarkStart w:id="12" w:name="page13"/>
    <w:bookmarkEnd w:id="12"/>
    <w:p>
      <w:pPr>
        <w:ind w:right="240"/>
        <w:spacing w:after="0" w:line="266" w:lineRule="auto"/>
        <w:rPr>
          <w:sz w:val="20"/>
          <w:szCs w:val="20"/>
          <w:color w:val="auto"/>
        </w:rPr>
      </w:pPr>
      <w:r>
        <w:rPr>
          <w:rFonts w:ascii="Times New Roman" w:cs="Times New Roman" w:eastAsia="Times New Roman" w:hAnsi="Times New Roman"/>
          <w:sz w:val="18"/>
          <w:szCs w:val="18"/>
          <w:color w:val="auto"/>
        </w:rPr>
        <w:t>You should read the following information in conjunction with our audited consolidated financial statements and notes thereto appearing in our Annual Report on Form 10-K as of and for the year ended December 31, 2025. All amounts below are in millions and as a percentage of our revenue, except per share data.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reflects our total revenue by line of business for the three and nine months ended September 30, 2026 and 2025:</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6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660" w:type="dxa"/>
            <w:vAlign w:val="bottom"/>
            <w:tcBorders>
              <w:bottom w:val="single" w:sz="8" w:color="auto"/>
            </w:tcBorders>
          </w:tcPr>
          <w:p>
            <w:pPr>
              <w:spacing w:after="0"/>
              <w:rPr>
                <w:sz w:val="18"/>
                <w:szCs w:val="18"/>
                <w:color w:val="auto"/>
              </w:rPr>
            </w:pPr>
          </w:p>
        </w:tc>
      </w:tr>
      <w:tr>
        <w:trPr>
          <w:trHeight w:val="223"/>
        </w:trPr>
        <w:tc>
          <w:tcPr>
            <w:tcW w:w="3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6"/>
                <w:szCs w:val="16"/>
                <w:color w:val="auto"/>
              </w:rPr>
              <w:t>2025</w:t>
            </w:r>
          </w:p>
        </w:tc>
        <w:tc>
          <w:tcPr>
            <w:tcW w:w="6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6"/>
                <w:szCs w:val="16"/>
                <w:color w:val="auto"/>
              </w:rPr>
              <w:t>2026</w:t>
            </w:r>
          </w:p>
        </w:tc>
        <w:tc>
          <w:tcPr>
            <w:tcW w:w="6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2025</w:t>
            </w:r>
          </w:p>
        </w:tc>
        <w:tc>
          <w:tcPr>
            <w:tcW w:w="660" w:type="dxa"/>
            <w:vAlign w:val="bottom"/>
            <w:tcBorders>
              <w:bottom w:val="single" w:sz="8" w:color="auto"/>
            </w:tcBorders>
          </w:tcPr>
          <w:p>
            <w:pPr>
              <w:spacing w:after="0"/>
              <w:rPr>
                <w:sz w:val="19"/>
                <w:szCs w:val="19"/>
                <w:color w:val="auto"/>
              </w:rPr>
            </w:pPr>
          </w:p>
        </w:tc>
      </w:tr>
      <w:tr>
        <w:trPr>
          <w:trHeight w:val="21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w:t>
            </w: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27"/>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Residential</w:t>
            </w: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17.2 %</w:t>
            </w:r>
          </w:p>
        </w:tc>
        <w:tc>
          <w:tcPr>
            <w:tcW w:w="100" w:type="dxa"/>
            <w:vAlign w:val="bottom"/>
          </w:tcPr>
          <w:p>
            <w:pPr>
              <w:spacing w:after="0"/>
              <w:rPr>
                <w:sz w:val="19"/>
                <w:szCs w:val="19"/>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120" w:type="dxa"/>
            <w:vAlign w:val="bottom"/>
          </w:tcPr>
          <w:p>
            <w:pPr>
              <w:spacing w:after="0"/>
              <w:rPr>
                <w:sz w:val="19"/>
                <w:szCs w:val="19"/>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20" w:type="dxa"/>
            <w:vAlign w:val="bottom"/>
          </w:tcPr>
          <w:p>
            <w:pPr>
              <w:spacing w:after="0"/>
              <w:rPr>
                <w:sz w:val="19"/>
                <w:szCs w:val="19"/>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18.0 %</w:t>
            </w:r>
          </w:p>
        </w:tc>
      </w:tr>
      <w:tr>
        <w:trPr>
          <w:trHeight w:val="232"/>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Small-container</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1,379</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r>
      <w:tr>
        <w:trPr>
          <w:trHeight w:val="227"/>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Large-container</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2,330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18.7</w:t>
            </w:r>
          </w:p>
        </w:tc>
      </w:tr>
      <w:tr>
        <w:trPr>
          <w:trHeight w:val="229"/>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0.4</w:t>
            </w:r>
          </w:p>
        </w:tc>
      </w:tr>
      <w:tr>
        <w:trPr>
          <w:trHeight w:val="223"/>
        </w:trPr>
        <w:tc>
          <w:tcPr>
            <w:tcW w:w="354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Total collection</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66.7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67.7</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67.4</w:t>
            </w: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Transfer</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6"/>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Transfer,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r>
      <w:tr>
        <w:trPr>
          <w:trHeight w:val="22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Landfill</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3"/>
        </w:trPr>
        <w:tc>
          <w:tcPr>
            <w:tcW w:w="35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Landfill, net</w:t>
            </w: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11.7</w:t>
            </w:r>
          </w:p>
        </w:tc>
      </w:tr>
      <w:tr>
        <w:trPr>
          <w:trHeight w:val="233"/>
        </w:trPr>
        <w:tc>
          <w:tcPr>
            <w:tcW w:w="3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Environmental solutions</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544</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7"/>
        </w:trPr>
        <w:tc>
          <w:tcPr>
            <w:tcW w:w="3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intercompany</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r>
      <w:tr>
        <w:trPr>
          <w:trHeight w:val="226"/>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Environmental solutions, net</w:t>
            </w: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10.8</w:t>
            </w:r>
          </w:p>
        </w:tc>
      </w:tr>
      <w:tr>
        <w:trPr>
          <w:trHeight w:val="227"/>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3"/>
        </w:trPr>
        <w:tc>
          <w:tcPr>
            <w:tcW w:w="3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Recycling processing and commodity sales</w:t>
            </w: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r>
      <w:tr>
        <w:trPr>
          <w:trHeight w:val="227"/>
        </w:trPr>
        <w:tc>
          <w:tcPr>
            <w:tcW w:w="3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non-core</w:t>
            </w: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2.4</w:t>
            </w:r>
          </w:p>
        </w:tc>
      </w:tr>
      <w:tr>
        <w:trPr>
          <w:trHeight w:val="223"/>
        </w:trPr>
        <w:tc>
          <w:tcPr>
            <w:tcW w:w="35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other</w:t>
            </w: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r>
      <w:tr>
        <w:trPr>
          <w:trHeight w:val="226"/>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4,212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13,103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12,456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0"/>
        </w:trPr>
        <w:tc>
          <w:tcPr>
            <w:tcW w:w="3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components of our revenue, as a percentage of total revenue, for the three and nine months ended September 30, 2026 and 2025:</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80" w:type="dxa"/>
            <w:vAlign w:val="bottom"/>
            <w:tcBorders>
              <w:bottom w:val="single" w:sz="8" w:color="auto"/>
            </w:tcBorders>
            <w:gridSpan w:val="4"/>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2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6"/>
        </w:trPr>
        <w:tc>
          <w:tcPr>
            <w:tcW w:w="4160" w:type="dxa"/>
            <w:vAlign w:val="bottom"/>
            <w:tcBorders>
              <w:bottom w:val="single" w:sz="8" w:color="CCEEFF"/>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0"/>
                <w:szCs w:val="20"/>
                <w:color w:val="auto"/>
              </w:rPr>
            </w:pPr>
          </w:p>
        </w:tc>
        <w:tc>
          <w:tcPr>
            <w:tcW w:w="16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yield</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Fuel recovery fees</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36"/>
        </w:trPr>
        <w:tc>
          <w:tcPr>
            <w:tcW w:w="5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price</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21"/>
                <w:szCs w:val="21"/>
                <w:color w:val="auto"/>
              </w:rPr>
            </w:pPr>
          </w:p>
        </w:tc>
        <w:tc>
          <w:tcPr>
            <w:tcW w:w="1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(0.4)</w:t>
            </w:r>
          </w:p>
        </w:tc>
      </w:tr>
      <w:tr>
        <w:trPr>
          <w:trHeight w:val="24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workdays</w:t>
            </w:r>
          </w:p>
        </w:tc>
        <w:tc>
          <w:tcPr>
            <w:tcW w:w="7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(0.2)</w:t>
            </w:r>
          </w:p>
        </w:tc>
      </w:tr>
      <w:tr>
        <w:trPr>
          <w:trHeight w:val="24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Recycling processing and commodity sales</w:t>
            </w: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6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Environmental solutions</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shd w:val="clear" w:color="auto" w:fill="CCEEFF"/>
          </w:tcPr>
          <w:p>
            <w:pPr>
              <w:spacing w:after="0"/>
              <w:rPr>
                <w:sz w:val="21"/>
                <w:szCs w:val="21"/>
                <w:color w:val="auto"/>
              </w:rPr>
            </w:pPr>
          </w:p>
        </w:tc>
        <w:tc>
          <w:tcPr>
            <w:tcW w:w="16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w:t>
            </w:r>
          </w:p>
        </w:tc>
      </w:tr>
      <w:tr>
        <w:trPr>
          <w:trHeight w:val="243"/>
        </w:trPr>
        <w:tc>
          <w:tcPr>
            <w:tcW w:w="4160" w:type="dxa"/>
            <w:vAlign w:val="bottom"/>
            <w:tcBorders>
              <w:bottom w:val="single" w:sz="8" w:color="CCEEFF"/>
            </w:tcBorders>
          </w:tcPr>
          <w:p>
            <w:pPr>
              <w:ind w:left="20"/>
              <w:spacing w:after="0" w:line="243"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23"/>
                <w:szCs w:val="23"/>
                <w:color w:val="auto"/>
                <w:vertAlign w:val="superscript"/>
              </w:rPr>
              <w:t>(1)</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(0.1)</w:t>
            </w:r>
          </w:p>
        </w:tc>
      </w:tr>
      <w:tr>
        <w:trPr>
          <w:trHeight w:val="237"/>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internal growth</w:t>
            </w: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0"/>
                <w:szCs w:val="20"/>
                <w:color w:val="auto"/>
              </w:rPr>
            </w:pPr>
          </w:p>
        </w:tc>
        <w:tc>
          <w:tcPr>
            <w:tcW w:w="16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41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Acquisitions / divestitures, net</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Borders>
              <w:bottom w:val="single" w:sz="8" w:color="CCEEFF"/>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w:t>
            </w:r>
          </w:p>
        </w:tc>
      </w:tr>
      <w:tr>
        <w:trPr>
          <w:trHeight w:val="257"/>
        </w:trPr>
        <w:tc>
          <w:tcPr>
            <w:tcW w:w="5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4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63"/>
        </w:trPr>
        <w:tc>
          <w:tcPr>
            <w:tcW w:w="52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price</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0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20" w:type="dxa"/>
            <w:vAlign w:val="bottom"/>
            <w:shd w:val="clear" w:color="auto" w:fill="CCEEFF"/>
          </w:tcPr>
          <w:p>
            <w:pPr>
              <w:spacing w:after="0"/>
              <w:rPr>
                <w:sz w:val="22"/>
                <w:szCs w:val="22"/>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right="140" w:firstLine="8"/>
        <w:spacing w:after="0" w:line="255" w:lineRule="auto"/>
        <w:tabs>
          <w:tab w:leader="none" w:pos="127"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represents customer credits recognized in connection with labor disruptions for the three and nine months ended September 30, 2025, and the impact of revenue recognized from the related customer contracts during the three and nine months ended September 30, 2026.</w:t>
      </w: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985" w:right="339" w:bottom="1440" w:gutter="0" w:footer="0" w:header="0"/>
        </w:sectPr>
      </w:pPr>
    </w:p>
    <w:bookmarkStart w:id="13" w:name="page14"/>
    <w:bookmarkEnd w:id="13"/>
    <w:p>
      <w:pPr>
        <w:ind w:right="220"/>
        <w:spacing w:after="0" w:line="258" w:lineRule="auto"/>
        <w:rPr>
          <w:sz w:val="20"/>
          <w:szCs w:val="20"/>
          <w:color w:val="auto"/>
        </w:rPr>
      </w:pPr>
      <w:r>
        <w:rPr>
          <w:rFonts w:ascii="Times New Roman" w:cs="Times New Roman" w:eastAsia="Times New Roman" w:hAnsi="Times New Roman"/>
          <w:sz w:val="18"/>
          <w:szCs w:val="18"/>
          <w:color w:val="auto"/>
        </w:rPr>
        <w:t>Average yield is defined as revenue growth from the change in average price per unit of service, expressed as a percentage. Core price is defined as price increases to our customers and fees, excluding fuel recovery fees, net of price decreases to retain customers. We also measure changes in core price, average yield and volume as a percentage of related-business revenue, defined as total revenue excluding recycled commodities, fuel recovery fees and environmental solutions revenue, to determine the effectiveness of our pricing and organic growth strategies. The following table reflects core price, average yield and volume as a percentage of related-business revenue for the three and nine months ended September 30, 2026 and 2025:</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3480" w:type="dxa"/>
            <w:vAlign w:val="bottom"/>
            <w:tcBorders>
              <w:bottom w:val="single" w:sz="8" w:color="auto"/>
            </w:tcBorders>
            <w:gridSpan w:val="3"/>
          </w:tcPr>
          <w:p>
            <w:pPr>
              <w:jc w:val="right"/>
              <w:ind w:right="35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100" w:type="dxa"/>
            <w:vAlign w:val="bottom"/>
          </w:tcPr>
          <w:p>
            <w:pPr>
              <w:spacing w:after="0"/>
              <w:rPr>
                <w:sz w:val="20"/>
                <w:szCs w:val="20"/>
                <w:color w:val="auto"/>
              </w:rPr>
            </w:pPr>
          </w:p>
        </w:tc>
        <w:tc>
          <w:tcPr>
            <w:tcW w:w="350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7"/>
        </w:trPr>
        <w:tc>
          <w:tcPr>
            <w:tcW w:w="5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4160" w:type="dxa"/>
            <w:vAlign w:val="bottom"/>
          </w:tcPr>
          <w:p>
            <w:pPr>
              <w:spacing w:after="0"/>
              <w:rPr>
                <w:sz w:val="20"/>
                <w:szCs w:val="20"/>
                <w:color w:val="auto"/>
              </w:rPr>
            </w:pPr>
          </w:p>
        </w:tc>
        <w:tc>
          <w:tcPr>
            <w:tcW w:w="2880" w:type="dxa"/>
            <w:vAlign w:val="bottom"/>
            <w:tcBorders>
              <w:top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As a % of Related Business</w:t>
            </w:r>
          </w:p>
        </w:tc>
        <w:tc>
          <w:tcPr>
            <w:tcW w:w="6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500" w:type="dxa"/>
            <w:vAlign w:val="bottom"/>
            <w:tcBorders>
              <w:top w:val="single" w:sz="8" w:color="auto"/>
            </w:tcBorders>
            <w:gridSpan w:val="2"/>
          </w:tcPr>
          <w:p>
            <w:pPr>
              <w:jc w:val="right"/>
              <w:ind w:right="670"/>
              <w:spacing w:after="0"/>
              <w:rPr>
                <w:sz w:val="20"/>
                <w:szCs w:val="20"/>
                <w:color w:val="auto"/>
              </w:rPr>
            </w:pPr>
            <w:r>
              <w:rPr>
                <w:rFonts w:ascii="Times New Roman" w:cs="Times New Roman" w:eastAsia="Times New Roman" w:hAnsi="Times New Roman"/>
                <w:sz w:val="18"/>
                <w:szCs w:val="18"/>
                <w:color w:val="auto"/>
              </w:rPr>
              <w:t>As a % of Related Business</w:t>
            </w:r>
          </w:p>
        </w:tc>
      </w:tr>
      <w:tr>
        <w:trPr>
          <w:trHeight w:val="24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Core price</w:t>
            </w:r>
          </w:p>
        </w:tc>
        <w:tc>
          <w:tcPr>
            <w:tcW w:w="180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6.3 %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6.5 %</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7.2 %</w:t>
            </w:r>
          </w:p>
        </w:tc>
      </w:tr>
      <w:tr>
        <w:trPr>
          <w:trHeight w:val="243"/>
        </w:trPr>
        <w:tc>
          <w:tcPr>
            <w:tcW w:w="5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Average yield</w:t>
            </w:r>
          </w:p>
        </w:tc>
        <w:tc>
          <w:tcPr>
            <w:tcW w:w="180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3.5 %</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4.9 %</w:t>
            </w:r>
          </w:p>
        </w:tc>
        <w:tc>
          <w:tcPr>
            <w:tcW w:w="100" w:type="dxa"/>
            <w:vAlign w:val="bottom"/>
          </w:tcPr>
          <w:p>
            <w:pPr>
              <w:spacing w:after="0"/>
              <w:rPr>
                <w:sz w:val="21"/>
                <w:szCs w:val="21"/>
                <w:color w:val="auto"/>
              </w:rPr>
            </w:pPr>
          </w:p>
        </w:tc>
        <w:tc>
          <w:tcPr>
            <w:tcW w:w="20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3.9 %</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5.1 %</w:t>
            </w:r>
          </w:p>
        </w:tc>
      </w:tr>
      <w:tr>
        <w:trPr>
          <w:trHeight w:val="243"/>
        </w:trPr>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Volume</w:t>
            </w:r>
          </w:p>
        </w:tc>
        <w:tc>
          <w:tcPr>
            <w:tcW w:w="1800" w:type="dxa"/>
            <w:vAlign w:val="bottom"/>
            <w:shd w:val="clear" w:color="auto" w:fill="CCEEFF"/>
          </w:tcPr>
          <w:p>
            <w:pPr>
              <w:jc w:val="right"/>
              <w:ind w:right="1130"/>
              <w:spacing w:after="0"/>
              <w:rPr>
                <w:sz w:val="20"/>
                <w:szCs w:val="20"/>
                <w:color w:val="auto"/>
              </w:rPr>
            </w:pPr>
            <w:r>
              <w:rPr>
                <w:rFonts w:ascii="Times New Roman" w:cs="Times New Roman" w:eastAsia="Times New Roman" w:hAnsi="Times New Roman"/>
                <w:sz w:val="18"/>
                <w:szCs w:val="18"/>
                <w:color w:val="auto"/>
              </w:rPr>
              <w:t>(0.7)%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1"/>
                <w:szCs w:val="21"/>
                <w:color w:val="auto"/>
              </w:rPr>
            </w:pPr>
          </w:p>
        </w:tc>
        <w:tc>
          <w:tcPr>
            <w:tcW w:w="208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(1.2)%</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r>
    </w:tbl>
    <w:p>
      <w:pPr>
        <w:spacing w:after="0" w:line="225"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reflects changes in average yield and volume, as a percentage of related business revenue by line of business, for the three and nine months ended September 30, 2026 and 2025:</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740" w:type="dxa"/>
            <w:vAlign w:val="bottom"/>
          </w:tcPr>
          <w:p>
            <w:pPr>
              <w:spacing w:after="0"/>
              <w:rPr>
                <w:sz w:val="18"/>
                <w:szCs w:val="18"/>
                <w:color w:val="auto"/>
              </w:rPr>
            </w:pPr>
          </w:p>
        </w:tc>
        <w:tc>
          <w:tcPr>
            <w:tcW w:w="3780" w:type="dxa"/>
            <w:vAlign w:val="bottom"/>
            <w:gridSpan w:val="10"/>
          </w:tcPr>
          <w:p>
            <w:pPr>
              <w:ind w:left="660"/>
              <w:spacing w:after="0"/>
              <w:rPr>
                <w:sz w:val="20"/>
                <w:szCs w:val="20"/>
                <w:color w:val="auto"/>
              </w:rPr>
            </w:pPr>
            <w:r>
              <w:rPr>
                <w:rFonts w:ascii="Times New Roman" w:cs="Times New Roman" w:eastAsia="Times New Roman" w:hAnsi="Times New Roman"/>
                <w:sz w:val="16"/>
                <w:szCs w:val="16"/>
                <w:color w:val="auto"/>
              </w:rPr>
              <w:t>Three Months Ended September 30,</w:t>
            </w:r>
          </w:p>
        </w:tc>
        <w:tc>
          <w:tcPr>
            <w:tcW w:w="3020" w:type="dxa"/>
            <w:vAlign w:val="bottom"/>
            <w:gridSpan w:val="8"/>
          </w:tcPr>
          <w:p>
            <w:pPr>
              <w:ind w:left="720"/>
              <w:spacing w:after="0"/>
              <w:rPr>
                <w:sz w:val="20"/>
                <w:szCs w:val="20"/>
                <w:color w:val="auto"/>
              </w:rPr>
            </w:pPr>
            <w:r>
              <w:rPr>
                <w:rFonts w:ascii="Times New Roman" w:cs="Times New Roman" w:eastAsia="Times New Roman" w:hAnsi="Times New Roman"/>
                <w:sz w:val="16"/>
                <w:szCs w:val="16"/>
                <w:color w:val="auto"/>
              </w:rPr>
              <w:t>Nine Months Ended September 30,</w:t>
            </w:r>
          </w:p>
        </w:tc>
        <w:tc>
          <w:tcPr>
            <w:tcW w:w="700" w:type="dxa"/>
            <w:vAlign w:val="bottom"/>
          </w:tcPr>
          <w:p>
            <w:pPr>
              <w:spacing w:after="0"/>
              <w:rPr>
                <w:sz w:val="18"/>
                <w:szCs w:val="18"/>
                <w:color w:val="auto"/>
              </w:rPr>
            </w:pPr>
          </w:p>
        </w:tc>
      </w:tr>
      <w:tr>
        <w:trPr>
          <w:trHeight w:val="223"/>
        </w:trPr>
        <w:tc>
          <w:tcPr>
            <w:tcW w:w="3740" w:type="dxa"/>
            <w:vAlign w:val="bottom"/>
          </w:tcPr>
          <w:p>
            <w:pPr>
              <w:spacing w:after="0"/>
              <w:rPr>
                <w:sz w:val="19"/>
                <w:szCs w:val="19"/>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8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color w:val="auto"/>
              </w:rPr>
              <w:t>2026</w:t>
            </w:r>
          </w:p>
        </w:tc>
        <w:tc>
          <w:tcPr>
            <w:tcW w:w="7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2025</w:t>
            </w:r>
          </w:p>
        </w:tc>
        <w:tc>
          <w:tcPr>
            <w:tcW w:w="700" w:type="dxa"/>
            <w:vAlign w:val="bottom"/>
            <w:tcBorders>
              <w:top w:val="single" w:sz="8" w:color="auto"/>
              <w:bottom w:val="single" w:sz="8" w:color="auto"/>
            </w:tcBorders>
          </w:tcPr>
          <w:p>
            <w:pPr>
              <w:spacing w:after="0"/>
              <w:rPr>
                <w:sz w:val="19"/>
                <w:szCs w:val="19"/>
                <w:color w:val="auto"/>
              </w:rPr>
            </w:pPr>
          </w:p>
        </w:tc>
      </w:tr>
      <w:tr>
        <w:trPr>
          <w:trHeight w:val="223"/>
        </w:trPr>
        <w:tc>
          <w:tcPr>
            <w:tcW w:w="3740" w:type="dxa"/>
            <w:vAlign w:val="bottom"/>
          </w:tcPr>
          <w:p>
            <w:pPr>
              <w:spacing w:after="0"/>
              <w:rPr>
                <w:sz w:val="19"/>
                <w:szCs w:val="19"/>
                <w:color w:val="auto"/>
              </w:rPr>
            </w:pP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Yield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1080" w:type="dxa"/>
            <w:vAlign w:val="bottom"/>
            <w:gridSpan w:val="3"/>
          </w:tcPr>
          <w:p>
            <w:pPr>
              <w:jc w:val="right"/>
              <w:ind w:right="500"/>
              <w:spacing w:after="0"/>
              <w:rPr>
                <w:sz w:val="20"/>
                <w:szCs w:val="20"/>
                <w:color w:val="auto"/>
              </w:rPr>
            </w:pPr>
            <w:r>
              <w:rPr>
                <w:rFonts w:ascii="Times New Roman" w:cs="Times New Roman" w:eastAsia="Times New Roman" w:hAnsi="Times New Roman"/>
                <w:sz w:val="16"/>
                <w:szCs w:val="16"/>
                <w:color w:val="auto"/>
              </w:rPr>
              <w:t>Yield</w:t>
            </w: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110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rPr>
              <w:t>Yield</w:t>
            </w:r>
          </w:p>
        </w:tc>
        <w:tc>
          <w:tcPr>
            <w:tcW w:w="8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Volume</w:t>
            </w:r>
          </w:p>
        </w:tc>
        <w:tc>
          <w:tcPr>
            <w:tcW w:w="110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color w:val="auto"/>
              </w:rPr>
              <w:t>Yield</w:t>
            </w: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6"/>
              </w:rPr>
              <w:t>Volume</w:t>
            </w:r>
          </w:p>
        </w:tc>
      </w:tr>
      <w:tr>
        <w:trPr>
          <w:trHeight w:val="212"/>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Collection:</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2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Residential</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3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Small-container</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 %</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27"/>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Large-container</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r>
      <w:tr>
        <w:trPr>
          <w:trHeight w:val="23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Landfill:</w:t>
            </w: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r>
      <w:tr>
        <w:trPr>
          <w:trHeight w:val="226"/>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Municipal solid waste</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0.6 %</w:t>
            </w: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5.9 %</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r>
      <w:tr>
        <w:trPr>
          <w:trHeight w:val="233"/>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Construction and demolition waste</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45.2 %</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36.2 %</w:t>
            </w:r>
          </w:p>
        </w:tc>
      </w:tr>
      <w:tr>
        <w:trPr>
          <w:trHeight w:val="223"/>
        </w:trPr>
        <w:tc>
          <w:tcPr>
            <w:tcW w:w="37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Special waste</w:t>
            </w: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20" w:type="dxa"/>
            <w:vAlign w:val="bottom"/>
          </w:tcPr>
          <w:p>
            <w:pPr>
              <w:spacing w:after="0"/>
              <w:rPr>
                <w:sz w:val="19"/>
                <w:szCs w:val="19"/>
                <w:color w:val="auto"/>
              </w:rPr>
            </w:pPr>
          </w:p>
        </w:tc>
        <w:tc>
          <w:tcPr>
            <w:tcW w:w="10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17.8 %</w:t>
            </w:r>
          </w:p>
        </w:tc>
        <w:tc>
          <w:tcPr>
            <w:tcW w:w="100" w:type="dxa"/>
            <w:vAlign w:val="bottom"/>
          </w:tcPr>
          <w:p>
            <w:pPr>
              <w:spacing w:after="0"/>
              <w:rPr>
                <w:sz w:val="19"/>
                <w:szCs w:val="19"/>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120" w:type="dxa"/>
            <w:vAlign w:val="bottom"/>
          </w:tcPr>
          <w:p>
            <w:pPr>
              <w:spacing w:after="0"/>
              <w:rPr>
                <w:sz w:val="19"/>
                <w:szCs w:val="19"/>
                <w:color w:val="auto"/>
              </w:rPr>
            </w:pPr>
          </w:p>
        </w:tc>
        <w:tc>
          <w:tcPr>
            <w:tcW w:w="110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15.6 %</w:t>
            </w:r>
          </w:p>
        </w:tc>
      </w:tr>
    </w:tbl>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OPERATIONS</w:t>
      </w:r>
    </w:p>
    <w:p>
      <w:pPr>
        <w:spacing w:after="0" w:line="94"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The following table summarizes the major components of our cost of operations for the three and nine months ended September 30, 2026 and 2025 (in millions of dollars and as a percentage of revenue):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6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20" w:type="dxa"/>
            <w:vAlign w:val="bottom"/>
            <w:tcBorders>
              <w:bottom w:val="single" w:sz="8" w:color="auto"/>
            </w:tcBorders>
          </w:tcPr>
          <w:p>
            <w:pPr>
              <w:spacing w:after="0"/>
              <w:rPr>
                <w:sz w:val="20"/>
                <w:szCs w:val="20"/>
                <w:color w:val="auto"/>
              </w:rPr>
            </w:pPr>
          </w:p>
        </w:tc>
      </w:tr>
      <w:tr>
        <w:trPr>
          <w:trHeight w:val="236"/>
        </w:trPr>
        <w:tc>
          <w:tcPr>
            <w:tcW w:w="3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6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r>
      <w:tr>
        <w:trPr>
          <w:trHeight w:val="237"/>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and related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19.3 %</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19.7 %</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 and disposal costs</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Maintenance and repairs</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Transportation and subcontract costs</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7.2</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Fuel</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 fees and taxes</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Landfill operating costs</w:t>
            </w: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r>
      <w:tr>
        <w:trPr>
          <w:trHeight w:val="243"/>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management</w:t>
            </w: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2.6</w:t>
            </w: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5.2</w:t>
            </w:r>
          </w:p>
        </w:tc>
      </w:tr>
      <w:tr>
        <w:trPr>
          <w:trHeight w:val="23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Subtotal</w:t>
            </w: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57.7</w:t>
            </w:r>
          </w:p>
        </w:tc>
      </w:tr>
      <w:tr>
        <w:trPr>
          <w:trHeight w:val="243"/>
        </w:trPr>
        <w:tc>
          <w:tcPr>
            <w:tcW w:w="3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Labor disruption</w:t>
            </w:r>
          </w:p>
        </w:tc>
        <w:tc>
          <w:tcPr>
            <w:tcW w:w="26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r>
      <w:tr>
        <w:trPr>
          <w:trHeight w:val="236"/>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cost of operations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58.4 %</w:t>
            </w:r>
          </w:p>
        </w:tc>
        <w:tc>
          <w:tcPr>
            <w:tcW w:w="10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58.5 %</w:t>
            </w:r>
          </w:p>
        </w:tc>
        <w:tc>
          <w:tcPr>
            <w:tcW w:w="12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w:t>
            </w:r>
          </w:p>
        </w:tc>
        <w:tc>
          <w:tcPr>
            <w:tcW w:w="100" w:type="dxa"/>
            <w:vAlign w:val="bottom"/>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0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7,226</w:t>
            </w:r>
          </w:p>
        </w:tc>
        <w:tc>
          <w:tcPr>
            <w:tcW w:w="12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58.0 %</w:t>
            </w:r>
          </w:p>
        </w:tc>
      </w:tr>
      <w:tr>
        <w:trPr>
          <w:trHeight w:val="20"/>
        </w:trPr>
        <w:tc>
          <w:tcPr>
            <w:tcW w:w="3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used by other companies. As such, you should take care when comparing our cost of operations by cost component to that of other companies and of ours for prior periods.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40"/>
          </w:cols>
          <w:pgMar w:left="320" w:top="105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0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selling, general and administrative expenses for the three and nine months ended September 30, 2026 and 2025 (in millions of dollars and as a percentage of revenue):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00" w:type="dxa"/>
            <w:vAlign w:val="bottom"/>
            <w:tcBorders>
              <w:bottom w:val="single" w:sz="8" w:color="auto"/>
            </w:tcBorders>
            <w:gridSpan w:val="9"/>
          </w:tcPr>
          <w:p>
            <w:pPr>
              <w:jc w:val="right"/>
              <w:ind w:right="2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000" w:type="dxa"/>
            <w:vAlign w:val="bottom"/>
            <w:tcBorders>
              <w:bottom w:val="single" w:sz="8" w:color="auto"/>
            </w:tcBorders>
            <w:gridSpan w:val="9"/>
          </w:tcPr>
          <w:p>
            <w:pPr>
              <w:jc w:val="right"/>
              <w:ind w:right="4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5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and related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9"/>
              </w:rPr>
              <w:t>6.5 %</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6.8 %</w:t>
            </w:r>
          </w:p>
        </w:tc>
        <w:tc>
          <w:tcPr>
            <w:tcW w:w="0" w:type="dxa"/>
            <w:vAlign w:val="bottom"/>
          </w:tcPr>
          <w:p>
            <w:pPr>
              <w:spacing w:after="0"/>
              <w:rPr>
                <w:sz w:val="1"/>
                <w:szCs w:val="1"/>
                <w:color w:val="auto"/>
              </w:rPr>
            </w:pPr>
          </w:p>
        </w:tc>
      </w:tr>
      <w:tr>
        <w:trPr>
          <w:trHeight w:val="243"/>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43"/>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w:t>
            </w: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78"/>
        </w:trPr>
        <w:tc>
          <w:tcPr>
            <w:tcW w:w="366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selling, general and administrative</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w w:val="99"/>
              </w:rPr>
              <w:t>9.8 %</w:t>
            </w:r>
          </w:p>
        </w:tc>
        <w:tc>
          <w:tcPr>
            <w:tcW w:w="100" w:type="dxa"/>
            <w:vAlign w:val="bottom"/>
          </w:tcPr>
          <w:p>
            <w:pPr>
              <w:spacing w:after="0"/>
              <w:rPr>
                <w:sz w:val="15"/>
                <w:szCs w:val="15"/>
                <w:color w:val="auto"/>
              </w:rPr>
            </w:pPr>
          </w:p>
        </w:tc>
        <w:tc>
          <w:tcPr>
            <w:tcW w:w="28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7"/>
              </w:rPr>
              <w:t>10.0 %</w:t>
            </w:r>
          </w:p>
        </w:tc>
        <w:tc>
          <w:tcPr>
            <w:tcW w:w="80" w:type="dxa"/>
            <w:vAlign w:val="bottom"/>
          </w:tcPr>
          <w:p>
            <w:pPr>
              <w:spacing w:after="0"/>
              <w:rPr>
                <w:sz w:val="15"/>
                <w:szCs w:val="15"/>
                <w:color w:val="auto"/>
              </w:rPr>
            </w:pPr>
          </w:p>
        </w:tc>
        <w:tc>
          <w:tcPr>
            <w:tcW w:w="2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00" w:type="dxa"/>
            <w:vAlign w:val="bottom"/>
          </w:tcPr>
          <w:p>
            <w:pPr>
              <w:spacing w:after="0"/>
              <w:rPr>
                <w:sz w:val="15"/>
                <w:szCs w:val="15"/>
                <w:color w:val="auto"/>
              </w:rPr>
            </w:pPr>
          </w:p>
        </w:tc>
        <w:tc>
          <w:tcPr>
            <w:tcW w:w="2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1,274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10.2 %</w:t>
            </w:r>
          </w:p>
        </w:tc>
        <w:tc>
          <w:tcPr>
            <w:tcW w:w="0" w:type="dxa"/>
            <w:vAlign w:val="bottom"/>
          </w:tcPr>
          <w:p>
            <w:pPr>
              <w:spacing w:after="0"/>
              <w:rPr>
                <w:sz w:val="1"/>
                <w:szCs w:val="1"/>
                <w:color w:val="auto"/>
              </w:rPr>
            </w:pPr>
          </w:p>
        </w:tc>
      </w:tr>
      <w:tr>
        <w:trPr>
          <w:trHeight w:val="207"/>
        </w:trPr>
        <w:tc>
          <w:tcPr>
            <w:tcW w:w="3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expenses</w:t>
            </w:r>
          </w:p>
        </w:tc>
        <w:tc>
          <w:tcPr>
            <w:tcW w:w="26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5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vMerge w:val="continue"/>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cost categories may change from time to time and may not be comparable to similarly titled categories used by other companies. As such, you should take care when comparing our selling, general and administrative expenses by cost component to those of other companies and of ours for prior periods.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METRICS AND RECONCILIATIONS OF CERTAIN NON-GAAP MEASURES</w:t>
      </w:r>
    </w:p>
    <w:p>
      <w:pPr>
        <w:spacing w:after="0" w:line="1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tables calculate EBITDA, EBITDA margin, adjusted EBITDA, adjusted EBITDA margin, adjusted EBITDA and adjusted EBITDA margin by business type, adjusted pre-tax income, adjusted tax impact, adjusted net income - Republic, adjusted diluted earnings per share, and adjusted free cash flow, which are not measures determined in accordance with U.S. generally accepted accounting principles (U.S. GAAP), for the three and nine months ended September 30, 2026 and 2025. Our definitions of the foregoing non-GAAP financial measures may not be comparable to similarly titled measures presented by other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calculates adjusted EBITDA and adjusted EBITDA margin for the three and nine months ended September 30, 2026 and 2025 (in millions of dollars and as a percentage of revenue):</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Three Months Ended September 30,</w:t>
            </w:r>
          </w:p>
        </w:tc>
        <w:tc>
          <w:tcPr>
            <w:tcW w:w="6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2026</w:t>
            </w:r>
          </w:p>
        </w:tc>
        <w:tc>
          <w:tcPr>
            <w:tcW w:w="6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2026</w:t>
            </w: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8"/>
                <w:szCs w:val="18"/>
                <w:color w:val="auto"/>
              </w:rPr>
              <w:t>Net income attributable to Republic</w:t>
            </w:r>
          </w:p>
        </w:tc>
        <w:tc>
          <w:tcPr>
            <w:tcW w:w="2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Inc. and net income margin</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Net income attributable to non-</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controlling interests</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6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Accretion</w:t>
            </w: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4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440" w:type="dxa"/>
            <w:vAlign w:val="bottom"/>
            <w:tcBorders>
              <w:bottom w:val="single" w:sz="8" w:color="CCEEFF"/>
            </w:tcBorders>
          </w:tcPr>
          <w:p>
            <w:pPr>
              <w:spacing w:after="0"/>
              <w:rPr>
                <w:sz w:val="21"/>
                <w:szCs w:val="21"/>
                <w:color w:val="auto"/>
              </w:rPr>
            </w:pPr>
          </w:p>
        </w:tc>
        <w:tc>
          <w:tcPr>
            <w:tcW w:w="6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400" w:type="dxa"/>
            <w:vAlign w:val="bottom"/>
            <w:tcBorders>
              <w:bottom w:val="single" w:sz="8" w:color="CCEEFF"/>
            </w:tcBorders>
          </w:tcPr>
          <w:p>
            <w:pPr>
              <w:spacing w:after="0"/>
              <w:rPr>
                <w:sz w:val="21"/>
                <w:szCs w:val="21"/>
                <w:color w:val="auto"/>
              </w:rPr>
            </w:pPr>
          </w:p>
        </w:tc>
        <w:tc>
          <w:tcPr>
            <w:tcW w:w="6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 and EBITDA margin</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1,397</w:t>
            </w: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30.6 %</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4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30.1 %</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w:t>
            </w:r>
          </w:p>
        </w:tc>
        <w:tc>
          <w:tcPr>
            <w:tcW w:w="3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3,871</w:t>
            </w:r>
          </w:p>
        </w:tc>
        <w:tc>
          <w:tcPr>
            <w:tcW w:w="4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0" w:type="dxa"/>
            <w:vAlign w:val="bottom"/>
          </w:tcPr>
          <w:p>
            <w:pPr>
              <w:spacing w:after="0"/>
              <w:rPr>
                <w:sz w:val="1"/>
                <w:szCs w:val="1"/>
                <w:color w:val="auto"/>
              </w:rPr>
            </w:pPr>
          </w:p>
        </w:tc>
      </w:tr>
      <w:tr>
        <w:trPr>
          <w:trHeight w:val="169"/>
        </w:trPr>
        <w:tc>
          <w:tcPr>
            <w:tcW w:w="30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Loss from unconsolidated equity method</w:t>
            </w: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26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304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Gain on business divestitures and</w:t>
            </w:r>
          </w:p>
        </w:tc>
        <w:tc>
          <w:tcPr>
            <w:tcW w:w="2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impairments, net</w:t>
            </w:r>
          </w:p>
        </w:tc>
        <w:tc>
          <w:tcPr>
            <w:tcW w:w="260" w:type="dxa"/>
            <w:vAlign w:val="bottom"/>
          </w:tcPr>
          <w:p>
            <w:pPr>
              <w:spacing w:after="0"/>
              <w:rPr>
                <w:sz w:val="21"/>
                <w:szCs w:val="21"/>
                <w:color w:val="auto"/>
              </w:rPr>
            </w:pPr>
          </w:p>
        </w:tc>
        <w:tc>
          <w:tcPr>
            <w:tcW w:w="10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disruption</w:t>
            </w:r>
          </w:p>
        </w:tc>
        <w:tc>
          <w:tcPr>
            <w:tcW w:w="26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440" w:type="dxa"/>
            <w:vAlign w:val="bottom"/>
            <w:tcBorders>
              <w:bottom w:val="single" w:sz="8" w:color="CCEEFF"/>
            </w:tcBorders>
          </w:tcPr>
          <w:p>
            <w:pPr>
              <w:spacing w:after="0"/>
              <w:rPr>
                <w:sz w:val="20"/>
                <w:szCs w:val="20"/>
                <w:color w:val="auto"/>
              </w:rPr>
            </w:pPr>
          </w:p>
        </w:tc>
        <w:tc>
          <w:tcPr>
            <w:tcW w:w="6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80" w:type="dxa"/>
            <w:vAlign w:val="bottom"/>
            <w:tcBorders>
              <w:bottom w:val="single" w:sz="8" w:color="CCEEFF"/>
            </w:tcBorders>
          </w:tcPr>
          <w:p>
            <w:pPr>
              <w:spacing w:after="0"/>
              <w:rPr>
                <w:sz w:val="20"/>
                <w:szCs w:val="20"/>
                <w:color w:val="auto"/>
              </w:rPr>
            </w:pPr>
          </w:p>
        </w:tc>
        <w:tc>
          <w:tcPr>
            <w:tcW w:w="6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0" w:type="dxa"/>
            <w:vAlign w:val="bottom"/>
            <w:tcBorders>
              <w:bottom w:val="single" w:sz="8" w:color="CCEEFF"/>
            </w:tcBorders>
          </w:tcPr>
          <w:p>
            <w:pPr>
              <w:spacing w:after="0"/>
              <w:rPr>
                <w:sz w:val="20"/>
                <w:szCs w:val="20"/>
                <w:color w:val="auto"/>
              </w:rPr>
            </w:pPr>
          </w:p>
        </w:tc>
        <w:tc>
          <w:tcPr>
            <w:tcW w:w="6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CEEFF"/>
          </w:tcPr>
          <w:p>
            <w:pPr>
              <w:ind w:left="140"/>
              <w:spacing w:after="0" w:line="169" w:lineRule="exact"/>
              <w:rPr>
                <w:sz w:val="20"/>
                <w:szCs w:val="20"/>
                <w:color w:val="auto"/>
              </w:rPr>
            </w:pPr>
            <w:r>
              <w:rPr>
                <w:rFonts w:ascii="Times New Roman" w:cs="Times New Roman" w:eastAsia="Times New Roman" w:hAnsi="Times New Roman"/>
                <w:sz w:val="18"/>
                <w:szCs w:val="18"/>
                <w:color w:val="auto"/>
              </w:rPr>
              <w:t>Adjusted EBITDA and adjusted</w:t>
            </w: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w:t>
            </w:r>
          </w:p>
        </w:tc>
        <w:tc>
          <w:tcPr>
            <w:tcW w:w="4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w:t>
            </w:r>
          </w:p>
        </w:tc>
        <w:tc>
          <w:tcPr>
            <w:tcW w:w="3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vMerge w:val="restart"/>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4,012</w:t>
            </w:r>
          </w:p>
        </w:tc>
        <w:tc>
          <w:tcPr>
            <w:tcW w:w="4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3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EBITDA margin</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660" w:type="dxa"/>
            <w:vAlign w:val="bottom"/>
            <w:tcBorders>
              <w:bottom w:val="single" w:sz="8" w:color="auto"/>
            </w:tcBorders>
            <w:vMerge w:val="continue"/>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640" w:type="dxa"/>
            <w:vAlign w:val="bottom"/>
            <w:tcBorders>
              <w:bottom w:val="single" w:sz="8" w:color="auto"/>
            </w:tcBorders>
            <w:vMerge w:val="continue"/>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0" w:type="dxa"/>
            <w:vAlign w:val="bottom"/>
          </w:tcPr>
          <w:p>
            <w:pPr>
              <w:spacing w:after="0"/>
              <w:rPr>
                <w:sz w:val="1"/>
                <w:szCs w:val="1"/>
                <w:color w:val="auto"/>
              </w:rPr>
            </w:pP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1"/>
        </w:trPr>
        <w:tc>
          <w:tcPr>
            <w:tcW w:w="3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10</w:t>
            </w: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0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Adjusted EBITDA and Adjusted EBITDA Margin by Business Type</w:t>
      </w:r>
    </w:p>
    <w:p>
      <w:pPr>
        <w:spacing w:after="0" w:line="10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revenue, adjusted EBITDA and adjusted EBITDA margin by business type for the three and nine months ended September 30, 2026 and 2025 (in millions of dollars and adjusted EBITDA margin as a percentage of revenue):</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4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880" w:type="dxa"/>
            <w:vAlign w:val="bottom"/>
            <w:tcBorders>
              <w:bottom w:val="single" w:sz="8" w:color="auto"/>
            </w:tcBorders>
            <w:gridSpan w:val="10"/>
          </w:tcPr>
          <w:p>
            <w:pPr>
              <w:jc w:val="right"/>
              <w:ind w:right="699"/>
              <w:spacing w:after="0"/>
              <w:rPr>
                <w:sz w:val="20"/>
                <w:szCs w:val="20"/>
                <w:color w:val="auto"/>
              </w:rPr>
            </w:pPr>
            <w:r>
              <w:rPr>
                <w:rFonts w:ascii="Times New Roman" w:cs="Times New Roman" w:eastAsia="Times New Roman" w:hAnsi="Times New Roman"/>
                <w:sz w:val="16"/>
                <w:szCs w:val="16"/>
                <w:color w:val="auto"/>
              </w:rPr>
              <w:t>Three Months Ended September 30, 2026</w:t>
            </w:r>
          </w:p>
        </w:tc>
        <w:tc>
          <w:tcPr>
            <w:tcW w:w="100" w:type="dxa"/>
            <w:vAlign w:val="bottom"/>
            <w:gridSpan w:val="2"/>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10"/>
          </w:tcPr>
          <w:p>
            <w:pPr>
              <w:jc w:val="center"/>
              <w:ind w:right="319"/>
              <w:spacing w:after="0"/>
              <w:rPr>
                <w:sz w:val="20"/>
                <w:szCs w:val="20"/>
                <w:color w:val="auto"/>
              </w:rPr>
            </w:pPr>
            <w:r>
              <w:rPr>
                <w:rFonts w:ascii="Times New Roman" w:cs="Times New Roman" w:eastAsia="Times New Roman" w:hAnsi="Times New Roman"/>
                <w:sz w:val="16"/>
                <w:szCs w:val="16"/>
                <w:color w:val="auto"/>
              </w:rPr>
              <w:t>Three Months Ended September 30, 2025</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Recycling &amp; Waste</w:t>
            </w:r>
          </w:p>
        </w:tc>
        <w:tc>
          <w:tcPr>
            <w:tcW w:w="180" w:type="dxa"/>
            <w:vAlign w:val="bottom"/>
          </w:tcPr>
          <w:p>
            <w:pPr>
              <w:spacing w:after="0"/>
              <w:rPr>
                <w:sz w:val="14"/>
                <w:szCs w:val="14"/>
                <w:color w:val="auto"/>
              </w:rPr>
            </w:pPr>
          </w:p>
        </w:tc>
        <w:tc>
          <w:tcPr>
            <w:tcW w:w="1400" w:type="dxa"/>
            <w:vAlign w:val="bottom"/>
            <w:gridSpan w:val="4"/>
          </w:tcPr>
          <w:p>
            <w:pPr>
              <w:jc w:val="center"/>
              <w:ind w:right="280"/>
              <w:spacing w:after="0" w:line="172" w:lineRule="exact"/>
              <w:rPr>
                <w:sz w:val="20"/>
                <w:szCs w:val="20"/>
                <w:color w:val="auto"/>
              </w:rPr>
            </w:pPr>
            <w:r>
              <w:rPr>
                <w:rFonts w:ascii="Times New Roman" w:cs="Times New Roman" w:eastAsia="Times New Roman" w:hAnsi="Times New Roman"/>
                <w:sz w:val="16"/>
                <w:szCs w:val="16"/>
                <w:color w:val="auto"/>
              </w:rPr>
              <w:t>Environmental</w:t>
            </w:r>
          </w:p>
        </w:tc>
        <w:tc>
          <w:tcPr>
            <w:tcW w:w="280" w:type="dxa"/>
            <w:vAlign w:val="bottom"/>
          </w:tcPr>
          <w:p>
            <w:pPr>
              <w:spacing w:after="0"/>
              <w:rPr>
                <w:sz w:val="14"/>
                <w:szCs w:val="14"/>
                <w:color w:val="auto"/>
              </w:rPr>
            </w:pPr>
          </w:p>
        </w:tc>
        <w:tc>
          <w:tcPr>
            <w:tcW w:w="11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140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auto"/>
              </w:rPr>
              <w:t>Recycling &amp; Waste</w:t>
            </w:r>
          </w:p>
        </w:tc>
        <w:tc>
          <w:tcPr>
            <w:tcW w:w="180" w:type="dxa"/>
            <w:vAlign w:val="bottom"/>
          </w:tcPr>
          <w:p>
            <w:pPr>
              <w:spacing w:after="0"/>
              <w:rPr>
                <w:sz w:val="14"/>
                <w:szCs w:val="14"/>
                <w:color w:val="auto"/>
              </w:rPr>
            </w:pPr>
          </w:p>
        </w:tc>
        <w:tc>
          <w:tcPr>
            <w:tcW w:w="1400" w:type="dxa"/>
            <w:vAlign w:val="bottom"/>
            <w:gridSpan w:val="4"/>
          </w:tcPr>
          <w:p>
            <w:pPr>
              <w:jc w:val="center"/>
              <w:ind w:right="280"/>
              <w:spacing w:after="0" w:line="172" w:lineRule="exact"/>
              <w:rPr>
                <w:sz w:val="20"/>
                <w:szCs w:val="20"/>
                <w:color w:val="auto"/>
              </w:rPr>
            </w:pPr>
            <w:r>
              <w:rPr>
                <w:rFonts w:ascii="Times New Roman" w:cs="Times New Roman" w:eastAsia="Times New Roman" w:hAnsi="Times New Roman"/>
                <w:sz w:val="16"/>
                <w:szCs w:val="16"/>
                <w:color w:val="auto"/>
              </w:rPr>
              <w:t>Environmental</w:t>
            </w:r>
          </w:p>
        </w:tc>
        <w:tc>
          <w:tcPr>
            <w:tcW w:w="28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center"/>
              <w:ind w:right="260"/>
              <w:spacing w:after="0" w:line="216" w:lineRule="exact"/>
              <w:rPr>
                <w:sz w:val="20"/>
                <w:szCs w:val="20"/>
                <w:color w:val="auto"/>
              </w:rPr>
            </w:pPr>
            <w:r>
              <w:rPr>
                <w:rFonts w:ascii="Times New Roman" w:cs="Times New Roman" w:eastAsia="Times New Roman" w:hAnsi="Times New Roman"/>
                <w:sz w:val="16"/>
                <w:szCs w:val="16"/>
                <w:color w:val="auto"/>
                <w:w w:val="96"/>
              </w:rPr>
              <w:t>Solutions</w:t>
            </w:r>
            <w:r>
              <w:rPr>
                <w:rFonts w:ascii="Times New Roman" w:cs="Times New Roman" w:eastAsia="Times New Roman" w:hAnsi="Times New Roman"/>
                <w:sz w:val="21"/>
                <w:szCs w:val="21"/>
                <w:color w:val="auto"/>
                <w:w w:val="96"/>
                <w:vertAlign w:val="superscript"/>
              </w:rPr>
              <w:t>(b)</w:t>
            </w:r>
          </w:p>
        </w:tc>
        <w:tc>
          <w:tcPr>
            <w:tcW w:w="280" w:type="dxa"/>
            <w:vAlign w:val="bottom"/>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1400" w:type="dxa"/>
            <w:vAlign w:val="bottom"/>
            <w:gridSpan w:val="4"/>
            <w:vMerge w:val="continue"/>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4"/>
          </w:tcPr>
          <w:p>
            <w:pPr>
              <w:jc w:val="center"/>
              <w:ind w:right="260"/>
              <w:spacing w:after="0"/>
              <w:rPr>
                <w:sz w:val="20"/>
                <w:szCs w:val="20"/>
                <w:color w:val="auto"/>
              </w:rPr>
            </w:pPr>
            <w:r>
              <w:rPr>
                <w:rFonts w:ascii="Times New Roman" w:cs="Times New Roman" w:eastAsia="Times New Roman" w:hAnsi="Times New Roman"/>
                <w:sz w:val="16"/>
                <w:szCs w:val="16"/>
                <w:color w:val="auto"/>
              </w:rPr>
              <w:t>Solutions</w:t>
            </w:r>
          </w:p>
        </w:tc>
        <w:tc>
          <w:tcPr>
            <w:tcW w:w="28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tcBorders>
              <w:top w:val="single" w:sz="8" w:color="auto"/>
            </w:tcBorders>
            <w:gridSpan w:val="2"/>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4,030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529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4,559</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3,779</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433</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4,212</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(a)</w:t>
            </w:r>
          </w:p>
        </w:tc>
        <w:tc>
          <w:tcPr>
            <w:tcW w:w="40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1,315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1,449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1,292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1,383</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32.6 %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25.4 %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31.8 %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34.2 %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32.8 %</w:t>
            </w:r>
          </w:p>
        </w:tc>
        <w:tc>
          <w:tcPr>
            <w:tcW w:w="0" w:type="dxa"/>
            <w:vAlign w:val="bottom"/>
          </w:tcPr>
          <w:p>
            <w:pPr>
              <w:spacing w:after="0"/>
              <w:rPr>
                <w:sz w:val="1"/>
                <w:szCs w:val="1"/>
                <w:color w:val="auto"/>
              </w:rPr>
            </w:pPr>
          </w:p>
        </w:tc>
      </w:tr>
      <w:tr>
        <w:trPr>
          <w:trHeight w:val="443"/>
        </w:trPr>
        <w:tc>
          <w:tcPr>
            <w:tcW w:w="2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1"/>
          </w:tcPr>
          <w:p>
            <w:pPr>
              <w:jc w:val="center"/>
              <w:ind w:right="400"/>
              <w:spacing w:after="0"/>
              <w:rPr>
                <w:sz w:val="20"/>
                <w:szCs w:val="20"/>
                <w:color w:val="auto"/>
              </w:rPr>
            </w:pPr>
            <w:r>
              <w:rPr>
                <w:rFonts w:ascii="Times New Roman" w:cs="Times New Roman" w:eastAsia="Times New Roman" w:hAnsi="Times New Roman"/>
                <w:sz w:val="16"/>
                <w:szCs w:val="16"/>
                <w:color w:val="auto"/>
              </w:rPr>
              <w:t>Nine Months Ended September 30, 2026</w:t>
            </w: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10"/>
          </w:tcPr>
          <w:p>
            <w:pPr>
              <w:jc w:val="center"/>
              <w:ind w:right="299"/>
              <w:spacing w:after="0"/>
              <w:rPr>
                <w:sz w:val="20"/>
                <w:szCs w:val="20"/>
                <w:color w:val="auto"/>
              </w:rPr>
            </w:pPr>
            <w:r>
              <w:rPr>
                <w:rFonts w:ascii="Times New Roman" w:cs="Times New Roman" w:eastAsia="Times New Roman" w:hAnsi="Times New Roman"/>
                <w:sz w:val="16"/>
                <w:szCs w:val="16"/>
                <w:color w:val="auto"/>
              </w:rPr>
              <w:t>Nine Months Ended September 30, 2025</w:t>
            </w:r>
          </w:p>
        </w:tc>
        <w:tc>
          <w:tcPr>
            <w:tcW w:w="0" w:type="dxa"/>
            <w:vAlign w:val="bottom"/>
          </w:tcPr>
          <w:p>
            <w:pPr>
              <w:spacing w:after="0"/>
              <w:rPr>
                <w:sz w:val="1"/>
                <w:szCs w:val="1"/>
                <w:color w:val="auto"/>
              </w:rPr>
            </w:pPr>
          </w:p>
        </w:tc>
      </w:tr>
      <w:tr>
        <w:trPr>
          <w:trHeight w:val="172"/>
        </w:trPr>
        <w:tc>
          <w:tcPr>
            <w:tcW w:w="2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Recycling &amp; Waste</w:t>
            </w:r>
          </w:p>
        </w:tc>
        <w:tc>
          <w:tcPr>
            <w:tcW w:w="10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300"/>
              <w:spacing w:after="0" w:line="172" w:lineRule="exact"/>
              <w:rPr>
                <w:sz w:val="20"/>
                <w:szCs w:val="20"/>
                <w:color w:val="auto"/>
              </w:rPr>
            </w:pPr>
            <w:r>
              <w:rPr>
                <w:rFonts w:ascii="Times New Roman" w:cs="Times New Roman" w:eastAsia="Times New Roman" w:hAnsi="Times New Roman"/>
                <w:sz w:val="16"/>
                <w:szCs w:val="16"/>
                <w:color w:val="auto"/>
              </w:rPr>
              <w:t>Environmental</w:t>
            </w:r>
          </w:p>
        </w:tc>
        <w:tc>
          <w:tcPr>
            <w:tcW w:w="280" w:type="dxa"/>
            <w:vAlign w:val="bottom"/>
          </w:tcPr>
          <w:p>
            <w:pPr>
              <w:spacing w:after="0"/>
              <w:rPr>
                <w:sz w:val="14"/>
                <w:szCs w:val="14"/>
                <w:color w:val="auto"/>
              </w:rPr>
            </w:pPr>
          </w:p>
        </w:tc>
        <w:tc>
          <w:tcPr>
            <w:tcW w:w="10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auto"/>
              </w:rPr>
              <w:t>Total</w:t>
            </w:r>
          </w:p>
        </w:tc>
        <w:tc>
          <w:tcPr>
            <w:tcW w:w="80" w:type="dxa"/>
            <w:vAlign w:val="bottom"/>
            <w:vMerge w:val="restart"/>
          </w:tcPr>
          <w:p>
            <w:pPr>
              <w:spacing w:after="0"/>
              <w:rPr>
                <w:sz w:val="14"/>
                <w:szCs w:val="1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color w:val="auto"/>
              </w:rPr>
              <w:t>Recycling &amp; Waste</w:t>
            </w:r>
          </w:p>
        </w:tc>
        <w:tc>
          <w:tcPr>
            <w:tcW w:w="100" w:type="dxa"/>
            <w:vAlign w:val="bottom"/>
            <w:gridSpan w:val="2"/>
            <w:vMerge w:val="restart"/>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4"/>
          </w:tcPr>
          <w:p>
            <w:pPr>
              <w:jc w:val="center"/>
              <w:ind w:right="300"/>
              <w:spacing w:after="0" w:line="172" w:lineRule="exact"/>
              <w:rPr>
                <w:sz w:val="20"/>
                <w:szCs w:val="20"/>
                <w:color w:val="auto"/>
              </w:rPr>
            </w:pPr>
            <w:r>
              <w:rPr>
                <w:rFonts w:ascii="Times New Roman" w:cs="Times New Roman" w:eastAsia="Times New Roman" w:hAnsi="Times New Roman"/>
                <w:sz w:val="16"/>
                <w:szCs w:val="16"/>
                <w:color w:val="auto"/>
              </w:rPr>
              <w:t>Environmental</w:t>
            </w:r>
          </w:p>
        </w:tc>
        <w:tc>
          <w:tcPr>
            <w:tcW w:w="280" w:type="dxa"/>
            <w:vAlign w:val="bottom"/>
          </w:tcPr>
          <w:p>
            <w:pPr>
              <w:spacing w:after="0"/>
              <w:rPr>
                <w:sz w:val="14"/>
                <w:szCs w:val="14"/>
                <w:color w:val="auto"/>
              </w:rPr>
            </w:pPr>
          </w:p>
        </w:tc>
        <w:tc>
          <w:tcPr>
            <w:tcW w:w="1020" w:type="dxa"/>
            <w:vAlign w:val="bottom"/>
            <w:vMerge w:val="restart"/>
          </w:tcPr>
          <w:p>
            <w:pPr>
              <w:jc w:val="right"/>
              <w:ind w:right="419"/>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216"/>
        </w:trPr>
        <w:tc>
          <w:tcPr>
            <w:tcW w:w="24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line="216" w:lineRule="exact"/>
              <w:rPr>
                <w:sz w:val="20"/>
                <w:szCs w:val="20"/>
                <w:color w:val="auto"/>
              </w:rPr>
            </w:pPr>
            <w:r>
              <w:rPr>
                <w:rFonts w:ascii="Times New Roman" w:cs="Times New Roman" w:eastAsia="Times New Roman" w:hAnsi="Times New Roman"/>
                <w:sz w:val="16"/>
                <w:szCs w:val="16"/>
                <w:color w:val="auto"/>
                <w:w w:val="96"/>
              </w:rPr>
              <w:t>Solutions</w:t>
            </w:r>
            <w:r>
              <w:rPr>
                <w:rFonts w:ascii="Times New Roman" w:cs="Times New Roman" w:eastAsia="Times New Roman" w:hAnsi="Times New Roman"/>
                <w:sz w:val="21"/>
                <w:szCs w:val="21"/>
                <w:color w:val="auto"/>
                <w:w w:val="96"/>
                <w:vertAlign w:val="superscript"/>
              </w:rPr>
              <w:t>(b)</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1300" w:type="dxa"/>
            <w:vAlign w:val="bottom"/>
            <w:tcBorders>
              <w:bottom w:val="single" w:sz="8" w:color="auto"/>
            </w:tcBorders>
            <w:gridSpan w:val="2"/>
            <w:vMerge w:val="continue"/>
          </w:tcPr>
          <w:p>
            <w:pPr>
              <w:spacing w:after="0"/>
              <w:rPr>
                <w:sz w:val="18"/>
                <w:szCs w:val="18"/>
                <w:color w:val="auto"/>
              </w:rPr>
            </w:pPr>
          </w:p>
        </w:tc>
        <w:tc>
          <w:tcPr>
            <w:tcW w:w="100" w:type="dxa"/>
            <w:vAlign w:val="bottom"/>
            <w:tcBorders>
              <w:bottom w:val="single" w:sz="8" w:color="CCEEFF"/>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99"/>
              <w:spacing w:after="0" w:line="216" w:lineRule="exact"/>
              <w:rPr>
                <w:sz w:val="20"/>
                <w:szCs w:val="20"/>
                <w:color w:val="auto"/>
              </w:rPr>
            </w:pPr>
            <w:r>
              <w:rPr>
                <w:rFonts w:ascii="Times New Roman" w:cs="Times New Roman" w:eastAsia="Times New Roman" w:hAnsi="Times New Roman"/>
                <w:sz w:val="16"/>
                <w:szCs w:val="16"/>
                <w:color w:val="auto"/>
                <w:w w:val="96"/>
              </w:rPr>
              <w:t>Solutions</w:t>
            </w:r>
            <w:r>
              <w:rPr>
                <w:rFonts w:ascii="Times New Roman" w:cs="Times New Roman" w:eastAsia="Times New Roman" w:hAnsi="Times New Roman"/>
                <w:sz w:val="21"/>
                <w:szCs w:val="21"/>
                <w:color w:val="auto"/>
                <w:w w:val="96"/>
                <w:vertAlign w:val="superscript"/>
              </w:rPr>
              <w:t>(b)</w:t>
            </w:r>
          </w:p>
        </w:tc>
        <w:tc>
          <w:tcPr>
            <w:tcW w:w="100" w:type="dxa"/>
            <w:vAlign w:val="bottom"/>
            <w:tcBorders>
              <w:bottom w:val="single" w:sz="8" w:color="CCEEFF"/>
            </w:tcBorders>
            <w:gridSpan w:val="2"/>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400" w:type="dxa"/>
            <w:vAlign w:val="bottom"/>
            <w:gridSpan w:val="2"/>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11,711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1,392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13,103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11,112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12,456</w:t>
            </w:r>
          </w:p>
        </w:tc>
        <w:tc>
          <w:tcPr>
            <w:tcW w:w="0" w:type="dxa"/>
            <w:vAlign w:val="bottom"/>
          </w:tcPr>
          <w:p>
            <w:pPr>
              <w:spacing w:after="0"/>
              <w:rPr>
                <w:sz w:val="1"/>
                <w:szCs w:val="1"/>
                <w:color w:val="auto"/>
              </w:rPr>
            </w:pPr>
          </w:p>
        </w:tc>
      </w:tr>
      <w:tr>
        <w:trPr>
          <w:trHeight w:val="229"/>
        </w:trPr>
        <w:tc>
          <w:tcPr>
            <w:tcW w:w="2400" w:type="dxa"/>
            <w:vAlign w:val="bottom"/>
          </w:tcPr>
          <w:p>
            <w:pPr>
              <w:ind w:left="20"/>
              <w:spacing w:after="0" w:line="230"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1"/>
                <w:szCs w:val="21"/>
                <w:color w:val="auto"/>
                <w:vertAlign w:val="superscript"/>
              </w:rPr>
              <w:t>(a)</w:t>
            </w:r>
          </w:p>
        </w:tc>
        <w:tc>
          <w:tcPr>
            <w:tcW w:w="40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3,890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4,194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298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4,012</w:t>
            </w:r>
          </w:p>
        </w:tc>
        <w:tc>
          <w:tcPr>
            <w:tcW w:w="0" w:type="dxa"/>
            <w:vAlign w:val="bottom"/>
          </w:tcPr>
          <w:p>
            <w:pPr>
              <w:spacing w:after="0"/>
              <w:rPr>
                <w:sz w:val="1"/>
                <w:szCs w:val="1"/>
                <w:color w:val="auto"/>
              </w:rPr>
            </w:pPr>
          </w:p>
        </w:tc>
      </w:tr>
      <w:tr>
        <w:trPr>
          <w:trHeight w:val="229"/>
        </w:trPr>
        <w:tc>
          <w:tcPr>
            <w:tcW w:w="2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i w:val="1"/>
                <w:iCs w:val="1"/>
                <w:color w:val="auto"/>
              </w:rPr>
              <w:t>Adjusted EBITDA Margin</w:t>
            </w: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33.2 %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21.9 %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32.0 %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33.4 %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22.1 %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32.2 %</w:t>
            </w: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160" w:hanging="152"/>
        <w:spacing w:after="0"/>
        <w:tabs>
          <w:tab w:leader="none" w:pos="16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Certain corporate expenses, including selling, general and administrative expenses, and National Accounts revenue are allocated to the two business types.</w:t>
      </w:r>
    </w:p>
    <w:p>
      <w:pPr>
        <w:spacing w:after="0" w:line="5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Adjusted EBITDA Margin does not calculate due to rounding.</w:t>
      </w:r>
    </w:p>
    <w:p>
      <w:pPr>
        <w:spacing w:after="0" w:line="21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amounts shown for Recycling &amp; Waste represent the sum of our Group 1 and Group 2 reportable segments, and Environmental Solutions represents our Group 3 reportable segment.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Diluted Earnings Per Share</w:t>
      </w:r>
    </w:p>
    <w:p>
      <w:pPr>
        <w:spacing w:after="0" w:line="108" w:lineRule="exact"/>
        <w:rPr>
          <w:sz w:val="20"/>
          <w:szCs w:val="20"/>
          <w:color w:val="auto"/>
        </w:rPr>
      </w:pPr>
    </w:p>
    <w:p>
      <w:pPr>
        <w:ind w:right="60"/>
        <w:spacing w:after="0" w:line="279" w:lineRule="auto"/>
        <w:rPr>
          <w:sz w:val="20"/>
          <w:szCs w:val="20"/>
          <w:color w:val="auto"/>
        </w:rPr>
      </w:pPr>
      <w:r>
        <w:rPr>
          <w:rFonts w:ascii="Times New Roman" w:cs="Times New Roman" w:eastAsia="Times New Roman" w:hAnsi="Times New Roman"/>
          <w:sz w:val="18"/>
          <w:szCs w:val="18"/>
          <w:color w:val="auto"/>
        </w:rPr>
        <w:t>The following table calculates adjusted pre-tax income, adjusted tax impact, adjusted net income - Republic, and adjusted diluted earnings per share for the three and nine months ended September 30, 2026 and 2025 (in millions of dollars except per share data):</w:t>
      </w:r>
    </w:p>
    <w:tbl>
      <w:tblPr>
        <w:tblLayout w:type="fixed"/>
        <w:tblInd w:w="0" w:type="dxa"/>
        <w:tblCellMar>
          <w:top w:w="0" w:type="dxa"/>
          <w:left w:w="0" w:type="dxa"/>
          <w:bottom w:w="0" w:type="dxa"/>
          <w:right w:w="0" w:type="dxa"/>
        </w:tblCellMar>
      </w:tblPr>
      <w:tr>
        <w:trPr>
          <w:trHeight w:val="188"/>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11"/>
          </w:tcPr>
          <w:p>
            <w:pPr>
              <w:ind w:left="400"/>
              <w:spacing w:after="0"/>
              <w:rPr>
                <w:sz w:val="20"/>
                <w:szCs w:val="20"/>
                <w:color w:val="auto"/>
              </w:rPr>
            </w:pPr>
            <w:r>
              <w:rPr>
                <w:rFonts w:ascii="Times New Roman" w:cs="Times New Roman" w:eastAsia="Times New Roman" w:hAnsi="Times New Roman"/>
                <w:sz w:val="14"/>
                <w:szCs w:val="14"/>
                <w:color w:val="auto"/>
              </w:rPr>
              <w:t>Three Months Ended September 30, 2026</w:t>
            </w:r>
          </w:p>
        </w:tc>
        <w:tc>
          <w:tcPr>
            <w:tcW w:w="120" w:type="dxa"/>
            <w:vAlign w:val="bottom"/>
          </w:tcPr>
          <w:p>
            <w:pPr>
              <w:spacing w:after="0"/>
              <w:rPr>
                <w:sz w:val="16"/>
                <w:szCs w:val="16"/>
                <w:color w:val="auto"/>
              </w:rPr>
            </w:pPr>
          </w:p>
        </w:tc>
        <w:tc>
          <w:tcPr>
            <w:tcW w:w="3320" w:type="dxa"/>
            <w:vAlign w:val="bottom"/>
            <w:gridSpan w:val="10"/>
          </w:tcPr>
          <w:p>
            <w:pPr>
              <w:jc w:val="right"/>
              <w:ind w:right="448"/>
              <w:spacing w:after="0"/>
              <w:rPr>
                <w:sz w:val="20"/>
                <w:szCs w:val="20"/>
                <w:color w:val="auto"/>
              </w:rPr>
            </w:pPr>
            <w:r>
              <w:rPr>
                <w:rFonts w:ascii="Times New Roman" w:cs="Times New Roman" w:eastAsia="Times New Roman" w:hAnsi="Times New Roman"/>
                <w:sz w:val="14"/>
                <w:szCs w:val="14"/>
                <w:color w:val="auto"/>
              </w:rPr>
              <w:t>Three Months Ended September 30, 2025</w:t>
            </w:r>
          </w:p>
        </w:tc>
      </w:tr>
      <w:tr>
        <w:trPr>
          <w:trHeight w:val="23"/>
        </w:trPr>
        <w:tc>
          <w:tcPr>
            <w:tcW w:w="4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Diluted</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Earnings</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Pre-tax</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1"/>
              </w:rPr>
              <w:t>Tax</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per</w:t>
            </w:r>
          </w:p>
        </w:tc>
        <w:tc>
          <w:tcPr>
            <w:tcW w:w="1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Pre-tax</w:t>
            </w: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per</w:t>
            </w:r>
          </w:p>
        </w:tc>
      </w:tr>
      <w:tr>
        <w:trPr>
          <w:trHeight w:val="240"/>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Impact</w:t>
            </w:r>
            <w:r>
              <w:rPr>
                <w:rFonts w:ascii="Times New Roman" w:cs="Times New Roman" w:eastAsia="Times New Roman" w:hAnsi="Times New Roman"/>
                <w:sz w:val="18"/>
                <w:szCs w:val="18"/>
                <w:color w:val="auto"/>
                <w:w w:val="98"/>
                <w:vertAlign w:val="superscript"/>
              </w:rPr>
              <w:t>(1)</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4"/>
              </w:rPr>
              <w:t>Impact</w:t>
            </w:r>
            <w:r>
              <w:rPr>
                <w:rFonts w:ascii="Times New Roman" w:cs="Times New Roman" w:eastAsia="Times New Roman" w:hAnsi="Times New Roman"/>
                <w:sz w:val="18"/>
                <w:szCs w:val="18"/>
                <w:color w:val="auto"/>
                <w:w w:val="94"/>
                <w:vertAlign w:val="superscript"/>
              </w:rPr>
              <w:t>(1)</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00" w:type="dxa"/>
            <w:vAlign w:val="bottom"/>
          </w:tcPr>
          <w:p>
            <w:pPr>
              <w:spacing w:after="0"/>
              <w:rPr>
                <w:sz w:val="20"/>
                <w:szCs w:val="20"/>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r>
      <w:tr>
        <w:trPr>
          <w:trHeight w:val="189"/>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r>
      <w:tr>
        <w:trPr>
          <w:trHeight w:val="193"/>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r>
      <w:tr>
        <w:trPr>
          <w:trHeight w:val="2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Labor disruption</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20"/>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divestitures and impairments, net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4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0"/>
        </w:trPr>
        <w:tc>
          <w:tcPr>
            <w:tcW w:w="4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0.14</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594</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1.90</w:t>
            </w: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r>
      <w:tr>
        <w:trPr>
          <w:trHeight w:val="388"/>
        </w:trPr>
        <w:tc>
          <w:tcPr>
            <w:tcW w:w="4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20" w:type="dxa"/>
            <w:vAlign w:val="bottom"/>
            <w:gridSpan w:val="11"/>
          </w:tcPr>
          <w:p>
            <w:pPr>
              <w:ind w:left="420"/>
              <w:spacing w:after="0"/>
              <w:rPr>
                <w:sz w:val="20"/>
                <w:szCs w:val="20"/>
                <w:color w:val="auto"/>
              </w:rPr>
            </w:pPr>
            <w:r>
              <w:rPr>
                <w:rFonts w:ascii="Times New Roman" w:cs="Times New Roman" w:eastAsia="Times New Roman" w:hAnsi="Times New Roman"/>
                <w:sz w:val="14"/>
                <w:szCs w:val="14"/>
                <w:color w:val="auto"/>
              </w:rPr>
              <w:t>Nine Months Ended September 30, 2026</w:t>
            </w:r>
          </w:p>
        </w:tc>
        <w:tc>
          <w:tcPr>
            <w:tcW w:w="120" w:type="dxa"/>
            <w:vAlign w:val="bottom"/>
          </w:tcPr>
          <w:p>
            <w:pPr>
              <w:spacing w:after="0"/>
              <w:rPr>
                <w:sz w:val="24"/>
                <w:szCs w:val="24"/>
                <w:color w:val="auto"/>
              </w:rPr>
            </w:pPr>
          </w:p>
        </w:tc>
        <w:tc>
          <w:tcPr>
            <w:tcW w:w="3320" w:type="dxa"/>
            <w:vAlign w:val="bottom"/>
            <w:gridSpan w:val="10"/>
          </w:tcPr>
          <w:p>
            <w:pPr>
              <w:jc w:val="right"/>
              <w:ind w:right="468"/>
              <w:spacing w:after="0"/>
              <w:rPr>
                <w:sz w:val="20"/>
                <w:szCs w:val="20"/>
                <w:color w:val="auto"/>
              </w:rPr>
            </w:pPr>
            <w:r>
              <w:rPr>
                <w:rFonts w:ascii="Times New Roman" w:cs="Times New Roman" w:eastAsia="Times New Roman" w:hAnsi="Times New Roman"/>
                <w:sz w:val="14"/>
                <w:szCs w:val="14"/>
                <w:color w:val="auto"/>
              </w:rPr>
              <w:t>Nine Months Ended September 30, 2025</w:t>
            </w:r>
          </w:p>
        </w:tc>
      </w:tr>
      <w:tr>
        <w:trPr>
          <w:trHeight w:val="23"/>
        </w:trPr>
        <w:tc>
          <w:tcPr>
            <w:tcW w:w="4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186"/>
        </w:trPr>
        <w:tc>
          <w:tcPr>
            <w:tcW w:w="4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Diluted</w:t>
            </w: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w w:val="99"/>
              </w:rPr>
              <w:t>Diluted</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Net</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Earnings</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Net</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Earnings</w:t>
            </w:r>
          </w:p>
        </w:tc>
      </w:tr>
      <w:tr>
        <w:trPr>
          <w:trHeight w:val="216"/>
        </w:trPr>
        <w:tc>
          <w:tcPr>
            <w:tcW w:w="4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Pre-tax</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1"/>
              </w:rPr>
              <w:t>Tax</w:t>
            </w:r>
          </w:p>
        </w:tc>
        <w:tc>
          <w:tcPr>
            <w:tcW w:w="10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per</w:t>
            </w:r>
          </w:p>
        </w:tc>
        <w:tc>
          <w:tcPr>
            <w:tcW w:w="120" w:type="dxa"/>
            <w:vAlign w:val="bottom"/>
          </w:tcPr>
          <w:p>
            <w:pPr>
              <w:spacing w:after="0"/>
              <w:rPr>
                <w:sz w:val="18"/>
                <w:szCs w:val="18"/>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Pre-tax</w:t>
            </w:r>
          </w:p>
        </w:tc>
        <w:tc>
          <w:tcPr>
            <w:tcW w:w="100" w:type="dxa"/>
            <w:vAlign w:val="bottom"/>
          </w:tcPr>
          <w:p>
            <w:pPr>
              <w:spacing w:after="0"/>
              <w:rPr>
                <w:sz w:val="18"/>
                <w:szCs w:val="18"/>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rPr>
              <w:t>Tax</w:t>
            </w:r>
          </w:p>
        </w:tc>
        <w:tc>
          <w:tcPr>
            <w:tcW w:w="120" w:type="dxa"/>
            <w:vAlign w:val="bottom"/>
          </w:tcPr>
          <w:p>
            <w:pPr>
              <w:spacing w:after="0"/>
              <w:rPr>
                <w:sz w:val="18"/>
                <w:szCs w:val="18"/>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Income -</w:t>
            </w:r>
          </w:p>
        </w:tc>
        <w:tc>
          <w:tcPr>
            <w:tcW w:w="100" w:type="dxa"/>
            <w:vAlign w:val="bottom"/>
          </w:tcPr>
          <w:p>
            <w:pPr>
              <w:spacing w:after="0"/>
              <w:rPr>
                <w:sz w:val="18"/>
                <w:szCs w:val="18"/>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per</w:t>
            </w:r>
          </w:p>
        </w:tc>
      </w:tr>
      <w:tr>
        <w:trPr>
          <w:trHeight w:val="239"/>
        </w:trPr>
        <w:tc>
          <w:tcPr>
            <w:tcW w:w="4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w w:val="98"/>
              </w:rPr>
              <w:t>Impact</w:t>
            </w:r>
            <w:r>
              <w:rPr>
                <w:rFonts w:ascii="Times New Roman" w:cs="Times New Roman" w:eastAsia="Times New Roman" w:hAnsi="Times New Roman"/>
                <w:sz w:val="18"/>
                <w:szCs w:val="18"/>
                <w:color w:val="auto"/>
                <w:w w:val="98"/>
                <w:vertAlign w:val="superscript"/>
              </w:rPr>
              <w:t>(1)</w:t>
            </w:r>
          </w:p>
        </w:tc>
        <w:tc>
          <w:tcPr>
            <w:tcW w:w="10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Share</w:t>
            </w:r>
          </w:p>
        </w:tc>
        <w:tc>
          <w:tcPr>
            <w:tcW w:w="120" w:type="dxa"/>
            <w:vAlign w:val="bottom"/>
          </w:tcPr>
          <w:p>
            <w:pPr>
              <w:spacing w:after="0"/>
              <w:rPr>
                <w:sz w:val="20"/>
                <w:szCs w:val="20"/>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Income</w:t>
            </w:r>
          </w:p>
        </w:tc>
        <w:tc>
          <w:tcPr>
            <w:tcW w:w="100" w:type="dxa"/>
            <w:vAlign w:val="bottom"/>
          </w:tcPr>
          <w:p>
            <w:pPr>
              <w:spacing w:after="0"/>
              <w:rPr>
                <w:sz w:val="20"/>
                <w:szCs w:val="20"/>
                <w:color w:val="auto"/>
              </w:rPr>
            </w:pPr>
          </w:p>
        </w:tc>
        <w:tc>
          <w:tcPr>
            <w:tcW w:w="7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4"/>
              </w:rPr>
              <w:t>Impact</w:t>
            </w:r>
            <w:r>
              <w:rPr>
                <w:rFonts w:ascii="Times New Roman" w:cs="Times New Roman" w:eastAsia="Times New Roman" w:hAnsi="Times New Roman"/>
                <w:sz w:val="18"/>
                <w:szCs w:val="18"/>
                <w:color w:val="auto"/>
                <w:w w:val="94"/>
                <w:vertAlign w:val="superscript"/>
              </w:rPr>
              <w:t>(1)</w:t>
            </w:r>
          </w:p>
        </w:tc>
        <w:tc>
          <w:tcPr>
            <w:tcW w:w="120" w:type="dxa"/>
            <w:vAlign w:val="bottom"/>
          </w:tcPr>
          <w:p>
            <w:pPr>
              <w:spacing w:after="0"/>
              <w:rPr>
                <w:sz w:val="20"/>
                <w:szCs w:val="20"/>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Republic</w:t>
            </w:r>
          </w:p>
        </w:tc>
        <w:tc>
          <w:tcPr>
            <w:tcW w:w="100" w:type="dxa"/>
            <w:vAlign w:val="bottom"/>
          </w:tcPr>
          <w:p>
            <w:pPr>
              <w:spacing w:after="0"/>
              <w:rPr>
                <w:sz w:val="20"/>
                <w:szCs w:val="20"/>
                <w:color w:val="auto"/>
              </w:rPr>
            </w:pPr>
          </w:p>
        </w:tc>
        <w:tc>
          <w:tcPr>
            <w:tcW w:w="68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Share</w:t>
            </w:r>
          </w:p>
        </w:tc>
      </w:tr>
      <w:tr>
        <w:trPr>
          <w:trHeight w:val="190"/>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As reported</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5.10</w:t>
            </w:r>
          </w:p>
        </w:tc>
      </w:tr>
      <w:tr>
        <w:trPr>
          <w:trHeight w:val="193"/>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charges</w:t>
            </w: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0.03</w:t>
            </w:r>
          </w:p>
        </w:tc>
      </w:tr>
      <w:tr>
        <w:trPr>
          <w:trHeight w:val="23"/>
        </w:trPr>
        <w:tc>
          <w:tcPr>
            <w:tcW w:w="4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23"/>
        </w:trPr>
        <w:tc>
          <w:tcPr>
            <w:tcW w:w="4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Labor disruption</w:t>
            </w:r>
          </w:p>
        </w:tc>
        <w:tc>
          <w:tcPr>
            <w:tcW w:w="12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0.13</w:t>
            </w:r>
          </w:p>
        </w:tc>
      </w:tr>
      <w:tr>
        <w:trPr>
          <w:trHeight w:val="243"/>
        </w:trPr>
        <w:tc>
          <w:tcPr>
            <w:tcW w:w="42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business divestitures and impairments, net</w:t>
            </w:r>
            <w:r>
              <w:rPr>
                <w:rFonts w:ascii="Times New Roman" w:cs="Times New Roman" w:eastAsia="Times New Roman" w:hAnsi="Times New Roman"/>
                <w:sz w:val="18"/>
                <w:szCs w:val="18"/>
                <w:color w:val="auto"/>
                <w:vertAlign w:val="superscript"/>
              </w:rPr>
              <w:t>(2)</w:t>
            </w: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21"/>
                <w:szCs w:val="21"/>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9"/>
        </w:trPr>
        <w:tc>
          <w:tcPr>
            <w:tcW w:w="42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adjustments</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0.16</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As adjusted</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2,082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1,690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5.49</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5.26</w:t>
            </w:r>
          </w:p>
        </w:tc>
      </w:tr>
      <w:tr>
        <w:trPr>
          <w:trHeight w:val="20"/>
        </w:trPr>
        <w:tc>
          <w:tcPr>
            <w:tcW w:w="4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income tax effect related to our adjustments includes both current and deferred income tax impact and is individually calculated based on the statutory rates applicable to each adjustment.</w:t>
      </w:r>
    </w:p>
    <w:p>
      <w:pPr>
        <w:spacing w:after="0" w:line="51" w:lineRule="exact"/>
        <w:rPr>
          <w:rFonts w:ascii="Times New Roman" w:cs="Times New Roman" w:eastAsia="Times New Roman" w:hAnsi="Times New Roman"/>
          <w:sz w:val="12"/>
          <w:szCs w:val="12"/>
          <w:color w:val="auto"/>
        </w:rPr>
      </w:pPr>
    </w:p>
    <w:p>
      <w:pPr>
        <w:ind w:left="180" w:hanging="172"/>
        <w:spacing w:after="0"/>
        <w:tabs>
          <w:tab w:leader="none" w:pos="180" w:val="left"/>
        </w:tabs>
        <w:numPr>
          <w:ilvl w:val="0"/>
          <w:numId w:val="8"/>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aggregate impact to adjusted diluted earnings per share totals to less than $0.01 for the nine months ended September 30, 2026.</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1049" w:right="339" w:bottom="1440" w:gutter="0" w:footer="0" w:header="0"/>
        </w:sectPr>
      </w:pPr>
    </w:p>
    <w:bookmarkStart w:id="16" w:name="page17"/>
    <w:bookmarkEnd w:id="16"/>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that presenting EBITDA and EBITDA margin is useful to investors because they provide important information concerning our operating performance exclusive of certain non-cash and other costs. EBITDA and EBITDA margin demonstrate our ability to execute our financial strategy, which includes reinvesting in existing capital assets to ensure a high level of customer service, investing in capital assets to facilitate growth in our customer base and services provided, maintaining our investment grade credit ratings and minimizing debt, paying cash dividends, repurchasing our common stock, and maintaining and improving our market position through business optimization. Although depreciation, depletion, amortization and accretion are considered operating costs in accordance with U.S. GAAP, they represent the allocation of non-cash costs generally associated with long-lived assets acquired or constructed in prior years.</w:t>
      </w:r>
    </w:p>
    <w:p>
      <w:pPr>
        <w:spacing w:after="0" w:line="6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presenting adjusted EBITDA and adjusted EBITDA margin, adjusted EBITDA margin by business type, adjusted pre-tax income, adjusted tax impact, adjusted net income - Republic, and adjusted diluted earnings per share provide an understanding of operational activities before the financial impact of certain items. We use these measures, and believe investors will find them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w:t>
      </w:r>
    </w:p>
    <w:p>
      <w:pPr>
        <w:spacing w:after="0" w:line="46"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Restructuring charges. </w:t>
      </w:r>
      <w:r>
        <w:rPr>
          <w:rFonts w:ascii="Times New Roman" w:cs="Times New Roman" w:eastAsia="Times New Roman" w:hAnsi="Times New Roman"/>
          <w:sz w:val="18"/>
          <w:szCs w:val="18"/>
          <w:color w:val="auto"/>
        </w:rPr>
        <w:t>During the three and nine months ended September 30, 2026, we incurred restructuring charges of $4 million and $10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and during the three and nine months ended September 30, 2025, we incurred restructuring charges of $3 million and $13 million, respectively. The charges in these periods related primarily to the design and implementation of our new accounts receivable system.</w:t>
      </w:r>
    </w:p>
    <w:p>
      <w:pPr>
        <w:spacing w:after="0" w:line="52"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Labor disruption. </w:t>
      </w:r>
      <w:r>
        <w:rPr>
          <w:rFonts w:ascii="Times New Roman" w:cs="Times New Roman" w:eastAsia="Times New Roman" w:hAnsi="Times New Roman"/>
          <w:sz w:val="18"/>
          <w:szCs w:val="18"/>
          <w:color w:val="auto"/>
        </w:rPr>
        <w:t>During the three and nine months ended September 30, 2025, we experienced labor disruptions in certain isolated markets. The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labor disruptions during both the three and nine months ended September 30, 2025 was $56 million, including $16 million of customer credits and $40 million of cost of operations.</w:t>
      </w:r>
    </w:p>
    <w:p>
      <w:pPr>
        <w:spacing w:after="0" w:line="52"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business divestitures and impairments, net. </w:t>
      </w:r>
      <w:r>
        <w:rPr>
          <w:rFonts w:ascii="Times New Roman" w:cs="Times New Roman" w:eastAsia="Times New Roman" w:hAnsi="Times New Roman"/>
          <w:sz w:val="18"/>
          <w:szCs w:val="18"/>
          <w:color w:val="auto"/>
        </w:rPr>
        <w:t>During the nine months ended September 30, 2026, we recorded a net gain on business divestitures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impairments of $1 million.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calculates our adjusted free cash flow, which is not a measure determined in accordance with U.S. GAAP,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and 2025 (in millions of dollars):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80" w:type="dxa"/>
            <w:vAlign w:val="bottom"/>
          </w:tcPr>
          <w:p>
            <w:pPr>
              <w:spacing w:after="0"/>
              <w:rPr>
                <w:sz w:val="20"/>
                <w:szCs w:val="20"/>
                <w:color w:val="auto"/>
              </w:rPr>
            </w:pPr>
          </w:p>
        </w:tc>
        <w:tc>
          <w:tcPr>
            <w:tcW w:w="3360" w:type="dxa"/>
            <w:vAlign w:val="bottom"/>
            <w:tcBorders>
              <w:bottom w:val="single" w:sz="8" w:color="auto"/>
            </w:tcBorders>
            <w:gridSpan w:val="5"/>
          </w:tcPr>
          <w:p>
            <w:pPr>
              <w:jc w:val="right"/>
              <w:ind w:right="330"/>
              <w:spacing w:after="0"/>
              <w:rPr>
                <w:sz w:val="20"/>
                <w:szCs w:val="20"/>
                <w:color w:val="auto"/>
              </w:rPr>
            </w:pPr>
            <w:r>
              <w:rPr>
                <w:rFonts w:ascii="Times New Roman" w:cs="Times New Roman" w:eastAsia="Times New Roman" w:hAnsi="Times New Roman"/>
                <w:sz w:val="18"/>
                <w:szCs w:val="18"/>
                <w:color w:val="auto"/>
              </w:rPr>
              <w:t>Nine Months Ended September 30,</w:t>
            </w:r>
          </w:p>
        </w:tc>
      </w:tr>
      <w:tr>
        <w:trPr>
          <w:trHeight w:val="236"/>
        </w:trPr>
        <w:tc>
          <w:tcPr>
            <w:tcW w:w="7880" w:type="dxa"/>
            <w:vAlign w:val="bottom"/>
            <w:tcBorders>
              <w:bottom w:val="single" w:sz="8" w:color="CCEEFF"/>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r>
      <w:tr>
        <w:trPr>
          <w:trHeight w:val="237"/>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04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received</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w:t>
            </w: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10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7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payments, net of tax</w:t>
            </w:r>
          </w:p>
        </w:tc>
        <w:tc>
          <w:tcPr>
            <w:tcW w:w="10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7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Labor disruption, net of tax</w:t>
            </w:r>
          </w:p>
        </w:tc>
        <w:tc>
          <w:tcPr>
            <w:tcW w:w="104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37"/>
        </w:trPr>
        <w:tc>
          <w:tcPr>
            <w:tcW w:w="7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Adjusted free cash flow</w:t>
            </w: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2,276</w:t>
            </w:r>
          </w:p>
        </w:tc>
        <w:tc>
          <w:tcPr>
            <w:tcW w:w="80" w:type="dxa"/>
            <w:vAlign w:val="bottom"/>
          </w:tcPr>
          <w:p>
            <w:pPr>
              <w:spacing w:after="0"/>
              <w:rPr>
                <w:sz w:val="20"/>
                <w:szCs w:val="20"/>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w:t>
            </w:r>
          </w:p>
        </w:tc>
      </w:tr>
      <w:tr>
        <w:trPr>
          <w:trHeight w:val="20"/>
        </w:trPr>
        <w:tc>
          <w:tcPr>
            <w:tcW w:w="78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color w:val="auto"/>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w:t>
      </w:r>
    </w:p>
    <w:p>
      <w:pPr>
        <w:spacing w:after="0" w:line="43"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Purchases of property and equipment as reflected on our consolidated statements of cash flows represent amounts paid during the period for such expenditures. A reconciliation of property and equipment expenditures reflected on our consolidated statements of cash flows to property and equipment received during the period follows for the nine months ended September 30, 2026 and 2025 (in millions of dollars):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p>
        </w:tc>
        <w:tc>
          <w:tcPr>
            <w:tcW w:w="32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0" w:type="dxa"/>
            <w:vAlign w:val="bottom"/>
          </w:tcPr>
          <w:p>
            <w:pPr>
              <w:spacing w:after="0"/>
              <w:rPr>
                <w:sz w:val="1"/>
                <w:szCs w:val="1"/>
                <w:color w:val="auto"/>
              </w:rPr>
            </w:pPr>
          </w:p>
        </w:tc>
      </w:tr>
      <w:tr>
        <w:trPr>
          <w:trHeight w:val="237"/>
        </w:trPr>
        <w:tc>
          <w:tcPr>
            <w:tcW w:w="798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54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36"/>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 per the unaudited consolidated statements of cash flows</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r>
        <w:trPr>
          <w:trHeight w:val="243"/>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Adjustments for property and equipment received in a different period</w:t>
            </w:r>
          </w:p>
        </w:tc>
        <w:tc>
          <w:tcPr>
            <w:tcW w:w="108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61"/>
        </w:trPr>
        <w:tc>
          <w:tcPr>
            <w:tcW w:w="7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received during the period</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jc w:val="right"/>
              <w:ind w:right="2170"/>
              <w:spacing w:after="0"/>
              <w:rPr>
                <w:sz w:val="20"/>
                <w:szCs w:val="20"/>
                <w:color w:val="auto"/>
              </w:rPr>
            </w:pPr>
            <w:r>
              <w:rPr>
                <w:rFonts w:ascii="Times New Roman" w:cs="Times New Roman" w:eastAsia="Times New Roman" w:hAnsi="Times New Roman"/>
                <w:sz w:val="18"/>
                <w:szCs w:val="18"/>
                <w:color w:val="auto"/>
              </w:rPr>
              <w:t>12</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4"/>
        </w:trPr>
        <w:tc>
          <w:tcPr>
            <w:tcW w:w="7980" w:type="dxa"/>
            <w:vAlign w:val="bottom"/>
            <w:vMerge w:val="continue"/>
          </w:tcPr>
          <w:p>
            <w:pPr>
              <w:spacing w:after="0"/>
              <w:rPr>
                <w:sz w:val="24"/>
                <w:szCs w:val="24"/>
                <w:color w:val="auto"/>
              </w:rPr>
            </w:pP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53" w:right="339" w:bottom="1440" w:gutter="0" w:footer="0" w:header="0"/>
        </w:sectPr>
      </w:pPr>
    </w:p>
    <w:bookmarkStart w:id="17" w:name="page18"/>
    <w:bookmarkEnd w:id="17"/>
    <w:p>
      <w:pPr>
        <w:ind w:right="540"/>
        <w:spacing w:after="0" w:line="282" w:lineRule="auto"/>
        <w:rPr>
          <w:sz w:val="20"/>
          <w:szCs w:val="20"/>
          <w:color w:val="auto"/>
        </w:rPr>
      </w:pPr>
      <w:r>
        <w:rPr>
          <w:rFonts w:ascii="Times New Roman" w:cs="Times New Roman" w:eastAsia="Times New Roman" w:hAnsi="Times New Roman"/>
          <w:sz w:val="18"/>
          <w:szCs w:val="18"/>
          <w:color w:val="auto"/>
        </w:rPr>
        <w:t>The adjustments noted above do not affect our net change in cash, cash equivalents, restricted cash and restricted cash equivalents as reflected in our consolidated statements of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108"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As of September 30, 2026 and December 31, 2025, accounts receivable were $2,126 million and $1,897 million, net of allowance for doubtful accounts of $59 million and $66 million, respectively, resulting in days sales outstanding of 42.4, or 32.8 days net of deferred revenue, compared to 41.8, or 30.8 days net of deferred revenue,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DIVIDENDS</w:t>
      </w:r>
    </w:p>
    <w:p>
      <w:pPr>
        <w:spacing w:after="0" w:line="94"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July 2026, we paid a cash dividend of $191 million to shareholders of record as of July 2, 2026. As of September 30, 2026, we recorded a quarterly dividend payable of $205 million to shareholders of record at the close of business on October 2, 2026, which was paid on October 15,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08"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we repurchased 0.9 million shares of our common stock for $197 million at a weighted average cost per share of $215.18. As of September 30, 2026, the remaining authorized purchase capacity under our October 2023 repurchase program was approximately $0.8 billion.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FULL-YEAR 2026 FINANCIAL GUIDANCE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EBITDA</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anticipated adjusted EBITDA, which is not a measure determined in accordance with U.S. GAAP, for the year ending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2026 (in millions of dollars):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tcPr>
          <w:p>
            <w:pPr>
              <w:spacing w:after="0"/>
              <w:rPr>
                <w:sz w:val="17"/>
                <w:szCs w:val="17"/>
                <w:color w:val="auto"/>
              </w:rPr>
            </w:pP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(Anticipated)</w:t>
            </w:r>
          </w:p>
        </w:tc>
      </w:tr>
      <w:tr>
        <w:trPr>
          <w:trHeight w:val="176"/>
        </w:trPr>
        <w:tc>
          <w:tcPr>
            <w:tcW w:w="9060" w:type="dxa"/>
            <w:vAlign w:val="bottom"/>
          </w:tcPr>
          <w:p>
            <w:pPr>
              <w:spacing w:after="0"/>
              <w:rPr>
                <w:sz w:val="15"/>
                <w:szCs w:val="15"/>
                <w:color w:val="auto"/>
              </w:rPr>
            </w:pPr>
          </w:p>
        </w:tc>
        <w:tc>
          <w:tcPr>
            <w:tcW w:w="218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color w:val="auto"/>
                <w:w w:val="98"/>
              </w:rPr>
              <w:t>Year Ending December 31,</w:t>
            </w:r>
          </w:p>
        </w:tc>
      </w:tr>
      <w:tr>
        <w:trPr>
          <w:trHeight w:val="239"/>
        </w:trPr>
        <w:tc>
          <w:tcPr>
            <w:tcW w:w="9060" w:type="dxa"/>
            <w:vAlign w:val="bottom"/>
            <w:tcBorders>
              <w:bottom w:val="single" w:sz="8" w:color="CCEEFF"/>
            </w:tcBorders>
          </w:tcPr>
          <w:p>
            <w:pPr>
              <w:spacing w:after="0"/>
              <w:rPr>
                <w:sz w:val="20"/>
                <w:szCs w:val="20"/>
                <w:color w:val="auto"/>
              </w:rPr>
            </w:pPr>
          </w:p>
        </w:tc>
        <w:tc>
          <w:tcPr>
            <w:tcW w:w="1520" w:type="dxa"/>
            <w:vAlign w:val="bottom"/>
            <w:tcBorders>
              <w:bottom w:val="single" w:sz="8" w:color="auto"/>
            </w:tcBorders>
          </w:tcPr>
          <w:p>
            <w:pPr>
              <w:jc w:val="center"/>
              <w:ind w:left="550"/>
              <w:spacing w:after="0"/>
              <w:rPr>
                <w:sz w:val="20"/>
                <w:szCs w:val="20"/>
                <w:color w:val="auto"/>
              </w:rPr>
            </w:pPr>
            <w:r>
              <w:rPr>
                <w:rFonts w:ascii="Times New Roman" w:cs="Times New Roman" w:eastAsia="Times New Roman" w:hAnsi="Times New Roman"/>
                <w:sz w:val="18"/>
                <w:szCs w:val="18"/>
                <w:color w:val="auto"/>
                <w:w w:val="99"/>
              </w:rPr>
              <w:t>2026</w:t>
            </w:r>
          </w:p>
        </w:tc>
        <w:tc>
          <w:tcPr>
            <w:tcW w:w="660" w:type="dxa"/>
            <w:vAlign w:val="bottom"/>
            <w:tcBorders>
              <w:bottom w:val="single" w:sz="8" w:color="auto"/>
            </w:tcBorders>
          </w:tcPr>
          <w:p>
            <w:pPr>
              <w:spacing w:after="0"/>
              <w:rPr>
                <w:sz w:val="20"/>
                <w:szCs w:val="20"/>
                <w:color w:val="auto"/>
              </w:rPr>
            </w:pPr>
          </w:p>
        </w:tc>
      </w:tr>
      <w:tr>
        <w:trPr>
          <w:trHeight w:val="241"/>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Republic Services, Inc.</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$ 2,210</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- 2,220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1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520 - 525</w:t>
            </w:r>
          </w:p>
        </w:tc>
      </w:tr>
      <w:tr>
        <w:trPr>
          <w:trHeight w:val="24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152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15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610</w:t>
            </w:r>
          </w:p>
        </w:tc>
      </w:tr>
      <w:tr>
        <w:trPr>
          <w:trHeight w:val="24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depletion, amortization and accretion</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- 2,035</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unconsolidated equity method investments</w:t>
            </w:r>
          </w:p>
        </w:tc>
        <w:tc>
          <w:tcPr>
            <w:tcW w:w="152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charges</w:t>
            </w:r>
          </w:p>
        </w:tc>
        <w:tc>
          <w:tcPr>
            <w:tcW w:w="15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36"/>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$ 5,550</w:t>
            </w: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- 5,575</w:t>
            </w:r>
          </w:p>
        </w:tc>
      </w:tr>
      <w:tr>
        <w:trPr>
          <w:trHeight w:val="21"/>
        </w:trPr>
        <w:tc>
          <w:tcPr>
            <w:tcW w:w="906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presenting adjusted EBITDA provides an understanding of operational activities before the financial impact of certain items. We use this measure, and believe investors will find it helpful, in understanding the ongoing performance of our operations separate from items that have a disproportionate impact on our results for a particular period. We have incurred comparable charges, costs and recoveries in prior periods, and similar types of adjustments can reasonably be expected to be recorded in future periods. Our definition of adjusted EBITDA may not be comparable to similarly titled measures presented by other companies.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p>
      <w:pPr>
        <w:spacing w:after="0" w:line="108"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18"/>
          <w:szCs w:val="18"/>
          <w:color w:val="auto"/>
        </w:rPr>
        <w:t>Our anticipated adjusted free cash flow, which is not a measure determined in accordance with U.S. GAAP, for the year ending December 31, 2026, is calculated as follows (in millions of dollars):</w:t>
      </w:r>
    </w:p>
    <w:tbl>
      <w:tblPr>
        <w:tblLayout w:type="fixed"/>
        <w:tblInd w:w="0" w:type="dxa"/>
        <w:tblCellMar>
          <w:top w:w="0" w:type="dxa"/>
          <w:left w:w="0" w:type="dxa"/>
          <w:bottom w:w="0" w:type="dxa"/>
          <w:right w:w="0" w:type="dxa"/>
        </w:tblCellMar>
      </w:tblPr>
      <w:tr>
        <w:trPr>
          <w:trHeight w:val="182"/>
        </w:trPr>
        <w:tc>
          <w:tcPr>
            <w:tcW w:w="9060" w:type="dxa"/>
            <w:vAlign w:val="bottom"/>
          </w:tcPr>
          <w:p>
            <w:pPr>
              <w:spacing w:after="0"/>
              <w:rPr>
                <w:sz w:val="15"/>
                <w:szCs w:val="15"/>
                <w:color w:val="auto"/>
              </w:rPr>
            </w:pPr>
          </w:p>
        </w:tc>
        <w:tc>
          <w:tcPr>
            <w:tcW w:w="21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(Anticipated)</w:t>
            </w:r>
          </w:p>
        </w:tc>
      </w:tr>
      <w:tr>
        <w:trPr>
          <w:trHeight w:val="184"/>
        </w:trPr>
        <w:tc>
          <w:tcPr>
            <w:tcW w:w="9060" w:type="dxa"/>
            <w:vAlign w:val="bottom"/>
          </w:tcPr>
          <w:p>
            <w:pPr>
              <w:spacing w:after="0"/>
              <w:rPr>
                <w:sz w:val="16"/>
                <w:szCs w:val="16"/>
                <w:color w:val="auto"/>
              </w:rPr>
            </w:pPr>
          </w:p>
        </w:tc>
        <w:tc>
          <w:tcPr>
            <w:tcW w:w="21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color w:val="auto"/>
                <w:w w:val="98"/>
              </w:rPr>
              <w:t>Year Ending December 31,</w:t>
            </w:r>
          </w:p>
        </w:tc>
      </w:tr>
      <w:tr>
        <w:trPr>
          <w:trHeight w:val="234"/>
        </w:trPr>
        <w:tc>
          <w:tcPr>
            <w:tcW w:w="9060" w:type="dxa"/>
            <w:vAlign w:val="bottom"/>
            <w:tcBorders>
              <w:bottom w:val="single" w:sz="8" w:color="CCEEFF"/>
            </w:tcBorders>
          </w:tcPr>
          <w:p>
            <w:pPr>
              <w:spacing w:after="0"/>
              <w:rPr>
                <w:sz w:val="20"/>
                <w:szCs w:val="20"/>
                <w:color w:val="auto"/>
              </w:rPr>
            </w:pP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r>
      <w:tr>
        <w:trPr>
          <w:trHeight w:val="237"/>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$ 4,510 - 4,570</w:t>
            </w:r>
          </w:p>
        </w:tc>
      </w:tr>
      <w:tr>
        <w:trPr>
          <w:trHeight w:val="243"/>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received</w:t>
            </w:r>
          </w:p>
        </w:tc>
        <w:tc>
          <w:tcPr>
            <w:tcW w:w="2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(1,970) - (2,010)</w:t>
            </w:r>
          </w:p>
        </w:tc>
      </w:tr>
      <w:tr>
        <w:trPr>
          <w:trHeight w:val="24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sales of property and equipment</w:t>
            </w:r>
          </w:p>
        </w:tc>
        <w:tc>
          <w:tcPr>
            <w:tcW w:w="21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Restructuring payments, net of tax</w:t>
            </w:r>
          </w:p>
        </w:tc>
        <w:tc>
          <w:tcPr>
            <w:tcW w:w="21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r>
      <w:tr>
        <w:trPr>
          <w:trHeight w:val="262"/>
        </w:trPr>
        <w:tc>
          <w:tcPr>
            <w:tcW w:w="9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21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$ 2,565 - 2,585</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53" w:right="3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240"/>
          </w:cols>
          <w:pgMar w:left="320" w:top="1053" w:right="339" w:bottom="1440" w:gutter="0" w:footer="0" w:header="0"/>
          <w:type w:val="continuous"/>
        </w:sectPr>
      </w:pPr>
    </w:p>
    <w:bookmarkStart w:id="18" w:name="page19"/>
    <w:bookmarkEnd w:id="18"/>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that presenting adjusted free cash flow provides useful information regarding our recurring cash provided by operating activities after certain expenditures or recoveries. It also demonstrates our ability to execute our financial strategy and is a key metric we use to determine compensation. The presentation of adjusted free cash flow has material limitations. Adjusted free cash flow does not represent our cash flow available for discretionary payments because it excludes certain payments that are required or to which we have committed, such as debt service requirements and dividend payments. Our definition of adjusted free cash flow may not be comparable to similarly titled measures presented by other companies.</w:t>
      </w:r>
    </w:p>
    <w:p>
      <w:pPr>
        <w:spacing w:after="0" w:line="6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Our financial guidance is based on current economic conditions and does not assume any significant changes in the overall economy for the remainder of 2026.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REGARDING FORWARD-LOOKING STATEMENTS</w:t>
      </w:r>
    </w:p>
    <w:p>
      <w:pPr>
        <w:spacing w:after="0" w:line="9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press release contains certain forward-looking information about us that is intended to be covered by the safe harbor for “forward-looking statements” provided by the Private Securities Litigation Reform Act of 1995. Forward-looking statements are statements that are not historical facts. Words such as “guidance,” “expect,” “will,” “may,” “anticipate,” “plan,” “estimate,” “project,” “intend,” “should,” “can,” “likely,” “could,” “outlook” and similar expressions are intended to identify forward-looking statements. These statements include information about our plans, strategies, and expectations of future financial performance and prospects. Forward-looking statements are not guarantees of performance. These statements are based upon the current beliefs and expectations of our management and are subject to risks and uncertainties that could cause actual results to differ materially from those expressed in, or implied or projected by, the forward-looking information and statements. Although we believe that the expectations reflected in the forward-looking statements are reasonable, such expectations may not prove to be correct. Among the factors that could cause actual results to differ materially from the expectations expressed in the forward-looking statements are the impacts of the overall global economy and changing interest rates, impacts from international trade restrictions and tariffs, our ability to effectively integrate and manage companies we acquire, and to realize the anticipated benefits of any such acquisitions, the impact of prolonged work stoppages or other labor disruptions, the amount of the financial contribution of our sustainability initiatives, acts of war, riots or terrorism, and the impact of these acts on economic, financial and social conditions in the United States and Canada, as well as our dependence on large, long-term collection, transfer and disposal contracts. More information on factors that could cause actual results or events to differ materially from those anticipated is included from time to time in our reports filed with the Securities and Exchange Commission, including our Annual Report on Form 10-K for the year ended December 31, 2025, particularly under Part I, Item 1A – Risk Factors. Additionally, new risk factors emerge from time to time and it is not possible for us to predict all such risk factors, or to assess the impact such risk factors might have on our business. We undertake no obligation to update publicly any forward-looking statements whether as a result of new information, future events or otherwise, except as required by law.</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sectPr>
      <w:pgSz w:w="11900" w:h="16838" w:orient="portrait"/>
      <w:cols w:equalWidth="0" w:num="1">
        <w:col w:w="11240"/>
      </w:cols>
      <w:pgMar w:left="320" w:top="10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04"/>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2026-10-29T15:44:31Z</dcterms:created>
  <dcterms:modified xsi:type="dcterms:W3CDTF">2026-10-29T15:44:31Z</dcterms:modified>
</cp:coreProperties>
</file>