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As filed with the Securities and Exchange Commission on May 3, 2010</w:t>
      </w:r>
    </w:p>
    <w:p>
      <w:pPr>
        <w:spacing w:after="0" w:line="13" w:lineRule="exact"/>
        <w:rPr>
          <w:sz w:val="20"/>
          <w:szCs w:val="20"/>
          <w:color w:val="auto"/>
        </w:rPr>
      </w:pPr>
    </w:p>
    <w:p>
      <w:pPr>
        <w:ind w:left="9660"/>
        <w:spacing w:after="0"/>
        <w:rPr>
          <w:sz w:val="20"/>
          <w:szCs w:val="20"/>
          <w:color w:val="auto"/>
        </w:rPr>
      </w:pPr>
      <w:r>
        <w:rPr>
          <w:rFonts w:ascii="Arial" w:cs="Arial" w:eastAsia="Arial" w:hAnsi="Arial"/>
          <w:sz w:val="9"/>
          <w:szCs w:val="9"/>
          <w:b w:val="1"/>
          <w:bCs w:val="1"/>
          <w:color w:val="auto"/>
        </w:rPr>
        <w:t>Registration No. 333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31115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0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41910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84"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Form S-3</w:t>
      </w:r>
    </w:p>
    <w:p>
      <w:pPr>
        <w:spacing w:after="0" w:line="1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REGISTRATION STATEMENT</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UNDER</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36830</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67"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REPUBLIC SERVICES, INC.</w:t>
      </w:r>
    </w:p>
    <w:p>
      <w:pPr>
        <w:spacing w:after="0" w:line="14"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29845</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77"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(For Co-Registrants, Please See Table of Other Registrants on the Following Page)</w:t>
      </w:r>
    </w:p>
    <w:p>
      <w:pPr>
        <w:sectPr>
          <w:pgSz w:w="11900" w:h="16838" w:orient="portrait"/>
          <w:cols w:equalWidth="0" w:num="1">
            <w:col w:w="11120"/>
          </w:cols>
          <w:pgMar w:left="220" w:top="127" w:right="559" w:bottom="1440" w:gutter="0" w:footer="0" w:header="0"/>
        </w:sectPr>
      </w:pPr>
    </w:p>
    <w:p>
      <w:pPr>
        <w:spacing w:after="0" w:line="13" w:lineRule="exact"/>
        <w:rPr>
          <w:sz w:val="20"/>
          <w:szCs w:val="20"/>
          <w:color w:val="auto"/>
        </w:rPr>
      </w:pPr>
    </w:p>
    <w:p>
      <w:pPr>
        <w:ind w:left="2840"/>
        <w:spacing w:after="0"/>
        <w:rPr>
          <w:sz w:val="20"/>
          <w:szCs w:val="20"/>
          <w:color w:val="auto"/>
        </w:rPr>
      </w:pPr>
      <w:r>
        <w:rPr>
          <w:rFonts w:ascii="Arial" w:cs="Arial" w:eastAsia="Arial" w:hAnsi="Arial"/>
          <w:sz w:val="10"/>
          <w:szCs w:val="10"/>
          <w:b w:val="1"/>
          <w:bCs w:val="1"/>
          <w:color w:val="auto"/>
        </w:rPr>
        <w:t>Delaware</w:t>
      </w:r>
    </w:p>
    <w:p>
      <w:pPr>
        <w:spacing w:after="0" w:line="3" w:lineRule="exact"/>
        <w:rPr>
          <w:sz w:val="20"/>
          <w:szCs w:val="20"/>
          <w:color w:val="auto"/>
        </w:rPr>
      </w:pPr>
    </w:p>
    <w:p>
      <w:pPr>
        <w:ind w:left="2420"/>
        <w:spacing w:after="0"/>
        <w:rPr>
          <w:sz w:val="20"/>
          <w:szCs w:val="20"/>
          <w:color w:val="auto"/>
        </w:rPr>
      </w:pPr>
      <w:r>
        <w:rPr>
          <w:rFonts w:ascii="Arial" w:cs="Arial" w:eastAsia="Arial" w:hAnsi="Arial"/>
          <w:sz w:val="9"/>
          <w:szCs w:val="9"/>
          <w:i w:val="1"/>
          <w:iCs w:val="1"/>
          <w:color w:val="auto"/>
        </w:rPr>
        <w:t>(State or Other Jurisdiction of</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0"/>
          <w:szCs w:val="10"/>
          <w:b w:val="1"/>
          <w:bCs w:val="1"/>
          <w:color w:val="auto"/>
        </w:rPr>
        <w:t>65-0716904</w:t>
      </w:r>
    </w:p>
    <w:p>
      <w:pPr>
        <w:jc w:val="center"/>
        <w:ind w:right="2160"/>
        <w:spacing w:after="0" w:line="232" w:lineRule="auto"/>
        <w:rPr>
          <w:sz w:val="20"/>
          <w:szCs w:val="20"/>
          <w:color w:val="auto"/>
        </w:rPr>
      </w:pPr>
      <w:r>
        <w:rPr>
          <w:rFonts w:ascii="Arial" w:cs="Arial" w:eastAsia="Arial" w:hAnsi="Arial"/>
          <w:sz w:val="10"/>
          <w:szCs w:val="10"/>
          <w:i w:val="1"/>
          <w:iCs w:val="1"/>
          <w:color w:val="auto"/>
        </w:rPr>
        <w:t>(I.R.S. Employer</w:t>
      </w:r>
    </w:p>
    <w:p>
      <w:pPr>
        <w:jc w:val="center"/>
        <w:ind w:right="2160"/>
        <w:spacing w:after="0"/>
        <w:rPr>
          <w:sz w:val="20"/>
          <w:szCs w:val="20"/>
          <w:color w:val="auto"/>
        </w:rPr>
      </w:pPr>
      <w:r>
        <w:rPr>
          <w:rFonts w:ascii="Arial" w:cs="Arial" w:eastAsia="Arial" w:hAnsi="Arial"/>
          <w:sz w:val="9"/>
          <w:szCs w:val="9"/>
          <w:i w:val="1"/>
          <w:iCs w:val="1"/>
          <w:color w:val="auto"/>
        </w:rPr>
        <w:t>Identification Number)</w:t>
      </w:r>
    </w:p>
    <w:p>
      <w:pPr>
        <w:spacing w:after="0" w:line="42" w:lineRule="exact"/>
        <w:rPr>
          <w:sz w:val="20"/>
          <w:szCs w:val="20"/>
          <w:color w:val="auto"/>
        </w:rPr>
      </w:pPr>
    </w:p>
    <w:p>
      <w:pPr>
        <w:sectPr>
          <w:pgSz w:w="11900" w:h="16838" w:orient="portrait"/>
          <w:cols w:equalWidth="0" w:num="2">
            <w:col w:w="7280" w:space="720"/>
            <w:col w:w="3120"/>
          </w:cols>
          <w:pgMar w:left="220" w:top="127" w:right="559" w:bottom="1440" w:gutter="0" w:footer="0" w:header="0"/>
          <w:type w:val="continuous"/>
        </w:sectPr>
      </w:pPr>
    </w:p>
    <w:p>
      <w:pPr>
        <w:jc w:val="center"/>
        <w:ind w:right="-359"/>
        <w:spacing w:after="0"/>
        <w:rPr>
          <w:sz w:val="20"/>
          <w:szCs w:val="20"/>
          <w:color w:val="auto"/>
        </w:rPr>
      </w:pPr>
      <w:r>
        <w:rPr>
          <w:rFonts w:ascii="Arial" w:cs="Arial" w:eastAsia="Arial" w:hAnsi="Arial"/>
          <w:sz w:val="9"/>
          <w:szCs w:val="9"/>
          <w:b w:val="1"/>
          <w:bCs w:val="1"/>
          <w:color w:val="auto"/>
        </w:rPr>
        <w:t>18500 North Allied Way</w:t>
      </w:r>
    </w:p>
    <w:p>
      <w:pPr>
        <w:spacing w:after="0" w:line="17" w:lineRule="exact"/>
        <w:rPr>
          <w:sz w:val="20"/>
          <w:szCs w:val="20"/>
          <w:color w:val="auto"/>
        </w:rPr>
      </w:pPr>
    </w:p>
    <w:p>
      <w:pPr>
        <w:jc w:val="center"/>
        <w:ind w:right="-359"/>
        <w:spacing w:after="0"/>
        <w:rPr>
          <w:sz w:val="20"/>
          <w:szCs w:val="20"/>
          <w:color w:val="auto"/>
        </w:rPr>
      </w:pPr>
      <w:r>
        <w:rPr>
          <w:rFonts w:ascii="Arial" w:cs="Arial" w:eastAsia="Arial" w:hAnsi="Arial"/>
          <w:sz w:val="9"/>
          <w:szCs w:val="9"/>
          <w:b w:val="1"/>
          <w:bCs w:val="1"/>
          <w:color w:val="auto"/>
        </w:rPr>
        <w:t>Phoenix, Arizona 85054</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0"/>
          <w:szCs w:val="10"/>
          <w:b w:val="1"/>
          <w:bCs w:val="1"/>
          <w:color w:val="auto"/>
        </w:rPr>
        <w:t>(480) 627-2700</w:t>
      </w:r>
    </w:p>
    <w:p>
      <w:pPr>
        <w:sectPr>
          <w:pgSz w:w="11900" w:h="16838" w:orient="portrait"/>
          <w:cols w:equalWidth="0" w:num="1">
            <w:col w:w="11120"/>
          </w:cols>
          <w:pgMar w:left="220" w:top="127" w:right="559" w:bottom="1440" w:gutter="0" w:footer="0" w:header="0"/>
          <w:type w:val="continuous"/>
        </w:sectPr>
      </w:pPr>
    </w:p>
    <w:p>
      <w:pPr>
        <w:spacing w:after="0" w:line="1" w:lineRule="exact"/>
        <w:rPr>
          <w:sz w:val="20"/>
          <w:szCs w:val="20"/>
          <w:color w:val="auto"/>
        </w:rPr>
      </w:pPr>
    </w:p>
    <w:p>
      <w:pPr>
        <w:ind w:left="3200"/>
        <w:spacing w:after="0"/>
        <w:rPr>
          <w:sz w:val="20"/>
          <w:szCs w:val="20"/>
          <w:color w:val="auto"/>
        </w:rPr>
      </w:pPr>
      <w:r>
        <w:rPr>
          <w:rFonts w:ascii="Arial" w:cs="Arial" w:eastAsia="Arial" w:hAnsi="Arial"/>
          <w:sz w:val="10"/>
          <w:szCs w:val="10"/>
          <w:i w:val="1"/>
          <w:iCs w:val="1"/>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10299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69" w:lineRule="exact"/>
        <w:rPr>
          <w:sz w:val="20"/>
          <w:szCs w:val="20"/>
          <w:color w:val="auto"/>
        </w:rPr>
      </w:pPr>
    </w:p>
    <w:p>
      <w:pPr>
        <w:jc w:val="center"/>
        <w:ind w:right="-339"/>
        <w:spacing w:after="0"/>
        <w:rPr>
          <w:sz w:val="20"/>
          <w:szCs w:val="20"/>
          <w:color w:val="auto"/>
        </w:rPr>
      </w:pPr>
      <w:r>
        <w:rPr>
          <w:rFonts w:ascii="Arial" w:cs="Arial" w:eastAsia="Arial" w:hAnsi="Arial"/>
          <w:sz w:val="10"/>
          <w:szCs w:val="10"/>
          <w:b w:val="1"/>
          <w:bCs w:val="1"/>
          <w:color w:val="auto"/>
        </w:rPr>
        <w:t>Michael P. Rissman, Esq.</w:t>
      </w:r>
    </w:p>
    <w:p>
      <w:pPr>
        <w:jc w:val="center"/>
        <w:ind w:right="-339"/>
        <w:spacing w:after="0" w:line="236" w:lineRule="auto"/>
        <w:rPr>
          <w:sz w:val="20"/>
          <w:szCs w:val="20"/>
          <w:color w:val="auto"/>
        </w:rPr>
      </w:pPr>
      <w:r>
        <w:rPr>
          <w:rFonts w:ascii="Arial" w:cs="Arial" w:eastAsia="Arial" w:hAnsi="Arial"/>
          <w:sz w:val="10"/>
          <w:szCs w:val="10"/>
          <w:b w:val="1"/>
          <w:bCs w:val="1"/>
          <w:color w:val="auto"/>
        </w:rPr>
        <w:t>Executive Vice President, General Counsel and Secretary</w:t>
      </w:r>
    </w:p>
    <w:p>
      <w:pPr>
        <w:jc w:val="center"/>
        <w:ind w:right="-339"/>
        <w:spacing w:after="0" w:line="226" w:lineRule="auto"/>
        <w:rPr>
          <w:sz w:val="20"/>
          <w:szCs w:val="20"/>
          <w:color w:val="auto"/>
        </w:rPr>
      </w:pPr>
      <w:r>
        <w:rPr>
          <w:rFonts w:ascii="Arial" w:cs="Arial" w:eastAsia="Arial" w:hAnsi="Arial"/>
          <w:sz w:val="10"/>
          <w:szCs w:val="10"/>
          <w:b w:val="1"/>
          <w:bCs w:val="1"/>
          <w:color w:val="auto"/>
        </w:rPr>
        <w:t>18500 North Allied Way</w:t>
      </w:r>
    </w:p>
    <w:p>
      <w:pPr>
        <w:jc w:val="center"/>
        <w:ind w:right="-339"/>
        <w:spacing w:after="0" w:line="225" w:lineRule="auto"/>
        <w:rPr>
          <w:sz w:val="20"/>
          <w:szCs w:val="20"/>
          <w:color w:val="auto"/>
        </w:rPr>
      </w:pPr>
      <w:r>
        <w:rPr>
          <w:rFonts w:ascii="Arial" w:cs="Arial" w:eastAsia="Arial" w:hAnsi="Arial"/>
          <w:sz w:val="10"/>
          <w:szCs w:val="10"/>
          <w:b w:val="1"/>
          <w:bCs w:val="1"/>
          <w:color w:val="auto"/>
        </w:rPr>
        <w:t>Phoenix, Arizona 85054</w:t>
      </w:r>
    </w:p>
    <w:p>
      <w:pPr>
        <w:jc w:val="center"/>
        <w:ind w:right="-339"/>
        <w:spacing w:after="0" w:line="226" w:lineRule="auto"/>
        <w:rPr>
          <w:sz w:val="20"/>
          <w:szCs w:val="20"/>
          <w:color w:val="auto"/>
        </w:rPr>
      </w:pPr>
      <w:r>
        <w:rPr>
          <w:rFonts w:ascii="Arial" w:cs="Arial" w:eastAsia="Arial" w:hAnsi="Arial"/>
          <w:sz w:val="10"/>
          <w:szCs w:val="10"/>
          <w:b w:val="1"/>
          <w:bCs w:val="1"/>
          <w:color w:val="auto"/>
        </w:rPr>
        <w:t>(480) 627-2700</w:t>
      </w:r>
    </w:p>
    <w:p>
      <w:pPr>
        <w:jc w:val="center"/>
        <w:ind w:right="-33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60960</wp:posOffset>
            </wp:positionV>
            <wp:extent cx="10299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72" w:lineRule="exact"/>
        <w:rPr>
          <w:sz w:val="20"/>
          <w:szCs w:val="20"/>
          <w:color w:val="auto"/>
        </w:rPr>
      </w:pPr>
    </w:p>
    <w:p>
      <w:pPr>
        <w:jc w:val="center"/>
        <w:ind w:right="-339"/>
        <w:spacing w:after="0"/>
        <w:rPr>
          <w:sz w:val="20"/>
          <w:szCs w:val="20"/>
          <w:color w:val="auto"/>
        </w:rPr>
      </w:pPr>
      <w:r>
        <w:rPr>
          <w:rFonts w:ascii="Arial" w:cs="Arial" w:eastAsia="Arial" w:hAnsi="Arial"/>
          <w:sz w:val="10"/>
          <w:szCs w:val="10"/>
          <w:b w:val="1"/>
          <w:bCs w:val="1"/>
          <w:i w:val="1"/>
          <w:iCs w:val="1"/>
          <w:color w:val="auto"/>
        </w:rPr>
        <w:t>Copy to:</w:t>
      </w:r>
    </w:p>
    <w:p>
      <w:pPr>
        <w:spacing w:after="0" w:line="38" w:lineRule="exact"/>
        <w:rPr>
          <w:sz w:val="20"/>
          <w:szCs w:val="20"/>
          <w:color w:val="auto"/>
        </w:rPr>
      </w:pPr>
    </w:p>
    <w:p>
      <w:pPr>
        <w:jc w:val="center"/>
        <w:ind w:right="-339"/>
        <w:spacing w:after="0"/>
        <w:rPr>
          <w:sz w:val="20"/>
          <w:szCs w:val="20"/>
          <w:color w:val="auto"/>
        </w:rPr>
      </w:pPr>
      <w:r>
        <w:rPr>
          <w:rFonts w:ascii="Arial" w:cs="Arial" w:eastAsia="Arial" w:hAnsi="Arial"/>
          <w:sz w:val="10"/>
          <w:szCs w:val="10"/>
          <w:b w:val="1"/>
          <w:bCs w:val="1"/>
          <w:color w:val="auto"/>
        </w:rPr>
        <w:t>Jodi A. Simala, Esq.</w:t>
      </w:r>
    </w:p>
    <w:p>
      <w:pPr>
        <w:jc w:val="center"/>
        <w:ind w:right="-339"/>
        <w:spacing w:after="0" w:line="236" w:lineRule="auto"/>
        <w:rPr>
          <w:sz w:val="20"/>
          <w:szCs w:val="20"/>
          <w:color w:val="auto"/>
        </w:rPr>
      </w:pPr>
      <w:r>
        <w:rPr>
          <w:rFonts w:ascii="Arial" w:cs="Arial" w:eastAsia="Arial" w:hAnsi="Arial"/>
          <w:sz w:val="10"/>
          <w:szCs w:val="10"/>
          <w:b w:val="1"/>
          <w:bCs w:val="1"/>
          <w:color w:val="auto"/>
        </w:rPr>
        <w:t>Mayer Brown LLP</w:t>
      </w:r>
    </w:p>
    <w:p>
      <w:pPr>
        <w:jc w:val="center"/>
        <w:ind w:right="-339"/>
        <w:spacing w:after="0" w:line="226" w:lineRule="auto"/>
        <w:rPr>
          <w:sz w:val="20"/>
          <w:szCs w:val="20"/>
          <w:color w:val="auto"/>
        </w:rPr>
      </w:pPr>
      <w:r>
        <w:rPr>
          <w:rFonts w:ascii="Arial" w:cs="Arial" w:eastAsia="Arial" w:hAnsi="Arial"/>
          <w:sz w:val="10"/>
          <w:szCs w:val="10"/>
          <w:b w:val="1"/>
          <w:bCs w:val="1"/>
          <w:color w:val="auto"/>
        </w:rPr>
        <w:t>71 South Wacker Drive</w:t>
      </w:r>
    </w:p>
    <w:p>
      <w:pPr>
        <w:jc w:val="center"/>
        <w:ind w:right="-339"/>
        <w:spacing w:after="0" w:line="225" w:lineRule="auto"/>
        <w:rPr>
          <w:sz w:val="20"/>
          <w:szCs w:val="20"/>
          <w:color w:val="auto"/>
        </w:rPr>
      </w:pPr>
      <w:r>
        <w:rPr>
          <w:rFonts w:ascii="Arial" w:cs="Arial" w:eastAsia="Arial" w:hAnsi="Arial"/>
          <w:sz w:val="10"/>
          <w:szCs w:val="10"/>
          <w:b w:val="1"/>
          <w:bCs w:val="1"/>
          <w:color w:val="auto"/>
        </w:rPr>
        <w:t>Chicago, Illinois 60606</w:t>
      </w:r>
    </w:p>
    <w:p>
      <w:pPr>
        <w:jc w:val="center"/>
        <w:ind w:right="-339"/>
        <w:spacing w:after="0"/>
        <w:rPr>
          <w:sz w:val="20"/>
          <w:szCs w:val="20"/>
          <w:color w:val="auto"/>
        </w:rPr>
      </w:pPr>
      <w:r>
        <w:rPr>
          <w:rFonts w:ascii="Arial" w:cs="Arial" w:eastAsia="Arial" w:hAnsi="Arial"/>
          <w:sz w:val="10"/>
          <w:szCs w:val="10"/>
          <w:b w:val="1"/>
          <w:bCs w:val="1"/>
          <w:color w:val="auto"/>
        </w:rPr>
        <w:t>(312) 782-0600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60960</wp:posOffset>
            </wp:positionV>
            <wp:extent cx="102997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0"/>
          <w:szCs w:val="10"/>
          <w:b w:val="1"/>
          <w:bCs w:val="1"/>
          <w:color w:val="auto"/>
        </w:rPr>
        <w:t xml:space="preserve">Approximate date of commencement of proposed sale to the public: </w:t>
      </w:r>
      <w:r>
        <w:rPr>
          <w:rFonts w:ascii="Arial" w:cs="Arial" w:eastAsia="Arial" w:hAnsi="Arial"/>
          <w:sz w:val="10"/>
          <w:szCs w:val="10"/>
          <w:color w:val="auto"/>
        </w:rPr>
        <w:t>From time to time after the Registration Statement becomes effective.</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0"/>
          <w:szCs w:val="10"/>
          <w:color w:val="auto"/>
        </w:rPr>
        <w:t>If the only securities being registered on this form are being offered pursuant to dividend or interest reinvestment plans, please check the following box. o</w:t>
      </w:r>
    </w:p>
    <w:p>
      <w:pPr>
        <w:spacing w:after="0" w:line="82" w:lineRule="exact"/>
        <w:rPr>
          <w:sz w:val="20"/>
          <w:szCs w:val="20"/>
          <w:color w:val="auto"/>
        </w:rPr>
      </w:pPr>
    </w:p>
    <w:p>
      <w:pPr>
        <w:ind w:left="340" w:right="80" w:firstLine="216"/>
        <w:spacing w:after="0" w:line="131" w:lineRule="exact"/>
        <w:rPr>
          <w:sz w:val="20"/>
          <w:szCs w:val="20"/>
          <w:color w:val="auto"/>
        </w:rPr>
      </w:pPr>
      <w:r>
        <w:rPr>
          <w:rFonts w:ascii="Arial" w:cs="Arial" w:eastAsia="Arial" w:hAnsi="Arial"/>
          <w:sz w:val="10"/>
          <w:szCs w:val="10"/>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0"/>
          <w:szCs w:val="10"/>
          <w:color w:val="auto"/>
        </w:rPr>
        <w:t>☑</w:t>
      </w:r>
    </w:p>
    <w:p>
      <w:pPr>
        <w:spacing w:after="0" w:line="64" w:lineRule="exact"/>
        <w:rPr>
          <w:sz w:val="20"/>
          <w:szCs w:val="20"/>
          <w:color w:val="auto"/>
        </w:rPr>
      </w:pPr>
    </w:p>
    <w:p>
      <w:pPr>
        <w:ind w:left="340" w:firstLine="216"/>
        <w:spacing w:after="0" w:line="259" w:lineRule="auto"/>
        <w:rPr>
          <w:sz w:val="20"/>
          <w:szCs w:val="20"/>
          <w:color w:val="auto"/>
        </w:rPr>
      </w:pPr>
      <w:r>
        <w:rPr>
          <w:rFonts w:ascii="Arial" w:cs="Arial" w:eastAsia="Arial" w:hAnsi="Arial"/>
          <w:sz w:val="10"/>
          <w:szCs w:val="10"/>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57" w:lineRule="exact"/>
        <w:rPr>
          <w:sz w:val="20"/>
          <w:szCs w:val="20"/>
          <w:color w:val="auto"/>
        </w:rPr>
      </w:pPr>
    </w:p>
    <w:p>
      <w:pPr>
        <w:ind w:left="560" w:right="120"/>
        <w:spacing w:after="0" w:line="369" w:lineRule="auto"/>
        <w:rPr>
          <w:sz w:val="20"/>
          <w:szCs w:val="20"/>
          <w:color w:val="auto"/>
        </w:rPr>
      </w:pPr>
      <w:r>
        <w:rPr>
          <w:rFonts w:ascii="Arial" w:cs="Arial" w:eastAsia="Arial" w:hAnsi="Arial"/>
          <w:sz w:val="9"/>
          <w:szCs w:val="9"/>
          <w:color w:val="auto"/>
        </w:rPr>
        <w:t>If this form is a post-effective amendment filed pursuant to Rule 462(c) under the Securities Act, check the following box and list the Securities Act registration statement number of the earlier effective registration statement for the same offering. o If this Form is a registration statement pursuant to General Instruction I.D. or a post-effective amendment thereto that shall become effective upon filing with the Commission pursuant to Rule 462(e) under the Securities Act, check the following box.</w:t>
      </w:r>
    </w:p>
    <w:p>
      <w:pPr>
        <w:ind w:left="340"/>
        <w:spacing w:after="0" w:line="101" w:lineRule="exact"/>
        <w:rPr>
          <w:sz w:val="20"/>
          <w:szCs w:val="20"/>
          <w:color w:val="auto"/>
        </w:rPr>
      </w:pPr>
      <w:r>
        <w:rPr>
          <w:rFonts w:ascii="MS PGothic" w:cs="MS PGothic" w:eastAsia="MS PGothic" w:hAnsi="MS PGothic"/>
          <w:sz w:val="10"/>
          <w:szCs w:val="10"/>
          <w:color w:val="auto"/>
        </w:rPr>
        <w:t>☑</w:t>
      </w:r>
    </w:p>
    <w:p>
      <w:pPr>
        <w:spacing w:after="0" w:line="102" w:lineRule="exact"/>
        <w:rPr>
          <w:sz w:val="20"/>
          <w:szCs w:val="20"/>
          <w:color w:val="auto"/>
        </w:rPr>
      </w:pPr>
    </w:p>
    <w:p>
      <w:pPr>
        <w:ind w:left="340" w:right="40" w:firstLine="216"/>
        <w:spacing w:after="0" w:line="259" w:lineRule="auto"/>
        <w:rPr>
          <w:sz w:val="20"/>
          <w:szCs w:val="20"/>
          <w:color w:val="auto"/>
        </w:rPr>
      </w:pPr>
      <w:r>
        <w:rPr>
          <w:rFonts w:ascii="Arial" w:cs="Arial" w:eastAsia="Arial" w:hAnsi="Arial"/>
          <w:sz w:val="10"/>
          <w:szCs w:val="10"/>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or a smaller reporting company. See the definitions of “large accelerated filer,” “accelerated filer” and “smaller reporting company” in</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0"/>
          <w:szCs w:val="10"/>
          <w:color w:val="auto"/>
        </w:rPr>
        <w:t>Rule 12b-2 of the Exchange Act. (Check one):</w:t>
      </w:r>
    </w:p>
    <w:p>
      <w:pPr>
        <w:spacing w:after="0" w:line="54" w:lineRule="exact"/>
        <w:rPr>
          <w:sz w:val="20"/>
          <w:szCs w:val="20"/>
          <w:color w:val="auto"/>
        </w:rPr>
      </w:pPr>
    </w:p>
    <w:tbl>
      <w:tblPr>
        <w:tblLayout w:type="fixed"/>
        <w:tblInd w:w="340" w:type="dxa"/>
        <w:tblCellMar>
          <w:top w:w="0" w:type="dxa"/>
          <w:left w:w="0" w:type="dxa"/>
          <w:bottom w:w="0" w:type="dxa"/>
          <w:right w:w="0" w:type="dxa"/>
        </w:tblCellMar>
      </w:tblPr>
      <w:tr>
        <w:trPr>
          <w:trHeight w:val="138"/>
        </w:trPr>
        <w:tc>
          <w:tcPr>
            <w:tcW w:w="3280" w:type="dxa"/>
            <w:vAlign w:val="bottom"/>
            <w:gridSpan w:val="2"/>
          </w:tcPr>
          <w:p>
            <w:pPr>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tc>
        <w:tc>
          <w:tcPr>
            <w:tcW w:w="2840" w:type="dxa"/>
            <w:vAlign w:val="bottom"/>
            <w:gridSpan w:val="2"/>
          </w:tcPr>
          <w:p>
            <w:pPr>
              <w:ind w:left="380"/>
              <w:spacing w:after="0"/>
              <w:rPr>
                <w:sz w:val="20"/>
                <w:szCs w:val="20"/>
                <w:color w:val="auto"/>
              </w:rPr>
            </w:pPr>
            <w:r>
              <w:rPr>
                <w:rFonts w:ascii="Arial" w:cs="Arial" w:eastAsia="Arial" w:hAnsi="Arial"/>
                <w:sz w:val="10"/>
                <w:szCs w:val="10"/>
                <w:color w:val="auto"/>
              </w:rPr>
              <w:t>Accelerated filer o</w:t>
            </w:r>
          </w:p>
        </w:tc>
        <w:tc>
          <w:tcPr>
            <w:tcW w:w="1780" w:type="dxa"/>
            <w:vAlign w:val="bottom"/>
            <w:gridSpan w:val="2"/>
          </w:tcPr>
          <w:p>
            <w:pPr>
              <w:ind w:left="140"/>
              <w:spacing w:after="0"/>
              <w:rPr>
                <w:sz w:val="20"/>
                <w:szCs w:val="20"/>
                <w:color w:val="auto"/>
              </w:rPr>
            </w:pPr>
            <w:r>
              <w:rPr>
                <w:rFonts w:ascii="Arial" w:cs="Arial" w:eastAsia="Arial" w:hAnsi="Arial"/>
                <w:sz w:val="10"/>
                <w:szCs w:val="10"/>
                <w:color w:val="auto"/>
              </w:rPr>
              <w:t>Non-accelerated filer o</w:t>
            </w:r>
          </w:p>
        </w:tc>
        <w:tc>
          <w:tcPr>
            <w:tcW w:w="1500" w:type="dxa"/>
            <w:vAlign w:val="bottom"/>
          </w:tcPr>
          <w:p>
            <w:pPr>
              <w:spacing w:after="0"/>
              <w:rPr>
                <w:sz w:val="11"/>
                <w:szCs w:val="11"/>
                <w:color w:val="auto"/>
              </w:rPr>
            </w:pPr>
          </w:p>
        </w:tc>
        <w:tc>
          <w:tcPr>
            <w:tcW w:w="1400" w:type="dxa"/>
            <w:vAlign w:val="bottom"/>
            <w:gridSpan w:val="2"/>
          </w:tcPr>
          <w:p>
            <w:pPr>
              <w:ind w:left="160"/>
              <w:spacing w:after="0"/>
              <w:rPr>
                <w:sz w:val="20"/>
                <w:szCs w:val="20"/>
                <w:color w:val="auto"/>
              </w:rPr>
            </w:pPr>
            <w:r>
              <w:rPr>
                <w:rFonts w:ascii="Arial" w:cs="Arial" w:eastAsia="Arial" w:hAnsi="Arial"/>
                <w:sz w:val="10"/>
                <w:szCs w:val="10"/>
                <w:color w:val="auto"/>
                <w:w w:val="95"/>
              </w:rPr>
              <w:t>Smaller reporting company o</w:t>
            </w: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040" w:type="dxa"/>
            <w:vAlign w:val="bottom"/>
            <w:gridSpan w:val="3"/>
          </w:tcPr>
          <w:p>
            <w:pPr>
              <w:ind w:left="740"/>
              <w:spacing w:after="0"/>
              <w:rPr>
                <w:sz w:val="20"/>
                <w:szCs w:val="20"/>
                <w:color w:val="auto"/>
              </w:rPr>
            </w:pPr>
            <w:r>
              <w:rPr>
                <w:rFonts w:ascii="Arial" w:cs="Arial" w:eastAsia="Arial" w:hAnsi="Arial"/>
                <w:sz w:val="10"/>
                <w:szCs w:val="10"/>
                <w:color w:val="auto"/>
              </w:rPr>
              <w:t>(Do not check if a smaller reporting company)</w:t>
            </w:r>
          </w:p>
        </w:tc>
        <w:tc>
          <w:tcPr>
            <w:tcW w:w="15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620" w:type="dxa"/>
            <w:vAlign w:val="bottom"/>
            <w:tcBorders>
              <w:bottom w:val="single" w:sz="8" w:color="auto"/>
            </w:tcBorders>
          </w:tcPr>
          <w:p>
            <w:pPr>
              <w:spacing w:after="0"/>
              <w:rPr>
                <w:sz w:val="7"/>
                <w:szCs w:val="7"/>
                <w:color w:val="auto"/>
              </w:rPr>
            </w:pPr>
          </w:p>
        </w:tc>
        <w:tc>
          <w:tcPr>
            <w:tcW w:w="1660" w:type="dxa"/>
            <w:vAlign w:val="bottom"/>
          </w:tcPr>
          <w:p>
            <w:pPr>
              <w:spacing w:after="0"/>
              <w:rPr>
                <w:sz w:val="7"/>
                <w:szCs w:val="7"/>
                <w:color w:val="auto"/>
              </w:rPr>
            </w:pPr>
          </w:p>
        </w:tc>
        <w:tc>
          <w:tcPr>
            <w:tcW w:w="4620" w:type="dxa"/>
            <w:vAlign w:val="bottom"/>
            <w:gridSpan w:val="4"/>
            <w:vMerge w:val="restart"/>
          </w:tcPr>
          <w:p>
            <w:pPr>
              <w:ind w:left="1100"/>
              <w:spacing w:after="0"/>
              <w:rPr>
                <w:sz w:val="20"/>
                <w:szCs w:val="20"/>
                <w:color w:val="auto"/>
              </w:rPr>
            </w:pPr>
            <w:r>
              <w:rPr>
                <w:rFonts w:ascii="Arial" w:cs="Arial" w:eastAsia="Arial" w:hAnsi="Arial"/>
                <w:sz w:val="10"/>
                <w:szCs w:val="10"/>
                <w:b w:val="1"/>
                <w:bCs w:val="1"/>
                <w:color w:val="auto"/>
              </w:rPr>
              <w:t>CALCULATION OF REGISTRATION FEE</w:t>
            </w:r>
          </w:p>
        </w:tc>
        <w:tc>
          <w:tcPr>
            <w:tcW w:w="15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20" w:type="dxa"/>
            <w:vAlign w:val="bottom"/>
            <w:gridSpan w:val="4"/>
            <w:vMerge w:val="continue"/>
          </w:tcPr>
          <w:p>
            <w:pPr>
              <w:spacing w:after="0"/>
              <w:rPr>
                <w:sz w:val="17"/>
                <w:szCs w:val="17"/>
                <w:color w:val="auto"/>
              </w:rPr>
            </w:pPr>
          </w:p>
        </w:tc>
        <w:tc>
          <w:tcPr>
            <w:tcW w:w="1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6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20" w:type="dxa"/>
            <w:vAlign w:val="bottom"/>
            <w:tcBorders>
              <w:top w:val="single" w:sz="8" w:color="auto"/>
            </w:tcBorders>
          </w:tcPr>
          <w:p>
            <w:pPr>
              <w:spacing w:after="0"/>
              <w:rPr>
                <w:sz w:val="7"/>
                <w:szCs w:val="7"/>
                <w:color w:val="auto"/>
              </w:rPr>
            </w:pPr>
          </w:p>
        </w:tc>
        <w:tc>
          <w:tcPr>
            <w:tcW w:w="1660" w:type="dxa"/>
            <w:vAlign w:val="bottom"/>
            <w:tcBorders>
              <w:top w:val="single" w:sz="8" w:color="auto"/>
            </w:tcBorders>
          </w:tcPr>
          <w:p>
            <w:pPr>
              <w:spacing w:after="0"/>
              <w:rPr>
                <w:sz w:val="7"/>
                <w:szCs w:val="7"/>
                <w:color w:val="auto"/>
              </w:rPr>
            </w:pPr>
          </w:p>
        </w:tc>
        <w:tc>
          <w:tcPr>
            <w:tcW w:w="1580" w:type="dxa"/>
            <w:vAlign w:val="bottom"/>
            <w:tcBorders>
              <w:top w:val="single" w:sz="8" w:color="auto"/>
              <w:right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260" w:type="dxa"/>
            <w:vAlign w:val="bottom"/>
            <w:tcBorders>
              <w:top w:val="single" w:sz="8" w:color="auto"/>
              <w:right w:val="single" w:sz="8" w:color="auto"/>
            </w:tcBorders>
          </w:tcPr>
          <w:p>
            <w:pPr>
              <w:spacing w:after="0"/>
              <w:rPr>
                <w:sz w:val="7"/>
                <w:szCs w:val="7"/>
                <w:color w:val="auto"/>
              </w:rPr>
            </w:pPr>
          </w:p>
        </w:tc>
        <w:tc>
          <w:tcPr>
            <w:tcW w:w="1520" w:type="dxa"/>
            <w:vAlign w:val="bottom"/>
            <w:tcBorders>
              <w:top w:val="single" w:sz="8" w:color="auto"/>
              <w:right w:val="single" w:sz="8" w:color="auto"/>
            </w:tcBorders>
          </w:tcPr>
          <w:p>
            <w:pPr>
              <w:jc w:val="center"/>
              <w:spacing w:after="0" w:line="85" w:lineRule="exact"/>
              <w:rPr>
                <w:sz w:val="20"/>
                <w:szCs w:val="20"/>
                <w:color w:val="auto"/>
              </w:rPr>
            </w:pPr>
            <w:r>
              <w:rPr>
                <w:rFonts w:ascii="Arial" w:cs="Arial" w:eastAsia="Arial" w:hAnsi="Arial"/>
                <w:sz w:val="9"/>
                <w:szCs w:val="9"/>
                <w:b w:val="1"/>
                <w:bCs w:val="1"/>
                <w:color w:val="auto"/>
                <w:w w:val="93"/>
              </w:rPr>
              <w:t>Proposed Maximum</w:t>
            </w:r>
          </w:p>
        </w:tc>
        <w:tc>
          <w:tcPr>
            <w:tcW w:w="1500" w:type="dxa"/>
            <w:vAlign w:val="bottom"/>
            <w:tcBorders>
              <w:top w:val="single" w:sz="8" w:color="auto"/>
              <w:right w:val="single" w:sz="8" w:color="auto"/>
            </w:tcBorders>
          </w:tcPr>
          <w:p>
            <w:pPr>
              <w:jc w:val="center"/>
              <w:spacing w:after="0" w:line="85" w:lineRule="exact"/>
              <w:rPr>
                <w:sz w:val="20"/>
                <w:szCs w:val="20"/>
                <w:color w:val="auto"/>
              </w:rPr>
            </w:pPr>
            <w:r>
              <w:rPr>
                <w:rFonts w:ascii="Arial" w:cs="Arial" w:eastAsia="Arial" w:hAnsi="Arial"/>
                <w:sz w:val="9"/>
                <w:szCs w:val="9"/>
                <w:b w:val="1"/>
                <w:bCs w:val="1"/>
                <w:color w:val="auto"/>
                <w:w w:val="93"/>
              </w:rPr>
              <w:t>Proposed Maximum</w:t>
            </w:r>
          </w:p>
        </w:tc>
        <w:tc>
          <w:tcPr>
            <w:tcW w:w="1380" w:type="dxa"/>
            <w:vAlign w:val="bottom"/>
            <w:tcBorders>
              <w:top w:val="single" w:sz="8" w:color="auto"/>
            </w:tcBorders>
          </w:tcPr>
          <w:p>
            <w:pPr>
              <w:jc w:val="center"/>
              <w:ind w:left="33"/>
              <w:spacing w:after="0" w:line="85" w:lineRule="exact"/>
              <w:rPr>
                <w:sz w:val="20"/>
                <w:szCs w:val="20"/>
                <w:color w:val="auto"/>
              </w:rPr>
            </w:pPr>
            <w:r>
              <w:rPr>
                <w:rFonts w:ascii="Arial" w:cs="Arial" w:eastAsia="Arial" w:hAnsi="Arial"/>
                <w:sz w:val="9"/>
                <w:szCs w:val="9"/>
                <w:b w:val="1"/>
                <w:bCs w:val="1"/>
                <w:color w:val="auto"/>
                <w:w w:val="93"/>
              </w:rPr>
              <w:t>Amount of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620" w:type="dxa"/>
            <w:vAlign w:val="bottom"/>
          </w:tcPr>
          <w:p>
            <w:pPr>
              <w:spacing w:after="0"/>
              <w:rPr>
                <w:sz w:val="8"/>
                <w:szCs w:val="8"/>
                <w:color w:val="auto"/>
              </w:rPr>
            </w:pPr>
          </w:p>
        </w:tc>
        <w:tc>
          <w:tcPr>
            <w:tcW w:w="1660" w:type="dxa"/>
            <w:vAlign w:val="bottom"/>
          </w:tcPr>
          <w:p>
            <w:pPr>
              <w:jc w:val="center"/>
              <w:ind w:right="94"/>
              <w:spacing w:after="0" w:line="98" w:lineRule="exact"/>
              <w:rPr>
                <w:sz w:val="20"/>
                <w:szCs w:val="20"/>
                <w:color w:val="auto"/>
              </w:rPr>
            </w:pPr>
            <w:r>
              <w:rPr>
                <w:rFonts w:ascii="Arial" w:cs="Arial" w:eastAsia="Arial" w:hAnsi="Arial"/>
                <w:sz w:val="9"/>
                <w:szCs w:val="9"/>
                <w:b w:val="1"/>
                <w:bCs w:val="1"/>
                <w:color w:val="auto"/>
                <w:w w:val="92"/>
              </w:rPr>
              <w:t>Title of Each Class of</w:t>
            </w:r>
          </w:p>
        </w:tc>
        <w:tc>
          <w:tcPr>
            <w:tcW w:w="1580" w:type="dxa"/>
            <w:vAlign w:val="bottom"/>
            <w:tcBorders>
              <w:right w:val="single" w:sz="8" w:color="auto"/>
            </w:tcBorders>
          </w:tcPr>
          <w:p>
            <w:pPr>
              <w:spacing w:after="0"/>
              <w:rPr>
                <w:sz w:val="8"/>
                <w:szCs w:val="8"/>
                <w:color w:val="auto"/>
              </w:rPr>
            </w:pPr>
          </w:p>
        </w:tc>
        <w:tc>
          <w:tcPr>
            <w:tcW w:w="1260" w:type="dxa"/>
            <w:vAlign w:val="bottom"/>
          </w:tcPr>
          <w:p>
            <w:pPr>
              <w:jc w:val="center"/>
              <w:ind w:left="212"/>
              <w:spacing w:after="0" w:line="98" w:lineRule="exact"/>
              <w:rPr>
                <w:sz w:val="20"/>
                <w:szCs w:val="20"/>
                <w:color w:val="auto"/>
              </w:rPr>
            </w:pPr>
            <w:r>
              <w:rPr>
                <w:rFonts w:ascii="Arial" w:cs="Arial" w:eastAsia="Arial" w:hAnsi="Arial"/>
                <w:sz w:val="9"/>
                <w:szCs w:val="9"/>
                <w:b w:val="1"/>
                <w:bCs w:val="1"/>
                <w:color w:val="auto"/>
                <w:w w:val="93"/>
              </w:rPr>
              <w:t>Amount</w:t>
            </w:r>
          </w:p>
        </w:tc>
        <w:tc>
          <w:tcPr>
            <w:tcW w:w="26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b w:val="1"/>
                <w:bCs w:val="1"/>
                <w:color w:val="auto"/>
                <w:w w:val="94"/>
              </w:rPr>
              <w:t>Offering Price</w:t>
            </w:r>
          </w:p>
        </w:tc>
        <w:tc>
          <w:tcPr>
            <w:tcW w:w="150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b w:val="1"/>
                <w:bCs w:val="1"/>
                <w:color w:val="auto"/>
                <w:w w:val="89"/>
              </w:rPr>
              <w:t>Aggregate</w:t>
            </w:r>
          </w:p>
        </w:tc>
        <w:tc>
          <w:tcPr>
            <w:tcW w:w="1400" w:type="dxa"/>
            <w:vAlign w:val="bottom"/>
            <w:gridSpan w:val="2"/>
          </w:tcPr>
          <w:p>
            <w:pPr>
              <w:jc w:val="center"/>
              <w:ind w:left="33"/>
              <w:spacing w:after="0" w:line="98" w:lineRule="exact"/>
              <w:rPr>
                <w:sz w:val="20"/>
                <w:szCs w:val="20"/>
                <w:color w:val="auto"/>
              </w:rPr>
            </w:pPr>
            <w:r>
              <w:rPr>
                <w:rFonts w:ascii="Arial" w:cs="Arial" w:eastAsia="Arial" w:hAnsi="Arial"/>
                <w:sz w:val="9"/>
                <w:szCs w:val="9"/>
                <w:b w:val="1"/>
                <w:bCs w:val="1"/>
                <w:color w:val="auto"/>
                <w:w w:val="91"/>
              </w:rPr>
              <w:t>Registration</w:t>
            </w:r>
          </w:p>
        </w:tc>
        <w:tc>
          <w:tcPr>
            <w:tcW w:w="0" w:type="dxa"/>
            <w:vAlign w:val="bottom"/>
          </w:tcPr>
          <w:p>
            <w:pPr>
              <w:spacing w:after="0"/>
              <w:rPr>
                <w:sz w:val="1"/>
                <w:szCs w:val="1"/>
                <w:color w:val="auto"/>
              </w:rPr>
            </w:pPr>
          </w:p>
        </w:tc>
      </w:tr>
      <w:tr>
        <w:trPr>
          <w:trHeight w:val="111"/>
        </w:trPr>
        <w:tc>
          <w:tcPr>
            <w:tcW w:w="1620" w:type="dxa"/>
            <w:vAlign w:val="bottom"/>
          </w:tcPr>
          <w:p>
            <w:pPr>
              <w:spacing w:after="0"/>
              <w:rPr>
                <w:sz w:val="9"/>
                <w:szCs w:val="9"/>
                <w:color w:val="auto"/>
              </w:rPr>
            </w:pPr>
          </w:p>
        </w:tc>
        <w:tc>
          <w:tcPr>
            <w:tcW w:w="1660" w:type="dxa"/>
            <w:vAlign w:val="bottom"/>
          </w:tcPr>
          <w:p>
            <w:pPr>
              <w:jc w:val="center"/>
              <w:ind w:right="94"/>
              <w:spacing w:after="0"/>
              <w:rPr>
                <w:sz w:val="20"/>
                <w:szCs w:val="20"/>
                <w:color w:val="auto"/>
              </w:rPr>
            </w:pPr>
            <w:r>
              <w:rPr>
                <w:rFonts w:ascii="Arial" w:cs="Arial" w:eastAsia="Arial" w:hAnsi="Arial"/>
                <w:sz w:val="9"/>
                <w:szCs w:val="9"/>
                <w:b w:val="1"/>
                <w:bCs w:val="1"/>
                <w:color w:val="auto"/>
                <w:w w:val="89"/>
              </w:rPr>
              <w:t>Securities to be Registered</w:t>
            </w:r>
          </w:p>
        </w:tc>
        <w:tc>
          <w:tcPr>
            <w:tcW w:w="1580" w:type="dxa"/>
            <w:vAlign w:val="bottom"/>
            <w:tcBorders>
              <w:right w:val="single" w:sz="8" w:color="auto"/>
            </w:tcBorders>
          </w:tcPr>
          <w:p>
            <w:pPr>
              <w:spacing w:after="0"/>
              <w:rPr>
                <w:sz w:val="9"/>
                <w:szCs w:val="9"/>
                <w:color w:val="auto"/>
              </w:rPr>
            </w:pPr>
          </w:p>
        </w:tc>
        <w:tc>
          <w:tcPr>
            <w:tcW w:w="1260" w:type="dxa"/>
            <w:vAlign w:val="bottom"/>
          </w:tcPr>
          <w:p>
            <w:pPr>
              <w:jc w:val="center"/>
              <w:ind w:left="212"/>
              <w:spacing w:after="0"/>
              <w:rPr>
                <w:sz w:val="20"/>
                <w:szCs w:val="20"/>
                <w:color w:val="auto"/>
              </w:rPr>
            </w:pPr>
            <w:r>
              <w:rPr>
                <w:rFonts w:ascii="Arial" w:cs="Arial" w:eastAsia="Arial" w:hAnsi="Arial"/>
                <w:sz w:val="9"/>
                <w:szCs w:val="9"/>
                <w:b w:val="1"/>
                <w:bCs w:val="1"/>
                <w:color w:val="auto"/>
                <w:w w:val="88"/>
              </w:rPr>
              <w:t>to be Registered(1)</w:t>
            </w:r>
          </w:p>
        </w:tc>
        <w:tc>
          <w:tcPr>
            <w:tcW w:w="2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9"/>
                <w:szCs w:val="9"/>
                <w:b w:val="1"/>
                <w:bCs w:val="1"/>
                <w:color w:val="auto"/>
                <w:w w:val="96"/>
              </w:rPr>
              <w:t>Per Unit(1)</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9"/>
                <w:szCs w:val="9"/>
                <w:b w:val="1"/>
                <w:bCs w:val="1"/>
                <w:color w:val="auto"/>
                <w:w w:val="93"/>
              </w:rPr>
              <w:t>Offering Price(1)</w:t>
            </w:r>
          </w:p>
        </w:tc>
        <w:tc>
          <w:tcPr>
            <w:tcW w:w="1400" w:type="dxa"/>
            <w:vAlign w:val="bottom"/>
            <w:gridSpan w:val="2"/>
          </w:tcPr>
          <w:p>
            <w:pPr>
              <w:jc w:val="center"/>
              <w:ind w:left="33"/>
              <w:spacing w:after="0"/>
              <w:rPr>
                <w:sz w:val="20"/>
                <w:szCs w:val="20"/>
                <w:color w:val="auto"/>
              </w:rPr>
            </w:pPr>
            <w:r>
              <w:rPr>
                <w:rFonts w:ascii="Arial" w:cs="Arial" w:eastAsia="Arial" w:hAnsi="Arial"/>
                <w:sz w:val="9"/>
                <w:szCs w:val="9"/>
                <w:b w:val="1"/>
                <w:bCs w:val="1"/>
                <w:color w:val="auto"/>
                <w:w w:val="90"/>
              </w:rPr>
              <w:t>Fee(1)</w:t>
            </w:r>
          </w:p>
        </w:tc>
        <w:tc>
          <w:tcPr>
            <w:tcW w:w="0" w:type="dxa"/>
            <w:vAlign w:val="bottom"/>
          </w:tcPr>
          <w:p>
            <w:pPr>
              <w:spacing w:after="0"/>
              <w:rPr>
                <w:sz w:val="1"/>
                <w:szCs w:val="1"/>
                <w:color w:val="auto"/>
              </w:rPr>
            </w:pPr>
          </w:p>
        </w:tc>
      </w:tr>
      <w:tr>
        <w:trPr>
          <w:trHeight w:val="98"/>
        </w:trPr>
        <w:tc>
          <w:tcPr>
            <w:tcW w:w="3280" w:type="dxa"/>
            <w:vAlign w:val="bottom"/>
            <w:tcBorders>
              <w:top w:val="single" w:sz="8" w:color="auto"/>
              <w:bottom w:val="single" w:sz="8" w:color="auto"/>
            </w:tcBorders>
            <w:gridSpan w:val="2"/>
            <w:shd w:val="clear" w:color="auto" w:fill="CCEEFF"/>
          </w:tcPr>
          <w:p>
            <w:pPr>
              <w:spacing w:after="0" w:line="98" w:lineRule="exact"/>
              <w:rPr>
                <w:sz w:val="20"/>
                <w:szCs w:val="20"/>
                <w:color w:val="auto"/>
              </w:rPr>
            </w:pPr>
            <w:r>
              <w:rPr>
                <w:rFonts w:ascii="Arial" w:cs="Arial" w:eastAsia="Arial" w:hAnsi="Arial"/>
                <w:sz w:val="10"/>
                <w:szCs w:val="10"/>
                <w:color w:val="auto"/>
              </w:rPr>
              <w:t>Debt Securities</w:t>
            </w:r>
          </w:p>
        </w:tc>
        <w:tc>
          <w:tcPr>
            <w:tcW w:w="1580" w:type="dxa"/>
            <w:vAlign w:val="bottom"/>
            <w:tcBorders>
              <w:top w:val="single" w:sz="8" w:color="auto"/>
              <w:bottom w:val="single" w:sz="8" w:color="auto"/>
              <w:right w:val="single" w:sz="8" w:color="auto"/>
            </w:tcBorders>
            <w:shd w:val="clear" w:color="auto" w:fill="CCEEFF"/>
          </w:tcPr>
          <w:p>
            <w:pPr>
              <w:spacing w:after="0"/>
              <w:rPr>
                <w:sz w:val="8"/>
                <w:szCs w:val="8"/>
                <w:color w:val="auto"/>
              </w:rPr>
            </w:pPr>
          </w:p>
        </w:tc>
        <w:tc>
          <w:tcPr>
            <w:tcW w:w="1260" w:type="dxa"/>
            <w:vAlign w:val="bottom"/>
            <w:tcBorders>
              <w:top w:val="single" w:sz="8" w:color="auto"/>
              <w:bottom w:val="single" w:sz="8" w:color="auto"/>
            </w:tcBorders>
            <w:shd w:val="clear" w:color="auto" w:fill="CCEEFF"/>
          </w:tcPr>
          <w:p>
            <w:pPr>
              <w:spacing w:after="0"/>
              <w:rPr>
                <w:sz w:val="8"/>
                <w:szCs w:val="8"/>
                <w:color w:val="auto"/>
              </w:rPr>
            </w:pPr>
          </w:p>
        </w:tc>
        <w:tc>
          <w:tcPr>
            <w:tcW w:w="260" w:type="dxa"/>
            <w:vAlign w:val="bottom"/>
            <w:tcBorders>
              <w:top w:val="single" w:sz="8" w:color="auto"/>
              <w:bottom w:val="single" w:sz="8" w:color="auto"/>
              <w:right w:val="single" w:sz="8" w:color="auto"/>
            </w:tcBorders>
            <w:shd w:val="clear" w:color="auto" w:fill="CCEEFF"/>
          </w:tcPr>
          <w:p>
            <w:pPr>
              <w:spacing w:after="0"/>
              <w:rPr>
                <w:sz w:val="8"/>
                <w:szCs w:val="8"/>
                <w:color w:val="auto"/>
              </w:rPr>
            </w:pPr>
          </w:p>
        </w:tc>
        <w:tc>
          <w:tcPr>
            <w:tcW w:w="1520" w:type="dxa"/>
            <w:vAlign w:val="bottom"/>
            <w:tcBorders>
              <w:top w:val="single" w:sz="8" w:color="auto"/>
              <w:bottom w:val="single" w:sz="8" w:color="auto"/>
              <w:right w:val="single" w:sz="8" w:color="auto"/>
            </w:tcBorders>
            <w:shd w:val="clear" w:color="auto" w:fill="CCEEFF"/>
          </w:tcPr>
          <w:p>
            <w:pPr>
              <w:spacing w:after="0"/>
              <w:rPr>
                <w:sz w:val="8"/>
                <w:szCs w:val="8"/>
                <w:color w:val="auto"/>
              </w:rPr>
            </w:pPr>
          </w:p>
        </w:tc>
        <w:tc>
          <w:tcPr>
            <w:tcW w:w="1500" w:type="dxa"/>
            <w:vAlign w:val="bottom"/>
            <w:tcBorders>
              <w:top w:val="single" w:sz="8" w:color="auto"/>
              <w:bottom w:val="single" w:sz="8" w:color="auto"/>
              <w:right w:val="single" w:sz="8" w:color="auto"/>
            </w:tcBorders>
            <w:shd w:val="clear" w:color="auto" w:fill="CCEEFF"/>
          </w:tcPr>
          <w:p>
            <w:pPr>
              <w:spacing w:after="0"/>
              <w:rPr>
                <w:sz w:val="8"/>
                <w:szCs w:val="8"/>
                <w:color w:val="auto"/>
              </w:rPr>
            </w:pPr>
          </w:p>
        </w:tc>
        <w:tc>
          <w:tcPr>
            <w:tcW w:w="1380" w:type="dxa"/>
            <w:vAlign w:val="bottom"/>
            <w:tcBorders>
              <w:top w:val="single" w:sz="8" w:color="auto"/>
              <w:bottom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28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color w:val="auto"/>
              </w:rPr>
              <w:t>Subsidiary Guarantees of Debt Securities(2)</w:t>
            </w:r>
          </w:p>
        </w:tc>
        <w:tc>
          <w:tcPr>
            <w:tcW w:w="158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280" w:type="dxa"/>
            <w:vAlign w:val="bottom"/>
            <w:tcBorders>
              <w:bottom w:val="single" w:sz="8" w:color="auto"/>
            </w:tcBorders>
            <w:gridSpan w:val="2"/>
            <w:shd w:val="clear" w:color="auto" w:fill="CCEEFF"/>
          </w:tcPr>
          <w:p>
            <w:pPr>
              <w:spacing w:after="0" w:line="98" w:lineRule="exact"/>
              <w:rPr>
                <w:sz w:val="20"/>
                <w:szCs w:val="20"/>
                <w:color w:val="auto"/>
              </w:rPr>
            </w:pPr>
            <w:r>
              <w:rPr>
                <w:rFonts w:ascii="Arial" w:cs="Arial" w:eastAsia="Arial" w:hAnsi="Arial"/>
                <w:sz w:val="10"/>
                <w:szCs w:val="10"/>
                <w:color w:val="auto"/>
              </w:rPr>
              <w:t>Common Stock, par value $0.01 per share</w:t>
            </w:r>
          </w:p>
        </w:tc>
        <w:tc>
          <w:tcPr>
            <w:tcW w:w="1580" w:type="dxa"/>
            <w:vAlign w:val="bottom"/>
            <w:tcBorders>
              <w:bottom w:val="single" w:sz="8" w:color="auto"/>
              <w:right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right w:val="single" w:sz="8" w:color="auto"/>
            </w:tcBorders>
            <w:shd w:val="clear" w:color="auto" w:fill="CCEEFF"/>
          </w:tcPr>
          <w:p>
            <w:pPr>
              <w:spacing w:after="0"/>
              <w:rPr>
                <w:sz w:val="8"/>
                <w:szCs w:val="8"/>
                <w:color w:val="auto"/>
              </w:rPr>
            </w:pPr>
          </w:p>
        </w:tc>
        <w:tc>
          <w:tcPr>
            <w:tcW w:w="1520" w:type="dxa"/>
            <w:vAlign w:val="bottom"/>
            <w:tcBorders>
              <w:bottom w:val="single" w:sz="8" w:color="auto"/>
              <w:right w:val="single" w:sz="8" w:color="auto"/>
            </w:tcBorders>
            <w:shd w:val="clear" w:color="auto" w:fill="CCEEFF"/>
          </w:tcPr>
          <w:p>
            <w:pPr>
              <w:spacing w:after="0"/>
              <w:rPr>
                <w:sz w:val="8"/>
                <w:szCs w:val="8"/>
                <w:color w:val="auto"/>
              </w:rPr>
            </w:pPr>
          </w:p>
        </w:tc>
        <w:tc>
          <w:tcPr>
            <w:tcW w:w="1500" w:type="dxa"/>
            <w:vAlign w:val="bottom"/>
            <w:tcBorders>
              <w:bottom w:val="single" w:sz="8" w:color="auto"/>
              <w:right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28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color w:val="auto"/>
              </w:rPr>
              <w:t>Preferred Stock, par value $0.01 per share</w:t>
            </w:r>
          </w:p>
        </w:tc>
        <w:tc>
          <w:tcPr>
            <w:tcW w:w="158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280" w:type="dxa"/>
            <w:vAlign w:val="bottom"/>
            <w:tcBorders>
              <w:bottom w:val="single" w:sz="8" w:color="auto"/>
            </w:tcBorders>
            <w:gridSpan w:val="2"/>
            <w:shd w:val="clear" w:color="auto" w:fill="CCEEFF"/>
          </w:tcPr>
          <w:p>
            <w:pPr>
              <w:spacing w:after="0" w:line="98" w:lineRule="exact"/>
              <w:rPr>
                <w:sz w:val="20"/>
                <w:szCs w:val="20"/>
                <w:color w:val="auto"/>
              </w:rPr>
            </w:pPr>
            <w:r>
              <w:rPr>
                <w:rFonts w:ascii="Arial" w:cs="Arial" w:eastAsia="Arial" w:hAnsi="Arial"/>
                <w:sz w:val="10"/>
                <w:szCs w:val="10"/>
                <w:color w:val="auto"/>
              </w:rPr>
              <w:t>Warrants</w:t>
            </w:r>
          </w:p>
        </w:tc>
        <w:tc>
          <w:tcPr>
            <w:tcW w:w="1580" w:type="dxa"/>
            <w:vAlign w:val="bottom"/>
            <w:tcBorders>
              <w:bottom w:val="single" w:sz="8" w:color="auto"/>
              <w:right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right w:val="single" w:sz="8" w:color="auto"/>
            </w:tcBorders>
            <w:shd w:val="clear" w:color="auto" w:fill="CCEEFF"/>
          </w:tcPr>
          <w:p>
            <w:pPr>
              <w:spacing w:after="0"/>
              <w:rPr>
                <w:sz w:val="8"/>
                <w:szCs w:val="8"/>
                <w:color w:val="auto"/>
              </w:rPr>
            </w:pPr>
          </w:p>
        </w:tc>
        <w:tc>
          <w:tcPr>
            <w:tcW w:w="1520" w:type="dxa"/>
            <w:vAlign w:val="bottom"/>
            <w:tcBorders>
              <w:bottom w:val="single" w:sz="8" w:color="auto"/>
              <w:right w:val="single" w:sz="8" w:color="auto"/>
            </w:tcBorders>
            <w:shd w:val="clear" w:color="auto" w:fill="CCEEFF"/>
          </w:tcPr>
          <w:p>
            <w:pPr>
              <w:spacing w:after="0"/>
              <w:rPr>
                <w:sz w:val="8"/>
                <w:szCs w:val="8"/>
                <w:color w:val="auto"/>
              </w:rPr>
            </w:pPr>
          </w:p>
        </w:tc>
        <w:tc>
          <w:tcPr>
            <w:tcW w:w="1500" w:type="dxa"/>
            <w:vAlign w:val="bottom"/>
            <w:tcBorders>
              <w:bottom w:val="single" w:sz="8" w:color="auto"/>
              <w:right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28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color w:val="auto"/>
              </w:rPr>
              <w:t>Stock Purchase Contracts</w:t>
            </w:r>
          </w:p>
        </w:tc>
        <w:tc>
          <w:tcPr>
            <w:tcW w:w="158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280" w:type="dxa"/>
            <w:vAlign w:val="bottom"/>
            <w:tcBorders>
              <w:bottom w:val="single" w:sz="8" w:color="auto"/>
            </w:tcBorders>
            <w:gridSpan w:val="2"/>
            <w:shd w:val="clear" w:color="auto" w:fill="CCEEFF"/>
          </w:tcPr>
          <w:p>
            <w:pPr>
              <w:spacing w:after="0" w:line="98" w:lineRule="exact"/>
              <w:rPr>
                <w:sz w:val="20"/>
                <w:szCs w:val="20"/>
                <w:color w:val="auto"/>
              </w:rPr>
            </w:pPr>
            <w:r>
              <w:rPr>
                <w:rFonts w:ascii="Arial" w:cs="Arial" w:eastAsia="Arial" w:hAnsi="Arial"/>
                <w:sz w:val="10"/>
                <w:szCs w:val="10"/>
                <w:color w:val="auto"/>
              </w:rPr>
              <w:t>Stock Purchase Units</w:t>
            </w:r>
          </w:p>
        </w:tc>
        <w:tc>
          <w:tcPr>
            <w:tcW w:w="1580" w:type="dxa"/>
            <w:vAlign w:val="bottom"/>
            <w:tcBorders>
              <w:bottom w:val="single" w:sz="8" w:color="auto"/>
              <w:right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right w:val="single" w:sz="8" w:color="auto"/>
            </w:tcBorders>
            <w:shd w:val="clear" w:color="auto" w:fill="CCEEFF"/>
          </w:tcPr>
          <w:p>
            <w:pPr>
              <w:spacing w:after="0"/>
              <w:rPr>
                <w:sz w:val="8"/>
                <w:szCs w:val="8"/>
                <w:color w:val="auto"/>
              </w:rPr>
            </w:pPr>
          </w:p>
        </w:tc>
        <w:tc>
          <w:tcPr>
            <w:tcW w:w="1520" w:type="dxa"/>
            <w:vAlign w:val="bottom"/>
            <w:tcBorders>
              <w:bottom w:val="single" w:sz="8" w:color="auto"/>
              <w:right w:val="single" w:sz="8" w:color="auto"/>
            </w:tcBorders>
            <w:shd w:val="clear" w:color="auto" w:fill="CCEEFF"/>
          </w:tcPr>
          <w:p>
            <w:pPr>
              <w:spacing w:after="0"/>
              <w:rPr>
                <w:sz w:val="8"/>
                <w:szCs w:val="8"/>
                <w:color w:val="auto"/>
              </w:rPr>
            </w:pPr>
          </w:p>
        </w:tc>
        <w:tc>
          <w:tcPr>
            <w:tcW w:w="1500" w:type="dxa"/>
            <w:vAlign w:val="bottom"/>
            <w:tcBorders>
              <w:bottom w:val="single" w:sz="8" w:color="auto"/>
              <w:right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28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color w:val="auto"/>
              </w:rPr>
              <w:t>Subscription Rights</w:t>
            </w:r>
          </w:p>
        </w:tc>
        <w:tc>
          <w:tcPr>
            <w:tcW w:w="15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560" w:right="60" w:hanging="217"/>
        <w:spacing w:after="0" w:line="237" w:lineRule="auto"/>
        <w:tabs>
          <w:tab w:leader="none" w:pos="560" w:val="left"/>
        </w:tabs>
        <w:numPr>
          <w:ilvl w:val="0"/>
          <w:numId w:val="1"/>
        </w:numPr>
        <w:rPr>
          <w:rFonts w:ascii="Arial" w:cs="Arial" w:eastAsia="Arial" w:hAnsi="Arial"/>
          <w:sz w:val="10"/>
          <w:szCs w:val="10"/>
          <w:color w:val="auto"/>
        </w:rPr>
      </w:pPr>
      <w:r>
        <w:rPr>
          <w:rFonts w:ascii="Arial" w:cs="Arial" w:eastAsia="Arial" w:hAnsi="Arial"/>
          <w:sz w:val="10"/>
          <w:szCs w:val="10"/>
          <w:color w:val="auto"/>
        </w:rPr>
        <w:t>An indeterminate aggregate initial offering price, principal amount or number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such securities. Securities registered hereunder may be sold either separately or as units comprised of more than one type of security registered hereunder. Separate consideration may or may not be received for securities that are issuable on exercise, conversion or exchange of other securities or that are issued in units. In accordance with Rule 456(b) and Rule 457(r), the registrant is deferring payment of all of the registration fee.</w:t>
      </w:r>
    </w:p>
    <w:p>
      <w:pPr>
        <w:spacing w:after="0" w:line="17" w:lineRule="exact"/>
        <w:rPr>
          <w:rFonts w:ascii="Arial" w:cs="Arial" w:eastAsia="Arial" w:hAnsi="Arial"/>
          <w:sz w:val="10"/>
          <w:szCs w:val="10"/>
          <w:color w:val="auto"/>
        </w:rPr>
      </w:pPr>
    </w:p>
    <w:p>
      <w:pPr>
        <w:ind w:left="560" w:right="140" w:hanging="217"/>
        <w:spacing w:after="0" w:line="259" w:lineRule="auto"/>
        <w:tabs>
          <w:tab w:leader="none" w:pos="560" w:val="left"/>
        </w:tabs>
        <w:numPr>
          <w:ilvl w:val="0"/>
          <w:numId w:val="1"/>
        </w:numPr>
        <w:rPr>
          <w:rFonts w:ascii="Arial" w:cs="Arial" w:eastAsia="Arial" w:hAnsi="Arial"/>
          <w:sz w:val="10"/>
          <w:szCs w:val="10"/>
          <w:color w:val="auto"/>
        </w:rPr>
      </w:pPr>
      <w:r>
        <w:rPr>
          <w:rFonts w:ascii="Arial" w:cs="Arial" w:eastAsia="Arial" w:hAnsi="Arial"/>
          <w:sz w:val="10"/>
          <w:szCs w:val="10"/>
          <w:color w:val="auto"/>
        </w:rPr>
        <w:t>As contemplated by General Instruction I.D.1.c, the Subsidiary Guarantees of Debt Securities will be issued by majority-owned subsidiaries of Republic Services, Inc. and constitute guarantees of non-convertible debt securities of Republic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62865</wp:posOffset>
            </wp:positionV>
            <wp:extent cx="6847205"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184150</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TABLE OF OTHER REGISTRANTS</w:t>
      </w:r>
    </w:p>
    <w:p>
      <w:pPr>
        <w:spacing w:after="0" w:line="100"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The Address, Including Zip Code, and Telephone Number, Including Area Code, of each Co-Registrant’s Principal Executive Offices is 18500 North Allied Way Phoenix, AZ 85054, (480) 627-2700.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Alabama Recycling Services,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Alabama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63-1125333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Autauga County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Alabama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87-0708224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GEK,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Alabama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63-1059042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Industries (Arizona),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76-0353315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Industries (Southwest),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86-0834266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Systems of Arizona,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20-4754255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Apache Junction Landfill Corporation</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86-0807383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Cactus Waste Systems,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74-0193806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Central Arizona Transfer,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20-3469072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Mesa Disposal,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86-0641823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Midway Development Company,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20-1234650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Pinal County Landfill Corp.</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86-0834267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Arizona Hauling,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65-0872472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Summit Waste Systems,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86-0940236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Tri-State Refuse Corporation</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86-0205736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 D A J Corporation</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95-3996398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of California,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86-0841277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Transfer Services of California,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20-4735721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Atlas Transport,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95-2454199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Bay Collection Services,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68-0423276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Bay Environmental Management,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94-2547085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Bay Landfills,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68-0423275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Bay Leasing Company,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68-0206342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Berkeley Sanitary Service,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68-0205653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BLT Enterprises of Oxnard,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77-0404336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Borrego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33-0777844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Browning-Ferris Industries of California,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95-2772010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Charter Evaporation Resource Recovery Systems</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68-0195486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Crockett Sanitary Service,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68-0395297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Delta Container Corporation</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94-1751866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Delta Paper Stock, Co.</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94-2523340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Elder Creek Transfer &amp; Recovery,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68-0461018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Forward,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94-1544481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Golden Bear Transfer Services,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20-1197062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Imperial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86-0972399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Independent Trucking Company</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94-1752713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International Disposal Corp. of California</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94-2229685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Keller Canyon Landfill Company</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77-0222614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 Cañada Disposal Company,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95-4108930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Lathrop Sunrise Sanitation Corporation</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68-0349203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Oceanside Waste &amp; Recycling Services</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95-4516562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72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Otay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33-0777847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Palomar Transfer Station,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33-0777845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Perdomo &amp; Sons,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95-2759289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Ramona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33-0777841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RI/Alameda Corp.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65-1049389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Richmond Sanitary Service,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68-0204974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San Diego Landfill Systems,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20-2391637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San Marcos NCRRF,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33-0777842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Solano Garbage Company</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94-2537922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Sunrise Sanitation Service,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94-2737713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Sunset Disposal Service,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94-2449716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Sycamore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33-0777839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 Contra Costa Energy Recovery Company</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68-0050806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West Contra Costa Sanitary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68-0206389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 County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68-0206346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West County Resource Recovery,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68-0206339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Zakaroff Services</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95-3941388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Systems of Colorado,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Colorado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20-4911774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Bunting Trash Service,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Colorado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84-0744234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Denver RL North,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Colorado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86-1005476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Frontier Waste Services (Colorado),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Colorado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91-2121802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Colorado Hauling,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Colorado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65-0872366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Colorado I,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Colorado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65-0872372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Abilene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26-0015748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Enviroengineering,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76-0294430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Gas Recovery Systems,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86-0912667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Green Power,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59-3771629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Nova Scotia,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86-0898257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Services,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86-0897719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Alabama,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86-0836214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Company,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76-0294431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Environmental Management Group,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20-4987213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Holdings (Canada) Ltd.</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86-0911064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Industries,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88-0228636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Landfill Holdings,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52-2044846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North America,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86-0843596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of New Jersey-New York,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86-0911491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Recycling Services of New Hampshire,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20-5406806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Rural Sanitation,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91-1886463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Services of Colorado,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26-1208222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Services of North America,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20-1838910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Sycamore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30-0076497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Systems Holdings,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59-2068174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Systems of Indiana,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20-8044243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72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Systems,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36-2750252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Transfer Services of Arizona,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20-5130289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Transfer Services of Rhode Island,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20-5046235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Transportation,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52-2044848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American Disposal Services of Illinois,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13-3831976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American Disposal Services of New Jersey,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36-4229718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American Disposal Services of West Virginia,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36-4206387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American Disposal Services,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13-3858494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American Disposal Transfer Services of Illinois,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36-4210454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Anson County Landfill NC,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52-2044849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Ariana,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65-0886342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Attwoods of North America,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98-0066273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AWIN Leasing Company,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76-0351502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AWIN Management,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76-0353318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BBCO,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20-2103652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BFGSI,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3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Atlantic,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76-0367890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Energy Systems of Albany,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76-0293880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Energy Systems of Delaware County,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76-0489490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Energy Systems of Hempstead,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76-0167169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Energy Systems of Niagara II,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86-0997176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Energy Systems of Niagara,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76-0346826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Energy Systems of SEMASS,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76-0489491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Energy Systems of Southeastern Connecticut,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76-0293894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Energy Systems of Southeastern Connecticut, Limited Partnership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76-0353600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International,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98-0055699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REF-FUEL,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76-0293907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Trans River (GP),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76-0490105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Transfer Systems of Alabama,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86-1024458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Transfer Systems of DC,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3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Transfer Systems of Georgia,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86-1024457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Transfer Systems of Maryland,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86-1026339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Transfer Systems of Mississippi,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86-1026340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Transfer Systems of Texas,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86-1024535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Transfer Systems of Virginia,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86-1024453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Waste Services of Indiana,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86-1024528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Waste Services of Tennessee,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3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Waste Services of Texas,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86-1024527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Waste Services,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86-1006825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Waste Systems of Alabama,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86-1024529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Waste Systems of Arkansas,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86-1024531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Waste Systems of Georgia,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86-1024530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Waste Systems of Indiana,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86-1024534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72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Waste Systems of Kentucky,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86-1024543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Waste Systems of Louisiana,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86-1024541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Waste Systems of Mississippi,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86-1024539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Waste Systems of Missouri,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86-1024540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Waste Systems of North America,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41-1696636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Waste Systems of North Carolina,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86-1024538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Waste Systems of South Carolina,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3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Waste Systems of Tennessee,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86-1024463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Waste Systems of Virginia,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86-1024461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Blue Ridge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86-1024533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Bond County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86-0968446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Brenham Total Roll-Offs,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86-1038622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Bridgeton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86-0898487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Bridgeton Transfer Station,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42-1583102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Browning-Ferris Financial Services,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76-0485106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Browning-Ferris Industries of Florida,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74-1819238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Browning-Ferris Industries of Illinois,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31-1697534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Browning-Ferris Industries of Ohio,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74-6186941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Browning-Ferris Industries,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74-1673682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Browning-Ferris Services,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90-0112928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Brunswick Waste Management Facility,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86-0898494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Butler County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86-0898479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Camelot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86-0913826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CC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86-0930050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Cefe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20-2761828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Chilton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86-0979028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Cocopah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86-0979654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Compactor Rental Systems of Delaware,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65-0723614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Disposal Service,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65-0844469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Continental Waste Industries,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11-2909512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Copper Mountain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86-0980013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County Disposal (Ohio),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13-3831975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County Disposal,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13-3831974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County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13-3850472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Courtney Ridge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86-0979799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Crow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52-2044854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 &amp; L Disposal,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37-1355114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East Chicago Compost Facility,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26-3472299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 Leasing Company,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86-1013760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ECDC Environmental of Humboldt County,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91-1901449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ECDC Holdings,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86-0897722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Ellis County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52-2044857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Ellis Scott Landfill MO,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52-2044859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Environmental Development Corp.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35-1783546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72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Environtech,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36-3485658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Envotech-Illinois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37-1355113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Evergreen Scavenger Service,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36-4179870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Evergreen Scavenger Service,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36-4172002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Forest View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86-0979824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Fort Worth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86-0899429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Galveston County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26-0015758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General Refuse Rolloff Corp.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52-2093347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Georgia Recycling Services,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58-2178434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Giles Road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20-3365888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Golden Triangle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26-0015711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Great Lakes Disposal Service,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36-2642310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Great Plains Landfill OK,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52-2044861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Greenwood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91-2098721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Gulf West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26-0015867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H Leasing Company,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86-1013761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Itasca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26-0015841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Jefferson City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86-0898553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Kandel Enterprises,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26-1602664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Kerrville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26-0015826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Lee County Landfill SC,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52-2044865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Lemons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86-0898495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Lewisville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26-0015695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Liberty Waste Holdings,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52-2049620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Liberty Waste Services Limited,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34-1812746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Liberty Waste Services of McCook,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23-2883645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Little Creek Landing,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68-0562490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Local Sanitation of Rowan County,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61-1342580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Lucas County Land Development,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86-1042740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Mars Road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20-3905016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McCarty Road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26-0015687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Mesquite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86-0897693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Mexia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26-0015674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Mountain Home Disposal,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94-3284171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 Leasing Company,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86-1013762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NationsWaste,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25-1774253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Ncorp,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86-1013502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New York Waste Services,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86-1005076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Northeast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72-1564964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Ohio Republic Contracts, II,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65-1024354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Ottawa County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59-2068171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Packerton Land Company,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23-2930927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Panama Road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86-1036043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Pine Hill Farms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86-0899426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72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Pinecrest Landfill OK,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52-2044866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Pleasant Oaks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91-1927530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Polk County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86-1036041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Financial LP,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65-1008378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Financial, Limited Partnership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65-1008373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Group,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65-0984987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Holding Company,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65-0984982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California Holding Company,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65-0984976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California II,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65-0872373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Florida GP,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65-0963062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Florida LP,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65-0963063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Florida, Limited Partnership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65-0965470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Georgia GP,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65-0963065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Georgia LP,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65-0963064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Georgia, Limited Partnership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65-0965473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Indiana LP,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65-1012407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Indiana Transportation,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06-1642141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Indiana, Limited Partnership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65-1012411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Michigan Holding Company,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65-0984978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New Jersey,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65-1050939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Pennsylvania,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65-1012129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South Carolina,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65-1023675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Southern California,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65-1242656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Wisconsin GP,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65-0984993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Wisconsin LP,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65-0984994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Wisconsin, Limited Partnership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65-0984991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Vasco Road,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65-0936716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Waste Services of Southern California,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65-0845646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Waste Services of Texas GP,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65-0964350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Waste Services of Texas LP,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65-0963006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Rio Grande Valley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26-0015192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Risk Services,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76-0162247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RITM,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51-0345295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Royal Oaks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91-2098725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Rubbish Control,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65-0844465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RWS Transport,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27-0061136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 Leasing Company,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86-1013763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Sand Valley Holdings,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51-0391894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Sangamon Valley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86-0970304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Show-Me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86-0898621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Southeast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86-0898482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Southwest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26-0015177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Standard Waste,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37-1049834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Taylor Ridge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86-0970061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72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Tennessee Union County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86-0980095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Tessman Road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20-3365914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Turkey Creek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86-0899439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Victoria Landfill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26-0015157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Wayne County Landfill IL,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52-2044868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Webster Parish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62-1772690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Whispering Pines Landfill TX,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26-0015118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Willow Ridge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86-1004978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Transfer Services of Florida,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20-3534645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Delta Dade Recycling Corp.</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Florida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65-1048925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Delta Resources Corp.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65-0891249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Delta Site Development Corp.</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Florida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65-0936999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Delta Waste Corp.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65-0919421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Envirocycle,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Florida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65-0243954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Gulfcoast Waste Service,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65-0577644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Manumit of Florida,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Florida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58-2065448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Aviation,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65-0959331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Schofield Corporation of Orlando</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Florida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59-3047860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Hauling of Georgia,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Georgia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86-0842495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Industries of Georgia,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Georgia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86-0842496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Central Virginia Properties,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Georgia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20-0767660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Gateway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Georgia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83-0337817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Golden Waste Disposal,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Georgia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58-1849752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Price &amp; Sons Recycling Company</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Georgia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65-0249986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 &amp; S Recycling,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Georgia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58-2237428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Wayne Developers,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Georgia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26-0637318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Ada County Development Company,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Idaho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20-0333823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Services of Page,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Idaho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82-0336097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American Sanitation,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Idaho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82-0469055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ADS of Illinois, Inc.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36-4243045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Industries of Illinois,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36-3915626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Arc Disposal Company, Inc.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36-2386793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Area Disposal,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36-3766465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Borrow Pit Corp.</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3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Brickyard Disposal &amp; Recycling,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37-0948710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CWI of Illinois, Inc.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38-3073435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Environmental Reclamation Company</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37-1140323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Fred Barbara Trucking Co., Inc.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36-3030929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Illinois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35-1811975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Illinois Recycling Services, Inc.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36-3587447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Illinois Valley Recycling,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36-3754225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Ingrum Waste Disposal, Inc.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36-4252595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Kankakee Quarry,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71-0938626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LandComp Corporation</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36-3813024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72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Lee County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37-1360924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Liberty Waste Services of Illinois, L.L.C.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52-1960161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Loop Recycling,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36-3107689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Loop Transfer, Incorporated</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36-3376490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Northlake Transfer,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20-1513744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RCS, Inc.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37-1270589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Roxana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43-1352176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Saline County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37-1208674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Shred — All Recycling Systems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36-3583146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Southern Illinois Regional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22-3032671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Streator Area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36-3207276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Suburban Transfer, Inc.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36-4048153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Suburban Warehouse,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36-3714060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Tri-State Recycling Services, Inc.</w:t>
            </w:r>
          </w:p>
        </w:tc>
        <w:tc>
          <w:tcPr>
            <w:tcW w:w="130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36-3768524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Upper Rock Island County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36-3159198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Agricultural Acquisitions,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20-5469750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Industries of Northwest Indiana,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86-0807381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Benton County Development Company</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45-0527882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Clinton County Landfill Partnership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20-0836700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County Line Landfill Partnership</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86-0900027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DTC Management,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35-2090758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Illiana Disposal Partnership</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86-0900028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Jasper County Development Company Partnership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Indiana</w:t>
            </w:r>
          </w:p>
        </w:tc>
        <w:tc>
          <w:tcPr>
            <w:tcW w:w="3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Key Waste Indiana Partnership</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86-0900031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Lake County C &amp; D Development Partnership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86-1007828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Newton County Landfill Partnership</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86-0899962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Springfield Environmental General Partnership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91-2078723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Tippecanoe County Waste Services Partnership</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20-1305645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Warrick County Development Company</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20-1429593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Wastehaul,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Indiana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35-1616387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Transfer Services of Iowa,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Iowa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20-2721565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Jetter Disposal,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Iowa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36-4221455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American Disposal Services of Kansas,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Kansas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48-0841017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Resource Recovery,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7"/>
              </w:rPr>
              <w:t>Kansas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48-1034034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Sunset Disposal,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Kansas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48-0915496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Benson Valley Landfill General Partnership</w:t>
            </w: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Kentucky</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20-3351757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 Ridge Landfill General Partnership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Kentucky</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91-2079015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Green Valley Landfill General Partnership</w:t>
            </w: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Kentucky</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91-2078719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Morehead Landfill General Partnership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Kentucky</w:t>
            </w:r>
          </w:p>
        </w:tc>
        <w:tc>
          <w:tcPr>
            <w:tcW w:w="3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Kentucky,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Kentucky</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65-0972931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Crescent Acres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Louisiana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20-3620449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Frontier Waste Services of Louisiana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Louisiana</w:t>
            </w:r>
          </w:p>
        </w:tc>
        <w:tc>
          <w:tcPr>
            <w:tcW w:w="3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Jefferson Parish Development Company,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Louisiana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20-3590498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St. Bernard Parish Development Company, LLC</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Louisiana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20-3590527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72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Browning-Ferris,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Maryland</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74-1990096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Calvert Trash Systems, Incorporated</w:t>
            </w: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Maryland</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52-1701593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Honeygo Run Reclamation Center,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Maryland</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52-1781270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Prince George’s County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Maryland</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68-0564610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Acquisition Two,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Massachusetts</w:t>
            </w:r>
          </w:p>
        </w:tc>
        <w:tc>
          <w:tcPr>
            <w:tcW w:w="3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Services of Massachusetts,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85"/>
              </w:rPr>
              <w:t>Massachusetts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86-1024452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Atlantic Waste Holding Company,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Massachusetts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42-1548814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Transfer Systems of Massachusetts,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85"/>
              </w:rPr>
              <w:t>Massachusetts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Waste Systems of Massachusetts,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Massachusetts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86-1024544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Browning-Ferris Industries,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5"/>
              </w:rPr>
              <w:t>Massachusetts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04-1254350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 P. McNamara Rubbish Removal,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Massachusetts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04-2400121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Vining Disposal Service,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5"/>
              </w:rPr>
              <w:t>Massachusetts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04-2534061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Adrian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38-1799679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Systems of Michigan,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20-3358409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 &amp; C Expanded Sanitary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20-2540046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Central Sanitary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38-2917813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Citizens Disposal,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38-2521526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City-Star Services,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38-1841203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Clarkston Disposal,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38-2872489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Dinverno,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38-2318347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Eagle Industries Leasing,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38-3188507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FLL,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38-2679508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 Van Dyken Disposal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38-2998205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Harland’s Sanitary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38-2016636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Oakland Heights Development,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38-2388322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Reliable Disposal,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38-2301483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Michigan Hauling,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65-0872289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Michigan I,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65-0872399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Michigan II,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65-0872398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Michigan III,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65-0872397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Michigan IV,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65-0872396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Michigan V,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65-0872395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Royal Holdings,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38-3244832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Sanitary Disposal Service,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38-2283539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Sauk Trail Development,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38-2489474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Standard Disposal Services,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38-2261256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Standard Environmental Services,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38-3353218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Tay-Ban Corporation</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38-2605338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Tri-County Refuse Service,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38-3293469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Woodlake Sanitary Service,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Minnesota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41-0673360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Hancock County Development Company,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Mississippi</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20-3546528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Harrison County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Mississippi</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72-1569826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Jackson County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Mississippi</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86-1055245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Mississippi Waste Paper Company</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Mississippi</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64-0817153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72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Autoshred,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Missouri</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43-1030222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Belleville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Missouri</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37-1037997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CWI of Missouri,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Missouri</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43-1527951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Missouri City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Missouri</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47-0921988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Rock Road Industries,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Missouri</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43-1509575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St. Joseph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Missouri</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20-1475879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Tate’s Transfer Systems,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Missouri</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43-1587860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Thomas Disposal Service,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Missouri</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43-1058393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Systems of Montana,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Montana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20-4777694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Oscar’s Collection System of Fremont,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Nebraska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47-0756617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Browning-Ferris Industries Chemical Services,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Nevada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74-1362353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Dumpco,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Nevada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65-0772299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Environmental Technologies,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Nevada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65-0768398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Silver State Disposal,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Nevada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65-0768402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Transfer Systems of New Jersey,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86-0982078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of New Jersey,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22-3525350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Systems of New Jersey,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86-0982077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American Materials Recycling Corp.</w:t>
            </w: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22-3211753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Automated Modular Systems,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22-2830098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Energy Systems of Essex County,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76-0167158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Transfer Systems of New Jersey,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22-3308380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Waste Systems of New Jersey,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22-1755133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Browning-Ferris Industries of New Jersey,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22-2095920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Louis Pinto &amp; Son, Inc., Sanitation Contractors</w:t>
            </w: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22-1947106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Newco Waste Systems of New Jersey,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16-1188724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Tom Luciano’s Disposal Service,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22-2035629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Solid Waste Recyclers,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New Jersey</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22-2647500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Industries (New Mexico),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New Mexico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85-0444394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Niagara Falls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20-4809296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of Long Island,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New York</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86-0896185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Transfer Services of New York,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20-3651091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American Transfer Company,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New York</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11-3189094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Browning-Ferris Industries of New York,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14-1496692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CECOS International,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New York</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16-1069544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Island Waste Services Ltd.</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11-2815030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Menands Environmental Solutions,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New York</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20-1644884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Tricil (N.Y.),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16-0875255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Waste Services of New York,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New York</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22-3515302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Wayne County Land Development,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20-1687434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Systems of North Carolina,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North Carolina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20-3626667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Transfer Services of North Carolina,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North Carolina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20-3147983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Lake Norman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North Carolina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56-2076617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North Carolina,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North Carolina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65-0972930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Real Estate Holding,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North Carolina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65-1024362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72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Transfer Services of Lima,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20-3880719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AWIN Leasing II,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86-1015694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Carbon Limestone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20-2059890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Celina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31-0813291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Cherokee Run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31-1061009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County Environmental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20-2060052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County Land Development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20-2059973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Dempsey Waste Systems II,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91-2094398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Refuse Service of Ohio,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3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Lorain County Landfill,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20-2059931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Lucas County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20-2060013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Noble Road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34-1625432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Ohio Republic Contracts,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65-1024359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Port Clinton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20-1095124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Preble County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81-0579596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R.C. Miller Enterprises,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34-1727361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R.C. Miller Refuse Service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34-1041193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Ohio Contracts,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3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Ohio Hauling,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65-0872369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Ohio I,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65-0872405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Ohio II,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65-0872404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Republic Services of Ohio III,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65-0872403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Ohio IV,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65-0872402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Ross Bros. Waste &amp; Recycling Co.</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31-1362843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 Ecology Group,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31-1370194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Williams County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34-1167514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Oklahoma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73-1379293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Services of Stillwater,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Oklahoma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73-1286140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American Disposal Services of Missouri,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Oklahoma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73-1417578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Waste Systems of Oklahoma,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Oklahoma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86-1024464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Oklahoma City Landfill,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Oklahoma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86-0901510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Pittsburg County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Oklahoma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73-1379294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Agri-Tech, Inc. of Oregon</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93-0831569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Albany — Lebanon Sanitation,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93-0593828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Transfer Services of Oregon,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20-4682479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Bio-Med of Oregon,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93-0666288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Capitol Recycling and Disposal,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93-1197641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Corvallis Disposal Co.</w:t>
            </w:r>
          </w:p>
        </w:tc>
        <w:tc>
          <w:tcPr>
            <w:tcW w:w="1300" w:type="dxa"/>
            <w:vAlign w:val="bottom"/>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93-0422468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Dallas Disposal Co.</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93-0686961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Grants Pass Sanitation,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93-1149631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Keller Drop Box,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93-0775047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McInnis Waste Systems,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93-1100152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Peltier Real Estate Company</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93-0622305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Portable Storage Co.</w:t>
            </w:r>
          </w:p>
        </w:tc>
        <w:tc>
          <w:tcPr>
            <w:tcW w:w="1300" w:type="dxa"/>
            <w:vAlign w:val="bottom"/>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93-0677497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72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State or Other</w:t>
            </w:r>
          </w:p>
        </w:tc>
        <w:tc>
          <w:tcPr>
            <w:tcW w:w="3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Jurisdiction of</w:t>
            </w:r>
          </w:p>
        </w:tc>
        <w:tc>
          <w:tcPr>
            <w:tcW w:w="3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Employer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Organization</w:t>
            </w:r>
          </w:p>
        </w:tc>
        <w:tc>
          <w:tcPr>
            <w:tcW w:w="3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Rossman Sanitary Service,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93-0524701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Source Recycling,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93-0676813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Disposal Service,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93-0625022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Valley Landfills,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93-0623113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Waste Control Systems,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93-0608475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WDTR,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93-0970896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Willamette Resources,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Oregon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93-0636217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Acquisition Pennsylvania,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Pennsylvania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52-2038566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Allied Waste Systems of Pennsylvania,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86-1020961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BFI Transfer Systems of Pennsylvania,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Pennsylvania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86-1024460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BFI Waste Services of Pennsylvania,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86-1020962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Greenridge Reclamation,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Pennsylvania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86-1026336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Greenridge Waste Services,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86-1026337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McCusker Recycling,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Pennsylvania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23-2558840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Morgan Landfill Company,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23-2645522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Flint Hill Road,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South Carolina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86-1014460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NationsWaste Catawba Regional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South Carolina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58-2376936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Industries of Tennessee,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3"/>
              </w:rPr>
              <w:t>Tennessee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62-1589834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Barker Brothers Waste, Incorporated</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Tennessee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62-1119788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Browning-Ferris Industries of Tennessee, Inc.</w:t>
            </w:r>
          </w:p>
        </w:tc>
        <w:tc>
          <w:tcPr>
            <w:tcW w:w="1300" w:type="dxa"/>
            <w:vAlign w:val="bottom"/>
          </w:tcPr>
          <w:p>
            <w:pPr>
              <w:jc w:val="center"/>
              <w:spacing w:after="0"/>
              <w:rPr>
                <w:sz w:val="20"/>
                <w:szCs w:val="20"/>
                <w:color w:val="auto"/>
              </w:rPr>
            </w:pPr>
            <w:r>
              <w:rPr>
                <w:rFonts w:ascii="Arial" w:cs="Arial" w:eastAsia="Arial" w:hAnsi="Arial"/>
                <w:sz w:val="13"/>
                <w:szCs w:val="13"/>
                <w:color w:val="auto"/>
                <w:w w:val="83"/>
              </w:rPr>
              <w:t>Tennessee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62-0566788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Madison County Development,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Tennessee</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20-1187869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Northwest Tennessee Disposal Corporation</w:t>
            </w:r>
          </w:p>
        </w:tc>
        <w:tc>
          <w:tcPr>
            <w:tcW w:w="1300" w:type="dxa"/>
            <w:vAlign w:val="bottom"/>
          </w:tcPr>
          <w:p>
            <w:pPr>
              <w:jc w:val="center"/>
              <w:spacing w:after="0"/>
              <w:rPr>
                <w:sz w:val="20"/>
                <w:szCs w:val="20"/>
                <w:color w:val="auto"/>
              </w:rPr>
            </w:pPr>
            <w:r>
              <w:rPr>
                <w:rFonts w:ascii="Arial" w:cs="Arial" w:eastAsia="Arial" w:hAnsi="Arial"/>
                <w:sz w:val="13"/>
                <w:szCs w:val="13"/>
                <w:color w:val="auto"/>
                <w:w w:val="83"/>
              </w:rPr>
              <w:t>Tennessee</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22-3091901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Action Disposal,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Texas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74-2679234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Desarrollo del Rancho La Gloria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84"/>
              </w:rPr>
              <w:t>Texas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81-0636822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 Centro Landfill, L.P.</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Texas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75-3088544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Frontier Waste Services, L.P.</w:t>
            </w:r>
          </w:p>
        </w:tc>
        <w:tc>
          <w:tcPr>
            <w:tcW w:w="1300" w:type="dxa"/>
            <w:vAlign w:val="bottom"/>
          </w:tcPr>
          <w:p>
            <w:pPr>
              <w:jc w:val="center"/>
              <w:spacing w:after="0"/>
              <w:rPr>
                <w:sz w:val="20"/>
                <w:szCs w:val="20"/>
                <w:color w:val="auto"/>
              </w:rPr>
            </w:pPr>
            <w:r>
              <w:rPr>
                <w:rFonts w:ascii="Arial" w:cs="Arial" w:eastAsia="Arial" w:hAnsi="Arial"/>
                <w:sz w:val="13"/>
                <w:szCs w:val="13"/>
                <w:color w:val="auto"/>
                <w:w w:val="84"/>
              </w:rPr>
              <w:t>Texas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76-0604271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Waste Services of Texas, Ltd.</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Texas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65-0963067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South Central Texas Land Co. TX, LP</w:t>
            </w:r>
          </w:p>
        </w:tc>
        <w:tc>
          <w:tcPr>
            <w:tcW w:w="1300" w:type="dxa"/>
            <w:vAlign w:val="bottom"/>
          </w:tcPr>
          <w:p>
            <w:pPr>
              <w:jc w:val="center"/>
              <w:spacing w:after="0"/>
              <w:rPr>
                <w:sz w:val="20"/>
                <w:szCs w:val="20"/>
                <w:color w:val="auto"/>
              </w:rPr>
            </w:pPr>
            <w:r>
              <w:rPr>
                <w:rFonts w:ascii="Arial" w:cs="Arial" w:eastAsia="Arial" w:hAnsi="Arial"/>
                <w:sz w:val="13"/>
                <w:szCs w:val="13"/>
                <w:color w:val="auto"/>
                <w:w w:val="84"/>
              </w:rPr>
              <w:t>Texas</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81-0363867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Roll-Offs,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Texas</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74-2895613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Allied Waste Transfer Services of Utah,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Utah</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20-2298486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ECDC Environmental, 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Utah</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87-0507247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Frontier Waste Services (Utah),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Utah</w:t>
            </w:r>
          </w:p>
        </w:tc>
        <w:tc>
          <w:tcPr>
            <w:tcW w:w="3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Wasatch Regional Landfill,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Utah</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20-0960443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623 Landfill, Inc.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Virginia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59-3800507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Cumberland County Development Company,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Virginia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20-1645866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Obscurity Land Development, LLC</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Virginia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20-5046288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Republic Services of Virginia, LLC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Virginia</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65-0976277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Rabanco Companies</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Washington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91-1312267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Rabanco Recycling,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Washington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91-1406993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Rabanco, Ltd.</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Washington</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91-0714701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WJR Environmental, Inc.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Washington</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91-1525369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Sandy Hollow Landfill Corp.</w:t>
            </w: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West Virginia</w:t>
            </w:r>
          </w:p>
        </w:tc>
        <w:tc>
          <w:tcPr>
            <w:tcW w:w="188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22-3017041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72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PROSPECTUS</w:t>
      </w:r>
    </w:p>
    <w:p>
      <w:pPr>
        <w:spacing w:after="0" w:line="78" w:lineRule="exact"/>
        <w:rPr>
          <w:sz w:val="20"/>
          <w:szCs w:val="20"/>
          <w:color w:val="auto"/>
        </w:rPr>
      </w:pPr>
    </w:p>
    <w:p>
      <w:pPr>
        <w:jc w:val="center"/>
        <w:ind w:right="-699"/>
        <w:spacing w:after="0"/>
        <w:rPr>
          <w:sz w:val="20"/>
          <w:szCs w:val="20"/>
          <w:color w:val="auto"/>
        </w:rPr>
      </w:pPr>
      <w:r>
        <w:rPr>
          <w:rFonts w:ascii="Arial" w:cs="Arial" w:eastAsia="Arial" w:hAnsi="Arial"/>
          <w:sz w:val="31"/>
          <w:szCs w:val="31"/>
          <w:b w:val="1"/>
          <w:bCs w:val="1"/>
          <w:color w:val="auto"/>
        </w:rPr>
        <w:t>Republic Services, Inc.</w:t>
      </w:r>
    </w:p>
    <w:p>
      <w:pPr>
        <w:spacing w:after="0" w:line="18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Debt Securities</w:t>
      </w:r>
    </w:p>
    <w:p>
      <w:pPr>
        <w:spacing w:after="0" w:line="17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Common Stock</w:t>
      </w:r>
    </w:p>
    <w:p>
      <w:pPr>
        <w:spacing w:after="0" w:line="17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Preferred Stock</w:t>
      </w:r>
    </w:p>
    <w:p>
      <w:pPr>
        <w:spacing w:after="0" w:line="17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Warrants</w:t>
      </w:r>
    </w:p>
    <w:p>
      <w:pPr>
        <w:spacing w:after="0" w:line="17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Stock Purchase Contracts</w:t>
      </w:r>
    </w:p>
    <w:p>
      <w:pPr>
        <w:spacing w:after="0" w:line="17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Stock Purchase Units</w:t>
      </w:r>
    </w:p>
    <w:p>
      <w:pPr>
        <w:spacing w:after="0" w:line="17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85090</wp:posOffset>
            </wp:positionV>
            <wp:extent cx="114236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13"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may use this prospectus from time to time to offer debt securities, shares of our common stock, shares of our preferred stock, warrants to purchase our debt securities, common stock or preferred stock, stock purchase contracts, stock purchase units and subscription rights. This prospectus also covers guarantees, if any, of our payment obligations under any debt securities, which may be given by substantially all of our subsidiaries, on terms to be determined at the time of the offering. We refer to our debt securities, common stock, preferred stock, warrants, stock purchase contracts, stock purchase units and subscription rights collectively as the “securities.” Any or all of the securities may be offered and sold separately or together. The debt securities and preferred stock may be convertible into or exchangeable or exercisable for other securities. We will provide specific terms of these securities, and the manner in which these securities will be offered, in supplements to this prospectus. The prospectus supplements may also add, update or change information contained in this prospectus. You should carefully read this prospectus and any supplement before you invest.</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common stock is listed on the New York Stock Exchange under the symbol “RSG.”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114236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82" w:lineRule="exact"/>
        <w:rPr>
          <w:sz w:val="20"/>
          <w:szCs w:val="20"/>
          <w:color w:val="auto"/>
        </w:rPr>
      </w:pPr>
    </w:p>
    <w:p>
      <w:pPr>
        <w:ind w:left="680" w:right="80" w:firstLine="499"/>
        <w:spacing w:after="0" w:line="327" w:lineRule="auto"/>
        <w:rPr>
          <w:sz w:val="20"/>
          <w:szCs w:val="20"/>
          <w:color w:val="auto"/>
        </w:rPr>
      </w:pPr>
      <w:r>
        <w:rPr>
          <w:rFonts w:ascii="Arial" w:cs="Arial" w:eastAsia="Arial" w:hAnsi="Arial"/>
          <w:sz w:val="13"/>
          <w:szCs w:val="13"/>
          <w:b w:val="1"/>
          <w:bCs w:val="1"/>
          <w:color w:val="auto"/>
        </w:rPr>
        <w:t>Investing in securities involves risks. You should carefully read this prospectus and the applicable prospectus supplement, including the section entitled “Risk Factors” beginning on page 1 of this prospectus, the section entitled “Risk Factors” in the applicable prospectus supplement and risk factors in our periodic reports and other information filed with the Securities and Exchange Commission before investing in our securities.</w:t>
      </w:r>
    </w:p>
    <w:p>
      <w:pPr>
        <w:spacing w:after="0" w:line="16" w:lineRule="exact"/>
        <w:rPr>
          <w:sz w:val="20"/>
          <w:szCs w:val="20"/>
          <w:color w:val="auto"/>
        </w:rPr>
      </w:pPr>
    </w:p>
    <w:p>
      <w:pPr>
        <w:ind w:left="680" w:right="180" w:firstLine="399"/>
        <w:spacing w:after="0" w:line="283"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these securities or determined if this prospectus is truthful and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46355</wp:posOffset>
            </wp:positionV>
            <wp:extent cx="114236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The date of this prospectus is May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3"/>
          <w:szCs w:val="13"/>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1640" w:type="dxa"/>
            <w:vAlign w:val="bottom"/>
            <w:tcBorders>
              <w:bottom w:val="single" w:sz="8" w:color="0000EE"/>
            </w:tcBorders>
            <w:gridSpan w:val="10"/>
          </w:tcPr>
          <w:p>
            <w:pPr>
              <w:spacing w:after="0"/>
              <w:rPr>
                <w:rFonts w:ascii="Arial" w:cs="Arial" w:eastAsia="Arial" w:hAnsi="Arial"/>
                <w:sz w:val="13"/>
                <w:szCs w:val="13"/>
                <w:color w:val="0000EE"/>
                <w:w w:val="94"/>
              </w:rPr>
            </w:pPr>
            <w:hyperlink w:anchor="page16">
              <w:r>
                <w:rPr>
                  <w:rFonts w:ascii="Arial" w:cs="Arial" w:eastAsia="Arial" w:hAnsi="Arial"/>
                  <w:sz w:val="13"/>
                  <w:szCs w:val="13"/>
                  <w:color w:val="0000EE"/>
                  <w:w w:val="94"/>
                </w:rPr>
                <w:t>ABOUT THIS PROSPECTUS</w:t>
              </w:r>
            </w:hyperlink>
          </w:p>
        </w:tc>
        <w:tc>
          <w:tcPr>
            <w:tcW w:w="8060" w:type="dxa"/>
            <w:vAlign w:val="bottom"/>
            <w:gridSpan w:val="11"/>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i</w:t>
            </w:r>
          </w:p>
        </w:tc>
      </w:tr>
      <w:tr>
        <w:trPr>
          <w:trHeight w:val="137"/>
        </w:trPr>
        <w:tc>
          <w:tcPr>
            <w:tcW w:w="9700" w:type="dxa"/>
            <w:vAlign w:val="bottom"/>
            <w:gridSpan w:val="21"/>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DISCLOSURE REGARDING FORWARD-LOOKING STATEMENTS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ii</w:t>
            </w:r>
          </w:p>
        </w:tc>
      </w:tr>
      <w:tr>
        <w:trPr>
          <w:trHeight w:val="20"/>
        </w:trPr>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9700" w:type="dxa"/>
            <w:vAlign w:val="bottom"/>
            <w:gridSpan w:val="21"/>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DOCUMENTS INCORPORATED BY REFERENCE INTO THIS PROSPECTUS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iii</w:t>
            </w:r>
          </w:p>
        </w:tc>
      </w:tr>
      <w:tr>
        <w:trPr>
          <w:trHeight w:val="137"/>
        </w:trPr>
        <w:tc>
          <w:tcPr>
            <w:tcW w:w="940" w:type="dxa"/>
            <w:vAlign w:val="bottom"/>
            <w:tcBorders>
              <w:top w:val="single" w:sz="8" w:color="0000EE"/>
              <w:bottom w:val="single" w:sz="8" w:color="0000EE"/>
            </w:tcBorders>
            <w:gridSpan w:val="6"/>
          </w:tcPr>
          <w:p>
            <w:pPr>
              <w:spacing w:after="0" w:line="138" w:lineRule="exact"/>
              <w:rPr>
                <w:rFonts w:ascii="Arial" w:cs="Arial" w:eastAsia="Arial" w:hAnsi="Arial"/>
                <w:sz w:val="13"/>
                <w:szCs w:val="13"/>
                <w:color w:val="0000EE"/>
                <w:w w:val="96"/>
              </w:rPr>
            </w:pPr>
            <w:hyperlink w:anchor="page20">
              <w:r>
                <w:rPr>
                  <w:rFonts w:ascii="Arial" w:cs="Arial" w:eastAsia="Arial" w:hAnsi="Arial"/>
                  <w:sz w:val="13"/>
                  <w:szCs w:val="13"/>
                  <w:color w:val="0000EE"/>
                  <w:w w:val="96"/>
                </w:rPr>
                <w:t>THE COMPANY</w:t>
              </w:r>
            </w:hyperlink>
          </w:p>
        </w:tc>
        <w:tc>
          <w:tcPr>
            <w:tcW w:w="3420" w:type="dxa"/>
            <w:vAlign w:val="bottom"/>
            <w:tcBorders>
              <w:top w:val="single" w:sz="8" w:color="0000EE"/>
            </w:tcBorders>
            <w:gridSpan w:val="13"/>
          </w:tcPr>
          <w:p>
            <w:pPr>
              <w:spacing w:after="0"/>
              <w:rPr>
                <w:sz w:val="11"/>
                <w:szCs w:val="11"/>
                <w:color w:val="auto"/>
              </w:rPr>
            </w:pPr>
          </w:p>
        </w:tc>
        <w:tc>
          <w:tcPr>
            <w:tcW w:w="5340" w:type="dxa"/>
            <w:vAlign w:val="bottom"/>
            <w:gridSpan w:val="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9700" w:type="dxa"/>
            <w:vAlign w:val="bottom"/>
            <w:gridSpan w:val="21"/>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RATIOS OF EARNINGS TO FIXED CHARGES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92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3"/>
              </w:rPr>
            </w:pPr>
            <w:hyperlink w:anchor="page20">
              <w:r>
                <w:rPr>
                  <w:rFonts w:ascii="Arial" w:cs="Arial" w:eastAsia="Arial" w:hAnsi="Arial"/>
                  <w:sz w:val="13"/>
                  <w:szCs w:val="13"/>
                  <w:color w:val="0000EE"/>
                  <w:w w:val="93"/>
                </w:rPr>
                <w:t>RISK FACTORS</w:t>
              </w:r>
            </w:hyperlink>
          </w:p>
        </w:tc>
        <w:tc>
          <w:tcPr>
            <w:tcW w:w="1700" w:type="dxa"/>
            <w:vAlign w:val="bottom"/>
            <w:tcBorders>
              <w:top w:val="single" w:sz="8" w:color="0000EE"/>
            </w:tcBorders>
            <w:gridSpan w:val="11"/>
          </w:tcPr>
          <w:p>
            <w:pPr>
              <w:spacing w:after="0"/>
              <w:rPr>
                <w:sz w:val="11"/>
                <w:szCs w:val="11"/>
                <w:color w:val="auto"/>
              </w:rPr>
            </w:pPr>
          </w:p>
        </w:tc>
        <w:tc>
          <w:tcPr>
            <w:tcW w:w="7080" w:type="dxa"/>
            <w:vAlign w:val="bottom"/>
            <w:gridSpan w:val="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1160" w:type="dxa"/>
            <w:vAlign w:val="bottom"/>
            <w:tcBorders>
              <w:bottom w:val="single" w:sz="8" w:color="0000EE"/>
            </w:tcBorders>
            <w:gridSpan w:val="8"/>
          </w:tcPr>
          <w:p>
            <w:pPr>
              <w:spacing w:after="0" w:line="138" w:lineRule="exact"/>
              <w:rPr>
                <w:rFonts w:ascii="Arial" w:cs="Arial" w:eastAsia="Arial" w:hAnsi="Arial"/>
                <w:sz w:val="13"/>
                <w:szCs w:val="13"/>
                <w:color w:val="0000EE"/>
                <w:w w:val="91"/>
              </w:rPr>
            </w:pPr>
            <w:hyperlink w:anchor="page20">
              <w:r>
                <w:rPr>
                  <w:rFonts w:ascii="Arial" w:cs="Arial" w:eastAsia="Arial" w:hAnsi="Arial"/>
                  <w:sz w:val="13"/>
                  <w:szCs w:val="13"/>
                  <w:color w:val="0000EE"/>
                  <w:w w:val="91"/>
                </w:rPr>
                <w:t>USE OF PROCEEDS</w:t>
              </w:r>
            </w:hyperlink>
          </w:p>
        </w:tc>
        <w:tc>
          <w:tcPr>
            <w:tcW w:w="8540" w:type="dxa"/>
            <w:vAlign w:val="bottom"/>
            <w:gridSpan w:val="1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1840" w:type="dxa"/>
            <w:vAlign w:val="bottom"/>
            <w:tcBorders>
              <w:bottom w:val="single" w:sz="8" w:color="0000EE"/>
            </w:tcBorders>
            <w:gridSpan w:val="12"/>
          </w:tcPr>
          <w:p>
            <w:pPr>
              <w:spacing w:after="0" w:line="138" w:lineRule="exact"/>
              <w:rPr>
                <w:rFonts w:ascii="Arial" w:cs="Arial" w:eastAsia="Arial" w:hAnsi="Arial"/>
                <w:sz w:val="13"/>
                <w:szCs w:val="13"/>
                <w:color w:val="0000EE"/>
                <w:w w:val="94"/>
              </w:rPr>
            </w:pPr>
            <w:hyperlink w:anchor="page20">
              <w:r>
                <w:rPr>
                  <w:rFonts w:ascii="Arial" w:cs="Arial" w:eastAsia="Arial" w:hAnsi="Arial"/>
                  <w:sz w:val="13"/>
                  <w:szCs w:val="13"/>
                  <w:color w:val="0000EE"/>
                  <w:w w:val="94"/>
                </w:rPr>
                <w:t>DESCRIPTION OF SECURITIES</w:t>
              </w:r>
            </w:hyperlink>
          </w:p>
        </w:tc>
        <w:tc>
          <w:tcPr>
            <w:tcW w:w="7860" w:type="dxa"/>
            <w:vAlign w:val="bottom"/>
            <w:gridSpan w:val="9"/>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9700" w:type="dxa"/>
            <w:vAlign w:val="bottom"/>
            <w:gridSpan w:val="21"/>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DESCRIPTION OF DEBT SECURITIES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w:t>
            </w:r>
          </w:p>
        </w:tc>
      </w:tr>
      <w:tr>
        <w:trPr>
          <w:trHeight w:val="137"/>
        </w:trPr>
        <w:tc>
          <w:tcPr>
            <w:tcW w:w="2100" w:type="dxa"/>
            <w:vAlign w:val="bottom"/>
            <w:tcBorders>
              <w:top w:val="single" w:sz="8" w:color="0000EE"/>
              <w:bottom w:val="single" w:sz="8" w:color="0000EE"/>
            </w:tcBorders>
            <w:gridSpan w:val="13"/>
          </w:tcPr>
          <w:p>
            <w:pPr>
              <w:spacing w:after="0" w:line="138" w:lineRule="exact"/>
              <w:rPr>
                <w:rFonts w:ascii="Arial" w:cs="Arial" w:eastAsia="Arial" w:hAnsi="Arial"/>
                <w:sz w:val="13"/>
                <w:szCs w:val="13"/>
                <w:color w:val="0000EE"/>
                <w:w w:val="95"/>
              </w:rPr>
            </w:pPr>
            <w:hyperlink w:anchor="page33">
              <w:r>
                <w:rPr>
                  <w:rFonts w:ascii="Arial" w:cs="Arial" w:eastAsia="Arial" w:hAnsi="Arial"/>
                  <w:sz w:val="13"/>
                  <w:szCs w:val="13"/>
                  <w:color w:val="0000EE"/>
                  <w:w w:val="95"/>
                </w:rPr>
                <w:t>DESCRIPTION OF CAPITAL STOCK</w:t>
              </w:r>
            </w:hyperlink>
          </w:p>
        </w:tc>
        <w:tc>
          <w:tcPr>
            <w:tcW w:w="100" w:type="dxa"/>
            <w:vAlign w:val="bottom"/>
            <w:tcBorders>
              <w:top w:val="single" w:sz="8" w:color="0000EE"/>
            </w:tcBorders>
          </w:tcPr>
          <w:p>
            <w:pPr>
              <w:spacing w:after="0"/>
              <w:rPr>
                <w:sz w:val="11"/>
                <w:szCs w:val="11"/>
                <w:color w:val="auto"/>
              </w:rPr>
            </w:pPr>
          </w:p>
        </w:tc>
        <w:tc>
          <w:tcPr>
            <w:tcW w:w="7500" w:type="dxa"/>
            <w:vAlign w:val="bottom"/>
            <w:gridSpan w:val="7"/>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14</w:t>
            </w:r>
          </w:p>
        </w:tc>
      </w:tr>
      <w:tr>
        <w:trPr>
          <w:trHeight w:val="137"/>
        </w:trPr>
        <w:tc>
          <w:tcPr>
            <w:tcW w:w="1820" w:type="dxa"/>
            <w:vAlign w:val="bottom"/>
            <w:tcBorders>
              <w:bottom w:val="single" w:sz="8" w:color="0000EE"/>
            </w:tcBorders>
            <w:gridSpan w:val="11"/>
          </w:tcPr>
          <w:p>
            <w:pPr>
              <w:spacing w:after="0" w:line="138" w:lineRule="exact"/>
              <w:rPr>
                <w:rFonts w:ascii="Arial" w:cs="Arial" w:eastAsia="Arial" w:hAnsi="Arial"/>
                <w:sz w:val="13"/>
                <w:szCs w:val="13"/>
                <w:color w:val="0000EE"/>
                <w:w w:val="95"/>
              </w:rPr>
            </w:pPr>
            <w:hyperlink w:anchor="page38">
              <w:r>
                <w:rPr>
                  <w:rFonts w:ascii="Arial" w:cs="Arial" w:eastAsia="Arial" w:hAnsi="Arial"/>
                  <w:sz w:val="13"/>
                  <w:szCs w:val="13"/>
                  <w:color w:val="0000EE"/>
                  <w:w w:val="95"/>
                </w:rPr>
                <w:t>DESCRIPTION OF WARRANTS</w:t>
              </w:r>
            </w:hyperlink>
          </w:p>
        </w:tc>
        <w:tc>
          <w:tcPr>
            <w:tcW w:w="7880" w:type="dxa"/>
            <w:vAlign w:val="bottom"/>
            <w:gridSpan w:val="10"/>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19</w:t>
            </w:r>
          </w:p>
        </w:tc>
      </w:tr>
      <w:tr>
        <w:trPr>
          <w:trHeight w:val="137"/>
        </w:trPr>
        <w:tc>
          <w:tcPr>
            <w:tcW w:w="9700" w:type="dxa"/>
            <w:vAlign w:val="bottom"/>
            <w:gridSpan w:val="21"/>
          </w:tcPr>
          <w:p>
            <w:pPr>
              <w:spacing w:after="0" w:line="138" w:lineRule="exact"/>
              <w:rPr>
                <w:sz w:val="20"/>
                <w:szCs w:val="20"/>
                <w:color w:val="auto"/>
              </w:rPr>
            </w:pPr>
            <w:r>
              <w:rPr>
                <w:rFonts w:ascii="Arial" w:cs="Arial" w:eastAsia="Arial" w:hAnsi="Arial"/>
                <w:sz w:val="13"/>
                <w:szCs w:val="13"/>
                <w:color w:val="0000EE"/>
              </w:rPr>
              <w:t>DESCRIPTION OF STOCK PURCHASE CONTRACTS AND STOCK PURCHASE UNITS</w:t>
            </w: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20</w:t>
            </w:r>
          </w:p>
        </w:tc>
      </w:tr>
      <w:tr>
        <w:trPr>
          <w:trHeight w:val="137"/>
        </w:trPr>
        <w:tc>
          <w:tcPr>
            <w:tcW w:w="2540" w:type="dxa"/>
            <w:vAlign w:val="bottom"/>
            <w:tcBorders>
              <w:top w:val="single" w:sz="8" w:color="0000EE"/>
              <w:bottom w:val="single" w:sz="8" w:color="0000EE"/>
            </w:tcBorders>
            <w:gridSpan w:val="15"/>
          </w:tcPr>
          <w:p>
            <w:pPr>
              <w:spacing w:after="0" w:line="138" w:lineRule="exact"/>
              <w:rPr>
                <w:rFonts w:ascii="Arial" w:cs="Arial" w:eastAsia="Arial" w:hAnsi="Arial"/>
                <w:sz w:val="13"/>
                <w:szCs w:val="13"/>
                <w:color w:val="0000EE"/>
                <w:w w:val="95"/>
              </w:rPr>
            </w:pPr>
            <w:hyperlink w:anchor="page39">
              <w:r>
                <w:rPr>
                  <w:rFonts w:ascii="Arial" w:cs="Arial" w:eastAsia="Arial" w:hAnsi="Arial"/>
                  <w:sz w:val="13"/>
                  <w:szCs w:val="13"/>
                  <w:color w:val="0000EE"/>
                  <w:w w:val="95"/>
                </w:rPr>
                <w:t>DESCRIPTION OF SUBSCRIPTION RIGHTS</w:t>
              </w:r>
            </w:hyperlink>
          </w:p>
        </w:tc>
        <w:tc>
          <w:tcPr>
            <w:tcW w:w="2420" w:type="dxa"/>
            <w:vAlign w:val="bottom"/>
            <w:tcBorders>
              <w:top w:val="single" w:sz="8" w:color="0000EE"/>
            </w:tcBorders>
            <w:gridSpan w:val="5"/>
          </w:tcPr>
          <w:p>
            <w:pPr>
              <w:spacing w:after="0"/>
              <w:rPr>
                <w:sz w:val="11"/>
                <w:szCs w:val="11"/>
                <w:color w:val="auto"/>
              </w:rPr>
            </w:pPr>
          </w:p>
        </w:tc>
        <w:tc>
          <w:tcPr>
            <w:tcW w:w="474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20</w:t>
            </w:r>
          </w:p>
        </w:tc>
      </w:tr>
      <w:tr>
        <w:trPr>
          <w:trHeight w:val="137"/>
        </w:trPr>
        <w:tc>
          <w:tcPr>
            <w:tcW w:w="9700" w:type="dxa"/>
            <w:vAlign w:val="bottom"/>
            <w:gridSpan w:val="21"/>
          </w:tcPr>
          <w:p>
            <w:pPr>
              <w:spacing w:after="0" w:line="138" w:lineRule="exact"/>
              <w:rPr>
                <w:rFonts w:ascii="Arial" w:cs="Arial" w:eastAsia="Arial" w:hAnsi="Arial"/>
                <w:sz w:val="13"/>
                <w:szCs w:val="13"/>
                <w:color w:val="0000EE"/>
              </w:rPr>
            </w:pPr>
            <w:hyperlink w:anchor="page40">
              <w:r>
                <w:rPr>
                  <w:rFonts w:ascii="Arial" w:cs="Arial" w:eastAsia="Arial" w:hAnsi="Arial"/>
                  <w:sz w:val="13"/>
                  <w:szCs w:val="13"/>
                  <w:color w:val="0000EE"/>
                </w:rPr>
                <w:t>PLAN OF DISTRIBUTION</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21</w:t>
            </w:r>
          </w:p>
        </w:tc>
      </w:tr>
      <w:tr>
        <w:trPr>
          <w:trHeight w:val="137"/>
        </w:trPr>
        <w:tc>
          <w:tcPr>
            <w:tcW w:w="150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LEGAL MATTERS</w:t>
              </w:r>
            </w:hyperlink>
          </w:p>
        </w:tc>
        <w:tc>
          <w:tcPr>
            <w:tcW w:w="8200" w:type="dxa"/>
            <w:vAlign w:val="bottom"/>
            <w:gridSpan w:val="1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23</w:t>
            </w:r>
          </w:p>
        </w:tc>
      </w:tr>
      <w:tr>
        <w:trPr>
          <w:trHeight w:val="137"/>
        </w:trPr>
        <w:tc>
          <w:tcPr>
            <w:tcW w:w="106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EXPERTS</w:t>
              </w:r>
            </w:hyperlink>
          </w:p>
        </w:tc>
        <w:tc>
          <w:tcPr>
            <w:tcW w:w="8640" w:type="dxa"/>
            <w:vAlign w:val="bottom"/>
            <w:gridSpan w:val="1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23</w:t>
            </w:r>
          </w:p>
        </w:tc>
      </w:tr>
      <w:tr>
        <w:trPr>
          <w:trHeight w:val="20"/>
        </w:trPr>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gridSpan w:val="13"/>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9700" w:type="dxa"/>
            <w:vAlign w:val="bottom"/>
            <w:gridSpan w:val="21"/>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WHERE YOU CAN FIND MORE INFORMATION</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23</w:t>
            </w:r>
          </w:p>
        </w:tc>
      </w:tr>
      <w:tr>
        <w:trPr>
          <w:trHeight w:val="137"/>
        </w:trPr>
        <w:tc>
          <w:tcPr>
            <w:tcW w:w="40" w:type="dxa"/>
            <w:vAlign w:val="bottom"/>
            <w:tcBorders>
              <w:top w:val="single" w:sz="8" w:color="0000EE"/>
            </w:tcBorders>
          </w:tcPr>
          <w:p>
            <w:pPr>
              <w:spacing w:after="0"/>
              <w:rPr>
                <w:sz w:val="11"/>
                <w:szCs w:val="11"/>
                <w:color w:val="auto"/>
              </w:rPr>
            </w:pPr>
          </w:p>
        </w:tc>
        <w:tc>
          <w:tcPr>
            <w:tcW w:w="38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90"/>
              </w:rPr>
            </w:pPr>
            <w:hyperlink w:anchor="page197">
              <w:r>
                <w:rPr>
                  <w:rFonts w:ascii="Arial" w:cs="Arial" w:eastAsia="Arial" w:hAnsi="Arial"/>
                  <w:sz w:val="13"/>
                  <w:szCs w:val="13"/>
                  <w:color w:val="0000EE"/>
                  <w:w w:val="90"/>
                </w:rPr>
                <w:t>EX-1.1</w:t>
              </w:r>
            </w:hyperlink>
          </w:p>
        </w:tc>
        <w:tc>
          <w:tcPr>
            <w:tcW w:w="2360" w:type="dxa"/>
            <w:vAlign w:val="bottom"/>
            <w:tcBorders>
              <w:top w:val="single" w:sz="8" w:color="0000EE"/>
            </w:tcBorders>
            <w:gridSpan w:val="15"/>
          </w:tcPr>
          <w:p>
            <w:pPr>
              <w:spacing w:after="0"/>
              <w:rPr>
                <w:sz w:val="11"/>
                <w:szCs w:val="11"/>
                <w:color w:val="auto"/>
              </w:rPr>
            </w:pPr>
          </w:p>
        </w:tc>
        <w:tc>
          <w:tcPr>
            <w:tcW w:w="6920" w:type="dxa"/>
            <w:vAlign w:val="bottom"/>
            <w:gridSpan w:val="4"/>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271">
              <w:r>
                <w:rPr>
                  <w:rFonts w:ascii="Arial" w:cs="Arial" w:eastAsia="Arial" w:hAnsi="Arial"/>
                  <w:sz w:val="13"/>
                  <w:szCs w:val="13"/>
                  <w:color w:val="0000EE"/>
                  <w:w w:val="90"/>
                </w:rPr>
                <w:t>EX-5.1</w:t>
              </w:r>
            </w:hyperlink>
          </w:p>
        </w:tc>
        <w:tc>
          <w:tcPr>
            <w:tcW w:w="9280" w:type="dxa"/>
            <w:vAlign w:val="bottom"/>
            <w:gridSpan w:val="19"/>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279">
              <w:r>
                <w:rPr>
                  <w:rFonts w:ascii="Arial" w:cs="Arial" w:eastAsia="Arial" w:hAnsi="Arial"/>
                  <w:sz w:val="13"/>
                  <w:szCs w:val="13"/>
                  <w:color w:val="0000EE"/>
                  <w:w w:val="89"/>
                </w:rPr>
                <w:t>EX-12.1</w:t>
              </w:r>
            </w:hyperlink>
          </w:p>
        </w:tc>
        <w:tc>
          <w:tcPr>
            <w:tcW w:w="9220" w:type="dxa"/>
            <w:vAlign w:val="bottom"/>
            <w:gridSpan w:val="18"/>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280">
              <w:r>
                <w:rPr>
                  <w:rFonts w:ascii="Arial" w:cs="Arial" w:eastAsia="Arial" w:hAnsi="Arial"/>
                  <w:sz w:val="13"/>
                  <w:szCs w:val="13"/>
                  <w:color w:val="0000EE"/>
                  <w:w w:val="89"/>
                </w:rPr>
                <w:t>EX-23.1</w:t>
              </w:r>
            </w:hyperlink>
          </w:p>
        </w:tc>
        <w:tc>
          <w:tcPr>
            <w:tcW w:w="9220" w:type="dxa"/>
            <w:vAlign w:val="bottom"/>
            <w:gridSpan w:val="18"/>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281">
              <w:r>
                <w:rPr>
                  <w:rFonts w:ascii="Arial" w:cs="Arial" w:eastAsia="Arial" w:hAnsi="Arial"/>
                  <w:sz w:val="13"/>
                  <w:szCs w:val="13"/>
                  <w:color w:val="0000EE"/>
                  <w:w w:val="89"/>
                </w:rPr>
                <w:t>EX-25.1</w:t>
              </w:r>
            </w:hyperlink>
          </w:p>
        </w:tc>
        <w:tc>
          <w:tcPr>
            <w:tcW w:w="9220" w:type="dxa"/>
            <w:vAlign w:val="bottom"/>
            <w:gridSpan w:val="18"/>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308">
              <w:r>
                <w:rPr>
                  <w:rFonts w:ascii="Arial" w:cs="Arial" w:eastAsia="Arial" w:hAnsi="Arial"/>
                  <w:sz w:val="13"/>
                  <w:szCs w:val="13"/>
                  <w:color w:val="0000EE"/>
                  <w:w w:val="89"/>
                </w:rPr>
                <w:t>EX-25.2</w:t>
              </w:r>
            </w:hyperlink>
          </w:p>
        </w:tc>
        <w:tc>
          <w:tcPr>
            <w:tcW w:w="9220" w:type="dxa"/>
            <w:vAlign w:val="bottom"/>
            <w:gridSpan w:val="18"/>
          </w:tcPr>
          <w:p>
            <w:pPr>
              <w:spacing w:after="0"/>
              <w:rPr>
                <w:sz w:val="11"/>
                <w:szCs w:val="11"/>
                <w:color w:val="auto"/>
              </w:rPr>
            </w:pPr>
          </w:p>
        </w:tc>
        <w:tc>
          <w:tcPr>
            <w:tcW w:w="280" w:type="dxa"/>
            <w:vAlign w:val="bottom"/>
          </w:tcPr>
          <w:p>
            <w:pPr>
              <w:spacing w:after="0"/>
              <w:rPr>
                <w:sz w:val="11"/>
                <w:szCs w:val="11"/>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ABOUT THIS PROSPECTUS</w:t>
      </w:r>
    </w:p>
    <w:p>
      <w:pPr>
        <w:spacing w:after="0" w:line="100" w:lineRule="exact"/>
        <w:rPr>
          <w:sz w:val="20"/>
          <w:szCs w:val="20"/>
          <w:color w:val="auto"/>
        </w:rPr>
      </w:pPr>
    </w:p>
    <w:p>
      <w:pPr>
        <w:ind w:right="20" w:firstLine="399"/>
        <w:spacing w:after="0" w:line="306" w:lineRule="auto"/>
        <w:rPr>
          <w:sz w:val="20"/>
          <w:szCs w:val="20"/>
          <w:color w:val="auto"/>
        </w:rPr>
      </w:pPr>
      <w:r>
        <w:rPr>
          <w:rFonts w:ascii="Arial" w:cs="Arial" w:eastAsia="Arial" w:hAnsi="Arial"/>
          <w:sz w:val="11"/>
          <w:szCs w:val="11"/>
          <w:color w:val="auto"/>
        </w:rPr>
        <w:t>This prospectus is part of an “automatic shelf” registration statement that we filed with the Securities and Exchange Commission (the “Commission” or the “SEC”), as a “well-known seasoned issuer” as defined in Rule 405 under the Securities Act of 1933, as amended (the “Securities Act”). Under this shelf registration process, we may sell, from time to time, an indeterminate amount of any combination of the securities described in this prospectus in one or more offerings. This prospectus provides you with a general description of the securities we may offer, which is not meant to be a complete description of any security. Each time that securities are sold, a prospectus supplement containing specific information about the terms of that offering will be provided, including the specific amounts, prices and terms of the securities offered. The prospectus supplement and any other offering material may also add to, update or change information contained in this prospectus or in documents we have incorporated by reference into this prospectus. We urge you to read both this prospectus and any prospectus supplement and any other offering material (including any free writing prospectus) prepared by or on behalf of us for a specific offering of securities, together with additional information described under the heading “Documents Incorporated by Reference into this Prospectus” on page iii of this prospectus and under the heading “Where You Can Find More Information” on page 23 of this prospectus. You should rely only on the information contained or incorporated by reference in this prospectus and any prospectus supplement. We have not authorized anyone to provide you with different information. We are not making an offer to sell or soliciting an offer to purchase these securities in any jurisdiction where the offer or sale is not permitted.</w:t>
      </w:r>
    </w:p>
    <w:p>
      <w:pPr>
        <w:spacing w:after="0" w:line="48"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You should not assume that the information contained in this prospectus or any prospectus supplement is accurate on any date other than the date on the front cover of such document or that any information we have incorporated by reference is correct on any date subsequent to the date of the document incorporated by reference, even though this prospectus or any prospectus supplement is delivered or securities are sold on a later date. Neither the delivery of this prospectus or any applicable prospectus supplement nor any distribution of securities pursuant to such documents shall, under any circumstances, create any implication that there has been no change in the information set forth in this prospectus or any applicable prospectus supplement or in our affairs since the date of this prospectus or any applicable prospectus supplement.</w:t>
      </w:r>
    </w:p>
    <w:p>
      <w:pPr>
        <w:spacing w:after="0" w:line="71" w:lineRule="exact"/>
        <w:rPr>
          <w:sz w:val="20"/>
          <w:szCs w:val="20"/>
          <w:color w:val="auto"/>
        </w:rPr>
      </w:pPr>
    </w:p>
    <w:p>
      <w:pPr>
        <w:ind w:right="580" w:firstLine="399"/>
        <w:spacing w:after="0" w:line="276" w:lineRule="auto"/>
        <w:rPr>
          <w:sz w:val="20"/>
          <w:szCs w:val="20"/>
          <w:color w:val="auto"/>
        </w:rPr>
      </w:pPr>
      <w:r>
        <w:rPr>
          <w:rFonts w:ascii="Arial" w:cs="Arial" w:eastAsia="Arial" w:hAnsi="Arial"/>
          <w:sz w:val="13"/>
          <w:szCs w:val="13"/>
          <w:color w:val="auto"/>
        </w:rPr>
        <w:t>As used in this prospectus the terms the “Company,” “Republic,” “we,” “us,” and “our” may, depending upon the context, refer to Republic Services, Inc., our consolidated subsidiaries, or to all of them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83820</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DISCLOSURE REGARDING FORWARD-LOOKING STATEMENTS</w:t>
      </w:r>
    </w:p>
    <w:p>
      <w:pPr>
        <w:spacing w:after="0" w:line="10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This prospectus, any prospectus supplement and the documents incorporated by reference herein and therein contain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“could” and similar expressions are intended to identify forward-looking statements. These statements include statements about the expected benefits of our merger with Allied Waste Industries, Inc. (“Allied”), our plans, strategies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we can give no assurance that the expectations will prove to be correct. Among the factors that could cause actual results to differ materially from the expectations expressed in the forward-looking statements are:</w:t>
      </w:r>
    </w:p>
    <w:p>
      <w:pPr>
        <w:spacing w:after="0" w:line="59" w:lineRule="exact"/>
        <w:rPr>
          <w:sz w:val="20"/>
          <w:szCs w:val="20"/>
          <w:color w:val="auto"/>
        </w:rPr>
      </w:pPr>
    </w:p>
    <w:p>
      <w:pPr>
        <w:ind w:left="1280" w:right="180" w:hanging="190"/>
        <w:spacing w:after="0" w:line="320" w:lineRule="auto"/>
        <w:tabs>
          <w:tab w:leader="none" w:pos="12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impact on us of our substantial post-merger indebtedness, including our ability to obtain financing on acceptable terms to finance our operations and growth strategy and to operate within the limitations imposed by financing arrangements and the fact that any downgrade in our bond ratings could adversely impact us;</w:t>
      </w:r>
    </w:p>
    <w:p>
      <w:pPr>
        <w:spacing w:after="0" w:line="25" w:lineRule="exact"/>
        <w:rPr>
          <w:rFonts w:ascii="Arial" w:cs="Arial" w:eastAsia="Arial" w:hAnsi="Arial"/>
          <w:sz w:val="12"/>
          <w:szCs w:val="12"/>
          <w:color w:val="auto"/>
        </w:rPr>
      </w:pPr>
    </w:p>
    <w:p>
      <w:pPr>
        <w:ind w:left="1280" w:right="120" w:hanging="190"/>
        <w:spacing w:after="0" w:line="276" w:lineRule="auto"/>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general economic and market conditions including, but not limited to, the current global economic and financial market crisis, inflation and changes in commodity pricing, fuel, labor, risk and health insurance and other variable costs that are generally not within our control, and our exposure to credit and counterparty risk;</w:t>
      </w:r>
    </w:p>
    <w:p>
      <w:pPr>
        <w:spacing w:after="0" w:line="49" w:lineRule="exact"/>
        <w:rPr>
          <w:rFonts w:ascii="Arial" w:cs="Arial" w:eastAsia="Arial" w:hAnsi="Arial"/>
          <w:sz w:val="13"/>
          <w:szCs w:val="13"/>
          <w:color w:val="auto"/>
        </w:rPr>
      </w:pPr>
    </w:p>
    <w:p>
      <w:pPr>
        <w:ind w:left="1280" w:right="40" w:hanging="190"/>
        <w:spacing w:after="0" w:line="296" w:lineRule="auto"/>
        <w:tabs>
          <w:tab w:leader="none" w:pos="1280" w:val="left"/>
        </w:tabs>
        <w:numPr>
          <w:ilvl w:val="0"/>
          <w:numId w:val="2"/>
        </w:numPr>
        <w:rPr>
          <w:rFonts w:ascii="Arial" w:cs="Arial" w:eastAsia="Arial" w:hAnsi="Arial"/>
          <w:sz w:val="12"/>
          <w:szCs w:val="12"/>
          <w:color w:val="auto"/>
        </w:rPr>
      </w:pPr>
      <w:r>
        <w:rPr>
          <w:rFonts w:ascii="Arial" w:cs="Arial" w:eastAsia="Arial" w:hAnsi="Arial"/>
          <w:sz w:val="12"/>
          <w:szCs w:val="12"/>
          <w:color w:val="auto"/>
        </w:rPr>
        <w:t>whether our estimates and assumptions concerning our selected balance sheet accounts, income tax accounts, final capping, closure, post-closure and remediation costs, available airspace, and projected costs and expenses related to our landfills and property and equipment (including our estimates of the fair values of the assets and liabilities acquired in our acquisition of Allied), and labor, fuel rates and economic and inflationary trends, turn out to be correct or appropriate;</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competition and demand for services in the solid waste industry;</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fact that price increases or changes in commodity prices may not be adequate to offset the impact of increased costs, including but not limited to labor, third-party disposal and fuel, and may cause us to lose volume;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ability to manage growth and execute our growth strategy;</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compliance with, and future changes in, environmental and flow control regulations and our ability to obtain approvals from regulatory agencies in connection with operating and expanding our landfills;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ability to retain our investment grade ratings for our debt;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dependence on key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dependence on large, long-term collection, transfer and disposal contracts;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fact that our business is capital intensive and may consume cash in excess of cash flow from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that any exposure to environmental liabilities, to the extent not adequately covered by insurance, could result in substantial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risks associated with undisclosed liabilities of acquired businesses;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2"/>
          <w:szCs w:val="12"/>
          <w:color w:val="auto"/>
        </w:rPr>
      </w:pPr>
      <w:r>
        <w:rPr>
          <w:rFonts w:ascii="Arial" w:cs="Arial" w:eastAsia="Arial" w:hAnsi="Arial"/>
          <w:sz w:val="12"/>
          <w:szCs w:val="12"/>
          <w:color w:val="auto"/>
        </w:rPr>
        <w:t>risks associated with pending and any future legal proceedings, including our matters currently pending with the Department of Justice and Internal Revenue Service;</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severe weather conditions, which could impair our financial results by causing increased costs, loss of revenue, reduced operational efficiency or disruptions to our operations;</w:t>
      </w:r>
    </w:p>
    <w:p>
      <w:pPr>
        <w:spacing w:after="0" w:line="97" w:lineRule="exact"/>
        <w:rPr>
          <w:rFonts w:ascii="Arial" w:cs="Arial" w:eastAsia="Arial" w:hAnsi="Arial"/>
          <w:sz w:val="12"/>
          <w:szCs w:val="12"/>
          <w:color w:val="auto"/>
        </w:rPr>
      </w:pPr>
    </w:p>
    <w:p>
      <w:pPr>
        <w:ind w:left="128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compliance with existing and future legal and regulatory requirements, including limitations or bans on disposal of certain types of wastes or on the transportation of waste, which could limit our ability to conduct or grow our business, increase our costs to operate or require additional capital expenditures;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any litigation, audits or investigations brought by or before any governmental body;</w:t>
      </w:r>
    </w:p>
    <w:p>
      <w:pPr>
        <w:spacing w:after="0" w:line="8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workforce factors, including potential increases in our costs if we are required to provide additional funding to any multi-employer pension plan to which we contribute and the negative impact on our operations of union organizing campaigns, work stoppages or labor shortages;</w:t>
      </w:r>
    </w:p>
    <w:p>
      <w:pPr>
        <w:spacing w:after="0" w:line="49"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negative effect that trends toward requiring recycling, waste reduction at the source and prohibiting the disposal of certain types of wastes could have on volumes of waste going to landfills;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by the Financial Accounting Standards Board or other accounting regulatory bodies to generally accepted accounting principles or policies;</w:t>
      </w:r>
    </w:p>
    <w:p>
      <w:pPr>
        <w:spacing w:after="0" w:line="86"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acts of war, riots or terrorism, including the events taking place in the Middle East and the continuing war on terrorism, as well as actions taken or to be taken by the United States or other governments as a result of further acts or threats of terrorism, and the impact of these acts on economic, financial and social conditions in the United States; and</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timing and occurrence (or non-occurrence) of transactions and events which may be subject to circumstances beyond our control.</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risks included here are not exhaustive. Refer to “Risk Factors” for further discussion regarding our exposure to risks. You should be aware that any forward-looking statement made by us in this prospectus, any prospectus supplement or the documents incorporated herein or therein by reference or elsewhere, speaks only as of the date on which we make it. New risks and uncertainties come up from time to time, and it is impossible for us to predict these events or how they may affect us. In light of these risks and uncertainties, you should keep in mind that any scenarios or results contained in any forward-looking statement made in this prospectus, any prospectus supplement or the documents incorporated herein or therein by reference or elsewhere might not occur. Readers are cautioned not to place undue reliance on these forward-looking statements. Except to the extent required by applicable law or regulation, we undertake no obligation to update or publish revised forward-looking statements to reflect events or circumstances after the date hereof or to reflect the occurrence of unanticipated events.</w:t>
      </w:r>
    </w:p>
    <w:p>
      <w:pPr>
        <w:spacing w:after="0" w:line="187"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DOCUMENTS INCORPORATED BY REFERENCE INTO THIS PROSPECTUS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file annual, quarterly and special reports and other information with the SEC. See “Where You Can Find More Information.” The following documents are incorporated into this prospectus by reference:</w:t>
      </w:r>
    </w:p>
    <w:p>
      <w:pPr>
        <w:spacing w:after="0" w:line="59"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Republic’s Annual Report on Form 10-K for the year ended December 31, 2009;</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Republic’s Current Reports on Form 8-K, dated January 4, 2010, January 6, 2010, February 12, 2010, March 1, 2010 (relating to Item 8.01 which is filed with the SEC), March 1, 2010 (relating to Item 2.03 which is filed with the SEC) and March 4, 2010;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28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description of Republic’s common stock, $0.01 par value, contained in Republic’s Registration Statement on Form 8-A originally filed with the Commission on June 30, 1998, including all amendments or reports filed for the purpose of updating the description included therein; and</w:t>
      </w:r>
    </w:p>
    <w:p>
      <w:pPr>
        <w:spacing w:after="0" w:line="49" w:lineRule="exact"/>
        <w:rPr>
          <w:rFonts w:ascii="Arial" w:cs="Arial" w:eastAsia="Arial" w:hAnsi="Arial"/>
          <w:sz w:val="13"/>
          <w:szCs w:val="13"/>
          <w:color w:val="auto"/>
        </w:rPr>
      </w:pPr>
    </w:p>
    <w:p>
      <w:pPr>
        <w:ind w:left="1280" w:right="80" w:hanging="190"/>
        <w:spacing w:after="0" w:line="296" w:lineRule="auto"/>
        <w:tabs>
          <w:tab w:leader="none" w:pos="1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All documents filed by us under Section 13(a), 13(c), 14 or 15(d) of the U.S. Securities Exchange Act of 1934 (the “Exchange Act”) after the date of the filing of the registration statement of which this prospectus is a part until the offering is terminated (other than Current Reports on Form 8-K or portions thereof furnished under Item 2.02 or 7.01 of Form 8-K and portions of other documents which under applicable securities laws are deemed furnished and not filed with the Commission).</w:t>
      </w:r>
    </w:p>
    <w:p>
      <w:pPr>
        <w:spacing w:after="0" w:line="5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Any statement made in this prospectus, a prospectus supplement or a document incorporated by reference in this prospectus or a prospectus supplement will be deemed to be modified or superseded for purposes of this prospectus and any applicable prospectus supplement to the extent that a statement contained in an amendment or subsequent amendment to this prospectus or an applicable prospectus supplement, in any subsequent applicable prospectus supplement or in any other subsequently filed document incorporated by reference herein or therein adds, updates or changes that statement. Any statement so affected will not be deemed, except as so affected, to constitute a part of this prospectus or any applicable prospectus supplement.</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You may obtain a copy of these filings, including exhibits (but not including exhibits that are specifically incorporated by reference), free of charge, by oral or written request directed to: Republic Services, Inc., 18500 North Allied Way, Phoenix, AZ 85054, Attention: Investor Relations, Phone: (480) 627-2700.</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Information on Republic’s website is not part of this prospectus, and you should not rely on that information in making your investment decision unless that information is also in this prospectus or has been expressly incorporated by reference into this prospectus.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COMPANY</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are the second largest provider of services in the domestic non-hazardous solid waste industry as measured by revenue. As of December 31, 2009, we provide non-hazardous solid waste collection services for commercial, industrial, municipal and residential customers through 367 collection companies in 40 states and Puerto Rico, and we also own or operate 217 transfer stations, 190 active solid waste landfills and 77 recycling facilities. We also operate 75 landfill gas and renewable energy projects. We completed our merger with Allied Waste Industries, Inc. in December 2008. We believe that this merger created a strong operating platform that will allow us to continue to provide quality service to our customers and superior returns to our stockholders.</w:t>
      </w:r>
    </w:p>
    <w:p>
      <w:pPr>
        <w:spacing w:after="0" w:line="71"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We were incorporated as a Delaware corporation in 1996. Our principal and administrative offices are located at 18500 North Allied Way, Phoenix, Arizona 85054. Our telephone number at that location is (480) 627-2700. Our web site is located at http://www.republicservices.com. The information on our website is not part of this prospectus.</w:t>
      </w:r>
    </w:p>
    <w:p>
      <w:pPr>
        <w:spacing w:after="0" w:line="11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RATIOS OF EARNINGS TO FIXED CHARGES</w:t>
      </w:r>
    </w:p>
    <w:p>
      <w:pPr>
        <w:spacing w:after="0" w:line="100"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The following table shows our ratio of earnings to fixed charges for the three months ended March 31, 2010 and for each of the years ended December 31, 2009, 2008, 2007, 2006 and 2005. It should be noted that on December 5, 2008 we acquired all the issued and outstanding shares of Allied in a stock-for-stock transaction for an aggregate purchase price of $12.1 billion, which included approximately $5.4 billion of debt, at fair value. For the purpose of computing these ratios, the numerator, earnings, consists of income from continuing operations before provision for income taxes plus interest expense and an estimate of interest within rent expense divided by the denominator, fixed charges, which consists of interest expense including amounts capitalized and an estimate of interest within rent expense.</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Three Months</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60" w:type="dxa"/>
            <w:vAlign w:val="bottom"/>
          </w:tcPr>
          <w:p>
            <w:pPr>
              <w:spacing w:after="0"/>
              <w:rPr>
                <w:sz w:val="9"/>
                <w:szCs w:val="9"/>
                <w:color w:val="auto"/>
              </w:rPr>
            </w:pPr>
          </w:p>
        </w:tc>
        <w:tc>
          <w:tcPr>
            <w:tcW w:w="13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Ended</w:t>
            </w: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gridSpan w:val="4"/>
            <w:vMerge w:val="restart"/>
          </w:tcPr>
          <w:p>
            <w:pPr>
              <w:jc w:val="center"/>
              <w:ind w:left="243"/>
              <w:spacing w:after="0"/>
              <w:rPr>
                <w:sz w:val="20"/>
                <w:szCs w:val="20"/>
                <w:color w:val="auto"/>
              </w:rPr>
            </w:pPr>
            <w:r>
              <w:rPr>
                <w:rFonts w:ascii="Arial" w:cs="Arial" w:eastAsia="Arial" w:hAnsi="Arial"/>
                <w:sz w:val="10"/>
                <w:szCs w:val="10"/>
                <w:b w:val="1"/>
                <w:bCs w:val="1"/>
                <w:color w:val="auto"/>
                <w:w w:val="94"/>
              </w:rPr>
              <w:t>Year Ended December 31,</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260" w:type="dxa"/>
            <w:vAlign w:val="bottom"/>
          </w:tcPr>
          <w:p>
            <w:pPr>
              <w:spacing w:after="0"/>
              <w:rPr>
                <w:sz w:val="10"/>
                <w:szCs w:val="1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March 31,</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260" w:type="dxa"/>
            <w:vAlign w:val="bottom"/>
          </w:tcPr>
          <w:p>
            <w:pPr>
              <w:spacing w:after="0"/>
              <w:rPr>
                <w:sz w:val="8"/>
                <w:szCs w:val="8"/>
                <w:color w:val="auto"/>
              </w:rPr>
            </w:pPr>
          </w:p>
        </w:tc>
        <w:tc>
          <w:tcPr>
            <w:tcW w:w="100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2010</w:t>
            </w:r>
          </w:p>
        </w:tc>
        <w:tc>
          <w:tcPr>
            <w:tcW w:w="38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ind w:right="1"/>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3"/>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Borders>
              <w:top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Borders>
              <w:top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1"/>
              <w:spacing w:after="0" w:line="98" w:lineRule="exact"/>
              <w:rPr>
                <w:sz w:val="20"/>
                <w:szCs w:val="20"/>
                <w:color w:val="auto"/>
              </w:rPr>
            </w:pPr>
            <w:r>
              <w:rPr>
                <w:rFonts w:ascii="Arial" w:cs="Arial" w:eastAsia="Arial" w:hAnsi="Arial"/>
                <w:sz w:val="10"/>
                <w:szCs w:val="10"/>
                <w:b w:val="1"/>
                <w:bCs w:val="1"/>
                <w:color w:val="auto"/>
              </w:rPr>
              <w:t>2005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20"/>
                <w:szCs w:val="20"/>
                <w:color w:val="auto"/>
              </w:rPr>
            </w:pPr>
            <w:r>
              <w:rPr>
                <w:rFonts w:ascii="Arial" w:cs="Arial" w:eastAsia="Arial" w:hAnsi="Arial"/>
                <w:sz w:val="13"/>
                <w:szCs w:val="13"/>
                <w:color w:val="auto"/>
              </w:rPr>
              <w:t>Ratio of earnings to fixed charges</w:t>
            </w:r>
          </w:p>
        </w:tc>
        <w:tc>
          <w:tcPr>
            <w:tcW w:w="1000" w:type="dxa"/>
            <w:vAlign w:val="bottom"/>
          </w:tcPr>
          <w:p>
            <w:pPr>
              <w:jc w:val="right"/>
              <w:spacing w:after="0"/>
              <w:rPr>
                <w:sz w:val="20"/>
                <w:szCs w:val="20"/>
                <w:color w:val="auto"/>
              </w:rPr>
            </w:pPr>
            <w:r>
              <w:rPr>
                <w:rFonts w:ascii="Arial" w:cs="Arial" w:eastAsia="Arial" w:hAnsi="Arial"/>
                <w:sz w:val="13"/>
                <w:szCs w:val="13"/>
                <w:color w:val="auto"/>
              </w:rPr>
              <w:t>1.83</w:t>
            </w:r>
          </w:p>
        </w:tc>
        <w:tc>
          <w:tcPr>
            <w:tcW w:w="3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2.39</w:t>
            </w:r>
          </w:p>
        </w:tc>
        <w:tc>
          <w:tcPr>
            <w:tcW w:w="380" w:type="dxa"/>
            <w:vAlign w:val="bottom"/>
          </w:tcPr>
          <w:p>
            <w:pPr>
              <w:spacing w:after="0"/>
              <w:rPr>
                <w:sz w:val="16"/>
                <w:szCs w:val="16"/>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2.14</w:t>
            </w:r>
          </w:p>
        </w:tc>
        <w:tc>
          <w:tcPr>
            <w:tcW w:w="760" w:type="dxa"/>
            <w:vAlign w:val="bottom"/>
            <w:gridSpan w:val="2"/>
          </w:tcPr>
          <w:p>
            <w:pPr>
              <w:jc w:val="right"/>
              <w:ind w:right="420"/>
              <w:spacing w:after="0"/>
              <w:rPr>
                <w:sz w:val="20"/>
                <w:szCs w:val="20"/>
                <w:color w:val="auto"/>
              </w:rPr>
            </w:pPr>
            <w:r>
              <w:rPr>
                <w:rFonts w:ascii="Arial" w:cs="Arial" w:eastAsia="Arial" w:hAnsi="Arial"/>
                <w:sz w:val="13"/>
                <w:szCs w:val="13"/>
                <w:color w:val="auto"/>
              </w:rPr>
              <w:t>5.63</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5.35</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30"/>
        </w:trPr>
        <w:tc>
          <w:tcPr>
            <w:tcW w:w="526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An investment in our securities involves a high degree of risk. Prior to making a decision about investing in our securities, you should carefully consider the risks and uncertainties described under “Risk Factors” in the applicable prospectus supplement and in our most recent annual report on Form 10-K, quarterly reports on Form 10-Q and current reports on Form 8-K, including any amendments to such reports, incorporated by reference in the registration statement of which this prospectus is a part, together with all other information contained and incorporated by reference in this prospectus and the applicable prospectus supplement. The risks and uncertainties described herein and therein are not the only ones facing us. Additional risks and uncertainties not presently known to us or that we currently deem immaterial may also occur. The occurrence of any of those risks and uncertainties may materially adversely affect our financial condition, results of operations, cash flows or business. In that case, the price or value of our securities could decline and you could lose all or part of your investment. For more information, see “Documents Incorporated by Reference into this Prospectus” on page iii of this prospectus and “Where You Can Find More Information” on page 23 of this prospectus</w:t>
      </w:r>
    </w:p>
    <w:p>
      <w:pPr>
        <w:spacing w:after="0" w:line="1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Unless otherwise described in the applicable prospectus supplement, the net proceeds from the sale of the offered securities will be used for general corporate purposes.</w:t>
      </w:r>
    </w:p>
    <w:p>
      <w:pPr>
        <w:spacing w:after="0" w:line="17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DESCRIPTION OF SECURITIES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This prospectus contains summary descriptions of the debt securities, capital stock, warrants, stock purchase contracts, stock purchase units and subscription rights that we may offer and sell from time to time. These summary descriptions are not meant to be complete descriptions of any security. At the time of an offering and sale, this prospectus together with the accompanying prospectus supplement will contain the material terms of the securities being offered.</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DESCRIPTION OF DEBT SECURITIES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This section describes the general terms that will apply to any debt securities that we may offer in the future, to which a future prospectus supplement may relate. At the time that we offer debt securities, we will describe in the prospectus supplement that relates to that offering (1) the specific terms of the debt securities and (2) the extent to which the general terms described in this section apply to those debt securities.</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debt securities are to be issued under the indenture, dated as of September 8, 2009, between Republic and The Bank of New York Mellon Trust Company, N.A., as trustee, or the indenture, dated as of November 25, 2009, between Republic and U.S. Bank National Association, as trustee, each of which is included as an exhibit to the registration statement to which this prospectus forms a part. In the discussion that follows, we summarize particular provisions of the indentures. Whenever particular provisions or defined terms in the indentures are referred to in this prospectus, these provisions or defined terms are incorporated by reference in this prospectus. References, in this section only, to “we,” “our” and “us” refer to Republic Services, Inc., exclusive of our subsidiaries. Our discussion of indenture provisions is not complete. You should read the indentures for a more complete understanding of the provisions we describe.</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Debt securities offered by this prospectus will be our unsecured unsubordinated obligations and will rank equally with all of our other unsecured and unsubordinated indebtedness from time to time outstanding. The debt securities will be senior to any of our subordinated indebtedness from time to time outstanding and will rank junior to our secured indebtedness from time to time outstanding to the extent of the value of the assets securing such indebtedness. The debt securities will also be effectively junior in right of payment to all existing and future liabilities, including trade payables, of those of our domestic subsidiaries that do not guarantee the debt securities and of any of our foreign subsidiaries, which will not guarantee the debt securities.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There is no requirement under either indenture that future issues of our debt securities be issued under that indenture, and we will be free to use other indentures or documentation, containing provisions different from those included in the indentures or applicable to one or more series of debt securities, in connection with future issues of such other debt securities.</w:t>
      </w:r>
    </w:p>
    <w:p>
      <w:pPr>
        <w:spacing w:after="0" w:line="12"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indentures provide that the debt securities will be issued in one or more series. The debt securities may be issued at various times and may have differing maturity dates and may bear interest at differing rates. Without the consent of the holders of the debt securities, we may reopen a previous issue of debt securities under an indenture, unless the reopening is restricted when the series of debt securities is created. The prospectus supplement applicable to each series of debt securities will specify:</w:t>
      </w:r>
    </w:p>
    <w:p>
      <w:pPr>
        <w:spacing w:after="0" w:line="50"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indenture under which the debt securities are issued;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designation and aggregate principal amount of such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percentage of their principal amount at which such debt securities will be issued;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date or dates on which such debt securities will mature;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interest rate or rates, or method of calculation of such rate or rates, on such debt securities, and the date from which such interest shall accrue;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dates on which such interest will be payable or method by which such dates are to be determined;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record dates for payments of interest;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period or periods within which, the price or prices at which, and the terms and conditions upon which, such debt securities may be repaid, in whole or in part, at our option;</w:t>
      </w:r>
    </w:p>
    <w:p>
      <w:pPr>
        <w:spacing w:after="0" w:line="97" w:lineRule="exact"/>
        <w:rPr>
          <w:rFonts w:ascii="Arial" w:cs="Arial" w:eastAsia="Arial" w:hAnsi="Arial"/>
          <w:sz w:val="12"/>
          <w:szCs w:val="12"/>
          <w:color w:val="auto"/>
        </w:rPr>
      </w:pPr>
    </w:p>
    <w:p>
      <w:pPr>
        <w:ind w:left="1280" w:right="26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place or places, if any, in addition to or in the place of our office or the office of the trustee, where the principal of (and premium, if any) and interest, if any, on such debt securities shall be payable and where notices to us shall be sent;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other specific terms applicable to such debt securities.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addition to describing the specific terms of the applicable series of debt securities, the applicable prospectus supplement will contain a summary of certain United States federal income tax consequences applicable to such series of debt securities.</w:t>
      </w:r>
    </w:p>
    <w:p>
      <w:pPr>
        <w:spacing w:after="0" w:line="5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Unless otherwise indicated in the applicable prospectus supplement, the debt securities will be denominated in United States dollars in minimum denominations of $2,000 and integral multiples of $1,000 in excess thereof.</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Guarantees</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To the extent provided in the applicable prospectus supplement, the debt securities may be guaranteed, jointly and severally, by all of our subsidiaries that guarantee our revolving credit facilities. Each guarantee will be a senior obligation of the guarantor, will rank equally with all unsecured and unsubordinated indebtedness of the guarantor from time to time outstanding, will rank senior to any subordinated indebtedness of the guarantor from time to time outstanding and will rank junior to any secured indebtedness of a guarantor from time to time outstanding to the extent of the value of the assets securing such indebtedness.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Except as otherwise provided in any applicable prospectus supplement, the guarantee of any guarantor will be released in the following circumstances:</w:t>
      </w:r>
    </w:p>
    <w:p>
      <w:pPr>
        <w:spacing w:after="0" w:line="96"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concurrently with the satisfaction and discharge of the applicable indenture in accordance with the terms of such indenture;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concurrently with the defeasance or covenant defeasance of the notes in accordance with the terms of the applicable indenture;</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upon the consummation of any transaction (whether involving a sale or other disposition of securities, a merger or otherwise) whereby the guarantor ceases to be a Subsidiary of ours; or</w:t>
      </w:r>
    </w:p>
    <w:p>
      <w:pPr>
        <w:spacing w:after="0" w:line="4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upon the termination of such guarantor’s obligations under its guarantees provided with respect to our revolving credit facilities, or upon the release of such guarantor from its obligations under our revolving credit facilities.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Optional Redemption</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Unless otherwise indicated in the applicable prospectus supplement, the debt securities will be redeemable, as a whole or in part, at our option, at any time or from time to time, at a redemption price equal to the greater of:</w:t>
      </w:r>
    </w:p>
    <w:p>
      <w:pPr>
        <w:spacing w:after="0" w:line="59" w:lineRule="exact"/>
        <w:rPr>
          <w:sz w:val="20"/>
          <w:szCs w:val="20"/>
          <w:color w:val="auto"/>
        </w:rPr>
      </w:pPr>
    </w:p>
    <w:p>
      <w:pPr>
        <w:ind w:left="1660" w:hanging="191"/>
        <w:spacing w:after="0"/>
        <w:tabs>
          <w:tab w:leader="none" w:pos="1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100% of the principal amount of the debt securities to be redeemed, and</w:t>
      </w:r>
    </w:p>
    <w:p>
      <w:pPr>
        <w:spacing w:after="0" w:line="96" w:lineRule="exact"/>
        <w:rPr>
          <w:rFonts w:ascii="Arial" w:cs="Arial" w:eastAsia="Arial" w:hAnsi="Arial"/>
          <w:sz w:val="13"/>
          <w:szCs w:val="13"/>
          <w:color w:val="auto"/>
        </w:rPr>
      </w:pPr>
    </w:p>
    <w:p>
      <w:pPr>
        <w:jc w:val="both"/>
        <w:ind w:left="1080" w:firstLine="389"/>
        <w:spacing w:after="0" w:line="264" w:lineRule="auto"/>
        <w:tabs>
          <w:tab w:leader="none" w:pos="1649"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sum of the present values of the remaining scheduled payments of principal and interest on the debt securities to be redeemed discounted to the date of redemption on a semi-annual basis (assuming a 360-day year consisting of twelve 30-day months) at the applicable Treasury Rate, plus a specified number of basis points, which we will set forth in a prospectus supplement.</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case of each of clauses (1) and (2), accrued interest will be payable to the redemption date.</w:t>
      </w:r>
    </w:p>
    <w:p>
      <w:pPr>
        <w:spacing w:after="0" w:line="96"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Holders of debt securities to be redeemed will receive notice thereof by first-class mail at least 30 and not more than 60 days before the date fixed for redemption. If fewer than all of the debt securities of any series are to be redeemed, the trustee will select, at least 30 and not more than 60 days prior to the redemption date, the particular debt securities or portions thereof for redemption from the outstanding debt securities of such series not previously called by such method as the trustee deems fair and appropriate.</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On and after the redemption date, interest will cease to accrue on the debt securities or any portion of the debt securities called for redemption unless we default in the payment of the redemption price and accrued interest. On or before the redemption date, we will deposit with a paying agent (or the trustee) money sufficient to pay the redemption price of and accrued interest on the debt securities to be redeemed on that date.</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“Comparable Treasury Issue” </w:t>
      </w:r>
      <w:r>
        <w:rPr>
          <w:rFonts w:ascii="Arial" w:cs="Arial" w:eastAsia="Arial" w:hAnsi="Arial"/>
          <w:sz w:val="13"/>
          <w:szCs w:val="13"/>
          <w:color w:val="auto"/>
        </w:rPr>
        <w:t>means the U.S. Treasury security selected by an Independent Investment Banker as having a maturity comparable to the remaining term (“Remaining</w:t>
      </w:r>
      <w:r>
        <w:rPr>
          <w:rFonts w:ascii="Arial" w:cs="Arial" w:eastAsia="Arial" w:hAnsi="Arial"/>
          <w:sz w:val="13"/>
          <w:szCs w:val="13"/>
          <w:i w:val="1"/>
          <w:iCs w:val="1"/>
          <w:color w:val="auto"/>
        </w:rPr>
        <w:t xml:space="preserve"> </w:t>
      </w:r>
      <w:r>
        <w:rPr>
          <w:rFonts w:ascii="Arial" w:cs="Arial" w:eastAsia="Arial" w:hAnsi="Arial"/>
          <w:sz w:val="13"/>
          <w:szCs w:val="13"/>
          <w:color w:val="auto"/>
        </w:rPr>
        <w:t>Life”) of the debt securities to be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redeemed that would be utilized, at the time of selection and in accordance with customary financial practice, in pricing new issues of corporate debt securities of comparable maturity to the remaining term of such debt securities.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“Comparable Treasury Price” </w:t>
      </w:r>
      <w:r>
        <w:rPr>
          <w:rFonts w:ascii="Arial" w:cs="Arial" w:eastAsia="Arial" w:hAnsi="Arial"/>
          <w:sz w:val="13"/>
          <w:szCs w:val="13"/>
          <w:color w:val="auto"/>
        </w:rPr>
        <w:t>means, with respect to any redemption date, (1) the average of five Reference Treasury Dealer Quotations for such redemption date, after excluding the</w:t>
      </w:r>
      <w:r>
        <w:rPr>
          <w:rFonts w:ascii="Arial" w:cs="Arial" w:eastAsia="Arial" w:hAnsi="Arial"/>
          <w:sz w:val="13"/>
          <w:szCs w:val="13"/>
          <w:i w:val="1"/>
          <w:iCs w:val="1"/>
          <w:color w:val="auto"/>
        </w:rPr>
        <w:t xml:space="preserve"> </w:t>
      </w:r>
      <w:r>
        <w:rPr>
          <w:rFonts w:ascii="Arial" w:cs="Arial" w:eastAsia="Arial" w:hAnsi="Arial"/>
          <w:sz w:val="13"/>
          <w:szCs w:val="13"/>
          <w:color w:val="auto"/>
        </w:rPr>
        <w:t>highest and lowest Reference Treasury Dealer Quotations, or (2) if the Independent Investment Banker obtains fewer than five such Reference Treasury Dealer Quotations, the average of all such quotations.</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“Independent Investment Banker” </w:t>
      </w:r>
      <w:r>
        <w:rPr>
          <w:rFonts w:ascii="Arial" w:cs="Arial" w:eastAsia="Arial" w:hAnsi="Arial"/>
          <w:sz w:val="13"/>
          <w:szCs w:val="13"/>
          <w:color w:val="auto"/>
        </w:rPr>
        <w:t>means any of the firms set forth in the prospectus supplement with respect to any series of debt securities, or, if all of such firms are unwilling or</w:t>
      </w:r>
      <w:r>
        <w:rPr>
          <w:rFonts w:ascii="Arial" w:cs="Arial" w:eastAsia="Arial" w:hAnsi="Arial"/>
          <w:sz w:val="13"/>
          <w:szCs w:val="13"/>
          <w:i w:val="1"/>
          <w:iCs w:val="1"/>
          <w:color w:val="auto"/>
        </w:rPr>
        <w:t xml:space="preserve"> </w:t>
      </w:r>
      <w:r>
        <w:rPr>
          <w:rFonts w:ascii="Arial" w:cs="Arial" w:eastAsia="Arial" w:hAnsi="Arial"/>
          <w:sz w:val="13"/>
          <w:szCs w:val="13"/>
          <w:color w:val="auto"/>
        </w:rPr>
        <w:t>unable to select the Comparable Treasury Issue, an independent investment banking institution of national standing appointed by us.</w:t>
      </w:r>
    </w:p>
    <w:p>
      <w:pPr>
        <w:spacing w:after="0" w:line="59"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i w:val="1"/>
          <w:iCs w:val="1"/>
          <w:color w:val="auto"/>
        </w:rPr>
        <w:t xml:space="preserve">“Reference Treasury Dealer” </w:t>
      </w:r>
      <w:r>
        <w:rPr>
          <w:rFonts w:ascii="Arial" w:cs="Arial" w:eastAsia="Arial" w:hAnsi="Arial"/>
          <w:sz w:val="12"/>
          <w:szCs w:val="12"/>
          <w:color w:val="auto"/>
        </w:rPr>
        <w:t>means (1) any of the firms set forth in the prospectus supplement with respect to any series of debt securities and their respective successors, provided,</w:t>
      </w:r>
      <w:r>
        <w:rPr>
          <w:rFonts w:ascii="Arial" w:cs="Arial" w:eastAsia="Arial" w:hAnsi="Arial"/>
          <w:sz w:val="12"/>
          <w:szCs w:val="12"/>
          <w:i w:val="1"/>
          <w:iCs w:val="1"/>
          <w:color w:val="auto"/>
        </w:rPr>
        <w:t xml:space="preserve"> </w:t>
      </w:r>
      <w:r>
        <w:rPr>
          <w:rFonts w:ascii="Arial" w:cs="Arial" w:eastAsia="Arial" w:hAnsi="Arial"/>
          <w:sz w:val="12"/>
          <w:szCs w:val="12"/>
          <w:color w:val="auto"/>
        </w:rPr>
        <w:t>however, that if any of the foregoing shall cease to be a primary U.S. Government securities dealer in New York City (a “Primary Treasury Dealer”), we will substitute for such firm another Primary Treasury Dealer and (2) any other Primary Treasury Dealer selected by the Independent Investment Banker after consultation with us.</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“Reference Treasury Dealer Quotations” </w:t>
      </w:r>
      <w:r>
        <w:rPr>
          <w:rFonts w:ascii="Arial" w:cs="Arial" w:eastAsia="Arial" w:hAnsi="Arial"/>
          <w:sz w:val="13"/>
          <w:szCs w:val="13"/>
          <w:color w:val="auto"/>
        </w:rPr>
        <w:t>means, with respect to each Reference Treasury Dealer and any redemption date, the average, as determined by any Independent Investment</w:t>
      </w:r>
      <w:r>
        <w:rPr>
          <w:rFonts w:ascii="Arial" w:cs="Arial" w:eastAsia="Arial" w:hAnsi="Arial"/>
          <w:sz w:val="13"/>
          <w:szCs w:val="13"/>
          <w:i w:val="1"/>
          <w:iCs w:val="1"/>
          <w:color w:val="auto"/>
        </w:rPr>
        <w:t xml:space="preserve"> </w:t>
      </w:r>
      <w:r>
        <w:rPr>
          <w:rFonts w:ascii="Arial" w:cs="Arial" w:eastAsia="Arial" w:hAnsi="Arial"/>
          <w:sz w:val="13"/>
          <w:szCs w:val="13"/>
          <w:color w:val="auto"/>
        </w:rPr>
        <w:t>Banker, of the bid and asked prices for the Comparable Treasury Issue (expressed in each case as a percentage of its principal amount) quoted in writing to such Independent Investment Banker at 5:00 p.m., New York City time, on the third business day preceding such redemption date.</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“Treasury Rate” </w:t>
      </w:r>
      <w:r>
        <w:rPr>
          <w:rFonts w:ascii="Arial" w:cs="Arial" w:eastAsia="Arial" w:hAnsi="Arial"/>
          <w:sz w:val="12"/>
          <w:szCs w:val="12"/>
          <w:color w:val="auto"/>
        </w:rPr>
        <w:t>means, with respect to any redemption date, (1) the yield, under the heading which represents the average for the immediately preceding week, appearing in the most</w:t>
      </w:r>
      <w:r>
        <w:rPr>
          <w:rFonts w:ascii="Arial" w:cs="Arial" w:eastAsia="Arial" w:hAnsi="Arial"/>
          <w:sz w:val="12"/>
          <w:szCs w:val="12"/>
          <w:i w:val="1"/>
          <w:iCs w:val="1"/>
          <w:color w:val="auto"/>
        </w:rPr>
        <w:t xml:space="preserve"> </w:t>
      </w:r>
      <w:r>
        <w:rPr>
          <w:rFonts w:ascii="Arial" w:cs="Arial" w:eastAsia="Arial" w:hAnsi="Arial"/>
          <w:sz w:val="12"/>
          <w:szCs w:val="12"/>
          <w:color w:val="auto"/>
        </w:rPr>
        <w:t>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will be determined and the Treasury Rate will be interpolated or extrapolated from such yields on a straight line basis, rounding to the nearest month) or (2) 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 The Treasury Rate will be calculated on the third business day preceding the redemption date.</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 of Control Triggering Event</w:t>
      </w:r>
    </w:p>
    <w:p>
      <w:pPr>
        <w:spacing w:after="0" w:line="10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Unless otherwise indicated in the applicable prospectus supplement, upon the occurrence of a Change of Control Triggering Event with respect to the debt securities of any series, unless we have exercised our right to redeem the debt securities of that series as described under “— Optional Redemption,” each holder of debt securities of that series will have the right to require us to purchase all or a portion (equal to $2,000 or an integral multiple of $1,000 in excess thereof) of such holder’s debt securities of that series pursuant to the offer described below (the “Change of Control Offer”), at a purchase price equal to 101% of the principal amount thereof plus accrued and unpaid interest, if any, to the date of purchase (the “Change of Control Payment”), subject to the rights of holders of debt securities of that series on the relevant record date to receive interest due on the relevant interest payment date.</w:t>
      </w:r>
    </w:p>
    <w:p>
      <w:pPr>
        <w:spacing w:after="0" w:line="55"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Within 30 days following the date upon which the Change of Control Triggering Event occurred with respect to the debt securities of that series, or at our option, prior to any Change of Control but after the public announcement of the pending Change of Control, we will be required to send, by first class mail, a notice to each holder of debt securities of the applicable series, with a copy to the trustee, which notice will govern the terms of the Change of Control Offer. Such notice will state, among other things, the purchase date, which must be no earlier than 30 days nor later than 60 days from the date such notice is mailed, other than as may be required by law (the “Change of Control Payment Date”). The notice, if mailed prior to the date of consummation of the Change of Control, will state</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 the Change of Control Offer is conditioned on the Change of Control being consummated on or prior to the Change of Control Payment Date.</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On the Change of Control Payment Date, we will, to the extent lawful, (1) accept or cause a third party to accept for payment all debt securities or portions of debt securities properly tendered pursuant to the Change of Control Offer; (2) deposit or cause a third party to deposit with the paying agent an amount equal to the Change of Control Payment in respect of all debt securities or portions of debt securities properly tendered; and (3) deliver or cause to be delivered to the trustee the debt securities accepted together with an officers’ certificate stating the aggregate principal amount of debt securities or portions of debt securities being repurchased.</w:t>
      </w:r>
    </w:p>
    <w:p>
      <w:pPr>
        <w:spacing w:after="0" w:line="70" w:lineRule="exact"/>
        <w:rPr>
          <w:sz w:val="20"/>
          <w:szCs w:val="20"/>
          <w:color w:val="auto"/>
        </w:rPr>
      </w:pPr>
    </w:p>
    <w:p>
      <w:pPr>
        <w:ind w:left="680" w:right="180" w:firstLine="399"/>
        <w:spacing w:after="0" w:line="371" w:lineRule="auto"/>
        <w:rPr>
          <w:sz w:val="20"/>
          <w:szCs w:val="20"/>
          <w:color w:val="auto"/>
        </w:rPr>
      </w:pPr>
      <w:r>
        <w:rPr>
          <w:rFonts w:ascii="Arial" w:cs="Arial" w:eastAsia="Arial" w:hAnsi="Arial"/>
          <w:sz w:val="11"/>
          <w:szCs w:val="11"/>
          <w:color w:val="auto"/>
        </w:rPr>
        <w:t>We will not be required to make a Change of Control Offer with respect to the debt securities of the applicable series if a third party makes such an offer in the manner, at the times and otherwise in compliance with the requirements for such an offer made by us and such third party purchases all the debt securities properly tendered and not withdrawn under its offer.</w:t>
      </w:r>
    </w:p>
    <w:p>
      <w:pPr>
        <w:spacing w:after="0" w:line="1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will comply in all material respects with the requirements of Rule 14e-1 under the Exchange Act and any other securities laws and regulations thereunder to the extent those laws and regulations are applicable in connection with the repurchase of the debt securities of the applicable series as a result of a Change of Control Triggering Event. To the extent that the provisions of any such securities laws or regulations conflict with the Change of Control Offer provisions of the debt securities, we will comply with those securities laws and regulations and will not be deemed to have breached our obligations under the Change of Control Offer provisions of the debt securities by virtue of any such conflict.</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purposes of the foregoing discussion of a Change of Control Offer, the following definitions are applicable: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“Change of Control” </w:t>
      </w:r>
      <w:r>
        <w:rPr>
          <w:rFonts w:ascii="Arial" w:cs="Arial" w:eastAsia="Arial" w:hAnsi="Arial"/>
          <w:sz w:val="13"/>
          <w:szCs w:val="13"/>
          <w:color w:val="auto"/>
        </w:rPr>
        <w:t>means the occurrence of any of the following after the date of issuance of the debt securities:</w:t>
      </w:r>
    </w:p>
    <w:p>
      <w:pPr>
        <w:spacing w:after="0" w:line="96" w:lineRule="exact"/>
        <w:rPr>
          <w:sz w:val="20"/>
          <w:szCs w:val="20"/>
          <w:color w:val="auto"/>
        </w:rPr>
      </w:pPr>
    </w:p>
    <w:p>
      <w:pPr>
        <w:jc w:val="both"/>
        <w:ind w:left="1080" w:right="80" w:firstLine="389"/>
        <w:spacing w:after="0" w:line="264" w:lineRule="auto"/>
        <w:tabs>
          <w:tab w:leader="none" w:pos="1649"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direct or indirect sale, lease, transfer, conveyance or other disposition (other than by way of merger or consolidation), in one or a series of related transactions, of all or substantially all of the assets of Republic Services, Inc. and its Subsidiaries taken as a whole to any “person” or “group” (as those terms are used in Section 13(d)(3) of the Exchange Act) other than to Republic Services, Inc. or one of its Subsidiaries;</w:t>
      </w:r>
    </w:p>
    <w:p>
      <w:pPr>
        <w:spacing w:after="0" w:line="66" w:lineRule="exact"/>
        <w:rPr>
          <w:rFonts w:ascii="Arial" w:cs="Arial" w:eastAsia="Arial" w:hAnsi="Arial"/>
          <w:sz w:val="13"/>
          <w:szCs w:val="13"/>
          <w:color w:val="auto"/>
        </w:rPr>
      </w:pPr>
    </w:p>
    <w:p>
      <w:pPr>
        <w:ind w:left="1080" w:firstLine="389"/>
        <w:spacing w:after="0" w:line="257" w:lineRule="auto"/>
        <w:tabs>
          <w:tab w:leader="none" w:pos="1649"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consummation of any transaction (including, without limitation, any merger or consolidation) the result of which is that any “person” or “group” (as those terms are used in Section 13(d)(3) of the Exchange Act, it being agreed that an employee of Republic Services, Inc. or any of its Subsidiaries for whom shares are held under an employee stock ownership, employee retirement, employee savings or similar plan and whose shares are voted in accordance with the instructions of such employee shall not be a member of a “group” (as that term is used in Section 13(d)(3) of the Exchange Act) solely because such employee’s shares are held by a trustee under said plan) becomes the “beneficial owner” (as defined in Rules 13d-3 and 13d-5 under the Exchange Act), directly or indirectly, of our Voting Stock representing more than 50% of the voting power of our outstanding Voting Stock;</w:t>
      </w:r>
    </w:p>
    <w:p>
      <w:pPr>
        <w:spacing w:after="0" w:line="71" w:lineRule="exact"/>
        <w:rPr>
          <w:rFonts w:ascii="Arial" w:cs="Arial" w:eastAsia="Arial" w:hAnsi="Arial"/>
          <w:sz w:val="13"/>
          <w:szCs w:val="13"/>
          <w:color w:val="auto"/>
        </w:rPr>
      </w:pPr>
    </w:p>
    <w:p>
      <w:pPr>
        <w:ind w:left="1080" w:firstLine="389"/>
        <w:spacing w:after="0" w:line="260" w:lineRule="auto"/>
        <w:tabs>
          <w:tab w:leader="none" w:pos="1649"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consolidate with, or merge with or into, any Person, or any Person consolidates with, or merges with or into, us, in any such event pursuant to a transaction in which any of our outstanding Voting Stock or Voting Stock of such other Person is converted into or exchanged for cash, securities or other property, other than any such transaction where our Voting Stock outstanding immediately prior to such transaction constitutes, or is converted into or exchanged for, Voting Stock representing more than 50% of the voting power of the Voting Stock of the surviving Person immediately after giving effect to such transaction;</w:t>
      </w:r>
    </w:p>
    <w:p>
      <w:pPr>
        <w:spacing w:after="0" w:line="69" w:lineRule="exact"/>
        <w:rPr>
          <w:rFonts w:ascii="Arial" w:cs="Arial" w:eastAsia="Arial" w:hAnsi="Arial"/>
          <w:sz w:val="13"/>
          <w:szCs w:val="13"/>
          <w:color w:val="auto"/>
        </w:rPr>
      </w:pPr>
    </w:p>
    <w:p>
      <w:pPr>
        <w:ind w:left="1080" w:right="160" w:firstLine="389"/>
        <w:spacing w:after="0" w:line="260" w:lineRule="auto"/>
        <w:tabs>
          <w:tab w:leader="none" w:pos="1649" w:val="left"/>
        </w:tabs>
        <w:numPr>
          <w:ilvl w:val="0"/>
          <w:numId w:val="9"/>
        </w:numPr>
        <w:rPr>
          <w:rFonts w:ascii="Arial" w:cs="Arial" w:eastAsia="Arial" w:hAnsi="Arial"/>
          <w:sz w:val="13"/>
          <w:szCs w:val="13"/>
          <w:color w:val="auto"/>
        </w:rPr>
      </w:pPr>
      <w:r>
        <w:rPr>
          <w:rFonts w:ascii="Arial" w:cs="Arial" w:eastAsia="Arial" w:hAnsi="Arial"/>
          <w:sz w:val="13"/>
          <w:szCs w:val="13"/>
          <w:color w:val="auto"/>
        </w:rPr>
        <w:t>during any period of 24 consecutive calendar months, the majority of the members of our board of directors shall no longer be composed of individuals (a) who were members of our board of directors on the first day of such period or (b) whose election or nomination to our board of directors was approved by individuals referred to in clause (a) above constituting, at the time of such election or nomination, at least a majority of our board of directors or, if directors are nominated by a committee of our board of directors, constituting at the time of such nomination, at least a majority of such committee; or</w:t>
      </w:r>
    </w:p>
    <w:p>
      <w:pPr>
        <w:spacing w:after="0" w:line="69" w:lineRule="exact"/>
        <w:rPr>
          <w:rFonts w:ascii="Arial" w:cs="Arial" w:eastAsia="Arial" w:hAnsi="Arial"/>
          <w:sz w:val="13"/>
          <w:szCs w:val="13"/>
          <w:color w:val="auto"/>
        </w:rPr>
      </w:pPr>
    </w:p>
    <w:p>
      <w:pPr>
        <w:ind w:left="1660" w:hanging="191"/>
        <w:spacing w:after="0"/>
        <w:tabs>
          <w:tab w:leader="none" w:pos="1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adoption of a plan relating to our liquidation or dissolution.</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i w:val="1"/>
          <w:iCs w:val="1"/>
          <w:color w:val="auto"/>
        </w:rPr>
        <w:t xml:space="preserve">“Change of Control Triggering Event” </w:t>
      </w:r>
      <w:r>
        <w:rPr>
          <w:rFonts w:ascii="Arial" w:cs="Arial" w:eastAsia="Arial" w:hAnsi="Arial"/>
          <w:sz w:val="13"/>
          <w:szCs w:val="13"/>
          <w:color w:val="auto"/>
        </w:rPr>
        <w:t>means, with respect to the debt securities of any series, the debt securities of that series cease to be rated Investment Grade by each of the</w:t>
      </w:r>
      <w:r>
        <w:rPr>
          <w:rFonts w:ascii="Arial" w:cs="Arial" w:eastAsia="Arial" w:hAnsi="Arial"/>
          <w:sz w:val="13"/>
          <w:szCs w:val="13"/>
          <w:i w:val="1"/>
          <w:iCs w:val="1"/>
          <w:color w:val="auto"/>
        </w:rPr>
        <w:t xml:space="preserve"> </w:t>
      </w:r>
      <w:r>
        <w:rPr>
          <w:rFonts w:ascii="Arial" w:cs="Arial" w:eastAsia="Arial" w:hAnsi="Arial"/>
          <w:sz w:val="13"/>
          <w:szCs w:val="13"/>
          <w:color w:val="auto"/>
        </w:rPr>
        <w:t>Rating Agencies on any date during the period (the “Trigger Period”) commencing 60 days prior to the first public announcement by us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If a Rating Agency is not providing a rating for the debt securities of any series at the commencement of any Trigger Period, the debt securities of that series will be deemed to have ceased to be rated Investment Grade by such Rating Agency during that Trigger Period. Notwithstanding the foregoing, no Change of Control Triggering Event will be deemed to have occurred in connection with any particular Change of Control unless and until such Change of Control has actually been consummated.</w:t>
      </w:r>
    </w:p>
    <w:p>
      <w:pPr>
        <w:spacing w:after="0" w:line="73"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i w:val="1"/>
          <w:iCs w:val="1"/>
          <w:color w:val="auto"/>
        </w:rPr>
        <w:t xml:space="preserve">“Investment Grade” </w:t>
      </w:r>
      <w:r>
        <w:rPr>
          <w:rFonts w:ascii="Arial" w:cs="Arial" w:eastAsia="Arial" w:hAnsi="Arial"/>
          <w:sz w:val="12"/>
          <w:szCs w:val="12"/>
          <w:color w:val="auto"/>
        </w:rPr>
        <w:t>means a rating of Baa3 or better by Moody’s (or its equivalent under any successor rating category of Moody’s) and a rating of BBB- or better by S&amp;P (or its</w:t>
      </w:r>
      <w:r>
        <w:rPr>
          <w:rFonts w:ascii="Arial" w:cs="Arial" w:eastAsia="Arial" w:hAnsi="Arial"/>
          <w:sz w:val="12"/>
          <w:szCs w:val="12"/>
          <w:i w:val="1"/>
          <w:iCs w:val="1"/>
          <w:color w:val="auto"/>
        </w:rPr>
        <w:t xml:space="preserve"> </w:t>
      </w:r>
      <w:r>
        <w:rPr>
          <w:rFonts w:ascii="Arial" w:cs="Arial" w:eastAsia="Arial" w:hAnsi="Arial"/>
          <w:sz w:val="12"/>
          <w:szCs w:val="12"/>
          <w:color w:val="auto"/>
        </w:rPr>
        <w:t>equivalent under any successor rating category of S&amp;P), and the equivalent investment grade credit rating from any replacement rating agency or rating agencies selected by us under the circumstances permitting us to select a replacement agency and in the manner for selecting a replacement agency, in each case as set forth in the definition of “Rating Agency.”</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“Moody’s” </w:t>
      </w:r>
      <w:r>
        <w:rPr>
          <w:rFonts w:ascii="Arial" w:cs="Arial" w:eastAsia="Arial" w:hAnsi="Arial"/>
          <w:sz w:val="13"/>
          <w:szCs w:val="13"/>
          <w:color w:val="auto"/>
        </w:rPr>
        <w:t>means Moody’s Investors Service, Inc., a subsidiary of Moody’s Corporation, and its successors.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“Person” </w:t>
      </w:r>
      <w:r>
        <w:rPr>
          <w:rFonts w:ascii="Arial" w:cs="Arial" w:eastAsia="Arial" w:hAnsi="Arial"/>
          <w:sz w:val="13"/>
          <w:szCs w:val="13"/>
          <w:color w:val="auto"/>
        </w:rPr>
        <w:t>means any individual, corporation, partnership, limited liability company, joint venture, association, joint-stock company, trusts, unincorporated organization or government</w:t>
      </w:r>
      <w:r>
        <w:rPr>
          <w:rFonts w:ascii="Arial" w:cs="Arial" w:eastAsia="Arial" w:hAnsi="Arial"/>
          <w:sz w:val="13"/>
          <w:szCs w:val="13"/>
          <w:i w:val="1"/>
          <w:iCs w:val="1"/>
          <w:color w:val="auto"/>
        </w:rPr>
        <w:t xml:space="preserve"> </w:t>
      </w:r>
      <w:r>
        <w:rPr>
          <w:rFonts w:ascii="Arial" w:cs="Arial" w:eastAsia="Arial" w:hAnsi="Arial"/>
          <w:sz w:val="13"/>
          <w:szCs w:val="13"/>
          <w:color w:val="auto"/>
        </w:rPr>
        <w:t>or any agency or political subdivisions thereof.</w:t>
      </w:r>
    </w:p>
    <w:p>
      <w:pPr>
        <w:spacing w:after="0" w:line="59" w:lineRule="exact"/>
        <w:rPr>
          <w:sz w:val="20"/>
          <w:szCs w:val="20"/>
          <w:color w:val="auto"/>
        </w:rPr>
      </w:pPr>
    </w:p>
    <w:p>
      <w:pPr>
        <w:ind w:left="680" w:right="420" w:firstLine="399"/>
        <w:spacing w:after="0" w:line="296" w:lineRule="auto"/>
        <w:rPr>
          <w:sz w:val="20"/>
          <w:szCs w:val="20"/>
          <w:color w:val="auto"/>
        </w:rPr>
      </w:pPr>
      <w:r>
        <w:rPr>
          <w:rFonts w:ascii="Arial" w:cs="Arial" w:eastAsia="Arial" w:hAnsi="Arial"/>
          <w:sz w:val="12"/>
          <w:szCs w:val="12"/>
          <w:i w:val="1"/>
          <w:iCs w:val="1"/>
          <w:color w:val="auto"/>
        </w:rPr>
        <w:t xml:space="preserve">“Rating Agency” </w:t>
      </w:r>
      <w:r>
        <w:rPr>
          <w:rFonts w:ascii="Arial" w:cs="Arial" w:eastAsia="Arial" w:hAnsi="Arial"/>
          <w:sz w:val="12"/>
          <w:szCs w:val="12"/>
          <w:color w:val="auto"/>
        </w:rPr>
        <w:t>means each of Moody’s and S&amp;P; provided, that if any of Moody’s or S&amp;P ceases to rate the debt securities of any series or fails to make a rating of the debt</w:t>
      </w:r>
      <w:r>
        <w:rPr>
          <w:rFonts w:ascii="Arial" w:cs="Arial" w:eastAsia="Arial" w:hAnsi="Arial"/>
          <w:sz w:val="12"/>
          <w:szCs w:val="12"/>
          <w:i w:val="1"/>
          <w:iCs w:val="1"/>
          <w:color w:val="auto"/>
        </w:rPr>
        <w:t xml:space="preserve"> </w:t>
      </w:r>
      <w:r>
        <w:rPr>
          <w:rFonts w:ascii="Arial" w:cs="Arial" w:eastAsia="Arial" w:hAnsi="Arial"/>
          <w:sz w:val="12"/>
          <w:szCs w:val="12"/>
          <w:color w:val="auto"/>
        </w:rPr>
        <w:t>securities of that series publicly available for reasons outside our control, we may appoint another “nationally recognized statistical rating organization” within the meaning of Rule 15c3-1(c)(2)(vi)(F) under the Exchange Act as a replacement for such Rating Agency; provided, that we shall give notice of such appointment to the trustee.</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“S&amp;P” </w:t>
      </w:r>
      <w:r>
        <w:rPr>
          <w:rFonts w:ascii="Arial" w:cs="Arial" w:eastAsia="Arial" w:hAnsi="Arial"/>
          <w:sz w:val="13"/>
          <w:szCs w:val="13"/>
          <w:color w:val="auto"/>
        </w:rPr>
        <w:t>means Standard &amp; Poor’s Ratings Services, a division of The McGraw-Hill Companies, Inc., and its successors.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“Voting Stock” </w:t>
      </w:r>
      <w:r>
        <w:rPr>
          <w:rFonts w:ascii="Arial" w:cs="Arial" w:eastAsia="Arial" w:hAnsi="Arial"/>
          <w:sz w:val="13"/>
          <w:szCs w:val="13"/>
          <w:color w:val="auto"/>
        </w:rPr>
        <w:t>of any specified Person as of any date means the capital stock of such Person that is at the time entitled to vote generally in the election of the board of directors of</w:t>
      </w:r>
      <w:r>
        <w:rPr>
          <w:rFonts w:ascii="Arial" w:cs="Arial" w:eastAsia="Arial" w:hAnsi="Arial"/>
          <w:sz w:val="13"/>
          <w:szCs w:val="13"/>
          <w:i w:val="1"/>
          <w:iCs w:val="1"/>
          <w:color w:val="auto"/>
        </w:rPr>
        <w:t xml:space="preserve"> </w:t>
      </w:r>
      <w:r>
        <w:rPr>
          <w:rFonts w:ascii="Arial" w:cs="Arial" w:eastAsia="Arial" w:hAnsi="Arial"/>
          <w:sz w:val="13"/>
          <w:szCs w:val="13"/>
          <w:color w:val="auto"/>
        </w:rPr>
        <w:t>such Person.</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definition of Change of Control includes a phrase relating to the direct or indirect sale, lease, transfer, conveyance or other disposition of “all or substantially all” of the properties or assets of Republic Services, Inc. and its Subsidiaries taken as a whole. Although there is a limited body of case law interpreting the phrase “substantially all,” there is no precise, established definition of the phrase under applicable law. Accordingly, the applicability of the requirement that we offer to repurchase the debt securities as a result of a sale, lease, transfer, conveyance or other disposition of less than all of the assets of Republic Services, Inc. and its Subsidiaries taken as a whole to another Person or group may be uncertain.</w:t>
      </w:r>
    </w:p>
    <w:p>
      <w:pPr>
        <w:spacing w:after="0" w:line="53"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In addition, under a recent Delaware Chancery Court interpretation of a change of control repurchase requirement with a continuing director provision, a board of directors may approve a slate of shareholder-nominated directors without endorsing them or while simultaneously recommending and endorsing its own slate instead. The foregoing interpretation would permit our board to approve a slate of directors that included a majority of dissident directors nominated pursuant to a proxy contest, and the ultimate election of such dissident slate would not constitute a “Change of Control Triggering Event” that would trigger your right to require us to repurchase your debt securities as described above.</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Certain Covenants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Unless otherwise indicated in the applicable prospectus supplement, the following restrictions will apply to each series of debt securities: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Restrictions on Liens. </w:t>
      </w:r>
      <w:r>
        <w:rPr>
          <w:rFonts w:ascii="Arial" w:cs="Arial" w:eastAsia="Arial" w:hAnsi="Arial"/>
          <w:sz w:val="13"/>
          <w:szCs w:val="13"/>
          <w:color w:val="auto"/>
        </w:rPr>
        <w:t>We will not, and will not permit any Restricted Subsidiary to, Incur any Lien on any shares of stock, Indebtedness or other obligations of a Subsidiary or any</w:t>
      </w:r>
      <w:r>
        <w:rPr>
          <w:rFonts w:ascii="Arial" w:cs="Arial" w:eastAsia="Arial" w:hAnsi="Arial"/>
          <w:sz w:val="13"/>
          <w:szCs w:val="13"/>
          <w:i w:val="1"/>
          <w:iCs w:val="1"/>
          <w:color w:val="auto"/>
        </w:rPr>
        <w:t xml:space="preserve"> </w:t>
      </w:r>
      <w:r>
        <w:rPr>
          <w:rFonts w:ascii="Arial" w:cs="Arial" w:eastAsia="Arial" w:hAnsi="Arial"/>
          <w:sz w:val="13"/>
          <w:szCs w:val="13"/>
          <w:color w:val="auto"/>
        </w:rPr>
        <w:t>Principal Property of ours or a Restricted Subsidiary, whether such shares of stock, Indebtedness or other obligations of a Subsidiary or Principal Property is owned at the date of the applicable indenture or thereafter acquired, without in any such case effectively providing that all the debt securities will be directly secured equally and ratably with such Lien. These restrictions do not apply to:</w:t>
      </w:r>
    </w:p>
    <w:p>
      <w:pPr>
        <w:spacing w:after="0" w:line="70" w:lineRule="exact"/>
        <w:rPr>
          <w:sz w:val="20"/>
          <w:szCs w:val="20"/>
          <w:color w:val="auto"/>
        </w:rPr>
      </w:pPr>
    </w:p>
    <w:p>
      <w:pPr>
        <w:ind w:left="680" w:right="20" w:firstLine="406"/>
        <w:spacing w:after="0" w:line="282" w:lineRule="auto"/>
        <w:tabs>
          <w:tab w:leader="none" w:pos="1265"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Incurrence of any Lien on any shares of stock, Indebtedness or other obligations of a Subsidiary or any Principal Property acquired after the date of the applicable indenture (including acquisitions by way of merger or consolidation) by us or a Restricted Subsidiary contemporaneously with such acquisition, or within 120 days thereafter, to secure or provide for the payment or financing of any part of the purchase price thereof, or the assumption of any Lien upon any shares of stock, Indebtedness or other obligations of a Subsidiary or any Principal Property acquired after the date of the applicable indenture existing at the time of such acquisition, or the acquisition of any shares of stock, Indebtedness or other obligations of a Subsidiary or any Principal Property subject to any Lien without the assumption thereof, provided that every such Lien referred to in this clause (1) shall attach only to the shares of stock, Indebtedness or other obligations of a Subsidiary or any Principal Property so acquired and fixed improvements thereon;</w:t>
      </w:r>
    </w:p>
    <w:p>
      <w:pPr>
        <w:spacing w:after="0" w:line="59" w:lineRule="exact"/>
        <w:rPr>
          <w:rFonts w:ascii="Arial" w:cs="Arial" w:eastAsia="Arial" w:hAnsi="Arial"/>
          <w:sz w:val="12"/>
          <w:szCs w:val="12"/>
          <w:color w:val="auto"/>
        </w:rPr>
      </w:pPr>
    </w:p>
    <w:p>
      <w:pPr>
        <w:ind w:left="1280" w:hanging="194"/>
        <w:spacing w:after="0"/>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any Lien on any shares of stock, Indebtedness or other obligations of a Subsidiary or any Principal Property existing on the date the debt securities are initially issued;</w:t>
      </w:r>
    </w:p>
    <w:p>
      <w:pPr>
        <w:spacing w:after="0" w:line="107" w:lineRule="exact"/>
        <w:rPr>
          <w:rFonts w:ascii="Arial" w:cs="Arial" w:eastAsia="Arial" w:hAnsi="Arial"/>
          <w:sz w:val="12"/>
          <w:szCs w:val="12"/>
          <w:color w:val="auto"/>
        </w:rPr>
      </w:pPr>
    </w:p>
    <w:p>
      <w:pPr>
        <w:ind w:left="1280" w:hanging="194"/>
        <w:spacing w:after="0"/>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any Lien on any shares of stock, Indebtedness or other obligations of a Subsidiary or any Principal Property in favor of Republic Services, Inc. or any Restricted Subsidiary;</w:t>
      </w:r>
    </w:p>
    <w:p>
      <w:pPr>
        <w:spacing w:after="0" w:line="107" w:lineRule="exact"/>
        <w:rPr>
          <w:rFonts w:ascii="Arial" w:cs="Arial" w:eastAsia="Arial" w:hAnsi="Arial"/>
          <w:sz w:val="12"/>
          <w:szCs w:val="12"/>
          <w:color w:val="auto"/>
        </w:rPr>
      </w:pPr>
    </w:p>
    <w:p>
      <w:pPr>
        <w:ind w:left="1280" w:hanging="194"/>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any Lien on Principal Property being constructed or improved securing loans to finance such construction or improvements;</w:t>
      </w:r>
    </w:p>
    <w:p>
      <w:pPr>
        <w:spacing w:after="0" w:line="96" w:lineRule="exact"/>
        <w:rPr>
          <w:rFonts w:ascii="Arial" w:cs="Arial" w:eastAsia="Arial" w:hAnsi="Arial"/>
          <w:sz w:val="13"/>
          <w:szCs w:val="13"/>
          <w:color w:val="auto"/>
        </w:rPr>
      </w:pPr>
    </w:p>
    <w:p>
      <w:pPr>
        <w:ind w:left="680" w:right="360" w:firstLine="406"/>
        <w:spacing w:after="0" w:line="276" w:lineRule="auto"/>
        <w:tabs>
          <w:tab w:leader="none" w:pos="1265"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any Lien on shares of stock, Indebtedness or other obligations of a Subsidiary or any Principal Property Incurred in connection with the issuance of tax-exempt government obligations; and</w:t>
      </w:r>
    </w:p>
    <w:p>
      <w:pPr>
        <w:spacing w:after="0" w:line="59" w:lineRule="exact"/>
        <w:rPr>
          <w:rFonts w:ascii="Arial" w:cs="Arial" w:eastAsia="Arial" w:hAnsi="Arial"/>
          <w:sz w:val="13"/>
          <w:szCs w:val="13"/>
          <w:color w:val="auto"/>
        </w:rPr>
      </w:pPr>
    </w:p>
    <w:p>
      <w:pPr>
        <w:ind w:left="680" w:firstLine="406"/>
        <w:spacing w:after="0" w:line="276" w:lineRule="auto"/>
        <w:tabs>
          <w:tab w:leader="none" w:pos="1265"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any renewal of or substitution for any Lien permitted by any of the preceding clauses (1) through (5), provided, in the case of a Lien permitted under clause (1), (2) or (4), the debt secured is not increased nor the Lien extended to any additional assets.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Notwithstanding the foregoing, we or any Restricted Subsidiary may create or assume Liens in addition to those permitted by clauses (1) through (6), and renew, extend or replace such Liens, provided that at the time of such creation, assumption, renewal, extension or replacement of such Lien, and after giving effect thereto, together with any sale and leaseback transactions entered into pursuant to the provisions of the indentures described below in the last paragraph under “— Certain Covenants — Limitation on Sale and Leaseback Transactions,” Exempted Debt does not exceed 20% of Consolidated Net Tangible Assets.</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For the purposes of this “Restrictions on Liens” covenant and the “Limitation on Sale and Leaseback Transactions” covenant, the giving of a guarantee which is secured by a Lien on any shares of stock, Indebtedness or other obligations of a Subsidiary or any Principal Property, and the creation of a Lien on any shares of stock, Indebtedness or other obligations of a Subsidiary or any Principal Property to secure Indebtedness that existed prior to the creation of such Lien, shall be deemed to involve the creation of Indebtedness in an amount equal to the principal amount guaranteed or secured by such Lien.</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Given the size of our operations, at any given time we expect to have very few or no Principal Properties and accordingly, very few or no Restricted Subsidiaries.</w:t>
      </w:r>
    </w:p>
    <w:p>
      <w:pPr>
        <w:spacing w:after="0" w:line="96"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i w:val="1"/>
          <w:iCs w:val="1"/>
          <w:color w:val="auto"/>
        </w:rPr>
        <w:t xml:space="preserve">Limitation on Sale and Leaseback Transactions. </w:t>
      </w:r>
      <w:r>
        <w:rPr>
          <w:rFonts w:ascii="Arial" w:cs="Arial" w:eastAsia="Arial" w:hAnsi="Arial"/>
          <w:sz w:val="12"/>
          <w:szCs w:val="12"/>
          <w:color w:val="auto"/>
        </w:rPr>
        <w:t>The indentures provide that we will not, and will not permit any Restricted Subsidiary to, sell or transfer, directly or indirectly,</w:t>
      </w:r>
      <w:r>
        <w:rPr>
          <w:rFonts w:ascii="Arial" w:cs="Arial" w:eastAsia="Arial" w:hAnsi="Arial"/>
          <w:sz w:val="12"/>
          <w:szCs w:val="12"/>
          <w:i w:val="1"/>
          <w:iCs w:val="1"/>
          <w:color w:val="auto"/>
        </w:rPr>
        <w:t xml:space="preserve"> </w:t>
      </w:r>
      <w:r>
        <w:rPr>
          <w:rFonts w:ascii="Arial" w:cs="Arial" w:eastAsia="Arial" w:hAnsi="Arial"/>
          <w:sz w:val="12"/>
          <w:szCs w:val="12"/>
          <w:color w:val="auto"/>
        </w:rPr>
        <w:t>except to us or a Restricted Subsidiary, any Principal Property as an entirety, or any substantial portion thereof, with the intention of taking back a lease of such</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property, except a lease for a period of two years or less at the end of which it is intended that the use of such property by the lessee will be discontinued; provided that, notwithstanding the foregoing, we or any Restricted Subsidiary may sell any such Principal Property and lease it back for a longer period:</w:t>
      </w:r>
    </w:p>
    <w:p>
      <w:pPr>
        <w:spacing w:after="0" w:line="59" w:lineRule="exact"/>
        <w:rPr>
          <w:sz w:val="20"/>
          <w:szCs w:val="20"/>
          <w:color w:val="auto"/>
        </w:rPr>
      </w:pPr>
    </w:p>
    <w:p>
      <w:pPr>
        <w:ind w:left="1080" w:right="40" w:firstLine="389"/>
        <w:spacing w:after="0" w:line="264" w:lineRule="auto"/>
        <w:tabs>
          <w:tab w:leader="none" w:pos="1649" w:val="left"/>
        </w:tabs>
        <w:numPr>
          <w:ilvl w:val="0"/>
          <w:numId w:val="11"/>
        </w:numPr>
        <w:rPr>
          <w:rFonts w:ascii="Arial" w:cs="Arial" w:eastAsia="Arial" w:hAnsi="Arial"/>
          <w:sz w:val="13"/>
          <w:szCs w:val="13"/>
          <w:color w:val="auto"/>
        </w:rPr>
      </w:pPr>
      <w:r>
        <w:rPr>
          <w:rFonts w:ascii="Arial" w:cs="Arial" w:eastAsia="Arial" w:hAnsi="Arial"/>
          <w:sz w:val="13"/>
          <w:szCs w:val="13"/>
          <w:color w:val="auto"/>
        </w:rPr>
        <w:t>if we or such Restricted Subsidiary would be entitled, pursuant to the provisions of the indentures described above under “— Certain Covenants — Restrictions on Liens,” to create a mortgage on the property to be leased securing Funded Debt in an amount equal to the Attributable Debt with respect to such sale and leaseback transaction without equally and ratably securing the outstanding debt securities; or</w:t>
      </w:r>
    </w:p>
    <w:p>
      <w:pPr>
        <w:spacing w:after="0" w:line="66" w:lineRule="exact"/>
        <w:rPr>
          <w:rFonts w:ascii="Arial" w:cs="Arial" w:eastAsia="Arial" w:hAnsi="Arial"/>
          <w:sz w:val="13"/>
          <w:szCs w:val="13"/>
          <w:color w:val="auto"/>
        </w:rPr>
      </w:pPr>
    </w:p>
    <w:p>
      <w:pPr>
        <w:ind w:left="1080" w:firstLine="389"/>
        <w:spacing w:after="0" w:line="277" w:lineRule="auto"/>
        <w:tabs>
          <w:tab w:leader="none" w:pos="1649" w:val="left"/>
        </w:tabs>
        <w:numPr>
          <w:ilvl w:val="0"/>
          <w:numId w:val="11"/>
        </w:numPr>
        <w:rPr>
          <w:rFonts w:ascii="Arial" w:cs="Arial" w:eastAsia="Arial" w:hAnsi="Arial"/>
          <w:sz w:val="12"/>
          <w:szCs w:val="12"/>
          <w:color w:val="auto"/>
        </w:rPr>
      </w:pPr>
      <w:r>
        <w:rPr>
          <w:rFonts w:ascii="Arial" w:cs="Arial" w:eastAsia="Arial" w:hAnsi="Arial"/>
          <w:sz w:val="12"/>
          <w:szCs w:val="12"/>
          <w:color w:val="auto"/>
        </w:rPr>
        <w:t>if we promptly inform the trustee of such transaction, the net proceeds of such transaction are at least equal to the fair market value (as determined by board resolution) of such property, and we cause an amount equal to the net proceeds of the sale to be applied to the retirement, within 180 days after receipt of such proceeds, of Funded Debt Incurred or assumed by us or a Restricted Subsidiary (including the debt securities); provided further that, in lieu of applying all or any part of such net proceeds to such retirement, we may, within 75 days after such sale or transfer, deliver or cause to be delivered to the applicable trustee for cancellation either debentures or notes evidencing Funded Debt of our company (which may include the debt securities offered hereby) or of a Restricted Subsidiary previously authenticated and delivered by the applicable trustee, and not theretofore tendered for sinking fund purposes or called for a sinking fund or otherwise applied as a credit against an obligation to redeem or retire such notes or debentures. If we so deliver debentures or notes to the applicable trustee and an officer’s certificate to the trustee for the notes, the amount of cash that we will be required to apply to the retirement of Funded Debt will be reduced by an amount equal to the aggregate of the then applicable optional redemption prices (not including any optional sinking fund redemption prices) of such debentures or notes, or if there are no such redemption prices, the principal amount of such debentures or notes, provided, that in the case of debentures or notes which provide for an amount less than the principal amount thereof to be due and payable upon a declaration of the maturity thereof, such amount of cash shall be reduced by the amount of principal of such debentures or notes that would be due and payable as of the date of such application upon a declaration of acceleration of the maturity thereof pursuant to the terms of the indenture pursuant to which such debentures or notes were issued; or</w:t>
      </w:r>
    </w:p>
    <w:p>
      <w:pPr>
        <w:spacing w:after="0" w:line="64" w:lineRule="exact"/>
        <w:rPr>
          <w:rFonts w:ascii="Arial" w:cs="Arial" w:eastAsia="Arial" w:hAnsi="Arial"/>
          <w:sz w:val="12"/>
          <w:szCs w:val="12"/>
          <w:color w:val="auto"/>
        </w:rPr>
      </w:pPr>
    </w:p>
    <w:p>
      <w:pPr>
        <w:jc w:val="both"/>
        <w:ind w:left="1080" w:firstLine="389"/>
        <w:spacing w:after="0" w:line="260" w:lineRule="auto"/>
        <w:tabs>
          <w:tab w:leader="none" w:pos="1649" w:val="left"/>
        </w:tabs>
        <w:numPr>
          <w:ilvl w:val="0"/>
          <w:numId w:val="11"/>
        </w:numPr>
        <w:rPr>
          <w:rFonts w:ascii="Arial" w:cs="Arial" w:eastAsia="Arial" w:hAnsi="Arial"/>
          <w:sz w:val="13"/>
          <w:szCs w:val="13"/>
          <w:color w:val="auto"/>
        </w:rPr>
      </w:pPr>
      <w:r>
        <w:rPr>
          <w:rFonts w:ascii="Arial" w:cs="Arial" w:eastAsia="Arial" w:hAnsi="Arial"/>
          <w:sz w:val="13"/>
          <w:szCs w:val="13"/>
          <w:color w:val="auto"/>
        </w:rPr>
        <w:t>if we, within 180 days after the sale or transfer, apply or cause a Restricted Subsidiary to apply an amount equal to the greater of the net proceeds of such sale or transfer or the fair market value of the Principal Property (or portion thereof) so sold and leased back at the time of entering into such sale and leaseback transaction (in either case as determined by board resolution) to purchase other Principal Property having a fair market value at least equal to the fair market value of the Principal Property (or portion thereof) sold or transferred in such sale and leaseback transaction.</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Notwithstanding the foregoing, we or any Restricted Subsidiary may enter into sale and leaseback transactions in addition to those permitted in the foregoing paragraph and without any obligation to retire any outstanding debt securities or other Funded Debt, provided that at the time of entering into such sale and leaseback transactions and after giving effect thereto, together with any Liens created, assumed or otherwise incurred pursuant to the provisions of the indentures described above in the third paragraph under “— Certain Covenants — Restrictions on Liens,” Exempted Debt does not exceed 20% of Consolidated Net Tangible Assets.</w:t>
      </w:r>
    </w:p>
    <w:p>
      <w:pPr>
        <w:spacing w:after="0" w:line="70"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i w:val="1"/>
          <w:iCs w:val="1"/>
          <w:color w:val="auto"/>
        </w:rPr>
        <w:t xml:space="preserve">Definitions. </w:t>
      </w:r>
      <w:r>
        <w:rPr>
          <w:rFonts w:ascii="Arial" w:cs="Arial" w:eastAsia="Arial" w:hAnsi="Arial"/>
          <w:sz w:val="13"/>
          <w:szCs w:val="13"/>
          <w:color w:val="auto"/>
        </w:rPr>
        <w:t>Set forth below are certain defined terms used in the indentures. Reference is made to the indentures for a full disclosure of all such terms, as well as any other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capitalized terms used herein for which no definition is provided. These definitions may be changed as described in a prospectus supplement.</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“Attributable Debt” </w:t>
      </w:r>
      <w:r>
        <w:rPr>
          <w:rFonts w:ascii="Arial" w:cs="Arial" w:eastAsia="Arial" w:hAnsi="Arial"/>
          <w:sz w:val="13"/>
          <w:szCs w:val="13"/>
          <w:color w:val="auto"/>
        </w:rPr>
        <w:t>means, when used in connection with a sale and leaseback transaction, at any date of determination, the product of (1) the net proceeds from such sale and</w:t>
      </w:r>
      <w:r>
        <w:rPr>
          <w:rFonts w:ascii="Arial" w:cs="Arial" w:eastAsia="Arial" w:hAnsi="Arial"/>
          <w:sz w:val="13"/>
          <w:szCs w:val="13"/>
          <w:i w:val="1"/>
          <w:iCs w:val="1"/>
          <w:color w:val="auto"/>
        </w:rPr>
        <w:t xml:space="preserve"> </w:t>
      </w:r>
      <w:r>
        <w:rPr>
          <w:rFonts w:ascii="Arial" w:cs="Arial" w:eastAsia="Arial" w:hAnsi="Arial"/>
          <w:sz w:val="13"/>
          <w:szCs w:val="13"/>
          <w:color w:val="auto"/>
        </w:rPr>
        <w:t>leaseback transaction multiplied by (2) a fraction, the numerator of which is the number of full years of the term of the lease relating to the property involved in such sale and leaseback transaction (without regard to any options to renew or extend such term) remaining at the date of the making of such computation and the denominator of which is the number of full years of the term of such lease measured from the first day of such term.</w:t>
      </w:r>
    </w:p>
    <w:p>
      <w:pPr>
        <w:spacing w:after="0" w:line="7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“Capital Stock” </w:t>
      </w:r>
      <w:r>
        <w:rPr>
          <w:rFonts w:ascii="Arial" w:cs="Arial" w:eastAsia="Arial" w:hAnsi="Arial"/>
          <w:sz w:val="13"/>
          <w:szCs w:val="13"/>
          <w:color w:val="auto"/>
        </w:rPr>
        <w:t>means, with respect to any Person, any and all shares, interests, rights to purchase, warrants, options, participations or other equivalents of or interests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partnership interests) in (however designated)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equity of such Person, including any preferred stock, but excluding any debt securities convertible into such equity.</w:t>
      </w:r>
    </w:p>
    <w:p>
      <w:pPr>
        <w:spacing w:after="0" w:line="96" w:lineRule="exact"/>
        <w:rPr>
          <w:sz w:val="20"/>
          <w:szCs w:val="20"/>
          <w:color w:val="auto"/>
        </w:rPr>
      </w:pPr>
    </w:p>
    <w:p>
      <w:pPr>
        <w:jc w:val="both"/>
        <w:ind w:left="680" w:right="60" w:firstLine="399"/>
        <w:spacing w:after="0" w:line="303" w:lineRule="auto"/>
        <w:rPr>
          <w:sz w:val="20"/>
          <w:szCs w:val="20"/>
          <w:color w:val="auto"/>
        </w:rPr>
      </w:pPr>
      <w:r>
        <w:rPr>
          <w:rFonts w:ascii="Arial" w:cs="Arial" w:eastAsia="Arial" w:hAnsi="Arial"/>
          <w:sz w:val="11"/>
          <w:szCs w:val="11"/>
          <w:i w:val="1"/>
          <w:iCs w:val="1"/>
          <w:color w:val="auto"/>
        </w:rPr>
        <w:t xml:space="preserve">“Consolidated Net Tangible Assets” </w:t>
      </w:r>
      <w:r>
        <w:rPr>
          <w:rFonts w:ascii="Arial" w:cs="Arial" w:eastAsia="Arial" w:hAnsi="Arial"/>
          <w:sz w:val="11"/>
          <w:szCs w:val="11"/>
          <w:color w:val="auto"/>
        </w:rPr>
        <w:t>means, as of any date, the total amount of assets of Republic Services, Inc. and its Subsidiaries on a consolidated basis (less applicable reserves</w:t>
      </w:r>
      <w:r>
        <w:rPr>
          <w:rFonts w:ascii="Arial" w:cs="Arial" w:eastAsia="Arial" w:hAnsi="Arial"/>
          <w:sz w:val="11"/>
          <w:szCs w:val="11"/>
          <w:i w:val="1"/>
          <w:iCs w:val="1"/>
          <w:color w:val="auto"/>
        </w:rPr>
        <w:t xml:space="preserve"> </w:t>
      </w:r>
      <w:r>
        <w:rPr>
          <w:rFonts w:ascii="Arial" w:cs="Arial" w:eastAsia="Arial" w:hAnsi="Arial"/>
          <w:sz w:val="11"/>
          <w:szCs w:val="11"/>
          <w:color w:val="auto"/>
        </w:rPr>
        <w:t>and other properly deductible items) after deducting therefrom (1) all current liabilities (excluding any current liabilities which are by their terms extendible or renewable at the option of the obligor thereon to a time more than 12 months after the time as of which the amount thereof is being computed or which are supported by other borrowings with a maturity of more than</w:t>
      </w:r>
    </w:p>
    <w:p>
      <w:pPr>
        <w:ind w:left="680"/>
        <w:spacing w:after="0" w:line="256" w:lineRule="auto"/>
        <w:rPr>
          <w:sz w:val="20"/>
          <w:szCs w:val="20"/>
          <w:color w:val="auto"/>
        </w:rPr>
      </w:pPr>
      <w:r>
        <w:rPr>
          <w:rFonts w:ascii="Arial" w:cs="Arial" w:eastAsia="Arial" w:hAnsi="Arial"/>
          <w:sz w:val="13"/>
          <w:szCs w:val="13"/>
          <w:color w:val="auto"/>
        </w:rPr>
        <w:t>12 months from the date of calculation), (2) all goodwill, trade names, trademarks, patents, unamortized debt discount and expense and other like intangibles and (3) appropriate adjustments on account of minority interests of other Persons holding stock of Republic Services, Inc.’s Subsidiaries, all as set forth on the most recent balance sheet of Republic Services, Inc. and its consolidated Subsidiaries (but, in any event, as of a date within 120 days of the date of determination), in each case excluding intercompany items and computed in accordance with generally accepted accounting principles.</w:t>
      </w:r>
    </w:p>
    <w:p>
      <w:pPr>
        <w:spacing w:after="0" w:line="72"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i w:val="1"/>
          <w:iCs w:val="1"/>
          <w:color w:val="auto"/>
        </w:rPr>
        <w:t xml:space="preserve">“Exempted Debt” </w:t>
      </w:r>
      <w:r>
        <w:rPr>
          <w:rFonts w:ascii="Arial" w:cs="Arial" w:eastAsia="Arial" w:hAnsi="Arial"/>
          <w:sz w:val="12"/>
          <w:szCs w:val="12"/>
          <w:color w:val="auto"/>
        </w:rPr>
        <w:t>means the sum, without duplication, of the following items outstanding as of the date Exempted Debt is being determined with respect to any series of debt</w:t>
      </w:r>
      <w:r>
        <w:rPr>
          <w:rFonts w:ascii="Arial" w:cs="Arial" w:eastAsia="Arial" w:hAnsi="Arial"/>
          <w:sz w:val="12"/>
          <w:szCs w:val="12"/>
          <w:i w:val="1"/>
          <w:iCs w:val="1"/>
          <w:color w:val="auto"/>
        </w:rPr>
        <w:t xml:space="preserve"> </w:t>
      </w:r>
      <w:r>
        <w:rPr>
          <w:rFonts w:ascii="Arial" w:cs="Arial" w:eastAsia="Arial" w:hAnsi="Arial"/>
          <w:sz w:val="12"/>
          <w:szCs w:val="12"/>
          <w:color w:val="auto"/>
        </w:rPr>
        <w:t>securities: (1) Indebtedness of Republic Services, Inc. and the Restricted Subsidiaries Incurred after the date of the supplemental indenture under which a series of debt securities is created and secured by Liens created, assumed or otherwise Incurred or permitted to exist pursuant to the provisions of the indentures described below under “— Certain Covenants — Restrictions on Liens” and (2) Attributable Debt of Republic Services, Inc. and the Restricted Subsidiaries in respect of all sale and leaseback transactions with regard to any Principal Property entered into pursuant to the provisions of the indentures described below under “— Certain Covenants — Limitation on Sale and Leaseback Transactions.”</w:t>
      </w:r>
    </w:p>
    <w:p>
      <w:pPr>
        <w:spacing w:after="0" w:line="55"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i w:val="1"/>
          <w:iCs w:val="1"/>
          <w:color w:val="auto"/>
        </w:rPr>
        <w:t xml:space="preserve">“Funded Debt” </w:t>
      </w:r>
      <w:r>
        <w:rPr>
          <w:rFonts w:ascii="Arial" w:cs="Arial" w:eastAsia="Arial" w:hAnsi="Arial"/>
          <w:sz w:val="12"/>
          <w:szCs w:val="12"/>
          <w:color w:val="auto"/>
        </w:rPr>
        <w:t>means all Indebtedness for borrowed money, including purchase money indebtedness, having a maturity of more than one year from the date of its creation or having</w:t>
      </w:r>
      <w:r>
        <w:rPr>
          <w:rFonts w:ascii="Arial" w:cs="Arial" w:eastAsia="Arial" w:hAnsi="Arial"/>
          <w:sz w:val="12"/>
          <w:szCs w:val="12"/>
          <w:i w:val="1"/>
          <w:iCs w:val="1"/>
          <w:color w:val="auto"/>
        </w:rPr>
        <w:t xml:space="preserve"> </w:t>
      </w:r>
      <w:r>
        <w:rPr>
          <w:rFonts w:ascii="Arial" w:cs="Arial" w:eastAsia="Arial" w:hAnsi="Arial"/>
          <w:sz w:val="12"/>
          <w:szCs w:val="12"/>
          <w:color w:val="auto"/>
        </w:rPr>
        <w:t>a maturity of less than one year but by its terms being renewable or extendible, at the option of the obligor in respect thereof, beyond one year from its creation.</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“Incur” </w:t>
      </w:r>
      <w:r>
        <w:rPr>
          <w:rFonts w:ascii="Arial" w:cs="Arial" w:eastAsia="Arial" w:hAnsi="Arial"/>
          <w:sz w:val="12"/>
          <w:szCs w:val="12"/>
          <w:color w:val="auto"/>
        </w:rPr>
        <w:t>means to issue, assume, guarantee, incur or otherwise become liable for. The terms “Incurred,” “Incurrence” and “Incurring” shall each have a correlative meaning.</w:t>
      </w:r>
    </w:p>
    <w:p>
      <w:pPr>
        <w:spacing w:after="0" w:line="108"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“Indebtedness” </w:t>
      </w:r>
      <w:r>
        <w:rPr>
          <w:rFonts w:ascii="Arial" w:cs="Arial" w:eastAsia="Arial" w:hAnsi="Arial"/>
          <w:sz w:val="13"/>
          <w:szCs w:val="13"/>
          <w:color w:val="auto"/>
        </w:rPr>
        <w:t>means with respect to any Person at any date of determination (without duplication), indebtedness for borrowed money or indebtedness evidenced by bonds, notes,</w:t>
      </w:r>
      <w:r>
        <w:rPr>
          <w:rFonts w:ascii="Arial" w:cs="Arial" w:eastAsia="Arial" w:hAnsi="Arial"/>
          <w:sz w:val="13"/>
          <w:szCs w:val="13"/>
          <w:i w:val="1"/>
          <w:iCs w:val="1"/>
          <w:color w:val="auto"/>
        </w:rPr>
        <w:t xml:space="preserve"> </w:t>
      </w:r>
      <w:r>
        <w:rPr>
          <w:rFonts w:ascii="Arial" w:cs="Arial" w:eastAsia="Arial" w:hAnsi="Arial"/>
          <w:sz w:val="13"/>
          <w:szCs w:val="13"/>
          <w:color w:val="auto"/>
        </w:rPr>
        <w:t>debentures or other similar instruments given to finance the acquisition of any businesses, properties or assets of any kind (including, without limitation, Capital Stock or other equity interests in any Person).</w:t>
      </w:r>
    </w:p>
    <w:p>
      <w:pPr>
        <w:spacing w:after="0" w:line="67"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“Lien” </w:t>
      </w:r>
      <w:r>
        <w:rPr>
          <w:rFonts w:ascii="Arial" w:cs="Arial" w:eastAsia="Arial" w:hAnsi="Arial"/>
          <w:sz w:val="12"/>
          <w:szCs w:val="12"/>
          <w:color w:val="auto"/>
        </w:rPr>
        <w:t>with respect to any property or assets, means any mortgage or deed of trust, pledge, hypothecation, assignment, deposit arrangement, security interest, lien, charge, easement</w:t>
      </w:r>
      <w:r>
        <w:rPr>
          <w:rFonts w:ascii="Arial" w:cs="Arial" w:eastAsia="Arial" w:hAnsi="Arial"/>
          <w:sz w:val="12"/>
          <w:szCs w:val="12"/>
          <w:i w:val="1"/>
          <w:iCs w:val="1"/>
          <w:color w:val="auto"/>
        </w:rPr>
        <w:t xml:space="preserve"> </w:t>
      </w:r>
      <w:r>
        <w:rPr>
          <w:rFonts w:ascii="Arial" w:cs="Arial" w:eastAsia="Arial" w:hAnsi="Arial"/>
          <w:sz w:val="12"/>
          <w:szCs w:val="12"/>
          <w:color w:val="auto"/>
        </w:rPr>
        <w:t>(other than any easement not materially impairing usefulness or marketability), encumbrance, preference, priority or other security agreement or preferential arrangement of any kind or nature whatsoever on or with respect to such property or assets (including, without limitation, any conditional sale or other title retention agreement having substantially the same economic effect as any of the foregoing), but not including the interest of a lessor under a lease that is an operating lease under generally accepted accounting principles.</w:t>
      </w:r>
    </w:p>
    <w:p>
      <w:pPr>
        <w:spacing w:after="0" w:line="53"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“Principal Property” </w:t>
      </w:r>
      <w:r>
        <w:rPr>
          <w:rFonts w:ascii="Arial" w:cs="Arial" w:eastAsia="Arial" w:hAnsi="Arial"/>
          <w:sz w:val="12"/>
          <w:szCs w:val="12"/>
          <w:color w:val="auto"/>
        </w:rPr>
        <w:t>means any land, land improvements or building, together with the land upon which it is erected and fixtures comprising a part thereof, in each case, owned or</w:t>
      </w:r>
      <w:r>
        <w:rPr>
          <w:rFonts w:ascii="Arial" w:cs="Arial" w:eastAsia="Arial" w:hAnsi="Arial"/>
          <w:sz w:val="12"/>
          <w:szCs w:val="12"/>
          <w:i w:val="1"/>
          <w:iCs w:val="1"/>
          <w:color w:val="auto"/>
        </w:rPr>
        <w:t xml:space="preserve"> </w:t>
      </w:r>
      <w:r>
        <w:rPr>
          <w:rFonts w:ascii="Arial" w:cs="Arial" w:eastAsia="Arial" w:hAnsi="Arial"/>
          <w:sz w:val="12"/>
          <w:szCs w:val="12"/>
          <w:color w:val="auto"/>
        </w:rPr>
        <w:t>leased by us or any Restricted Subsidiary and located in the United States, the gross book value (without deduction of any reserve for depreciation) of which on the date as of which the determination is being made is an amount which exceeds 2% of Consolidated Net Tangible Assets but not including such land, land improvements, buildings or portions thereof which is financed through the issuance of tax-exempt governmental obligations, or any such property that has been determined by a board resolution not to be of material importance to the respective businesses conducted by us or such Restricted Subsidiary effective as of the date such resolution is adopted by our board of directors.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“Restricted Subsidiary” </w:t>
      </w:r>
      <w:r>
        <w:rPr>
          <w:rFonts w:ascii="Arial" w:cs="Arial" w:eastAsia="Arial" w:hAnsi="Arial"/>
          <w:sz w:val="13"/>
          <w:szCs w:val="13"/>
          <w:color w:val="auto"/>
        </w:rPr>
        <w:t>means any Subsidiary which, at the time of determination, owns or is a lessee pursuant to a capital lease of any Principal Property.</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“Subsidiary” </w:t>
      </w:r>
      <w:r>
        <w:rPr>
          <w:rFonts w:ascii="Arial" w:cs="Arial" w:eastAsia="Arial" w:hAnsi="Arial"/>
          <w:sz w:val="13"/>
          <w:szCs w:val="13"/>
          <w:color w:val="auto"/>
        </w:rPr>
        <w:t>of a Person means, with respect to any Person, any corporation, association, partnership or other business entity of which at least a majority of the total voting power of</w:t>
      </w:r>
      <w:r>
        <w:rPr>
          <w:rFonts w:ascii="Arial" w:cs="Arial" w:eastAsia="Arial" w:hAnsi="Arial"/>
          <w:sz w:val="13"/>
          <w:szCs w:val="13"/>
          <w:i w:val="1"/>
          <w:iCs w:val="1"/>
          <w:color w:val="auto"/>
        </w:rPr>
        <w:t xml:space="preserve"> </w:t>
      </w:r>
      <w:r>
        <w:rPr>
          <w:rFonts w:ascii="Arial" w:cs="Arial" w:eastAsia="Arial" w:hAnsi="Arial"/>
          <w:sz w:val="13"/>
          <w:szCs w:val="13"/>
          <w:color w:val="auto"/>
        </w:rPr>
        <w:t>the Capital Stock entitled (without regard to the occurrence of any contingency) to vote in the election of directors, managers or trustees thereof is at the time owned or controlled, directly or indirectly, by (1) such Person, (2) such Person and one or more Subsidiaries of such Person or (3) one or more Subsidiaries of such Person.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Consolidation, Merger or Sale of Substantially All Assets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Unless otherwise indicated in the applicable prospectus supplement, we may consolidate or merge with, or sell all or substantially all of our assets to, another corporation as long as the surviving corporation is organized under the laws of the United States or any state thereof or the District of Columbia and the consolidation, merger or sale does not create a default under the indentures. The remaining or acquiring corporation must assume all of our responsibilities and liabilities under the indentures, including the payment of all amounts due on the debt securities and performance of the covenants. Under these circumstances, if our properties or assets become subject to a Lien not permitted by the indentures, we will equally and ratably secure the debt securities.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Filing of Financial Statements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indentures require us to file quarterly and annual financial statements with the Securities and Exchange Commission.</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Events of Default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Unless otherwise indicated in the applicable prospectus supplement, an event of default under each indenture with respect to any series of debt securities includes the following:</w:t>
      </w:r>
    </w:p>
    <w:p>
      <w:pPr>
        <w:spacing w:after="0" w:line="108"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failure to pay interest on the debt securities of that series for 30 days;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failure to pay principal on the debt securities of that series when due;</w:t>
      </w:r>
    </w:p>
    <w:p>
      <w:pPr>
        <w:spacing w:after="0" w:line="86"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failure to perform any of the other covenants or agreements in the indenture relating to the debt securities of that series that continues for 60 days after notice to us by the trustee or holders of at least 25% in principal amount of the debt securities of that series then outstanding (for purposes of the financial statement reporting covenant, the 60-day grace period will be extended to 365 days);</w:t>
      </w:r>
    </w:p>
    <w:p>
      <w:pPr>
        <w:spacing w:after="0" w:line="57"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failure to pay when due any Indebtedness of ours or any Restricted Subsidiary having an aggregate principal amount outstanding of at least $25.0 million that continues for 25 days after notice to us by the trustee or holders of at least 25% in principal amount of debt securities of that series then outstanding;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certain events of bankruptcy, insolvency or reorganization relating to us or any Restricted Subsidiary.</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Each indenture provides that the trustee will, with certain exceptions, notify the holders of debt securities of any series of any event of default known to it with respect to that series within 90 days after the occurrence of such event.</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If an event of default (other than with respect to certain events of bankruptcy, insolvency or reorganization) occurs and is continuing with respect to the debt securities of any series, the trustee or the holders of not less than 25% in principal amount of the debt securities then outstanding of that series may declare the principal amount to be due and payable. In that case, subject to certain conditions, the holders of a majority in principal amount of the debt securities of that series then outstanding can rescind and annul such declaration and its consequences. If an event of default with respect to certain events of bankruptcy, insolvency or reorganization occurs and is continuing, then all of the debt securities will ipso facto become and be due and payable immediately in an amount equal to the principal amount of the debt securities, together with accrued and unpaid interest, if any, to the date the debt securities become due and payable, without any declaration or other act on the part of the trustee or any holder.</w:t>
      </w:r>
    </w:p>
    <w:p>
      <w:pPr>
        <w:spacing w:after="0" w:line="72"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In the event of a declaration of acceleration because an event of default related to the failure to pay when due any Indebtedness having an aggregate principal amount outstanding of at least $25.0 million has occurred and is continuing, such declaration of acceleration shall be automatically rescinded and annulled if the default triggering</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such event of default shall be remedied or cured by us or the relevant Subsidiary or waived by the holders of the relevant Indebtedness within 60 days after the declaration of acceleration with respect thereto.</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are required to file an annual officers’ certificate with each trustee concerning our compliance with the applicable indenture. Subject to the provisions of the indentures relating to the duties of the trustee, the trustee is not obligated to exercise any of its rights or powers at the request or direction of any of the holders unless they have offered the trustee security or indemnity satisfactory to the trustee. If the holders provide security or indemnity satisfactory to the trustee, the holders of a majority in principal amount of the outstanding debt securities of the applicable series during an event of default may direct the time, method and place of conducting any proceeding for any remedy available to the trustee under the applicable indenture or exercising any of the trustee’s trusts or powers with respect to the debt securities.</w:t>
      </w:r>
    </w:p>
    <w:p>
      <w:pPr>
        <w:spacing w:after="0" w:line="71" w:lineRule="exact"/>
        <w:rPr>
          <w:sz w:val="20"/>
          <w:szCs w:val="20"/>
          <w:color w:val="auto"/>
        </w:rPr>
      </w:pPr>
    </w:p>
    <w:p>
      <w:pPr>
        <w:ind w:left="680" w:right="100" w:firstLine="399"/>
        <w:spacing w:after="0" w:line="305" w:lineRule="auto"/>
        <w:rPr>
          <w:sz w:val="20"/>
          <w:szCs w:val="20"/>
          <w:color w:val="auto"/>
        </w:rPr>
      </w:pPr>
      <w:r>
        <w:rPr>
          <w:rFonts w:ascii="Arial" w:cs="Arial" w:eastAsia="Arial" w:hAnsi="Arial"/>
          <w:sz w:val="11"/>
          <w:szCs w:val="11"/>
          <w:color w:val="auto"/>
        </w:rPr>
        <w:t>Prior to the acceleration of the maturity of the debt securities of any series, the holders of not less than a majority in aggregate principal amount of the outstanding debt securities of that series may on behalf of the holders of all outstanding debt securities of that series waive any past default or event of default and its consequences, except a default or event of default</w:t>
      </w:r>
    </w:p>
    <w:p>
      <w:pPr>
        <w:spacing w:after="0" w:line="1" w:lineRule="exact"/>
        <w:rPr>
          <w:sz w:val="20"/>
          <w:szCs w:val="20"/>
          <w:color w:val="auto"/>
        </w:rPr>
      </w:pPr>
    </w:p>
    <w:p>
      <w:pPr>
        <w:ind w:left="860" w:hanging="173"/>
        <w:spacing w:after="0"/>
        <w:tabs>
          <w:tab w:leader="none" w:pos="8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 the payment of the principal of, premium, if any, or interest on any debt security of that series (which may only be waived with the consent of each holder of debt securities affected) or</w:t>
      </w:r>
    </w:p>
    <w:p>
      <w:pPr>
        <w:spacing w:after="0" w:line="30" w:lineRule="exact"/>
        <w:rPr>
          <w:rFonts w:ascii="Arial" w:cs="Arial" w:eastAsia="Arial" w:hAnsi="Arial"/>
          <w:sz w:val="11"/>
          <w:szCs w:val="11"/>
          <w:color w:val="auto"/>
        </w:rPr>
      </w:pPr>
    </w:p>
    <w:p>
      <w:pPr>
        <w:ind w:left="680" w:right="120" w:firstLine="7"/>
        <w:spacing w:after="0" w:line="264" w:lineRule="auto"/>
        <w:tabs>
          <w:tab w:leader="none" w:pos="866"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respect of a covenant or a provision of the applicable indenture which cannot be modified or amended without the consent of the holder of each debt security outstanding affected by such modification or amendment.</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Modification and Amendment of the Indentures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and the guarantors, if any, may enter into supplemental indentures to each indenture with the applicable trustee without the consent of the holders of the debt securities to, among other things:</w:t>
      </w:r>
    </w:p>
    <w:p>
      <w:pPr>
        <w:spacing w:after="0" w:line="59"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evidence the assumption by a successor corporation of our obligations;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add covenants for the protection of the holders of one or more series of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create a new series of debt securities under the applicable indenture;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cure any ambiguity or correct any inconsistency in the applicable indenture;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add guarantees or security;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make any change that does not adversely affect the rights of holders of the debt securities of such series.</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With the consent of the holders of a majority in principal amount of the debt securities of any series then outstanding and affected, we and the guarantors, if any, may execute supplemental indentures with the trustee to add provisions or change or eliminate any provision of the applicable indenture or any supplemental indenture or to modify the rights of the holders of the debt securities so affected.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Without the consent of the holders of each outstanding debt security of all series affected, no supplemental indenture will, among other things:</w:t>
      </w:r>
    </w:p>
    <w:p>
      <w:pPr>
        <w:spacing w:after="0" w:line="96"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reduce the percentage in principal amount of the debt securities of that series, the consent of the holders of which is required for any such supplemental indenture;</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reduce the principal amount of the debt securities of that series or their interest rate or change the stated maturity of or extend the time for payment of interest on the debt securities of that series;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reduce the premium payable upon redemption of the debt securities of that series or change the time when the debt securities of that series may or shall be redeemed;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amend, change or modify our obligation to make and consummate a Change of Control Offer in the event of a Change of Control Triggering Event in accordance with</w:t>
      </w:r>
    </w:p>
    <w:p>
      <w:pPr>
        <w:spacing w:after="0" w:line="26" w:lineRule="exact"/>
        <w:rPr>
          <w:rFonts w:ascii="Arial" w:cs="Arial" w:eastAsia="Arial" w:hAnsi="Arial"/>
          <w:sz w:val="12"/>
          <w:szCs w:val="12"/>
          <w:color w:val="auto"/>
        </w:rPr>
      </w:pPr>
    </w:p>
    <w:p>
      <w:pPr>
        <w:ind w:left="1280" w:right="100"/>
        <w:spacing w:after="0" w:line="264" w:lineRule="auto"/>
        <w:rPr>
          <w:rFonts w:ascii="Arial" w:cs="Arial" w:eastAsia="Arial" w:hAnsi="Arial"/>
          <w:sz w:val="12"/>
          <w:szCs w:val="12"/>
          <w:color w:val="auto"/>
        </w:rPr>
      </w:pPr>
      <w:r>
        <w:rPr>
          <w:rFonts w:ascii="Arial" w:cs="Arial" w:eastAsia="Arial" w:hAnsi="Arial"/>
          <w:sz w:val="13"/>
          <w:szCs w:val="13"/>
          <w:color w:val="auto"/>
        </w:rPr>
        <w:t>“— Change of Control Triggering Event” above after such Change of Control Triggering Event has occurred, including amending, changing or modifying any definition related thereto;</w:t>
      </w:r>
    </w:p>
    <w:p>
      <w:pPr>
        <w:spacing w:after="0" w:line="56" w:lineRule="exact"/>
        <w:rPr>
          <w:rFonts w:ascii="Arial" w:cs="Arial" w:eastAsia="Arial" w:hAnsi="Arial"/>
          <w:sz w:val="12"/>
          <w:szCs w:val="12"/>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impair the right to institute suit for the enforcement of the debt securities of that series;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4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reduce the percentage in principal amount of the debt securities of that series required for waiver of compliance with certain provisions of the applicable indenture or certain defaults; or</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modify any other provisions with respect to modification and waiver, except to increase the percentage required for any modification or waiver or to provide that other provisions of the applicable indenture may not be modified or waived without your consent.</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Defeasance and Covenant Defeasance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debt securities will be subject to defeasance and covenant defeasance as provided in the applicable indenture or any applicable supplemental indenture.</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Except as otherwise described in a prospectus supplement, at our option, we (1) will be discharged from all obligations under the applicable indenture in respect of the debt securities of a particular series (except for certain obligations to exchange or register the transfer of the debt securities of that series, replace stolen, lost or mutilated debt securities of that series, maintain paying agencies and hold monies for payment in trust) or (2) need not comply with certain restrictive covenants of the applicable indenture (including the restrictions on Liens, the limitations on sale and lease back transactions and the requirement to make a Change of Control Offer) with respect to the debt securities of that series, in each case if we deposit with the trustee, in trust, money or U.S. government obligations (or a combination thereof) sufficient to pay the principal of and any premium or interest on the debt securities of that series when due. In order to select option (1) above, we must provide the trustee with an opinion of counsel stating that (a) we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holders and beneficial owners of the debt securities of that series will not recognize income, gain or loss for federal income tax purposes as a result of such defeasance and will be subject to federal income tax on the same amounts, in the same manner and at the same times as would have been the case if such defeasance had not occurred. In order to select option (2) above, we must provide the trustee with an opinion of counsel to the effect that the holders and beneficial owners of the debt securities of that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5"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the event we exercise our option under (2) above with respect to the debt securities of a particular series and the debt securities of that series are declared due and payable because of the occurrence of any event of default other than default with respect to such obligations, the amount of money and U.S.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such event of default. We would remain liable, however, for such amounts.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Satisfaction and Discharge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 indenture will be discharged as to all outstanding debt securities when:</w:t>
      </w:r>
    </w:p>
    <w:p>
      <w:pPr>
        <w:spacing w:after="0" w:line="96" w:lineRule="exact"/>
        <w:rPr>
          <w:sz w:val="20"/>
          <w:szCs w:val="20"/>
          <w:color w:val="auto"/>
        </w:rPr>
      </w:pPr>
    </w:p>
    <w:p>
      <w:pPr>
        <w:ind w:left="1280" w:right="100" w:hanging="190"/>
        <w:spacing w:after="0" w:line="301" w:lineRule="auto"/>
        <w:tabs>
          <w:tab w:leader="none" w:pos="12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either (1) all of the debt securities authenticated and delivered (other than (i) lost, stolen or destroyed debt securities which have been replaced or paid in accordance with the indenture or (ii) all debt securities for whose payment money has been deposited in trust or segregated and held in trust by us and thereafter repaid to us or discharged from such trust) have been delivered to the trustee for cancellation, or (2) all debt securities not delivered to the trustee for cancellation (i) have become due and payable or (ii) will become due and payable at their stated maturity within one year; and we have irrevocably deposited or caused to be deposited with the trustee as trust funds in trust an amount in</w:t>
      </w:r>
    </w:p>
    <w:p>
      <w:pPr>
        <w:spacing w:after="0" w:line="2" w:lineRule="exact"/>
        <w:rPr>
          <w:rFonts w:ascii="Arial" w:cs="Arial" w:eastAsia="Arial" w:hAnsi="Arial"/>
          <w:sz w:val="11"/>
          <w:szCs w:val="11"/>
          <w:color w:val="auto"/>
        </w:rPr>
      </w:pPr>
    </w:p>
    <w:p>
      <w:pPr>
        <w:ind w:left="1280"/>
        <w:spacing w:after="0"/>
        <w:rPr>
          <w:rFonts w:ascii="Arial" w:cs="Arial" w:eastAsia="Arial" w:hAnsi="Arial"/>
          <w:sz w:val="11"/>
          <w:szCs w:val="11"/>
          <w:color w:val="auto"/>
        </w:rPr>
      </w:pPr>
      <w:r>
        <w:rPr>
          <w:rFonts w:ascii="Arial" w:cs="Arial" w:eastAsia="Arial" w:hAnsi="Arial"/>
          <w:sz w:val="13"/>
          <w:szCs w:val="13"/>
          <w:color w:val="auto"/>
        </w:rPr>
        <w:t>U.S. dollars sufficient to pay and discharge the entire indebtedness on the debt securities not theretofore delivered to the trustee for cancellation;</w:t>
      </w:r>
    </w:p>
    <w:p>
      <w:pPr>
        <w:spacing w:after="0" w:line="78" w:lineRule="exact"/>
        <w:rPr>
          <w:rFonts w:ascii="Arial" w:cs="Arial" w:eastAsia="Arial" w:hAnsi="Arial"/>
          <w:sz w:val="11"/>
          <w:szCs w:val="11"/>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have paid or caused to be paid all other sums payable by us under the indenture; and</w:t>
      </w:r>
    </w:p>
    <w:p>
      <w:pPr>
        <w:spacing w:after="0" w:line="86"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have delivered to the trustee an officers’ certificate and an opinion of independent counsel each stating that (i) all conditions precedent relating to the satisfaction and discharge have been complied with, (ii) no default with respect to the debt securities has occurred and is continuing and (iii) such deposit does not result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in a breach or violation of, or constitute a default under, the indenture or any other agreement or instrument to which we are a party.</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Governing Law</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indentures will be governed by, and construed in accordance with, the laws of the State of New York.</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Book-Entry System</w:t>
      </w:r>
    </w:p>
    <w:p>
      <w:pPr>
        <w:spacing w:after="0" w:line="100" w:lineRule="exact"/>
        <w:rPr>
          <w:sz w:val="20"/>
          <w:szCs w:val="20"/>
          <w:color w:val="auto"/>
        </w:rPr>
      </w:pPr>
    </w:p>
    <w:p>
      <w:pPr>
        <w:jc w:val="both"/>
        <w:ind w:left="680" w:right="240" w:firstLine="399"/>
        <w:spacing w:after="0" w:line="371" w:lineRule="auto"/>
        <w:rPr>
          <w:sz w:val="20"/>
          <w:szCs w:val="20"/>
          <w:color w:val="auto"/>
        </w:rPr>
      </w:pPr>
      <w:r>
        <w:rPr>
          <w:rFonts w:ascii="Arial" w:cs="Arial" w:eastAsia="Arial" w:hAnsi="Arial"/>
          <w:sz w:val="11"/>
          <w:szCs w:val="11"/>
          <w:color w:val="auto"/>
        </w:rPr>
        <w:t>Unless otherwise indicated in the applicable prospectus supplement, each series of debt securities initially will be represented by one or more global securities deposited with The Depository Trust Company (“DTC”) and registered in the name of DTC’s nominee. Except under the circumstances described below, we will not issue debt securities in definitive form.</w:t>
      </w:r>
    </w:p>
    <w:p>
      <w:pPr>
        <w:spacing w:after="0" w:line="1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Upon the issuance of a global security, DTC will credit on its book-entry registration and transfer system the accounts of persons designated by the underwriters or other purchasers with the respective principal amounts of the debt securities represented by the global security. Ownership of beneficial interests in a global security is limited to persons that have accounts with DTC or its nominee (“participants”) or persons that may hold interests through participants. Ownership of beneficial interests in a global security will be shown on, and the transfer of that ownership may be effected only through, records maintained by DTC or its nominee (for interests of persons who are participants) and records maintained by participants (for interests of persons who are not participants).</w:t>
      </w:r>
    </w:p>
    <w:p>
      <w:pPr>
        <w:spacing w:after="0" w:line="71"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DTC or its nominee will be considered the sole owner or holder of the debt securities represented by a global security for all purposes under the indentures. Except as provided below, owners of beneficial interests in a global security will not be entitled to have debt securities represented by the global security registered in their names, will not receive or be entitled to receive physical delivery of debt securities in definitive form, and will not be considered the owners of record or holders of debt securities under the indentures.</w:t>
      </w:r>
    </w:p>
    <w:p>
      <w:pPr>
        <w:spacing w:after="0" w:line="50"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We will make principal and interest payments on each series of debt securities registered in the name of DTC or its nominee to DTC or its nominee as the registered holder of the relevant global security. None of us, the trustee, any paying agent nor the registrar for the debt securities will have any responsibility or liability for any aspect of the records relating to, or payment made on account of, beneficial interests in a global security or for maintaining, supervising or reviewing any records relating to such beneficial interests.</w:t>
      </w:r>
    </w:p>
    <w:p>
      <w:pPr>
        <w:spacing w:after="0" w:line="5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expect that DTC or its nominee, upon receipt of any payment of principal or interest, will credit immediately participants’ accounts with payments in amounts proportionate to their respective beneficial interests in the principal amount of the relevant global security as shown on the records of DTC or its nominee. We also expect that payments by participants to owners of beneficial interests in a global security held through such participants will be governed by standing instructions and customary practices, as is the case with securities held for the accounts of customers in bearer form or registered in “street name,” and will be the responsibility of such participants.</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If DTC at any time is unwilling or unable to continue as a depositary and we do not appoint a successor depositary within 90 days, we will issue debt securities in definitive form in exchange for the entire global security. In addition, we may at any time and in our sole discretion determine not to have any particular series of debt securities represented by a global security and, in such event, we will issue debt securities in definitive form in exchange for the entire global security with respect to such series. In any such instance, an owner of a beneficial interest in a global security will be entitled to physical delivery in definitive form of debt securities represented by such global security equal in principal amount to such beneficial interest and to have such debt securities registered in the owner’s name. Debt securities so issued in definitive form will be issued as registered debt securities in denominations of $2,000 and integral multiples of $1,000 in excess thereof, unless we specify otherwise.</w:t>
      </w:r>
    </w:p>
    <w:p>
      <w:pPr>
        <w:spacing w:after="0" w:line="7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information in this section concerning DTC and its book-entry system has been obtained from sources that we believe to be reliable, but we do not take responsibility for its accuracy.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Trustee</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Bank of New York Mellon Trust Company, N.A. serves as the trustee under our indenture dated as of September 8, 2009. U.S. Bank National Association serves as the trustee under our indenture dated as of November 25, 2009.</w:t>
      </w:r>
    </w:p>
    <w:p>
      <w:pPr>
        <w:spacing w:after="0" w:line="212"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DESCRIPTION OF CAPITAL STOCK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Under our charter, our authorized capital stock consists of 750 million shares of common stock, par value of $.01 per share, and 50 million shares of preferred stock, par value $.01 per share. As of March 31, 2010, there were approximately 381,374,749 shares of our common stock outstanding (excluding treasury shares of 14,935,207) and no shares of preferred stock outstanding.</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This section describes the general terms that will apply to any common stock that we may offer in the future, to which a future prospectus supplement may relate. The following description and any description of our common stock in the applicable prospectus supplement does not purport to be complete and is subject to and is qualified in its entirety by reference to our certificate of incorporation and by-laws, in each case as amended, which are included as exhibits to our Registration Statement on Form S-3 of which this prospectus forms a part, and the applicable provisions of the laws of Delaware, our state of incorporation.</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Our common stock is listed on the New York Stock Exchange and trades under the symbol “RSG.” The rights, preferences and privileges of holders of our common stock are subject to, and may be adversely affected by, the rights of the holders of shares of any series of preferred stock which we may issue in the future.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Common Stock Outstanding. </w:t>
      </w:r>
      <w:r>
        <w:rPr>
          <w:rFonts w:ascii="Arial" w:cs="Arial" w:eastAsia="Arial" w:hAnsi="Arial"/>
          <w:sz w:val="13"/>
          <w:szCs w:val="13"/>
          <w:color w:val="auto"/>
        </w:rPr>
        <w:t>The outstanding shares of our common stock are duly authorized, validly issued, fully paid and nonassessable.</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Each holder of a share of our common stock is entitled to one vote for each share held of record on the applicable record date on all matters submitted to a vote of</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Except for elections of directors, all matters properly presented to the stockholders are decided by a majority vote of the voting power of shares present in person or by proxy at a stockholders’ meeting and entitled to vote thereon. Uncontested elections of directors are decided by a majority of the votes cast with respect to that director’s election, and contested elections of directors are decided by a plurality of the votes cast.</w:t>
      </w:r>
    </w:p>
    <w:p>
      <w:pPr>
        <w:spacing w:after="0" w:line="70"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i w:val="1"/>
          <w:iCs w:val="1"/>
          <w:color w:val="auto"/>
        </w:rPr>
        <w:t xml:space="preserve">Preemptive Rights. </w:t>
      </w:r>
      <w:r>
        <w:rPr>
          <w:rFonts w:ascii="Arial" w:cs="Arial" w:eastAsia="Arial" w:hAnsi="Arial"/>
          <w:sz w:val="13"/>
          <w:szCs w:val="13"/>
          <w:color w:val="auto"/>
        </w:rPr>
        <w:t>Holders of shares of our common stock have no preemptive right to purchase, subscribe for or otherwise acquire any unissued or treasury shares or other</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Dividend Rights. </w:t>
      </w:r>
      <w:r>
        <w:rPr>
          <w:rFonts w:ascii="Arial" w:cs="Arial" w:eastAsia="Arial" w:hAnsi="Arial"/>
          <w:sz w:val="13"/>
          <w:szCs w:val="13"/>
          <w:color w:val="auto"/>
        </w:rPr>
        <w:t>Subject to the preferential rights of any series of preferred stock outstanding from time to time, the holders of shares of our common stock are entitled to such cash</w:t>
      </w:r>
      <w:r>
        <w:rPr>
          <w:rFonts w:ascii="Arial" w:cs="Arial" w:eastAsia="Arial" w:hAnsi="Arial"/>
          <w:sz w:val="13"/>
          <w:szCs w:val="13"/>
          <w:i w:val="1"/>
          <w:iCs w:val="1"/>
          <w:color w:val="auto"/>
        </w:rPr>
        <w:t xml:space="preserve"> </w:t>
      </w:r>
      <w:r>
        <w:rPr>
          <w:rFonts w:ascii="Arial" w:cs="Arial" w:eastAsia="Arial" w:hAnsi="Arial"/>
          <w:sz w:val="13"/>
          <w:szCs w:val="13"/>
          <w:color w:val="auto"/>
        </w:rPr>
        <w:t>dividends as may be declared from time to time by our board of directors from funds available for such purpose.</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Liquidation Rights. </w:t>
      </w:r>
      <w:r>
        <w:rPr>
          <w:rFonts w:ascii="Arial" w:cs="Arial" w:eastAsia="Arial" w:hAnsi="Arial"/>
          <w:sz w:val="13"/>
          <w:szCs w:val="13"/>
          <w:color w:val="auto"/>
        </w:rPr>
        <w:t>Subject to the preferential rights of any series of preferred stock outstanding from time to time, upon our liquidation, dissolution or winding up, the holders of</w:t>
      </w:r>
      <w:r>
        <w:rPr>
          <w:rFonts w:ascii="Arial" w:cs="Arial" w:eastAsia="Arial" w:hAnsi="Arial"/>
          <w:sz w:val="13"/>
          <w:szCs w:val="13"/>
          <w:i w:val="1"/>
          <w:iCs w:val="1"/>
          <w:color w:val="auto"/>
        </w:rPr>
        <w:t xml:space="preserve"> </w:t>
      </w:r>
      <w:r>
        <w:rPr>
          <w:rFonts w:ascii="Arial" w:cs="Arial" w:eastAsia="Arial" w:hAnsi="Arial"/>
          <w:sz w:val="13"/>
          <w:szCs w:val="13"/>
          <w:color w:val="auto"/>
        </w:rPr>
        <w:t>shares of our common stock are entitled to receive pro rata all of our assets available for distribution to such holders.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Transfer Agent. </w:t>
      </w:r>
      <w:r>
        <w:rPr>
          <w:rFonts w:ascii="Arial" w:cs="Arial" w:eastAsia="Arial" w:hAnsi="Arial"/>
          <w:sz w:val="13"/>
          <w:szCs w:val="13"/>
          <w:color w:val="auto"/>
        </w:rPr>
        <w:t>Common Stock Transfer Agent &amp; Registrar is the transfer agent and registrar for the shares of our common stock.</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This section describes the general terms that will apply to any series of preferred stock that we may offer in the future, to which a future prospectus supplement may relate. The following description and any description of any series of preferred stock in the applicable prospectus supplement does not purport to be complete and is subject to and is qualified in its entirety by reference to our certificate of incorporation and by-laws, in each case as amended,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which are included as exhibits to our Registration Statement on Form S-3 of which this prospectus forms a part, the certificate of designations governing the series of preferred stock, and the applicable provisions of the laws of Delaware, our state of incorporation.</w:t>
      </w:r>
    </w:p>
    <w:p>
      <w:pPr>
        <w:spacing w:after="0" w:line="5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Subject to limitations prescribed by Delaware law and our certificate of incorporation, our board of directors is authorized to issue, without action by the holders of our common stock, preferred stock in series and to establish from time to time the number of shares of preferred stock to be included in the series and to fix the designation and any preferences, conversion and other rights, voting powers, restrictions, limitations as to dividends, qualifications and terms and conditions of redemption of the shares of each series, and such other subjects or matters as may be fixed by resolution of our board of directors or one of its duly authorized committees. As of the date of this prospectus, we have not issued any shares of preferred stock.</w:t>
      </w:r>
    </w:p>
    <w:p>
      <w:pPr>
        <w:spacing w:after="0" w:line="3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prospectus supplement relating to any series of preferred stock that we may offer will describe the specific terms of the series of preferred stock it covers. These terms may include the following:</w:t>
      </w:r>
    </w:p>
    <w:p>
      <w:pPr>
        <w:spacing w:after="0" w:line="59"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title and stated value of the series of shares of preferred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number of shares of the series of shares of preferred stock offered and the offering price of such shares of preferred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voting power, if any, of holders of shares of such series and, if voting power is limited, the circumstances under which such holders may be entitled to vote;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rate of dividends, if any, and the extent of further participation in dividend distributions, if any, whether dividends shall be cumulative or non-cumulative;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whether or not such series shall be redeemable, and, if so, the terms and conditions upon which shares of such series shall be redeemable;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extent, if any, to which such series shall have the benefit of any sinking fund provision for the redemption or purchase of shares;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rights, if any, of such series, in the event of our dissolution, liquidation, winding up of our affairs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if applicable, the dividend rate(s), period(s) and/or payment date(s) or the method(s) of calculation for those values relating to the shares of preferred stock of the series;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if applicable, the date from which dividends on shares of preferred stock of the series shall cumulate;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procedures for any auction and remarketing, if any, for shares of preferred stock of the series;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any listing of the series of shares of preferred stock on any securities exchange;</w:t>
      </w:r>
    </w:p>
    <w:p>
      <w:pPr>
        <w:spacing w:after="0" w:line="86" w:lineRule="exact"/>
        <w:rPr>
          <w:rFonts w:ascii="Arial" w:cs="Arial" w:eastAsia="Arial" w:hAnsi="Arial"/>
          <w:sz w:val="13"/>
          <w:szCs w:val="13"/>
          <w:color w:val="auto"/>
        </w:rPr>
      </w:pPr>
    </w:p>
    <w:p>
      <w:pPr>
        <w:ind w:left="1280" w:right="40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terms and conditions, if applicable, upon which shares of preferred stock of the series will be convertible into shares of common stock or other securities, including the conversion price, or manner of calculating the conversion price;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whether interests in shares of preferred stock of the series will be represented by global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relative ranking and preferences of shares of preferred stock of the series as to dividend rights and rights upon liquidation, dissolution or winding up of our affairs;</w:t>
      </w:r>
    </w:p>
    <w:p>
      <w:pPr>
        <w:spacing w:after="0" w:line="97" w:lineRule="exact"/>
        <w:rPr>
          <w:rFonts w:ascii="Arial" w:cs="Arial" w:eastAsia="Arial" w:hAnsi="Arial"/>
          <w:sz w:val="12"/>
          <w:szCs w:val="12"/>
          <w:color w:val="auto"/>
        </w:rPr>
      </w:pPr>
    </w:p>
    <w:p>
      <w:pPr>
        <w:ind w:left="1280" w:right="20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any limitations on issuance of any series of shares of preferred stock ranking senior to or on a parity with the series of shares of preferred stock as to dividend rights and rights upon liquidation, dissolution or winding up of our affairs;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any limitations on direct or beneficial ownership and restrictions on transfer of shares of preferred stock of the series;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any additional rights, preferences, qualifications, limitations and restrictions of the series.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addition to describing the specific terms of the applicable series of preferred stock, the applicable prospectus supplement will contain a summary of certain United States federal income tax consequences applicable to such series of preferred stock.</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Any shares of preferred stock sold hereunder, or issued upon conversion, exercise or exchange of other securities sold hereunder, will be duly authorized, validly issued and, to the extent provided in the applicable certificate of designations, fully paid and nonassessable. This means that, to the extent provided in the applicable certificate of designations, you have paid the full purchase price for your shares and will not be assessed any additional amount for your shares.</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board of directors will designate the transfer agent and registrar for each series of preferred stock and the exchange or market on which such series will be listed or eligible for trading, if any, at the time it authorized such series.</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To the extent that applicable law or the applicable certificate of designations provides that holders of shares of a series of preferred stock are entitled to voting rights, each holder shall be entitled to vote ratably (relative to each other such holder) on all matters submitted to a vote of such holders. Each holder may exercise such vote either in person or by proxy.</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Antitakeover Effects of Certain Provisions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certificate of incorporation and by-laws and Delaware statutory law contain certain provisions that could make the acquisition of our company by means of a tender offer, a proxy contest or otherwise more difficult. The description set forth below is intended as a summary only and is qualified in its entirety by reference to our certificate of incorporation and by-laws, which are filed as exhibits to our Registration Statement on Form S-3 of which this prospectus is a part.</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Number of Directors, Removal; Filling Vacancies. </w:t>
      </w:r>
      <w:r>
        <w:rPr>
          <w:rFonts w:ascii="Arial" w:cs="Arial" w:eastAsia="Arial" w:hAnsi="Arial"/>
          <w:sz w:val="13"/>
          <w:szCs w:val="13"/>
          <w:color w:val="auto"/>
        </w:rPr>
        <w:t>Our by-laws provide that the business and affairs of our company will be managed by or under the direction of a board of</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consisting of not more than twelve members, the exact number thereof to be determined from time to time by resolution of the board of directors. Our by-laws also provide that no director may be removed with or without cause before the expiration of his or her term of office except by vote of the stockholders at a meeting called for such a purpose. In addition, our by-laws provide that any vacancy on our board of directors that results from an increase in the number of directors or any vacancy created by death, removal or resignation, may be filled either by the board of directors or by the stockholders.</w:t>
      </w:r>
    </w:p>
    <w:p>
      <w:pPr>
        <w:spacing w:after="0" w:line="71"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i w:val="1"/>
          <w:iCs w:val="1"/>
          <w:color w:val="auto"/>
        </w:rPr>
        <w:t xml:space="preserve">Special Meeting. </w:t>
      </w:r>
      <w:r>
        <w:rPr>
          <w:rFonts w:ascii="Arial" w:cs="Arial" w:eastAsia="Arial" w:hAnsi="Arial"/>
          <w:sz w:val="12"/>
          <w:szCs w:val="12"/>
          <w:color w:val="auto"/>
        </w:rPr>
        <w:t>Our by-laws provide that special meetings of stockholders may be called by our board of directors or our president, unless otherwise prescribed by statute. The</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permitted to be conducted at any special meeting of stockholders is limited to the purposes specified in the notice of meeting given by our company.</w:t>
      </w:r>
    </w:p>
    <w:p>
      <w:pPr>
        <w:spacing w:after="0" w:line="35"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Advance Notice Provisions for Stockholder Nominations and Stockholder Proposals. </w:t>
      </w:r>
      <w:r>
        <w:rPr>
          <w:rFonts w:ascii="Arial" w:cs="Arial" w:eastAsia="Arial" w:hAnsi="Arial"/>
          <w:sz w:val="13"/>
          <w:szCs w:val="13"/>
          <w:color w:val="auto"/>
        </w:rPr>
        <w:t>Our by-laws establish an advance notice procedure for stockholders to make nominations of</w:t>
      </w:r>
      <w:r>
        <w:rPr>
          <w:rFonts w:ascii="Arial" w:cs="Arial" w:eastAsia="Arial" w:hAnsi="Arial"/>
          <w:sz w:val="13"/>
          <w:szCs w:val="13"/>
          <w:i w:val="1"/>
          <w:iCs w:val="1"/>
          <w:color w:val="auto"/>
        </w:rPr>
        <w:t xml:space="preserve"> </w:t>
      </w:r>
      <w:r>
        <w:rPr>
          <w:rFonts w:ascii="Arial" w:cs="Arial" w:eastAsia="Arial" w:hAnsi="Arial"/>
          <w:sz w:val="13"/>
          <w:szCs w:val="13"/>
          <w:color w:val="auto"/>
        </w:rPr>
        <w:t>candidates for election of directors, or to bring other business before an annual meeting of stockholders.</w:t>
      </w:r>
    </w:p>
    <w:p>
      <w:pPr>
        <w:spacing w:after="0" w:line="59" w:lineRule="exact"/>
        <w:rPr>
          <w:sz w:val="20"/>
          <w:szCs w:val="20"/>
          <w:color w:val="auto"/>
        </w:rPr>
      </w:pPr>
    </w:p>
    <w:p>
      <w:pPr>
        <w:ind w:left="680" w:right="60" w:firstLine="399"/>
        <w:spacing w:after="0" w:line="303" w:lineRule="auto"/>
        <w:rPr>
          <w:sz w:val="20"/>
          <w:szCs w:val="20"/>
          <w:color w:val="auto"/>
        </w:rPr>
      </w:pPr>
      <w:r>
        <w:rPr>
          <w:rFonts w:ascii="Arial" w:cs="Arial" w:eastAsia="Arial" w:hAnsi="Arial"/>
          <w:sz w:val="11"/>
          <w:szCs w:val="11"/>
          <w:color w:val="auto"/>
        </w:rPr>
        <w:t>The stockholder notice procedure provides that only persons who are nominated by, or at the direction of, our board of directors, or by a stockholder who has given timely written notice to the Secretary of our company prior to the meeting at which directors are to be elected, will be eligible for election as directors. The stockholder notice procedure provides that at an annual meeting only such business may be conducted as (i) is pursuant to the notice of meeting, (ii) has been brought before the meeting by, or at the direction of, our board of directors or</w:t>
      </w:r>
    </w:p>
    <w:p>
      <w:pPr>
        <w:ind w:left="680" w:right="60" w:firstLine="7"/>
        <w:spacing w:after="0" w:line="280" w:lineRule="auto"/>
        <w:tabs>
          <w:tab w:leader="none" w:pos="909" w:val="left"/>
        </w:tabs>
        <w:numPr>
          <w:ilvl w:val="0"/>
          <w:numId w:val="19"/>
        </w:numPr>
        <w:rPr>
          <w:rFonts w:ascii="Arial" w:cs="Arial" w:eastAsia="Arial" w:hAnsi="Arial"/>
          <w:sz w:val="12"/>
          <w:szCs w:val="12"/>
          <w:color w:val="auto"/>
        </w:rPr>
      </w:pPr>
      <w:r>
        <w:rPr>
          <w:rFonts w:ascii="Arial" w:cs="Arial" w:eastAsia="Arial" w:hAnsi="Arial"/>
          <w:sz w:val="12"/>
          <w:szCs w:val="12"/>
          <w:color w:val="auto"/>
        </w:rPr>
        <w:t>has been brought before the meeting by a stockholder of record entitled to vote that has given timely written notice to the Secretary of our company of such stockholder’s intention to bring proper business before the meeting. Under the stockholder notice procedure, for stockholder notice in respect of the annual meeting of our stockholders to be timely, such notice must be delivered to our principal executive offices, not later than the close of business on the 90th day nor earlier than the close of business on the 120th day prior to the first anniversary of the preceding year’s annual meeting. However, in the event that the date of the annual meeting is more than thirty days before or more than sixty days after the anniversary date, the notice must be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prior to the date of such annual meeting, the 10th day following the day on which public announcement of the date of such meeting is first made.</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Under the stockholder notice procedure, a stockholder’s notice to our company proposing to nominate a person for election as a director must contain certain information, including, without limitation, the identity and address of the nominating stockholder, the class and number of shares of stock of our company that are beneficially owned by such stockholder, and as to each person whom the stockholder proposes to nominate for election or reelection as a director, (i) all information relating to such person that would be required to be disclosed in a proxy statement or other filings required to be made in connection with solicitations of proxies for election of directors in a contested election pursuant to Section 14 of the Securities Exchange Act of 1934 and the rules and regulations promulgated thereunder, (ii) a description of certain monetary agreements and material relationships between the nominating stockholder and the nominee, (iii) a written questionnaire completed by the nominee with respect to the background and qualification of such nominee and the background of any other person or entity on whose behalf the nomination is being made and (iv) a written representation and agreement from the nominee that the nominee does not have certain conflicts of interest. Under the stockholder notice procedure, a stockholder’s notice relating to the conduct of business other than the nomination of directors must contain certain information about the proposed business and about the proposing stockholder, including, without limitation, a brief description of the business the stockholder proposes to bring before the meeting, the text of the proposed business, the reasons for conducting such business at such meeting, and any material interest of such stockholder in the business so proposed. If the chairman of the meeting determines that a nomination or any business proposed to be brought before the meeting was not made or proposed, as the case may be, in accordance with the stockholder notice procedure, then such defective proposal or nomination shall be disregarded.</w:t>
      </w:r>
    </w:p>
    <w:p>
      <w:pPr>
        <w:spacing w:after="0" w:line="65"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By requiring advance notice of nominations by stockholders, the stockholder notice procedure affords our board of directors an opportunity to consider the qualifications of the proposed nominees and, to the extent deemed necessary or desirable by our board of directors, to inform stockholders about those qualifications. By requiring advance notice of other proposed business, the stockholder notice procedure also provides a more orderly procedure for conducting annual meetings of stockholders and, to the extent deemed necessary or desirable by our board of directors, provides our board of directors with an opportunity to inform stockholders, prior to meetings, of any business proposed to be conducted at the meetings, together with any recommendations as to our board of director’s position regarding action to be taken with respect to such business, so that stockholders can better decide whether to attend such a meeting or to grant a proxy regarding the disposition of any such business.</w:t>
      </w:r>
    </w:p>
    <w:p>
      <w:pPr>
        <w:spacing w:after="0" w:line="7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Although our by-laws do not give our board of directors any power to approve or disapprove stockholder nominations for the election of directors or proper stockholder proposals for action, they may have the effect of precluding a contest for the election of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our company and stockholders.</w:t>
      </w:r>
    </w:p>
    <w:p>
      <w:pPr>
        <w:spacing w:after="0" w:line="70"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2"/>
          <w:szCs w:val="12"/>
          <w:i w:val="1"/>
          <w:iCs w:val="1"/>
          <w:color w:val="auto"/>
        </w:rPr>
        <w:t xml:space="preserve">Record Date Procedure for Stockholder Action by Written Consent. </w:t>
      </w:r>
      <w:r>
        <w:rPr>
          <w:rFonts w:ascii="Arial" w:cs="Arial" w:eastAsia="Arial" w:hAnsi="Arial"/>
          <w:sz w:val="12"/>
          <w:szCs w:val="12"/>
          <w:color w:val="auto"/>
        </w:rPr>
        <w:t>Our by-laws establish a procedure for the fixing of a record date in respect of corporate action proposed to be</w:t>
      </w:r>
      <w:r>
        <w:rPr>
          <w:rFonts w:ascii="Arial" w:cs="Arial" w:eastAsia="Arial" w:hAnsi="Arial"/>
          <w:sz w:val="12"/>
          <w:szCs w:val="12"/>
          <w:i w:val="1"/>
          <w:iCs w:val="1"/>
          <w:color w:val="auto"/>
        </w:rPr>
        <w:t xml:space="preserve"> </w:t>
      </w:r>
      <w:r>
        <w:rPr>
          <w:rFonts w:ascii="Arial" w:cs="Arial" w:eastAsia="Arial" w:hAnsi="Arial"/>
          <w:sz w:val="12"/>
          <w:szCs w:val="12"/>
          <w:color w:val="auto"/>
        </w:rPr>
        <w:t>taken by our stockholders by written consent in lieu of a meeting. Our by-laws provide that any person seeking to have the stockholders authorize or take corporate action by written consent without a meeting shall, by written notice addressed to our Secretary, request the board of directors to fix a record date. Our by-laws state that our board of directors shall adopt a resolution fixing such requested record date within 10 days after the date upon which the request is received. If our board of directors fails within 10 days after we receive such notice to fix a record date, the by-laws provide that the record date shall be the first day on which a signed written consent setting forth the action taken or proposed to be taken is delivered to us unless prior action by our board of directors is required under the Delaware General Corporation Law (the “DGCL”), in which event the record date shall be at the close of business on the date on which our board of directors adopts the resolution taking such prior action. Our by-laws also provide that nationally recognized independent inspectors of elections shall promptly conduct a ministerial review of the validity of any written consents of stockholders duly delivered to us, and no action by written consent without a meeting shall be effective until such date as the independent inspectors certify to us that the duly delivered consents represent at least the minimum number of votes that would be necessary to take the corporate action.</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Stockholder Meetings. </w:t>
      </w:r>
      <w:r>
        <w:rPr>
          <w:rFonts w:ascii="Arial" w:cs="Arial" w:eastAsia="Arial" w:hAnsi="Arial"/>
          <w:sz w:val="13"/>
          <w:szCs w:val="13"/>
          <w:color w:val="auto"/>
        </w:rPr>
        <w:t>Our by-laws provide that our board of directors and the chairman of a meeting may adopt rules and regulations for the conduct of stockholder meetings as they</w:t>
      </w:r>
      <w:r>
        <w:rPr>
          <w:rFonts w:ascii="Arial" w:cs="Arial" w:eastAsia="Arial" w:hAnsi="Arial"/>
          <w:sz w:val="13"/>
          <w:szCs w:val="13"/>
          <w:i w:val="1"/>
          <w:iCs w:val="1"/>
          <w:color w:val="auto"/>
        </w:rPr>
        <w:t xml:space="preserve"> </w:t>
      </w:r>
      <w:r>
        <w:rPr>
          <w:rFonts w:ascii="Arial" w:cs="Arial" w:eastAsia="Arial" w:hAnsi="Arial"/>
          <w:sz w:val="13"/>
          <w:szCs w:val="13"/>
          <w:color w:val="auto"/>
        </w:rPr>
        <w:t>deem appropriate (including the establishment of an agenda, rules relating to presence at the meeting of persons other than stockholders, restrictions on entry at the meeting after commencement thereof and the imposition of time limitations for questions by participants at the meeting).</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Preferred Stock. </w:t>
      </w:r>
      <w:r>
        <w:rPr>
          <w:rFonts w:ascii="Arial" w:cs="Arial" w:eastAsia="Arial" w:hAnsi="Arial"/>
          <w:sz w:val="13"/>
          <w:szCs w:val="13"/>
          <w:color w:val="auto"/>
        </w:rPr>
        <w:t>Our certificate of incorporation authorizes our board of directors to provide for the issuance of shares of preferred stock in one or more series and to establish from</w:t>
      </w:r>
      <w:r>
        <w:rPr>
          <w:rFonts w:ascii="Arial" w:cs="Arial" w:eastAsia="Arial" w:hAnsi="Arial"/>
          <w:sz w:val="13"/>
          <w:szCs w:val="13"/>
          <w:i w:val="1"/>
          <w:iCs w:val="1"/>
          <w:color w:val="auto"/>
        </w:rPr>
        <w:t xml:space="preserve"> </w:t>
      </w:r>
      <w:r>
        <w:rPr>
          <w:rFonts w:ascii="Arial" w:cs="Arial" w:eastAsia="Arial" w:hAnsi="Arial"/>
          <w:sz w:val="13"/>
          <w:szCs w:val="13"/>
          <w:color w:val="auto"/>
        </w:rPr>
        <w:t>time to time the number of shares to be included in each such series, and to fix the designation, powers, privileges, preferences and rights of the shares of each such series and the qualifications, limitations and restrictions thereof.</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believe that the ability of our board of directors to issue one or more series of preferred stock provides us with flexibility in structuring possible future financings and acquisitions, and in meeting other corporate needs that might arise. The authorized shares of the preferred stock, as well as shares of common stock, will be available for issuance without further action by our stockholders, unless action is required by applicable law or the rules of any stock exchange or automated quotation system on which our securities may be listed or traded. The New York Stock Exchange currently requires stockholder approval as a prerequisite to listing shares in several instances, including in some cases where the present or potential issuance of shares could result in a 20 percent increase in the number of share of common stock outstanding or in the amount of voting securities outstanding. If the approval of our stockholders is not required for the issuance of shares of preferred stock or commons tock, our board of directors may determine not to seek stockholder approval.</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Although our board of directors has no intention at the present time of doing so, it could issue a series of preferred stock that could, depending on the terms of such series, impede the completion of a merger, tender offer or other takeover attempt. Our board of directors will make any determination to issue such shares based on its judgment as to the best interests of our company and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 current market price of such stock.</w:t>
      </w:r>
    </w:p>
    <w:p>
      <w:pPr>
        <w:spacing w:after="0" w:line="55"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i w:val="1"/>
          <w:iCs w:val="1"/>
          <w:color w:val="auto"/>
        </w:rPr>
        <w:t xml:space="preserve">Amendment of Certain Provisions of the Certificate of Incorporation and By-Laws. </w:t>
      </w:r>
      <w:r>
        <w:rPr>
          <w:rFonts w:ascii="Arial" w:cs="Arial" w:eastAsia="Arial" w:hAnsi="Arial"/>
          <w:sz w:val="12"/>
          <w:szCs w:val="12"/>
          <w:color w:val="auto"/>
        </w:rPr>
        <w:t>Under the DGCL, the stockholders of a corporation have the right to adopt, amend or repeal the</w:t>
      </w:r>
      <w:r>
        <w:rPr>
          <w:rFonts w:ascii="Arial" w:cs="Arial" w:eastAsia="Arial" w:hAnsi="Arial"/>
          <w:sz w:val="12"/>
          <w:szCs w:val="12"/>
          <w:i w:val="1"/>
          <w:iCs w:val="1"/>
          <w:color w:val="auto"/>
        </w:rPr>
        <w:t xml:space="preserve"> </w:t>
      </w:r>
      <w:r>
        <w:rPr>
          <w:rFonts w:ascii="Arial" w:cs="Arial" w:eastAsia="Arial" w:hAnsi="Arial"/>
          <w:sz w:val="12"/>
          <w:szCs w:val="12"/>
          <w:color w:val="auto"/>
        </w:rPr>
        <w:t>by-laws and, with the approval of the board of directors, the certificate of incorporation of a corporation. In addition, if the certificate of incorporation so provides, the by-laws may be adopted, amended or repealed by the board of directors. Our certificate of incorporation provides that the by-laws may be amended or repealed by our board of directors.</w:t>
      </w:r>
    </w:p>
    <w:p>
      <w:pPr>
        <w:spacing w:after="0" w:line="50"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1"/>
          <w:szCs w:val="11"/>
          <w:i w:val="1"/>
          <w:iCs w:val="1"/>
          <w:color w:val="auto"/>
        </w:rPr>
        <w:t xml:space="preserve">Antitakeover Legislation. </w:t>
      </w:r>
      <w:r>
        <w:rPr>
          <w:rFonts w:ascii="Arial" w:cs="Arial" w:eastAsia="Arial" w:hAnsi="Arial"/>
          <w:sz w:val="11"/>
          <w:szCs w:val="11"/>
          <w:color w:val="auto"/>
        </w:rPr>
        <w:t>Section 203 of the DGCL provides that, subject to certain exceptions specified herein, a corporation shall not engage in any “business combination” with</w:t>
      </w:r>
      <w:r>
        <w:rPr>
          <w:rFonts w:ascii="Arial" w:cs="Arial" w:eastAsia="Arial" w:hAnsi="Arial"/>
          <w:sz w:val="11"/>
          <w:szCs w:val="11"/>
          <w:i w:val="1"/>
          <w:iCs w:val="1"/>
          <w:color w:val="auto"/>
        </w:rPr>
        <w:t xml:space="preserve"> </w:t>
      </w:r>
      <w:r>
        <w:rPr>
          <w:rFonts w:ascii="Arial" w:cs="Arial" w:eastAsia="Arial" w:hAnsi="Arial"/>
          <w:sz w:val="11"/>
          <w:szCs w:val="11"/>
          <w:color w:val="auto"/>
        </w:rPr>
        <w:t>any “interested stockholder” for a three-year period following the time that such stockholder becomes an interested stockholder unless (i) prior to such time, the board of directors of the corporation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percent of the voting stock of the corporation outstanding at the time the transaction commenced (excluding certain shares) or (iii) on or subsequent to such time, the business combination is approved by the board of directors of the corporation and by the affirmative vote of at least 66</w:t>
      </w:r>
      <w:r>
        <w:rPr>
          <w:rFonts w:ascii="Arial" w:cs="Arial" w:eastAsia="Arial" w:hAnsi="Arial"/>
          <w:sz w:val="15"/>
          <w:szCs w:val="15"/>
          <w:color w:val="auto"/>
          <w:vertAlign w:val="superscript"/>
        </w:rPr>
        <w:t>2</w:t>
      </w:r>
      <w:r>
        <w:rPr>
          <w:rFonts w:ascii="Arial" w:cs="Arial" w:eastAsia="Arial" w:hAnsi="Arial"/>
          <w:sz w:val="11"/>
          <w:szCs w:val="11"/>
          <w:color w:val="auto"/>
        </w:rPr>
        <w:t>/</w:t>
      </w:r>
      <w:r>
        <w:rPr>
          <w:rFonts w:ascii="Arial" w:cs="Arial" w:eastAsia="Arial" w:hAnsi="Arial"/>
          <w:sz w:val="8"/>
          <w:szCs w:val="8"/>
          <w:color w:val="auto"/>
        </w:rPr>
        <w:t>3</w:t>
      </w:r>
      <w:r>
        <w:rPr>
          <w:rFonts w:ascii="Arial" w:cs="Arial" w:eastAsia="Arial" w:hAnsi="Arial"/>
          <w:sz w:val="11"/>
          <w:szCs w:val="11"/>
          <w:color w:val="auto"/>
        </w:rPr>
        <w:t xml:space="preserve"> percent of the outstanding voting stock which is not owned by the interested stockholder. Section 203 of the DGCL generally defines an “interested stockholder” to include (x) any person that is the owner of 15 percent or more of the outstanding voting stock of the corporation, or is an affiliate or associate of the corporation and was the owner of 15 percent or more of the outstanding voting stock of the corporation at any time within three years immediately prior to the relevant date and (y) the affiliates and associates of any such person. Section 203 of the DGCL generally defines a “business combination” to include (1) mergers and sales or other dispositions of 10 percent or more of the assets of the corporation with or to an interested stockholder, (2) certain transactions resulting in the issuance or transfer to the interested stockholder of any stock of the corporation or its subsidiaries, (3) certain transactions which would result in increasing the proportionate share of the stock of the corporation or its subsidiaries owned by the interested stockholder and (4) receipt by the interested</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stockholder of the benefit (except proportionately as a stockholder) of any loans, advances, guarantees, pledges or other financial benefits.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Under certain circumstances, Section 203 of the DGCL makes it more difficult for a person who would be an interested stockholder to effect various business combinations with a corporation for a three-year period, although the certificate of incorporation or stockholder-adopted by-laws may exclude a corporation from the restrictions imposed thereunder. Neither our certificate of incorporation nor our by-laws exclude our company from the restrictions imposed upon Section 203 of the DGCL. It is anticipated that the provisions of Section 203 of the DGCL may encourage companies interested in acquiring our company to negotiate in advance with our board of directors since the stockholder approval requirement would be avoided if our board of directors approves, prior to the time the stockholder becomes an interested stockholder, either the business combination or the transaction which results in the stockholder becoming an interested stockholder.</w:t>
      </w:r>
    </w:p>
    <w:p>
      <w:pPr>
        <w:spacing w:after="0" w:line="1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DESCRIPTION OF WARRANTS</w:t>
      </w:r>
    </w:p>
    <w:p>
      <w:pPr>
        <w:spacing w:after="0" w:line="10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This section describes the general terms that will apply to any warrants that we may offer in the future, to which a future prospectus supplement may relate. The following description and any description of warrants in the applicable prospectus supplement does not purport to be complete and is subject to and is qualified in its entirety by reference to the applicable warrant agreement that we will enter into at the time of issue.</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may issue warrants to purchase debt securities, preferred stock, common stock or other securities. We may issue warrants independently or together with other securities. Warrants sold with other securities may be attached to or separate from the other securities. We will issue warrants under one or more warrant agreements between us and a bank or trust company, as warrant agent, that we will name in the prospectus supplement. The warrant agent will act solely as our agent in connection with the warrants and will not assume any obligation or relationship of agency or trust for or with any holders or beneficial owners of warrants.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prospectus supplement relating to any warrants we offer will include specific terms relating to the offering. These terms may include some or all of the following:</w:t>
      </w:r>
    </w:p>
    <w:p>
      <w:pPr>
        <w:spacing w:after="0" w:line="96"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title of such warrants;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aggregate number of such warrants;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price or prices at which such warrants will be issued;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currency or currencies, including composite currencies, in which the price of such warrants may be payable;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designation and terms of the securities purchasable upon exercise of such warrants and the number of such securities issuable upon exercise of such warrants;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price at which and the currency or currencies, including composite currencies, in which the securities purchasable upon exercise of such warrants may be purchased;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date on which the right to exercise such warrants shall commence and the date on which such right will expire;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whether such warrants will be issued in registered form or bearer form;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if applicable, the minimum or maximum amount of such warrants which may be exercised at any one time;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if applicable, the designation and terms of the securities with which such warrants are issued and the number of such warrants issued with each such security;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if applicable, the date on and after which such warrants and the related securities will be separately transferable;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information with respect to book-entry procedures, if any; and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any other terms of such warrants, including terms, procedures and limitations relating to the exchange and exercise of such warrants.</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addition to describing the specific terms of the warrants, the applicable prospectus supplement will contain a summary of certain United States federal income tax consequences applicable to the warrants.</w:t>
      </w:r>
    </w:p>
    <w:p>
      <w:pPr>
        <w:spacing w:after="0" w:line="173" w:lineRule="exact"/>
        <w:rPr>
          <w:sz w:val="20"/>
          <w:szCs w:val="20"/>
          <w:color w:val="auto"/>
        </w:rPr>
      </w:pPr>
    </w:p>
    <w:p>
      <w:pPr>
        <w:ind w:left="3060"/>
        <w:spacing w:after="0"/>
        <w:rPr>
          <w:sz w:val="20"/>
          <w:szCs w:val="20"/>
          <w:color w:val="auto"/>
        </w:rPr>
      </w:pPr>
      <w:r>
        <w:rPr>
          <w:rFonts w:ascii="Arial" w:cs="Arial" w:eastAsia="Arial" w:hAnsi="Arial"/>
          <w:sz w:val="13"/>
          <w:szCs w:val="13"/>
          <w:b w:val="1"/>
          <w:bCs w:val="1"/>
          <w:color w:val="auto"/>
        </w:rPr>
        <w:t>DESCRIPTION OF STOCK PURCHASE CONTRACTS AND STOCK PURCHASE UNITS</w:t>
      </w:r>
    </w:p>
    <w:p>
      <w:pPr>
        <w:spacing w:after="0" w:line="10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This section describes the general terms that will apply to any stock purchase contracts or stock purchase units that we may offer in the future, to which a future prospectus supplement may relate. The following description and any description of stock purchase contracts or stock purchase units in the applicable prospectus supplement does not purport to be complete and is subject to and is qualified in its entirety by reference to the stock purchase contract agreement or stock purchase unit agreement, as applicable, that we will enter into at the time of issue and, if applicable, collateral arrangements and depositary arrangements relating to such stock purchase contracts or stock purchase units.</w:t>
      </w:r>
    </w:p>
    <w:p>
      <w:pPr>
        <w:spacing w:after="0" w:line="53"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We may issue stock purchase contracts, including contracts obligating holders to purchase from or sell to us, and obligating us to sell to or purchase from the holders, a specified number of shares of common stock or other securities at a future date or dates, which we refer to in this prospectus as stock purchase contracts. The price per share of the securities and the number or amount of the securities may be fixed at the time the stock purchase contracts are issued or may be determined by reference to a specific formula set forth in the stock purchase contracts, and may be subject to adjustment under anti-dilution formulas. The stock purchase contracts may be issued separately or as part of units consisting of a stock purchase contract and debt securities, common securities, preferred securities, warrants or debt obligations of third parties, including U.S. treasury securities, any other securities described in the applicable prospectus supplement or any combination of the foregoing, securing the holders’ obligations to purchase the securities under the stock purchase contracts, which we refer to herein as stock purchase units. The stock purchase contracts may require holders to secure their obligations under the stock purchase contracts in a specified manner. The stock purchase contracts also may require us to make periodic payments to the holders of the stock purchase contracts or the stock purchase units, as the case may be, or vice versa, and those payments may be unsecured or pre-funded on some basis.</w:t>
      </w:r>
    </w:p>
    <w:p>
      <w:pPr>
        <w:spacing w:after="0" w:line="6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prospectus supplement relating to any stock purchase contracts or stock purchase units that we may offer will describe the specific terms of the stock purchase contracts or stock purchase units it covers, including, if applicable, collateral or depositary arrangements. In addition to describing the specific terms of the stock purchase contracts or stock purchase units, the applicable prospectus supplement will contain a summary of certain United States federal income tax consequences applicable to the stock purchase contracts or stock purchase units, as applicable.</w:t>
      </w:r>
    </w:p>
    <w:p>
      <w:pPr>
        <w:spacing w:after="0" w:line="18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DESCRIPTION OF SUBSCRIPTION RIGHTS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This section describes the general terms that will apply to any subscription rights that we may offer in the future, to which a future prospectus supplement may relate. The following description and any description of subscription rights in the applicable prospectus supplement does not purport to be complete and is subject to and is qualified in its entirety by reference to the subscription rights agreement that we will enter into at the time of issue.</w:t>
      </w:r>
    </w:p>
    <w:p>
      <w:pPr>
        <w:spacing w:after="0" w:line="67"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We may issue subscription rights to purchase common stock, preferred stock, debt securities or other securities. These subscription rights may be issued independently or together with any other security offered by us and may or may not be transferable by the securityholder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up to all of the securities remaining unsubscribed for after such offering.</w:t>
      </w:r>
    </w:p>
    <w:p>
      <w:pPr>
        <w:spacing w:after="0" w:line="7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prospectus supplement relating to any subscription rights that we may offer will describe the specific terms of the subscription rights it covers. These terms may include the following:</w:t>
      </w:r>
    </w:p>
    <w:p>
      <w:pPr>
        <w:spacing w:after="0" w:line="59"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price, if any, for the subscription rights;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exercise price payable for each share of common stock, share of preferred stock, debt security or other security upon the exercise of the subscription right;</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number of subscription rights issued to each securityholder;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number and terms of each share of common stock, share of preferred stock, debt security or other security that may be purchased per each subscription right;</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any provisions for adjustment of the number or amount of securities receivable upon exercise of the subscription rights or the exercise price of the subscription rights;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extent to which the subscription rights are transferable;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any other terms of the subscription rights, including the terms, procedures and limitations relating to the exchange and exercise of the subscription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date on which the right to exercise the subscription rights shall commence, and the date on which the subscription rights shall expire;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extent to which the subscription rights may include an over-subscription privilege with respect to unsubscribed securities;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if applicable, the material terms of any standby underwriting or purchase arrangement entered into by us in connection with the offering of subscription rights.</w:t>
      </w:r>
    </w:p>
    <w:p>
      <w:pPr>
        <w:spacing w:after="0" w:line="10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addition to describing the specific terms of the subscription rights, the applicable prospectus supplement will contain a summary of certain United States federal income tax consequences applicable to the subscription rights.</w:t>
      </w:r>
    </w:p>
    <w:p>
      <w:pPr>
        <w:spacing w:after="0" w:line="173"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PLAN OF DISTRIBUTION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may offer and sell the securities being offered hereby in one or more of the following ways from time to time:</w:t>
      </w:r>
    </w:p>
    <w:p>
      <w:pPr>
        <w:spacing w:after="0" w:line="96"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to underwriters or dealers for resale to the public or to institutional investors;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directly to institutional investors;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directly to a limited number of purchasers or to a single purchaser;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through agents to the public or to institutional investors;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by pledge to secure debts and other obligations;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through the writing of options or other hedging or derivative transactions;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through a combination of any of these methods of sale;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other method permitted pursuant to applicable law.</w:t>
      </w:r>
    </w:p>
    <w:p>
      <w:pPr>
        <w:spacing w:after="0" w:line="342" w:lineRule="exact"/>
        <w:rPr>
          <w:sz w:val="20"/>
          <w:szCs w:val="20"/>
          <w:color w:val="auto"/>
        </w:rPr>
      </w:pPr>
    </w:p>
    <w:p>
      <w:pPr>
        <w:ind w:left="1160" w:hanging="74"/>
        <w:spacing w:after="0"/>
        <w:tabs>
          <w:tab w:leader="none" w:pos="11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offering terms, including the name or names of any underwriters, dealers or agents;</w:t>
      </w:r>
    </w:p>
    <w:p>
      <w:pPr>
        <w:spacing w:after="0" w:line="96" w:lineRule="exact"/>
        <w:rPr>
          <w:rFonts w:ascii="Arial" w:cs="Arial" w:eastAsia="Arial" w:hAnsi="Arial"/>
          <w:sz w:val="13"/>
          <w:szCs w:val="13"/>
          <w:color w:val="auto"/>
        </w:rPr>
      </w:pPr>
    </w:p>
    <w:p>
      <w:pPr>
        <w:ind w:left="1160" w:hanging="74"/>
        <w:spacing w:after="0"/>
        <w:tabs>
          <w:tab w:leader="none" w:pos="11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purchase price of the securities and the net proceeds to be received by us from the sale;</w:t>
      </w:r>
    </w:p>
    <w:p>
      <w:pPr>
        <w:spacing w:after="0" w:line="96" w:lineRule="exact"/>
        <w:rPr>
          <w:rFonts w:ascii="Arial" w:cs="Arial" w:eastAsia="Arial" w:hAnsi="Arial"/>
          <w:sz w:val="13"/>
          <w:szCs w:val="13"/>
          <w:color w:val="auto"/>
        </w:rPr>
      </w:pPr>
    </w:p>
    <w:p>
      <w:pPr>
        <w:ind w:left="1180" w:hanging="90"/>
        <w:spacing w:after="0"/>
        <w:tabs>
          <w:tab w:leader="none" w:pos="11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underwriting discounts or agency fees and other items constituting underwriters’ or agents’ compensation;</w:t>
      </w:r>
    </w:p>
    <w:p>
      <w:pPr>
        <w:spacing w:after="0" w:line="96" w:lineRule="exact"/>
        <w:rPr>
          <w:rFonts w:ascii="Arial" w:cs="Arial" w:eastAsia="Arial" w:hAnsi="Arial"/>
          <w:sz w:val="13"/>
          <w:szCs w:val="13"/>
          <w:color w:val="auto"/>
        </w:rPr>
      </w:pPr>
    </w:p>
    <w:p>
      <w:pPr>
        <w:ind w:left="1160" w:hanging="74"/>
        <w:spacing w:after="0"/>
        <w:tabs>
          <w:tab w:leader="none" w:pos="11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public offering price;</w:t>
      </w:r>
    </w:p>
    <w:p>
      <w:pPr>
        <w:spacing w:after="0" w:line="96" w:lineRule="exact"/>
        <w:rPr>
          <w:rFonts w:ascii="Arial" w:cs="Arial" w:eastAsia="Arial" w:hAnsi="Arial"/>
          <w:sz w:val="13"/>
          <w:szCs w:val="13"/>
          <w:color w:val="auto"/>
        </w:rPr>
      </w:pPr>
    </w:p>
    <w:p>
      <w:pPr>
        <w:ind w:left="1160" w:hanging="74"/>
        <w:spacing w:after="0"/>
        <w:tabs>
          <w:tab w:leader="none" w:pos="11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discounts or concessions allowed or reallowed or paid to dealers; and</w:t>
      </w:r>
    </w:p>
    <w:p>
      <w:pPr>
        <w:spacing w:after="0" w:line="96" w:lineRule="exact"/>
        <w:rPr>
          <w:rFonts w:ascii="Arial" w:cs="Arial" w:eastAsia="Arial" w:hAnsi="Arial"/>
          <w:sz w:val="13"/>
          <w:szCs w:val="13"/>
          <w:color w:val="auto"/>
        </w:rPr>
      </w:pPr>
    </w:p>
    <w:p>
      <w:pPr>
        <w:ind w:left="1160" w:hanging="74"/>
        <w:spacing w:after="0"/>
        <w:tabs>
          <w:tab w:leader="none" w:pos="11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securities exchange on which the securities may be listed.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220" w:top="343" w:right="14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If we use underwriters or dealers in the sale, the securities will be acquired by the underwriters or dealers for their own account and may be resold from time to time in one or more transactions, including:</w:t>
      </w:r>
    </w:p>
    <w:p>
      <w:pPr>
        <w:spacing w:after="0" w:line="59" w:lineRule="exact"/>
        <w:rPr>
          <w:sz w:val="20"/>
          <w:szCs w:val="20"/>
          <w:color w:val="auto"/>
        </w:rPr>
      </w:pPr>
    </w:p>
    <w:p>
      <w:pPr>
        <w:ind w:left="1160" w:hanging="74"/>
        <w:spacing w:after="0"/>
        <w:tabs>
          <w:tab w:leader="none" w:pos="11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privately negotiated transactions;</w:t>
      </w:r>
    </w:p>
    <w:p>
      <w:pPr>
        <w:spacing w:after="0" w:line="96" w:lineRule="exact"/>
        <w:rPr>
          <w:rFonts w:ascii="Arial" w:cs="Arial" w:eastAsia="Arial" w:hAnsi="Arial"/>
          <w:sz w:val="13"/>
          <w:szCs w:val="13"/>
          <w:color w:val="auto"/>
        </w:rPr>
      </w:pPr>
    </w:p>
    <w:p>
      <w:pPr>
        <w:ind w:left="1160" w:hanging="74"/>
        <w:spacing w:after="0"/>
        <w:tabs>
          <w:tab w:leader="none" w:pos="11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at a fixed public offering price or prices, which may be changed;</w:t>
      </w:r>
    </w:p>
    <w:p>
      <w:pPr>
        <w:spacing w:after="0" w:line="96" w:lineRule="exact"/>
        <w:rPr>
          <w:rFonts w:ascii="Arial" w:cs="Arial" w:eastAsia="Arial" w:hAnsi="Arial"/>
          <w:sz w:val="13"/>
          <w:szCs w:val="13"/>
          <w:color w:val="auto"/>
        </w:rPr>
      </w:pPr>
    </w:p>
    <w:p>
      <w:pPr>
        <w:ind w:left="1160" w:hanging="74"/>
        <w:spacing w:after="0"/>
        <w:tabs>
          <w:tab w:leader="none" w:pos="11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“at the market offerings” within the meaning of Rule 415(a)(4) of the Securities Act;</w:t>
      </w:r>
    </w:p>
    <w:p>
      <w:pPr>
        <w:spacing w:after="0" w:line="96" w:lineRule="exact"/>
        <w:rPr>
          <w:rFonts w:ascii="Arial" w:cs="Arial" w:eastAsia="Arial" w:hAnsi="Arial"/>
          <w:sz w:val="13"/>
          <w:szCs w:val="13"/>
          <w:color w:val="auto"/>
        </w:rPr>
      </w:pPr>
    </w:p>
    <w:p>
      <w:pPr>
        <w:ind w:left="1160" w:hanging="74"/>
        <w:spacing w:after="0"/>
        <w:tabs>
          <w:tab w:leader="none" w:pos="11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at prices related to prevailing market prices; or</w:t>
      </w:r>
    </w:p>
    <w:p>
      <w:pPr>
        <w:spacing w:after="0" w:line="96" w:lineRule="exact"/>
        <w:rPr>
          <w:rFonts w:ascii="Arial" w:cs="Arial" w:eastAsia="Arial" w:hAnsi="Arial"/>
          <w:sz w:val="13"/>
          <w:szCs w:val="13"/>
          <w:color w:val="auto"/>
        </w:rPr>
      </w:pPr>
    </w:p>
    <w:p>
      <w:pPr>
        <w:ind w:left="1160" w:hanging="74"/>
        <w:spacing w:after="0"/>
        <w:tabs>
          <w:tab w:leader="none" w:pos="11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at negotiated prices.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Any initial public offering price and any discounts or concessions allowed or reallowed or paid to dealers may be changed from time to time.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If underwriters are used in the sale of any securities, the securities may be offered either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common shares, and may use securities received from us in settlement of those derivatives to close out any related open borrowings of common shares. The third party in such sale transactions will be an underwriter and, if not identified in this prospectus, will be identified in the applicable prospectus supplement or a post-effective amendment to this registration statement.</w:t>
      </w:r>
    </w:p>
    <w:p>
      <w:pPr>
        <w:spacing w:after="0" w:line="55"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If indicated in an applicable prospectus supplement, we may sell the securities through agents from time to time. The applicable prospectus supplement will name any agent involved in the offer or sale of the securities and any commissions we pay to them. Generally, any agent will be acting on a best efforts basis for the period of its appointment. We may authorize underwriters, dealers or agents to solicit offers by certain purchasers to purchase the securities from us at the public offering price set forth in the applicable prospectus supplement pursuant to delayed delivery contracts providing for payment and delivery on a specified date in the future. The delayed delivery contracts will be subject only to those conditions set forth in the applicable prospectus supplement, and the applicable prospectus supplement will set forth any commissions we pay for solicitation of these delayed delivery contracts.</w:t>
      </w:r>
    </w:p>
    <w:p>
      <w:pPr>
        <w:spacing w:after="0" w:line="4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spacing w:after="0" w:line="67"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Agents, underwriters and other third parties described above may be entitled to indemnification by us against certain civil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Each series of securities will be a new issue of securities and will have no established trading market, other than our common stock, which is listed on the New York Stock Exchange. Any common stock sold will be listed on the New York Stock Exchange, upon official notice of issuance. The securities other than the common stock may or may not be listed on a national securities exchange and no assurance can be given that there will be a secondary market for any such securities or liquidity in the secondary market if one develops. Any underwriters to whom securities are sold by us for public offering and sale may make a market in the securities, but such underwriters will not be obligated to do so and may discontinue any market making at any time without notice.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Certain legal matters in connection with the securities offered pursuant to this prospectus will be passed upon by Mayer Brown LLP, Chicago, Illinois. Any underwriters will be advised about legal matters by their own counsel, who will be named in a prospectus supplement to the extent required by law.</w:t>
      </w:r>
    </w:p>
    <w:p>
      <w:pPr>
        <w:spacing w:after="0" w:line="17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The consolidated financial statements of Republic Services, Inc. included in Republic Services, Inc.’s Annual Report (Form 10-K) for the year ended December 31, 2009, and the effectiveness of Republic Services, Inc.’s internal control over financial reporting as of December 31, 2009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have filed a registration statement on Form S-3 with the SEC under the Securities Act to register the securities offered by means of this prospectus. This prospectus, which is a part of the registration statement, does not contain all of the information identified in the registration statement. For further information about us and the securities offered by means of this prospectus, we refer you to the registration statement and the exhibits filed as a part of the registration statement. Statements contained in this prospectus as to the contents of any contract or other document filed as an exhibit to the registration statement are not necessarily complete. If a contract or document has been filed as an exhibit to the registration statement, we refer you to the copy of the contract or document that has been filed.</w:t>
      </w:r>
    </w:p>
    <w:p>
      <w:pPr>
        <w:spacing w:after="0" w:line="71"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We are subject to the information and periodic reporting requirements of the Securities Exchange Act of 1934. In accordance with those requirements, we file annual, quarterly and special reports, proxy statements and other information with the SEC. You can read and copy any document we file at the SEC’s public reference rooms at the following location:</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100 F Street, N.E.</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Washington, D.C., 20549</w:t>
      </w:r>
    </w:p>
    <w:p>
      <w:pPr>
        <w:spacing w:after="0" w:line="8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You can request copies of these documents upon payment of a duplicating fee by writing to the SEC. Please call the SEC at 1-800-SEC-0330 for further information on the operation of the public reference rooms and the procedure for obtaining copies.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SEC maintains an Internet site that contains reports, proxy and information statements, and other information regarding issuers that file electronically with the SEC. The documents that we file with the SEC, including the registration statement, are available to investors on this web site. You can log onto the SEC’s web site at http://www.sec.gov. Our common stock is listed on the New York Stock Exchange (NYSE: RSG), and you can obtain information about us at the offices of the New York Stock Exchange, 20 Broad Street, New York, NY 10005. Certain information is also available on our website at http://www.republicservices.com.</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49"/>
        </w:trPr>
        <w:tc>
          <w:tcPr>
            <w:tcW w:w="1520" w:type="dxa"/>
            <w:vAlign w:val="bottom"/>
            <w:gridSpan w:val="3"/>
          </w:tcPr>
          <w:p>
            <w:pPr>
              <w:spacing w:after="0"/>
              <w:rPr>
                <w:rFonts w:ascii="Arial" w:cs="Arial" w:eastAsia="Arial" w:hAnsi="Arial"/>
                <w:sz w:val="13"/>
                <w:szCs w:val="13"/>
                <w:b w:val="1"/>
                <w:bCs w:val="1"/>
                <w:color w:val="0000EE"/>
              </w:rPr>
            </w:pPr>
            <w:hyperlink w:anchor="page16">
              <w:r>
                <w:rPr>
                  <w:rFonts w:ascii="Arial" w:cs="Arial" w:eastAsia="Arial" w:hAnsi="Arial"/>
                  <w:sz w:val="13"/>
                  <w:szCs w:val="13"/>
                  <w:b w:val="1"/>
                  <w:bCs w:val="1"/>
                  <w:color w:val="0000EE"/>
                </w:rPr>
                <w:t>Table of Contents</w:t>
              </w:r>
            </w:hyperlink>
          </w:p>
        </w:tc>
        <w:tc>
          <w:tcPr>
            <w:tcW w:w="46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360" w:type="dxa"/>
            <w:vAlign w:val="bottom"/>
          </w:tcPr>
          <w:p>
            <w:pPr>
              <w:jc w:val="center"/>
              <w:ind w:right="894"/>
              <w:spacing w:after="0"/>
              <w:rPr>
                <w:sz w:val="20"/>
                <w:szCs w:val="20"/>
                <w:color w:val="auto"/>
              </w:rPr>
            </w:pPr>
            <w:r>
              <w:rPr>
                <w:rFonts w:ascii="Arial" w:cs="Arial" w:eastAsia="Arial" w:hAnsi="Arial"/>
                <w:sz w:val="13"/>
                <w:szCs w:val="13"/>
                <w:b w:val="1"/>
                <w:bCs w:val="1"/>
                <w:color w:val="auto"/>
              </w:rPr>
              <w:t>PART II</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360" w:type="dxa"/>
            <w:vAlign w:val="bottom"/>
          </w:tcPr>
          <w:p>
            <w:pPr>
              <w:jc w:val="center"/>
              <w:ind w:right="914"/>
              <w:spacing w:after="0"/>
              <w:rPr>
                <w:sz w:val="20"/>
                <w:szCs w:val="20"/>
                <w:color w:val="auto"/>
              </w:rPr>
            </w:pPr>
            <w:r>
              <w:rPr>
                <w:rFonts w:ascii="Arial" w:cs="Arial" w:eastAsia="Arial" w:hAnsi="Arial"/>
                <w:sz w:val="13"/>
                <w:szCs w:val="13"/>
                <w:b w:val="1"/>
                <w:bCs w:val="1"/>
                <w:color w:val="auto"/>
              </w:rPr>
              <w:t>INFORMATION NOT REQUIRED IN PROSPECTUS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24"/>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Item 14.</w:t>
            </w:r>
          </w:p>
        </w:tc>
        <w:tc>
          <w:tcPr>
            <w:tcW w:w="8820" w:type="dxa"/>
            <w:vAlign w:val="bottom"/>
            <w:gridSpan w:val="2"/>
          </w:tcPr>
          <w:p>
            <w:pPr>
              <w:ind w:left="80"/>
              <w:spacing w:after="0"/>
              <w:rPr>
                <w:sz w:val="20"/>
                <w:szCs w:val="20"/>
                <w:color w:val="auto"/>
              </w:rPr>
            </w:pPr>
            <w:r>
              <w:rPr>
                <w:rFonts w:ascii="Arial" w:cs="Arial" w:eastAsia="Arial" w:hAnsi="Arial"/>
                <w:sz w:val="13"/>
                <w:szCs w:val="13"/>
                <w:b w:val="1"/>
                <w:bCs w:val="1"/>
                <w:i w:val="1"/>
                <w:iCs w:val="1"/>
                <w:color w:val="auto"/>
              </w:rPr>
              <w:t>Other Expenses of Issuance and Distribution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The following table sets forth the estimated expenses to be borne by us in connection with the issuance and distribution of the securities registered hereby:</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8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96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 (1)</w:t>
            </w:r>
          </w:p>
        </w:tc>
      </w:tr>
      <w:tr>
        <w:trPr>
          <w:trHeight w:val="157"/>
        </w:trPr>
        <w:tc>
          <w:tcPr>
            <w:tcW w:w="680" w:type="dxa"/>
            <w:vAlign w:val="bottom"/>
          </w:tcPr>
          <w:p>
            <w:pPr>
              <w:spacing w:after="0"/>
              <w:rPr>
                <w:sz w:val="13"/>
                <w:szCs w:val="13"/>
                <w:color w:val="auto"/>
              </w:rPr>
            </w:pPr>
          </w:p>
        </w:tc>
        <w:tc>
          <w:tcPr>
            <w:tcW w:w="9660" w:type="dxa"/>
            <w:vAlign w:val="bottom"/>
            <w:gridSpan w:val="4"/>
          </w:tcPr>
          <w:p>
            <w:pPr>
              <w:spacing w:after="0"/>
              <w:rPr>
                <w:sz w:val="20"/>
                <w:szCs w:val="20"/>
                <w:color w:val="auto"/>
              </w:rPr>
            </w:pPr>
            <w:r>
              <w:rPr>
                <w:rFonts w:ascii="Arial" w:cs="Arial" w:eastAsia="Arial" w:hAnsi="Arial"/>
                <w:sz w:val="13"/>
                <w:szCs w:val="13"/>
                <w:color w:val="auto"/>
              </w:rPr>
              <w:t>Printing expenses</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r>
      <w:tr>
        <w:trPr>
          <w:trHeight w:val="157"/>
        </w:trPr>
        <w:tc>
          <w:tcPr>
            <w:tcW w:w="680" w:type="dxa"/>
            <w:vAlign w:val="bottom"/>
          </w:tcPr>
          <w:p>
            <w:pPr>
              <w:spacing w:after="0"/>
              <w:rPr>
                <w:sz w:val="13"/>
                <w:szCs w:val="13"/>
                <w:color w:val="auto"/>
              </w:rPr>
            </w:pPr>
          </w:p>
        </w:tc>
        <w:tc>
          <w:tcPr>
            <w:tcW w:w="96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r>
      <w:tr>
        <w:trPr>
          <w:trHeight w:val="157"/>
        </w:trPr>
        <w:tc>
          <w:tcPr>
            <w:tcW w:w="680" w:type="dxa"/>
            <w:vAlign w:val="bottom"/>
          </w:tcPr>
          <w:p>
            <w:pPr>
              <w:spacing w:after="0"/>
              <w:rPr>
                <w:sz w:val="13"/>
                <w:szCs w:val="13"/>
                <w:color w:val="auto"/>
              </w:rPr>
            </w:pPr>
          </w:p>
        </w:tc>
        <w:tc>
          <w:tcPr>
            <w:tcW w:w="9660" w:type="dxa"/>
            <w:vAlign w:val="bottom"/>
            <w:gridSpan w:val="4"/>
          </w:tcPr>
          <w:p>
            <w:pPr>
              <w:spacing w:after="0"/>
              <w:rPr>
                <w:sz w:val="20"/>
                <w:szCs w:val="20"/>
                <w:color w:val="auto"/>
              </w:rPr>
            </w:pPr>
            <w:r>
              <w:rPr>
                <w:rFonts w:ascii="Arial" w:cs="Arial" w:eastAsia="Arial" w:hAnsi="Arial"/>
                <w:sz w:val="13"/>
                <w:szCs w:val="13"/>
                <w:color w:val="auto"/>
              </w:rPr>
              <w:t>Accounting fees and expenses</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r>
      <w:tr>
        <w:trPr>
          <w:trHeight w:val="157"/>
        </w:trPr>
        <w:tc>
          <w:tcPr>
            <w:tcW w:w="680" w:type="dxa"/>
            <w:vAlign w:val="bottom"/>
          </w:tcPr>
          <w:p>
            <w:pPr>
              <w:spacing w:after="0"/>
              <w:rPr>
                <w:sz w:val="13"/>
                <w:szCs w:val="13"/>
                <w:color w:val="auto"/>
              </w:rPr>
            </w:pPr>
          </w:p>
        </w:tc>
        <w:tc>
          <w:tcPr>
            <w:tcW w:w="96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Trustee fees and expenses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r>
      <w:tr>
        <w:trPr>
          <w:trHeight w:val="157"/>
        </w:trPr>
        <w:tc>
          <w:tcPr>
            <w:tcW w:w="68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color w:val="auto"/>
                <w:w w:val="99"/>
              </w:rPr>
              <w:t>Miscellaneous</w:t>
            </w:r>
          </w:p>
        </w:tc>
        <w:tc>
          <w:tcPr>
            <w:tcW w:w="46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460" w:type="dxa"/>
            <w:vAlign w:val="bottom"/>
            <w:shd w:val="clear" w:color="auto" w:fill="CCEEFF"/>
          </w:tcPr>
          <w:p>
            <w:pPr>
              <w:spacing w:after="0"/>
              <w:rPr>
                <w:sz w:val="14"/>
                <w:szCs w:val="14"/>
                <w:color w:val="auto"/>
              </w:rPr>
            </w:pPr>
          </w:p>
        </w:tc>
        <w:tc>
          <w:tcPr>
            <w:tcW w:w="83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 (2)</w:t>
            </w:r>
          </w:p>
        </w:tc>
      </w:tr>
      <w:tr>
        <w:trPr>
          <w:trHeight w:val="108"/>
        </w:trPr>
        <w:tc>
          <w:tcPr>
            <w:tcW w:w="6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3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60" w:hanging="259"/>
        <w:spacing w:after="0" w:line="276"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Deferred pursuant to Rule 456(b) under the Securities Act and calculated in connection with an offering of securities under this registration statement pursuant to Rule 457(r) under the Securities Act.</w:t>
      </w:r>
    </w:p>
    <w:p>
      <w:pPr>
        <w:spacing w:after="0" w:line="10" w:lineRule="exact"/>
        <w:rPr>
          <w:rFonts w:ascii="Arial" w:cs="Arial" w:eastAsia="Arial" w:hAnsi="Arial"/>
          <w:sz w:val="13"/>
          <w:szCs w:val="13"/>
          <w:color w:val="auto"/>
        </w:rPr>
      </w:pPr>
    </w:p>
    <w:p>
      <w:pPr>
        <w:ind w:left="1000" w:right="40" w:hanging="259"/>
        <w:spacing w:after="0" w:line="276"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These fees cannot be estimated at this time as they are calculated based on the securities offered and the number of issuances. An estimate of the aggregate expenses in connection with the sale and distribution of the securities being offered will be included in the applicable prospectus supplement.</w:t>
      </w:r>
    </w:p>
    <w:p>
      <w:pPr>
        <w:spacing w:after="0" w:line="9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following summary is qualified in its entirety by reference to the complete text of the statutes referred to below and to our Amended and Restated Certificate of Incorporation, as amended (the “Certificate”), and by-laws.</w:t>
      </w:r>
    </w:p>
    <w:p>
      <w:pPr>
        <w:spacing w:after="0" w:line="59"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Certificate provides that we shall indemnify, to the fullest extent permitted by Section 145 of the Delaware General Corporation Law (the “DGCL”), each person who is involved in any litigation or other proceeding because such person is or was a Republic director or officer or was serving at our request as a director, officer, employee or agent of another enterprise, against all expense (including attorney’s fees), loss or liability reasonably incurred or suffered in connection therewith. The Certificate provides that a person entitled to indemnification under the Certificate shall be paid expenses incurred in defending any proceeding in advance of its final disposition upon our receipt of an undertaking, by or on behalf of the director or officer, to repay all amounts so advanced if it is ultimately determined that such director or officer is not entitled to indemnification.</w:t>
      </w:r>
    </w:p>
    <w:p>
      <w:pPr>
        <w:spacing w:after="0" w:line="5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had no reason to believe his conduct was unlawful. In a derivative action (i.e., one brought by or on behalf of the corporation), however, indemnification may be made only for expenses, actually and reasonably incurred by any director or officer in connection with the defense or settlement of such action or suit, if such person acted in good faith and in a manner that he reasonably believed to be in or not opposed to the best interests of the corporation, except that no indemnification shall be made if such person shall have been adjudged to be liable to the corporation, unless and only to the extent that the Delaware Court of Chancery or the court in which the action or suit was brought shall determine that the defendant is fairly and reasonably entitled to indemnity for such expenses despite such adjudication of liability.</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Pursuant to Section 102(b)(7) of the DGCL, the Certificate eliminates the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Section 174 of the DGCL, or (iv) from any transaction from which the director derived an improper personal benefit.</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We may purchase and maintain insurance on behalf of any person who is or was a director, officer, employee or agent of Republic or another corporation, partnership, joint venture, trust or other enterprise. Under an insurance policy maintained by us, our directors and officers and the directors and officers of each of the co-registrants are insured, within the limits and subject to the limitations of the policy, against certain expenses in connection with the defense of certain claims, actions, suits or proceedings, and certain liabilities which might be imposed as a result of such claims, actions, suits or proceedings, which may be brought against them by reason of being or having been such directors or officers.</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Alabama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Alabama Recycling Services, Inc. and GEK, Inc. are incorporated under the laws of Alabama.</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Division E of Article 8 of the Alabama Business Corporation Act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Section 10-2B-8.42(d) of the Alabama Business Corporation Act provides that an officer of a corporation shall not be liable for any action taken as an officer or any failure to take any action if such officer performed the duties of his or her office (i) in good faith, (ii) with the care an ordinarily prudent person in a like position would exercise under similar circumstances and (iii) in a manner he or she reasonably believes to be in the best interests of the corporation.</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each of the Alabama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5"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bylaws of each of the Alabama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Autauga County Landfill, LLC is organized as a limited liability company under the laws of Alabama.</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Section 4 of the Alabama Limited Liability Company Act permits a limited liability company to indemnify and hold harmless any person who is or was a member, manager or employee of the limited liability company under certain circumstances and subject to certain limitations.</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operating agreement of Autauga County Landfill, LLC provides that the company shall defend, indemnify and save harmless its sole member, its sole member’s officers and directors, and the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Arizona Registrants:</w:t>
      </w:r>
    </w:p>
    <w:p>
      <w:pPr>
        <w:spacing w:after="0" w:line="96" w:lineRule="exact"/>
        <w:rPr>
          <w:sz w:val="20"/>
          <w:szCs w:val="20"/>
          <w:color w:val="auto"/>
        </w:rPr>
      </w:pPr>
    </w:p>
    <w:p>
      <w:pPr>
        <w:ind w:left="680" w:right="100" w:firstLine="7"/>
        <w:spacing w:after="0" w:line="378" w:lineRule="auto"/>
        <w:tabs>
          <w:tab w:leader="none" w:pos="858" w:val="left"/>
        </w:tabs>
        <w:numPr>
          <w:ilvl w:val="0"/>
          <w:numId w:val="28"/>
        </w:numPr>
        <w:rPr>
          <w:rFonts w:ascii="Arial" w:cs="Arial" w:eastAsia="Arial" w:hAnsi="Arial"/>
          <w:sz w:val="11"/>
          <w:szCs w:val="11"/>
          <w:b w:val="1"/>
          <w:bCs w:val="1"/>
          <w:color w:val="auto"/>
        </w:rPr>
      </w:pPr>
      <w:r>
        <w:rPr>
          <w:rFonts w:ascii="Arial" w:cs="Arial" w:eastAsia="Arial" w:hAnsi="Arial"/>
          <w:sz w:val="11"/>
          <w:szCs w:val="11"/>
          <w:b w:val="1"/>
          <w:bCs w:val="1"/>
          <w:color w:val="auto"/>
        </w:rPr>
        <w:t>Allied Waste Industries (Arizona), Inc., Allied Waste Industries (Southwest), Inc., Apache Junction Landfill Corporation, Central Arizona Transfer, Inc., Mesa Disposal, Inc., Midway Development Company, Inc., Pinal County Landfill Corp., Summit Waste Systems, Inc. and Tri-State Refuse Corporation are incorporated under the laws of Arizona.</w:t>
      </w:r>
    </w:p>
    <w:p>
      <w:pPr>
        <w:spacing w:after="0" w:line="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Sections 10-850 et seq. of the Arizona Business Corporation Act authorize a court to award, or a corporation’s board of directors to grant, indemnity to officers and directors of the corporation under certain circumstances and subject to certain limitations.</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Section 10-202(B)(1) of the Arizona Business Corporation Act permits a corporation to provide in its articles of incorporation that a director shall not be personally liable to the corporation or its shareholders for monetary damages for any action taken or any failure to take any action as a director, subject to certain limitations. Section 10-842(D) of the Arizona Business Corporation Act provides that an officer of a corporation shall not be liable for any action taken as an officer or any failure to take any action if such officer’s duties were performed</w:t>
      </w:r>
    </w:p>
    <w:p>
      <w:pPr>
        <w:spacing w:after="0" w:line="1" w:lineRule="exact"/>
        <w:rPr>
          <w:sz w:val="20"/>
          <w:szCs w:val="20"/>
          <w:color w:val="auto"/>
        </w:rPr>
      </w:pPr>
    </w:p>
    <w:p>
      <w:pPr>
        <w:ind w:left="680" w:firstLine="7"/>
        <w:spacing w:after="0" w:line="264" w:lineRule="auto"/>
        <w:tabs>
          <w:tab w:leader="none" w:pos="836"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good faith, (ii) with the care an ordinarily prudent person in a like position would exercise under similar circumstances and (iii) in a manner such officer reasonably believes to be in the best interests of the corporation.</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articles of incorporation of Allied Waste Industries (Arizona), Inc. provide for indemnification to the fullest extent permissible by law, by the bylaws of the corporation or by agreement.</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articles of incorporation of Allied Waste Industries (Arizona), Inc. provide that a director of the corporation shall not be personally liable to the corporation or its shareholders for monetary damages for breach of fiduciary duty as a director, except for liability for (i) the amount of a financial benefit received by a director to which the director is not entitled, (ii) an intentional infliction of harm on the corporation or the shareholders, (iii) a violation of Section 10-833 of the Arizona Business Corporation Act relating to unlawful distributions and (iv) an intentional violation of criminal law.</w:t>
      </w:r>
    </w:p>
    <w:p>
      <w:pPr>
        <w:spacing w:after="0" w:line="70" w:lineRule="exact"/>
        <w:rPr>
          <w:sz w:val="20"/>
          <w:szCs w:val="20"/>
          <w:color w:val="auto"/>
        </w:rPr>
      </w:pPr>
    </w:p>
    <w:p>
      <w:pPr>
        <w:ind w:left="680" w:right="180" w:firstLine="399"/>
        <w:spacing w:after="0" w:line="334" w:lineRule="auto"/>
        <w:rPr>
          <w:sz w:val="20"/>
          <w:szCs w:val="20"/>
          <w:color w:val="auto"/>
        </w:rPr>
      </w:pPr>
      <w:r>
        <w:rPr>
          <w:rFonts w:ascii="Arial" w:cs="Arial" w:eastAsia="Arial" w:hAnsi="Arial"/>
          <w:sz w:val="11"/>
          <w:szCs w:val="11"/>
          <w:color w:val="auto"/>
        </w:rPr>
        <w:t>The articles of incorporation of each of Summit Waste Systems, Inc. and Midway Development Company, Inc. provide that the corporation shall indemnify any person who incurs expenses or liabilities by reason of the fact that such person is or was an officer, director, employee or agent of the corporation or is or was serving at the request of the corporation as a director, officer, employee or agent of another entity or other enterprise. This indemnification shall be mandatory in all circumstances in which indemnification is permitted by law.</w:t>
      </w:r>
    </w:p>
    <w:p>
      <w:pPr>
        <w:spacing w:after="0" w:line="3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articles of incorporation of each of Summit Waste Systems, Inc. and Midway Development Company, Inc. provide that, to the fullest extent permitted by the Arizona Business Corporation Act, a director of the corporation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shall not be liable to the corporation or its shareholders for monetary damages for any action taken or any failure to take any action as a director.</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bylaws of each of Midway Development Company, Inc. and Summit Waste Systems, Inc. provide that the corporation shall indemnify, to the fullest extent provided by law, any person who incurs expenses or liabilities by reason of the fact he or she is or was an officer, director, employee or agent of the corporation or is or was serving at the request of the corporation as a director, officer, employee or agent of another entity or other enterprise.</w:t>
      </w:r>
    </w:p>
    <w:p>
      <w:pPr>
        <w:spacing w:after="0" w:line="67" w:lineRule="exact"/>
        <w:rPr>
          <w:sz w:val="20"/>
          <w:szCs w:val="20"/>
          <w:color w:val="auto"/>
        </w:rPr>
      </w:pPr>
    </w:p>
    <w:p>
      <w:pPr>
        <w:ind w:left="680" w:right="40" w:firstLine="399"/>
        <w:spacing w:after="0" w:line="305" w:lineRule="auto"/>
        <w:rPr>
          <w:sz w:val="20"/>
          <w:szCs w:val="20"/>
          <w:color w:val="auto"/>
        </w:rPr>
      </w:pPr>
      <w:r>
        <w:rPr>
          <w:rFonts w:ascii="Arial" w:cs="Arial" w:eastAsia="Arial" w:hAnsi="Arial"/>
          <w:sz w:val="11"/>
          <w:szCs w:val="11"/>
          <w:color w:val="auto"/>
        </w:rPr>
        <w:t>The bylaws of each of Central Arizona Transfer, Inc. and Mesa Disposal,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4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Central Arizona Transfer, Inc. and Mesa Disposal,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63"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There is no provision for indemnification or insurance in the articles of incorporation or bylaws of any of Allied Waste Industries (Southwest), Inc., Apache Junction Landfill Corporation, Pinal County Landfill Corp. or Tri-State Refuse Corporation.</w:t>
      </w:r>
    </w:p>
    <w:p>
      <w:pPr>
        <w:spacing w:after="0" w:line="55" w:lineRule="exact"/>
        <w:rPr>
          <w:sz w:val="20"/>
          <w:szCs w:val="20"/>
          <w:color w:val="auto"/>
        </w:rPr>
      </w:pPr>
    </w:p>
    <w:p>
      <w:pPr>
        <w:ind w:left="680" w:right="220" w:firstLine="7"/>
        <w:spacing w:after="0" w:line="283" w:lineRule="auto"/>
        <w:tabs>
          <w:tab w:leader="none" w:pos="866"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Allied Waste Systems of Arizona, LLC, Cactus Waste Systems, LLC and Republic Services of Arizona Hauling, LLC are organized as limited liability companies under the laws of Arizona.</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Section 29-610(A)(13) of the Arizona Limited Liability Company Act permits a limited liability company to indemnify a member, manager, employee, officer, agent or any other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person.</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operating agreement of each of Cactus Waste Systems, LLC and Republic Services of Arizona Hauling,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53"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operating agreement of Allied Waste Systems of Arizona, LLC provides for identical indemnification as described in the preceding paragraph, except that such indemnification is also provided to the directors of the sole member of the company.</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California Registrants:</w:t>
      </w:r>
    </w:p>
    <w:p>
      <w:pPr>
        <w:spacing w:after="0" w:line="96" w:lineRule="exact"/>
        <w:rPr>
          <w:sz w:val="20"/>
          <w:szCs w:val="20"/>
          <w:color w:val="auto"/>
        </w:rPr>
      </w:pPr>
    </w:p>
    <w:p>
      <w:pPr>
        <w:ind w:left="680" w:right="40" w:firstLine="7"/>
        <w:spacing w:after="0" w:line="281" w:lineRule="auto"/>
        <w:tabs>
          <w:tab w:leader="none" w:pos="858"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A D A J Corporation, Allied Waste of California, Inc., Atlas Transport, Inc., Bay Collection Services, Inc., Bay Environmental Management, Inc., Bay Landfills, Inc., Bay Leasing Company, Inc., Berkeley Sanitary Service, Inc., BLT Enterprises of Oxnard, Inc., Borrego Landfill, Inc., Browning-Ferris Industries of California, Inc., Charter Evaporation Resource Recovery Systems, Crockett Sanitary Service, Inc., Delta Container Corporation, Delta Paper Stock, Co., Elder Creek Transfer &amp; Recovery, Inc., Forward, Inc., Golden Bear Transfer Services, Inc., Imperial Landfill, Inc., Independent Trucking Company, International Disposal Corp. of California, Keller Canyon Landfill Company, La Canada Disposal Company, Inc., Lathrop Sunrise Sanitation Corporation, Otay Landfill, Inc., Palomar Transfer Station, Inc., Perdomo &amp; Sons, Inc., Ramona Landfill, Inc., RI/Alameda Corp., Richmond Sanitary Service, Inc., San Marcos NCRRF, Inc., Solano Garbage Company, Sunrise Sanitation Service, Inc., Sunset Disposal Service, Inc., Sycamore Landfill, Inc., West Contra Costa Energy Recovery Company, West Contra Costa Sanitary Landfill, Inc., West County Landfill, Inc., West County Resource Recovery, Inc. and Zakaroff Services are incorporated under the laws of California.</w:t>
      </w:r>
    </w:p>
    <w:p>
      <w:pPr>
        <w:spacing w:after="0" w:line="5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Section 317 of the California Corporations Code authorizes a court to award, or a corporation’s board of directors to grant, indemnity to any agent of the corporation under certain circumstances and subject to certain limitations.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Section 204(a)(10) of the California Corporations Code permits a corporation to provide in its articles of incorporation that a director of the corporation shall not be personally liable to the corporation or its shareholders for monetary damages for breach of such director’s duties, subject to certain limitations.</w:t>
      </w:r>
    </w:p>
    <w:p>
      <w:pPr>
        <w:spacing w:after="0" w:line="59"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The articles of incorporation of each of BLT Enterprises of Oxnard, Inc., Keller Canyon Landfill Company and Perdomo &amp; Sons, Inc. provide that the corporation is authorized to provide indemnification of agents for breach of duty to the corporation and its shareholders through bylaw provisions or through agreements with the agents, or both, in excess of the indemnification otherwise permitted by Section 317 of the California Corporations Code, subject to the limits on such excess indemnification set forth in Section 204 of the California Corporations Code.</w:t>
      </w:r>
    </w:p>
    <w:p>
      <w:pPr>
        <w:spacing w:after="0" w:line="7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articles of incorporation of each of BLT Enterprises of Oxnard, Inc., Borrego Landfill, Inc., Elder Creek Transfer &amp; Recovery, Inc., Imperial Landfill, Inc., Keller Canyon Landfill Company, Lathrop Sunrise Sanitation Corporation, Palomar Transfer Station, Inc., Perdomo &amp; Sons, Inc., Otay Landfill, Inc., Ramona Landfill, Inc., San Marcos NCRRF, Inc. and Sycamore Landfill, Inc. provide that the liability of directors of the corporation for monetary damages shall be eliminated to the fullest extent permissible under California law.</w:t>
      </w:r>
    </w:p>
    <w:p>
      <w:pPr>
        <w:spacing w:after="0" w:line="50"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The articles of incorporation of each of Elder Creek Transfer &amp; Recovery, Inc. and Imperial Landfill, Inc. provide that the corporation is authorized to indemnify the directors and officers of the corporation to the fullest extent permissible under California law. The corporation is authorized to provide indemnification of agents through bylaw provisions, agreements with agents, vote of shareholders or disinterested directors or otherwise, in excess of that expressly permitted by Section 317 of the California Corporations Code for those agents of the corporation for breach of duty to the corporation and its stockholders, subject to limitations set forth in Section 204.</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articles of incorporation of Lathrop Sunrise Sanitation Corporation provide that the corporation is authorized to provide indemnification of agents through bylaw provisions, agreements with agents, vote of shareholders or disinterested directors or otherwise, to the fullest extent permissible under California law.</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bylaws of each of A D A J Corporation, Atlas Transport, Inc., Bay Collection Services, Inc., Bay Environmental Management, Inc., Bay Landfills, Inc., Bay Leasing Company, Inc., Berkeley Sanitary Service, Inc., BLT Enterprises of Oxnard, Inc., Browning-Ferris Industries of California, Inc., Charter Evaporation Resource Recovery Systems, Crockett Sanitary Service, Inc., Elder Creek Transfer &amp; Recovery, Inc., Forward, Inc., Golden Bear Transfer Services, Inc., Imperial Landfill, Inc., International Disposal Corp. of California, Keller Canyon Landfill Company, La Canada Disposal Company, Inc., Lathrop Sunrise Sanitation Corporation, Otay Landfill, Inc., Perdomo &amp; Sons, Inc., RI/Alameda Corp., Richmond Sanitary Service, Inc., Solano Garbage Company, Sycamore Landfill, Inc., West Contra Costa Energy Recovery Company, West Contra Costa Sanitary Landfill, Inc., West County Landfill, Inc., West County Resource Recovery, Inc. and Zakaroff Services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the California corporation registrants listed in the preceding paragraph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6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bylaws of each of Delta Container Corporation, Independent Trucking Company, Sunrise Sanitation Service, Inc. and Sunset Disposal Service, Inc. provide that the board may, in its discretion, indemnify any director, officer, employee or other agent of the corporation against expenses, judgments, fines, settlements and other amounts actually and reasonably incurred in a proceeding (including a derivative action on behalf of the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57" w:lineRule="auto"/>
        <w:rPr>
          <w:sz w:val="20"/>
          <w:szCs w:val="20"/>
          <w:color w:val="auto"/>
        </w:rPr>
      </w:pPr>
      <w:r>
        <w:rPr>
          <w:rFonts w:ascii="Arial" w:cs="Arial" w:eastAsia="Arial" w:hAnsi="Arial"/>
          <w:sz w:val="13"/>
          <w:szCs w:val="13"/>
          <w:color w:val="auto"/>
        </w:rPr>
        <w:t>corporation) to which that person was or is threatened to be made a party by reason of the fact that such person was or is an agent of the corporation, but only to the extent allowed by the California Corporations Code and subject to director or shareholder approval as required by such code. In no event shall the corporation indemnify any such director or officer against any liability or expense by reason of willful malfeasance, bad faith, gross negligence or reckless disregard of the duties involved in the conduct of such person’s office. The corporation may advance to each director or officer the expenses incurred in defending any proceeding referred to in the bylaws of the corporation prior to the final disposition of such proceeding upon receipt of an undertaking by or on behalf of the director or officer to repay such amount unless it shall be determined ultimately that the director or officer is entitled to be indemnified as authorized by the bylaws of the company.</w:t>
      </w:r>
    </w:p>
    <w:p>
      <w:pPr>
        <w:spacing w:after="0" w:line="72"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bylaws of Delta Paper Stock, Co. provide that the corporation shall, to the maximum extent permitted by the California Corporations Code, indemnify each of its agents against expenses, judgments, fines, settlements and other amounts actually and reasonably incurred in connection with any proceeding arising by reason of the fact any such person is or was an agent of the corporation.</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There is no provision for indemnification or insurance in the articles of incorporation or bylaws of Allied Waste of California, Inc., Borrego Landfill, Inc., Palomar Transfer Station, Inc., Ramona Landfill, Inc. or San Marcos NCRRF, Inc.</w:t>
      </w:r>
    </w:p>
    <w:p>
      <w:pPr>
        <w:spacing w:after="0" w:line="55" w:lineRule="exact"/>
        <w:rPr>
          <w:sz w:val="20"/>
          <w:szCs w:val="20"/>
          <w:color w:val="auto"/>
        </w:rPr>
      </w:pPr>
    </w:p>
    <w:p>
      <w:pPr>
        <w:ind w:left="1080" w:right="740" w:hanging="393"/>
        <w:spacing w:after="0" w:line="397" w:lineRule="auto"/>
        <w:tabs>
          <w:tab w:leader="none" w:pos="866"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Allied Waste Transfer Services of California, LLC and San Diego Landfill Systems, LLC are organized as limited liability companies under the laws of California. </w:t>
      </w:r>
      <w:r>
        <w:rPr>
          <w:rFonts w:ascii="Arial" w:cs="Arial" w:eastAsia="Arial" w:hAnsi="Arial"/>
          <w:sz w:val="13"/>
          <w:szCs w:val="13"/>
          <w:color w:val="auto"/>
        </w:rPr>
        <w:t>Section 17003(l) of the California Limited Liability Company Act permits a limited liability company to indemnify any person.</w:t>
      </w:r>
    </w:p>
    <w:p>
      <w:pPr>
        <w:spacing w:after="0" w:line="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operating agreement of each of the California limited liability company registrants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 Oceanside Waste &amp; Recycling Services is organized as a general partnership under the laws of California.</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Section 16401(c) of the California Uniform Partnership Act authorizes a general partnership to indemnify its partners under certain circumstances and subject to certain limitations.</w:t>
      </w:r>
    </w:p>
    <w:p>
      <w:pPr>
        <w:spacing w:after="0" w:line="108"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There is no provision for indemnification of officers and directors in the partnership agreement of Oceanside Waste &amp; Recycling Services. The partnership agreement provides that the partners shall continue to maintain general liability insurance in such amounts as are reasonable for the business and services conducted by the partnership.</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Colorado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Bunting Trash Service, Inc. and Denver RL North, Inc. are incorporated under the laws of Colorado.</w:t>
      </w:r>
    </w:p>
    <w:p>
      <w:pPr>
        <w:spacing w:after="0" w:line="100"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Article 109 of the Colorado Business Corporation Act authorizes a court to award, or a corporation’s board of directors to grant, indemnity to officers, directors, employees, fiduciaries or agents of the corporation under certain circumstances and subject to certain limitations.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Section 7-108-401(4) of the Colorado Business Corporation Act provides that a director or officer of the corporation shall not be liable to the corporation or its shareholders for any action the director or officer takes or omits to take as a director of officer if, in connection with such action or omission, the director or officer performed the duties of the position (i) in good faith, (ii) with the care an ordinarily prudent person in a like position would exercise under similar circumstances and (iii) in a manner the director or officer reasonably believes to be in the best interests of the corporation.</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The bylaws of each of Bunting Trash Service, Inc and Denver RL North,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47"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The bylaws of each of Bunting Trash Service, Inc. and Denver RL North,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59" w:lineRule="exact"/>
        <w:rPr>
          <w:sz w:val="20"/>
          <w:szCs w:val="20"/>
          <w:color w:val="auto"/>
        </w:rPr>
      </w:pPr>
    </w:p>
    <w:p>
      <w:pPr>
        <w:ind w:left="680" w:firstLine="7"/>
        <w:spacing w:after="0" w:line="283" w:lineRule="auto"/>
        <w:tabs>
          <w:tab w:leader="none" w:pos="866"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Allied Waste Systems of Colorado, LLC, Frontier Waste Services (Colorado), LLC, Republic Services of Colorado Hauling, LLC and Republic Services of Colorado I, LLC are organized as limited liability companies under the laws of Colorado.</w:t>
      </w:r>
    </w:p>
    <w:p>
      <w:pPr>
        <w:spacing w:after="0" w:line="54"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Section 407 of the Colorado Limited Liability Company Act permits a limited liability company to indemnify a member or manager of the company under certain circumstances and subject to certain limitations.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operating agreement of each of Frontier Waste Services (Colorado), LLC, Republic Services of Colorado Hauling, LLC and Republic Services of Colorado I,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operating agreement of Allied Waste Systems of Colorado, LLC provides for identical indemnification as described in the preceding paragraph, except that such indemnification is also provided to the directors of the sole member of the company.</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Delaware Registrants:</w:t>
      </w:r>
    </w:p>
    <w:p>
      <w:pPr>
        <w:spacing w:after="0" w:line="96" w:lineRule="exact"/>
        <w:rPr>
          <w:sz w:val="20"/>
          <w:szCs w:val="20"/>
          <w:color w:val="auto"/>
        </w:rPr>
      </w:pPr>
    </w:p>
    <w:p>
      <w:pPr>
        <w:ind w:left="680" w:firstLine="7"/>
        <w:spacing w:after="0" w:line="277" w:lineRule="auto"/>
        <w:tabs>
          <w:tab w:leader="none" w:pos="858" w:val="left"/>
        </w:tabs>
        <w:numPr>
          <w:ilvl w:val="0"/>
          <w:numId w:val="34"/>
        </w:numPr>
        <w:rPr>
          <w:rFonts w:ascii="Arial" w:cs="Arial" w:eastAsia="Arial" w:hAnsi="Arial"/>
          <w:sz w:val="12"/>
          <w:szCs w:val="12"/>
          <w:b w:val="1"/>
          <w:bCs w:val="1"/>
          <w:color w:val="auto"/>
        </w:rPr>
      </w:pPr>
      <w:r>
        <w:rPr>
          <w:rFonts w:ascii="Arial" w:cs="Arial" w:eastAsia="Arial" w:hAnsi="Arial"/>
          <w:sz w:val="12"/>
          <w:szCs w:val="12"/>
          <w:b w:val="1"/>
          <w:bCs w:val="1"/>
          <w:color w:val="auto"/>
        </w:rPr>
        <w:t>Allied Enviroengineering, Inc., Allied Green Power, Inc., Allied Nova Scotia, Inc., Allied Waste Alabama, Inc., Allied Waste Company, Inc., Allied Waste Holdings (Canada) Ltd., Allied Waste Industries, Inc., Allied Waste Landfill Holdings, Inc., Allied Waste North America, Inc., Allied Waste Rural Sanitation, Inc., Allied Waste Services of Colorado, Inc., Allied Waste Systems Holdings, Inc., Allied Waste Systems, Inc., Allied Waste Transportation, Inc., American Disposal Services of Illinois, Inc., American Disposal Services of New Jersey, Inc., American Disposal Services of West Virginia, Inc., American Disposal Services, Inc., American Disposal Transfer Services of Illinois, Inc., Attwoods of North America, Inc., AWIN Leasing Company, Inc., AWIN Management, Inc., BBCO, Inc., BFI Atlantic, Inc., BFI Energy Systems of Albany, Inc., BFI Energy Systems of Delaware County, Inc., BFI Energy Systems of Hempstead, Inc., BFI Energy Systems of Niagara II, Inc., BFI Energy Systems of Niagara, Inc., BFI Energy Systems of SEMASS, Inc., BFI Energy Systems of Southeastern Connecticut, Inc., BFI International, Inc., BFI REF-FUEL, Inc., BFI Trans River (GP), Inc., Bond County Landfill, Inc., Browning-Ferris Financial Services, Inc., Browning-Ferris Industries of Florida, Inc., Browning-Ferris Industries of Illinois, Inc., Browning-Ferris Industries of Ohio, Inc., Browning-Ferris Services, Inc., CC Landfill, Inc., Cocopah Landfill, Inc., Compactor Rental Systems of Delaware, Inc., Copper Mountain Landfill, Inc., County Disposal (Ohio), Inc., County Disposal, Inc., County Landfill, Inc., East Chicago Compost Facility, Inc., ECDC Environmental of Humboldt County, Inc., ECDC Holdings, Inc., Environmental Development Corp., Environtech, Inc., Evergreen Scavenger Service, Inc., General Refuse Rolloff Corp., Georgia Recycling Services, Inc., Great Lakes Disposal Service, Inc., Liberty Waste Holdings, Inc., Lucas County Land Development, Inc., Mountain Home Disposal, Inc., NationsWaste, Inc., NCorp., Inc., Ohio Republic Contracts, II, Inc., Ottawa County Landfill, Inc., Republic Services Financial LP, Inc., Republic Services Holding Company, Inc., Republic Services of California Holding Company, Inc., Republic Services of Florida GP, Inc., Republic Services of Florida LP, Inc., Republic Services of Indiana LP, Inc., Republic Services of Michigan Holding Company, Inc., Republic Waste Services of Texas GP, Inc., Republic Waste Services of Texas LP, Inc., Risk Services, Inc., Sangamon Valley Landfill, Inc., Standard Waste, Inc., Taylor Ridge Landfill, Inc., Tennessee Union County Landfill, Inc. and Wayne County Landfill IL, Inc. are incorporated under the laws of Delaware.</w:t>
      </w:r>
    </w:p>
    <w:p>
      <w:pPr>
        <w:spacing w:after="0" w:line="61"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Section 145 of the Delaware General Corporation Law authorizes a court to award, or a corporation’s board of directors to grant, indemnity to directors, officers, employees and agents of the corporation under certain circumstances and subject to certain limitations.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subject to certain limitations.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certificate of incorporation of each of Allied Enviroengineering, Inc., Allied Waste Alabama, Inc., Allied Waste Company, Inc., Allied Waste North America, Inc., AWIN Leasing Company, Inc. and AWIN Management, Inc. provides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officer, employee or agent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w:t>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71"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color w:val="auto"/>
        </w:rPr>
        <w:t>The certificate of incorporation of each of the Delaware corporation registrants listed in the preceding paragraph also provides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w:t>
      </w:r>
    </w:p>
    <w:p>
      <w:pPr>
        <w:spacing w:after="0" w:line="2" w:lineRule="exact"/>
        <w:rPr>
          <w:sz w:val="20"/>
          <w:szCs w:val="20"/>
          <w:color w:val="auto"/>
        </w:rPr>
      </w:pPr>
    </w:p>
    <w:p>
      <w:pPr>
        <w:ind w:left="680" w:firstLine="7"/>
        <w:spacing w:after="0" w:line="280" w:lineRule="auto"/>
        <w:tabs>
          <w:tab w:leader="none" w:pos="909" w:val="left"/>
        </w:tabs>
        <w:numPr>
          <w:ilvl w:val="0"/>
          <w:numId w:val="35"/>
        </w:numPr>
        <w:rPr>
          <w:rFonts w:ascii="Arial" w:cs="Arial" w:eastAsia="Arial" w:hAnsi="Arial"/>
          <w:sz w:val="12"/>
          <w:szCs w:val="12"/>
          <w:color w:val="auto"/>
        </w:rPr>
      </w:pPr>
      <w:r>
        <w:rPr>
          <w:rFonts w:ascii="Arial" w:cs="Arial" w:eastAsia="Arial" w:hAnsi="Arial"/>
          <w:sz w:val="12"/>
          <w:szCs w:val="12"/>
          <w:color w:val="auto"/>
        </w:rPr>
        <w:t>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Delaware General Corporation Law.</w:t>
      </w:r>
    </w:p>
    <w:p>
      <w:pPr>
        <w:spacing w:after="0" w:line="59" w:lineRule="exact"/>
        <w:rPr>
          <w:sz w:val="20"/>
          <w:szCs w:val="20"/>
          <w:color w:val="auto"/>
        </w:rPr>
      </w:pPr>
    </w:p>
    <w:p>
      <w:pPr>
        <w:ind w:left="680" w:right="20" w:firstLine="399"/>
        <w:spacing w:after="0" w:line="254" w:lineRule="auto"/>
        <w:rPr>
          <w:sz w:val="20"/>
          <w:szCs w:val="20"/>
          <w:color w:val="auto"/>
        </w:rPr>
      </w:pPr>
      <w:r>
        <w:rPr>
          <w:rFonts w:ascii="Arial" w:cs="Arial" w:eastAsia="Arial" w:hAnsi="Arial"/>
          <w:sz w:val="13"/>
          <w:szCs w:val="13"/>
          <w:color w:val="auto"/>
        </w:rPr>
        <w:t>The certificate of incorporation of each of Allied Enviroengineering, Inc., Allied Nova Scotia, Inc., Allied Waste Alabama, Inc., Allied Waste Company, Inc., Allied Waste Holdings (Canada) Ltd., Allied Waste North America, Inc., Allied Waste Systems, Inc., American Disposal Services, Inc., American Disposal Services of Illinois, Inc., American Disposal Services of New Jersey, Inc., American Disposal Services of West Virginia, Inc., American Disposal Transfer Services of Illinois, Inc., AWIN Leasing Company, Inc., AWIN Management, Inc., BBCO, Inc., Browning-Ferris Financial Services, Inc., Compactor Rental Systems of Delaware, Inc., County Disposal, Inc., County Disposal (Ohio), Inc., County Landfill, Inc., Environtech, Inc., Georgia Recycling Services, Inc., Mountain Home Disposal, Inc., NationsWaste, Inc., NCorp, Inc., Republic Services Financial LP, Inc., Republic Services Holding Company, Inc., Republic Services of California Holding Company, Inc., Republic Services of Florida GP, Inc., Republic Services of Florida LP, Inc., Republic Services of Indiana, LP, Inc., Republic Services of Michigan Holding Company, Inc., Republic Waste Services of Texas GP, Inc. and Republic Waste Services of Texas LP, Inc. provides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relating to an unlawful payment of a dividend or unlawful stock purchase or redemption or (iv) for any transaction from which the director derived any improper personal benefit.</w:t>
      </w:r>
    </w:p>
    <w:p>
      <w:pPr>
        <w:spacing w:after="0" w:line="78"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The certificate of incorporation of each of Allied Green Power, Inc., Allied Waste Industries, Inc., Allied Waste Landfill Holdings, Inc., Allied Waste Rural Sanitation, Inc., Allied Waste Services of Colorado, Inc., Allied Waste Transportation, Inc., Bond County Landfill, Inc., CC Landfill, Inc., Cocopah Landfill, Inc., Copper Mountain Landfill, Inc., East Chicago Compost Facility, Inc., ECDC Environmental of Humboldt County, Inc., ECDC Holdings, Inc., Evergreen Scavenger Service, Inc., General Refuse Rolloff Corp., Great Lakes Disposal Service, Inc., Liberty Waste Holdings, Inc., Lucas County Land Development, Inc., Ohio Republic Contracts, II, Inc., Sangamon Valley Landfill, Inc., Taylor Ridge Landfill, Inc., Tennessee Union County Landfill, Inc. and Wayne County Landfill IL, Inc. provides that a director of the corporation shall not be personally liable to the corporation or its stockholders for monetary damages for breach of fiduciary duty as a director, except that this provision shall not eliminate or limit the liability of the director to the extent that such elimination or limitation of liability is expressly</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prohibited by the Delaware General Corporation Law as in effect at the time of the alleged breach of duty by such director.</w:t>
      </w:r>
    </w:p>
    <w:p>
      <w:pPr>
        <w:spacing w:after="0" w:line="96"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The certificate of incorporation of each of Allied Nova Scotia, Inc., Allied Waste Holdings (Canada) Ltd. and American Disposal Services, Inc. provides that, to the fullest extent authorized by the Delaware General Corporation Law, the corporation shall indemnify any person who at any time is or was a director or officer of the corporation and is threatened to be or is made a party to any threatened, pending or completed action, suit or proceeding by reason of the fact that such person is or was a director or officer of the corporation or is or was serving at the request of the corporation as a director, officer or other agent of any other entity against all expense, liability and loss (including, without limitation, court costs and attorneys’ fees, judgments, fines, excise taxes or penalties and amounts paid or to be paid in settlement) actually and reasonably incurred by such person. Expenses incurred by a director or officer of the corporation shall be paid in advance to the fullest extent permitted by law upon an undertaking by such person to repay all amounts so advanced if it shall ultimately be determined that such director or officer is not entitled to indemnification. The corporation may procure insurance or other arrangement on behalf of any such person described in this paragraph.</w:t>
      </w:r>
    </w:p>
    <w:p>
      <w:pPr>
        <w:spacing w:after="0" w:line="58"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certificate of incorporation of each of American Disposal Services of Illinois, Inc., American Disposal Services of New Jersey, Inc., American Disposal Services of West Virginia, Inc., American Disposal Transfer Services of Illinois, Inc., County Disposal (Ohio), Inc., County Disposal, Inc. and County Landfill, Inc. provides that, to the fullest extent authorized by the Delaware General Corporation Law, the corporation shall indemnify any person who at any time is or was a director or officer of the corporation and is threatened to be or is made a party to any threatened, pending or completed action, suit or proceeding by reason of the fact that such person is or was a director or officer of the corporation or is or was serving at the request of the corporation as a director or officer.</w:t>
      </w:r>
    </w:p>
    <w:p>
      <w:pPr>
        <w:spacing w:after="0" w:line="7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certificate of incorporation of each of Evergreen Scavenger Service, Inc. and General Refuse Rolloff Corp. provides that the corporation shall indemnify, to the fullest extent permitted by law, each director or officer of the corporation who was or is made a party or is threatened to be made a party to any threatened, pending or completed action, suit or proceeding by reason of the fact that such person is or was an authorized representative of the corporation.</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certificate of incorporation of each of Allied Waste Systems Holdings, Inc., Republic Services Financial LP, Inc., Republic Services Holding Company, Inc., Republic Services of California Holding Company, Inc., Republic Services of Florida GP, Inc., Republic Services of Florida LP, Inc., Republic Services of Indiana LP, Inc., Republic Services of Michigan Holding Company, Inc., Republic Waste Services of Texas GP, Inc. and Republic Waste Services of Texas LP, Inc. provides that the corporation shall indemnify its officers, directors, employees and agents to the fullest extent permitted by the Delaware General Corporation Law.</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certificate of incorporation of Ottawa County Landfill, Inc. provides that the corporation shall have the power to indemnify any person who was or is a party or is threatened to be made a party to any threatened, pending or completed action, suit or proceeding by reason of the fact that he or she is or was a director, officer, employee or agent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reasonably believed to be in or not opposed to the best interests of the corporation, and, with respect to any criminal action or proceedings, had no reasonable cause to believe his or her conduct was unlawful.</w:t>
      </w:r>
    </w:p>
    <w:p>
      <w:pPr>
        <w:spacing w:after="0" w:line="72"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bylaws of each of Allied Enviroengineering, Inc., Allied Green Power, Inc., Allied Waste Company, Inc., Allied Waste Holdings (Canada) Ltd., Allied Waste Industries, Inc., Allied Waste Landfill Holdings, Inc., Allied Waste Rural Sanitation, Inc., Allied Waste Services of Colorado, Inc., Allied Waste Systems, Inc., Allied Waste Transportation, Inc., American Disposal Services, Inc., American Disposal Services of Illinois, Inc., American Disposal Services of New Jersey, Inc., American Disposal Services of West Virginia, Inc., American Disposal Transfer Services of Illinois, Inc., Attwoods of North America, Inc., BBCO, Inc., BFI Atlantic, Inc., AWIN Leasing Company, Inc., AWIN Management, Inc., BFI Energy Systems of Albany, Inc., BFI Energy Systems of Delaware County, Inc., BFI Energy Systems of Hempstead, Inc., BFI Energy Systems of Niagara II, Inc., BFI Energy Systems of Niagara, Inc., BFI Energy Systems of SEMASS, Inc., BFI Energy Systems of Southeastern Connecticut, Inc.,</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5" w:lineRule="auto"/>
        <w:rPr>
          <w:sz w:val="20"/>
          <w:szCs w:val="20"/>
          <w:color w:val="auto"/>
        </w:rPr>
      </w:pPr>
      <w:r>
        <w:rPr>
          <w:rFonts w:ascii="Arial" w:cs="Arial" w:eastAsia="Arial" w:hAnsi="Arial"/>
          <w:sz w:val="12"/>
          <w:szCs w:val="12"/>
          <w:color w:val="auto"/>
        </w:rPr>
        <w:t>BFI International, Inc., BFI REF-FUEL, Inc., BFI Trans River (GP), Inc., Bond County Landfill, Inc., Browning-Ferris Financial Services, Inc., Browning-Ferris Industries of Florida, Inc., Browning-Ferris Industries of Illinois, Inc., Browning-Ferris Industries of Ohio, Inc., Browning-Ferris Services, Inc., CC Landfill, Inc., Cocopah Landfill, Inc., Compactor Rental Systems of Delaware, Inc., Copper Mountain Landfill, Inc., County Disposal, Inc., County Disposal (Ohio), Inc., County Landfill, Inc., East Chicago Compost Facility, Inc., ECDC Environmental of Humboldt County, Inc., ECDC Holdings, Inc., Environmental Development Corp., Environtech, Inc., Evergreen Scavenger Service, Inc., General Refuse Rolloff Corp., Georgia Recycling Services, Inc., Great Lakes Disposal Service, Inc., Liberty Waste Holdings, Inc., Lucas County Land Development, Inc., Mountain Home Disposal, Inc., NCorp, Inc., Ohio Republic Contracts, II, Inc., Republic Services Holding Company, Inc., Republic Services of California Holding Company, Inc., Republic Services of Florida GP, Inc., Republic Services of Florida LP, Inc., Republic Services of Indiana LP, Inc., Republic Services of Michigan Holding Company, Inc., Republic Waste Services of Texas GP, Inc., Republic Waste Services of Texas LP, Inc., Risk Services, Inc., Sangamon Valley Landfill, Inc., Standard Waste, Inc., Taylor Ridge Landfill, Inc., Tennessee Union County Landfill, Inc. and Wayne County Landfill IL,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72"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the Delaware corporation registrants listed in the preceding paragraph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6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bylaws of Allied Nova Scotia, Inc. provide that, to the fullest extent authorized by the Delaware General Corporation Law, the corporation shall indemnify any person who at any time is or was a director or officer of the corporation and is threatened to be or is made a party to any threatened, pending or completed action, suit or proceeding by reason of the fact that such person is or was a director or officer of the corporation or is or was serving</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9" w:lineRule="auto"/>
        <w:rPr>
          <w:sz w:val="20"/>
          <w:szCs w:val="20"/>
          <w:color w:val="auto"/>
        </w:rPr>
      </w:pPr>
      <w:r>
        <w:rPr>
          <w:rFonts w:ascii="Arial" w:cs="Arial" w:eastAsia="Arial" w:hAnsi="Arial"/>
          <w:sz w:val="12"/>
          <w:szCs w:val="12"/>
          <w:color w:val="auto"/>
        </w:rPr>
        <w:t>at the request of the corporation as a director, officer or other agent of any other entity against all expense, liability and loss (including, without limitation, court costs and attorneys’ fees, judgments, fines, excise taxes or penalties and amounts paid or to be paid in settlement) actually and reasonably incurred by such person. Expenses incurred by a director or officer of the corporation shall be paid in advance to the fullest extent permitted by law upon an undertaking by such person to repay all amounts so advanced if it shall ultimately be determined that such director or officer is not entitled to indemnification. The corporation may procure insurance or other arrangement on behalf of any such person described in this paragraph.</w:t>
      </w:r>
    </w:p>
    <w:p>
      <w:pPr>
        <w:spacing w:after="0" w:line="53"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bylaws of Allied Waste Alabama, Inc. provide that, to the fullest extent authorized by the Delaware General Corporation Law, the corporation shall indemnify any person who at any time is or was a director of the corporation and is threatened to be or is made a party to any threatened, pending or completed action, suit or proceeding by reason of the fact that such person is or was a director or officer of the corporation or is or was serving at the request of the corporation as a director, officer or other agent of any other entity against all expense, liability and loss (including, without limitation, court costs and attorneys’ fees, judgments, fines, excise taxes or penalties and amounts paid or to be paid in settlement) actually and reasonably incurred by such person so long as a majority of a quorum of disinterested directors, the stockholders or legal counsel through a written opinion determines that such person acted in good faith and in a manner he or she reasonably believed to be in or not opposed to the best interests of the corporation, and in the case of a criminal proceeding, such person had no reasonable cause to believe his or her conduct was unlawful. Expenses incurred by a director or officer of the corporation shall be paid in advance to the fullest extent permitted by law upon an undertaking by such person to repay all amounts so advanced if it shall ultimately be determined that such director or officer is not entitled to indemnification. The corporation may procure insurance or other arrangement on behalf of any such person described in this paragraph.</w:t>
      </w:r>
    </w:p>
    <w:p>
      <w:pPr>
        <w:spacing w:after="0" w:line="6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bylaws of Allied Waste North America, Inc. provide that each director, officer and former director and officer of the corporation, and any person who may have served or who may hereafter serve at the request of the corporation as a director or officer of another corporation in which it owns shares of capital stock or of which it is a creditor, is hereby indemnified by the corporation against expenses actually and necessarily incurred by such person in connection with the defense of any action, suit or proceeding in which such person is made a party by reason of being or having been such director or officer, except in relation to matters as to which such person shall be adjudged in such action, suit or proceeding to be liable for negligence or misconduct in the performance of duty.</w:t>
      </w:r>
    </w:p>
    <w:p>
      <w:pPr>
        <w:spacing w:after="0" w:line="71"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The bylaws of NationsWaste, Inc. provide that each person who was or is made a party or is threatened to be made a party to or is involved in any threatened, pending or completed action, suit or proceedings by reason of the fact that he or she is or was a director or officer of the corporation or is or was serving at the request of the corporation as director or officer or trustee of another entity or other enterprise shall be indemnified and held harmless by the corporation to the fullest extent permitted by law.</w:t>
      </w:r>
    </w:p>
    <w:p>
      <w:pPr>
        <w:spacing w:after="0" w:line="5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bylaws of Ottawa County Landfill, Inc. provide that the board of directors of the corporation may, to the fullest extent permitted by the General Corporation Law of Delaware, indemnify any and all persons who it shall have the power to indemnify against any and all of the expenses, liabilities or other matters.</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bylaws of Republic Services Financial LP, Inc. provide that each person who is or was a director or officer of the corporation and each person who serves or served at the request of the corporation as a director or officer (or equivalent) of another entity or other enterprise shall be indemnified by the corporation to the fullest extent authorized by the Delaware General Corporation Law, except as to any action, suit or proceeding brought by or on behalf of the director or officer of the corporation without prior approval of the board of directors. Each person who is or was an employee or agent of the corporation, and each person who serves or has served at the request of the corporation as an employee or agent of another entity or other enterprise, may be similarly indemnified at the discretion of the board of directors. Expenses incurred by an officer or director in defending a civil or criminal action, suit or proceeding may be paid by the corporation in advance of such action, suit or proceeding upon receipt of an undertaking by or on behalf of such director or officer to repay such amount if it shall ultimately be determined that he is not entitled to be indemnified by the corporation as authorized in the bylaws of the corporation. Such expenses incurred by other employees and agents may be so paid upon such terms and conditions, if any, as the board of directors deems appropriate.</w:t>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firstLine="7"/>
        <w:spacing w:after="0" w:line="276" w:lineRule="auto"/>
        <w:tabs>
          <w:tab w:leader="none" w:pos="866"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Allied Gas Recovery Systems, L.L.C., Allied Services LLC, Allied Waste Environmental Management Group, LLC, Allied Waste of New Jersey-New York, LLC, Allied Waste Recycling Services of New Hampshire, LLC, Allied Waste Services of North America, LLC, Allied Waste Sycamore Landfill, LLC, Allied Waste Systems of Indiana, LLC, Allied Waste Transfer Services of Arizona, LLC, Allied Waste Transfer Services of Rhode Island, LLC, Anson County Landfill NC, LLC, Ariana, LLC, BFGSI, L.L.C., BFI Transfer Systems of Alabama, LLC, BFI Transfer Systems of DC, LLC, BFI Transfer Systems of Georgia, LLC, BFI Transfer Systems of Maryland, LLC, BFI Transfer Systems of Mississippi, LLC, BFI Transfer Systems of Virginia, LLC, BFI Waste Services of Tennessee, LLC, BFI Waste Services, LLC, BFI Waste Systems of Alabama, LLC, BFI Waste Systems of Arkansas, LLC, BFI Waste Systems of Georgia, LLC, BFI Waste Systems of Kentucky, LLC, BFI Waste Systems of Louisiana, LLC, BFI Waste Systems of Mississippi, LLC, BFI Waste Systems of Missouri, LLC, BFI Waste Systems of North America, LLC, BFI Waste Systems of North Carolina, LLC, BFI Waste Systems of South Carolina, LLC, BFI Waste Systems of Tennessee, LLC, BFI Waste Systems of Virginia, LLC, Bridgeton Landfill, LLC, Bridgeton Transfer Station, LLC, Browning-Ferris Industries, LLC, Brunswick Waste Management Facility, LLC, Butler County Landfill, LLC, Chilton Landfill, LLC, Consolidated Disposal Service, L.L.C., Continental Waste Industries, L.L.C., Courtney Ridge Landfill, LLC, D &amp; L Disposal, L.L.C., E Leasing Company, LLC, Ellis Scott Landfill MO, LLC, Envotech-Illinois, L.L.C., Evergreen Scavenger Service, L.L.C., Forest View Landfill, LLC, Great Plains Landfill OK, LLC, H Leasing Company, LLC, Jefferson City Landfill, LLC, Kandel Enterprises, LLC, Lee County Landfill SC, LLC, Lemons Landfill, LLC, Liberty Waste Services Limited, L.L.C., Liberty Waste Services of McCook, L.L.C., Little Creek Landing, LLC, Local Sanitation of Rowan County, L.L.C., N Leasing Company, LLC, New York Waste Services, LLC, Northeast Landfill, LLC, Packerton Land Company, L.L.C., Pinecrest Landfill OK, LLC, Polk County Landfill, LLC, Republic Services Group, LLC, Republic Services of California II, LLC, Republic Services of Georgia GP, LLC, Republic Services of Georgia LP, LLC, Republic Services of Indiana Transportation, LLC, Republic Services of New Jersey, LLC, Republic Services of Pennsylvania, LLC, Republic Services of South Carolina, LLC, Republic Services of Southern California, LLC, Republic Services of Wisconsin GP, LLC, Republic Services of Wisconsin LP, LLC, Republic Services Vasco Road, LLC, Republic Waste Services of Southern California, LLC, RITM, LLC, Rubbish Control, LLC, S Leasing Company, LLC, Sand Valley Holdings, L.L.C., Show-Me Landfill, LLC, Southeast Landfill, LLC, Webster Parish Landfill, L.L.C. and Willow Ridge Landfill, LLC are organized as limited liability companies under the laws of Delaware.</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Section 18-108 of the Delaware Limited Liability Company Act permits a limited liability company to indemnify any member or manager of the company from and against any and all claims and demands whatsoever.</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Section 18-1101 of the Delaware Limited Liability Company Act permits a limited liability company to provide in its limited liability company agreement that a member, manager or other person shall not be liable for breach of contract and breach of duties to the limited liability company or to another member or manager or to another person that is a party to or is otherwise bound by the limited liability company agreement, subject to certain limitations.</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operating agreement of Allied Services, LLC provides that the company shall indemnify, defend and hold harmless any manager or officer of the company or their affiliates or any member, to the extent of the company’s assets, from and against any liability, damage, cost, expense, loss, claim or judgment incurred by such person arising out of any claim based upon acts performed or omitted to be performed by such person in connection with the business of the company, including, without limitation, attorneys’ fees and costs incurred by such person in the settlement or defense of such claim; provided that no such person shall be indemnified for claims based upon acts performed or omitted in breach of the operating agreement of the company or that constitute bad faith, fraud, willful misconduct or gross negligence. The manager of the company may, in its discretion, procure, at the expense of the company, errors and omissions insurance coverage for the manager and officers of the company.</w:t>
      </w:r>
    </w:p>
    <w:p>
      <w:pPr>
        <w:spacing w:after="0" w:line="7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operating agreement of Allied Services, LLC also provides that no manager or officer of the company or their affiliates or any member shall be liable to the company or the other members for actions taken in good faith by such person in connection with the company or its business; provided that such person shall, in all instances, remain liable for acts in breach of the operating agreement of the company or that constitute bad faith, fraud, willful</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misconduct or gross negligence (except to the extent the company is compensated for the same by insurance coverage maintained by the company).</w:t>
      </w:r>
    </w:p>
    <w:p>
      <w:pPr>
        <w:spacing w:after="0" w:line="96"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The operating agreement of each of Allied Waste Sycamore Landfill, LLC, BFI Transfer Systems of Alabama, LLC, BFI Transfer Systems of DC, LLC, BFI Transfer Systems of Georgia, LLC, BFI Transfer Systems of Maryland, LLC, BFI Transfer Systems of Mississippi, LLC, BFI Transfer Systems of Virginia, LLC, BFI Waste Services of Tennessee, LLC, BFI Waste Systems of Alabama, LLC, BFI Waste Systems of Arkansas, LLC, BFI Waste Systems of Georgia, LLC, BFI Waste Systems of Kentucky, LLC, BFI Waste Systems of Louisiana, LLC, BFI Waste Systems of Mississippi, LLC, BFI Waste Systems of Missouri, LLC, BFI Waste Systems of North Carolina, LLC, BFI Waste Systems of South Carolina, LLC, BFI Waste Systems of Tennessee, LLC, BFI Waste Systems of Virginia, LLC, Chilton Landfill, LLC, Consolidated Disposal Service, L.L.C., Courtney Ridge Landfill, LLC, Forest View Landfill, LLC, Kandel Enterprises, LLC and Willow Ridge Landfill,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6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operating agreement of each of Allied Gas Recovery Systems, L.L.C., Allied Waste Environmental Management Group, LLC, Allied Waste of New Jersey-New York, LLC, Allied Waste Recycling Services of New Hampshire, LLC, Allied Waste Services of North America, LLC, Allied Waste Systems of Indiana, LLC, Allied Waste Transfer Services of Arizona, LLC, Allied Waste Transfer Services of Rhode Island, LLC, BFGSI, L.L.C., BFI Waste Services, LLC, BFI Waste Systems of North America, LLC, Bridgeton Landfill, LLC, Bridgeton Transfer Station, LLC, Browning-Ferris Industries, LLC, Brunswick Waste Management Facility, LLC, Butler County Landfill, LLC, D &amp; L Disposal, L.L.C., Envotech-Illinois L.L.C., Evergreen Scavenger Service, L.L.C., Jefferson City Landfill, LLC, Lemons Landfill, LLC, Liberty Waste Services of McCook, L.L.C., Little Creek Landing, LLC, New York Waste Services, LLC, Northeast Landfill, LLC, Packerton Land Company, L.L.C., Polk County Landfill, LLC, Sand Valley Holdings, L.L.C., Show-Me Landfill, LLC, and Southeast Landfill, LLC provides for identical indemnification as described in the preceding paragraph, except that such indemnification is also provided to the directors of the sole member of the company.</w:t>
      </w:r>
    </w:p>
    <w:p>
      <w:pPr>
        <w:spacing w:after="0" w:line="58"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operating agreement of each of Anson County Landfill NC, LLC, Ellis Scott Landfill MO, LLC, Great Plains Landfill OK, LLC, Lee County Landfill SC, LLC and Pinecrest Landfill OK, LLC provides that the company shall defend, indemnify and save harmless any member and the officers and directors of any member from and against all losses, claims, costs, liabilities and damages incurred by them by reason of any act performed or omitted to be performed by them in connection with the business of the company, including attorneys’ fees incurred by them in connection with the defense of any action based on any such act or omission; provided, however, no such person shall be indemnified from any liability for fraud, bad faith, willful misconduct or gross negligence.</w:t>
      </w:r>
    </w:p>
    <w:p>
      <w:pPr>
        <w:spacing w:after="0" w:line="71"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operating agreement of each of E Leasing Company, LLC, H Leasing Company, LLC, N Leasing Company, LLC and S Leasing Company, LLC provides that the company shall indemnify, save harmless and pay all damages of the manager, the special purpose manager and any member or any stockholders, directors, members, officers, employees or agents of any of them relating to any damages incurred by reason of any act performed or omitted to be performed by such person in connection with the business of the company, including reasonable attorneys’ fees incurred by such person in connection with the defense of any action based on any such act or omission, which attorneys’ fees may be paid as incurred; provided that no member or manager shall be indemnified for any liability from fraud, willful misconduct or gross negligence. Such person shall provide an undertaking to repay the indemnification payment made by the company to such person if such person is found by a final nonappealable judgment not to be entitled to indemnification.</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The operating agreement of each of E Leasing Company, LLC, H Leasing Company, LLC, N Leasing Company, LLC and S Leasing Company, LLC also provides that the manager shall perform his or her duties under the operating agreement in a manner he or she believes to be in the best interests of the company, and shall be under no fiduciary duty to the members, the special purpose manager, any creditor of the company or any other person. A</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person who so performs such duties shall not have any liability by reason of being or having been a manager of the company.</w:t>
      </w:r>
    </w:p>
    <w:p>
      <w:pPr>
        <w:spacing w:after="0" w:line="96"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color w:val="auto"/>
        </w:rPr>
        <w:t>There is no provision for indemnification or insurance in the certificate of formation or operating agreement of Ariana, LLC, Continental Waste Industries, L.L.C., Liberty Waste Services Limited, L.L.C., Local Sanitation of Rowan County, L.L.C., Republic Services Group, LLC, Republic Services of California II, LLC, Republic Services of Georgia GP, LLC, Republic Services of Georgia LP, LLC, Republic Services of Indiana Transportation, LLC, Republic Services of New Jersey, LLC, Republic Services of Pennsylvania, LLC, Republic Services of South Carolina, LLC, Republic Services of Southern California, LLC, Republic Services of Wisconsin GP, LLC, Republic Services of Wisconsin LP, LLC, Republic Services Vasco Road, LLC, Republic Waste Services of Southern California, LLC, RITM, LLC, Rubbish Control, LLC or Webster Parish Landfill, L.L.C.</w:t>
      </w:r>
    </w:p>
    <w:p>
      <w:pPr>
        <w:spacing w:after="0" w:line="51" w:lineRule="exact"/>
        <w:rPr>
          <w:sz w:val="20"/>
          <w:szCs w:val="20"/>
          <w:color w:val="auto"/>
        </w:rPr>
      </w:pPr>
    </w:p>
    <w:p>
      <w:pPr>
        <w:ind w:left="680" w:right="80" w:firstLine="7"/>
        <w:spacing w:after="0" w:line="256" w:lineRule="auto"/>
        <w:tabs>
          <w:tab w:leader="none" w:pos="851"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Abilene Landfill TX, LP, BFI Energy Systems of Southeastern Connecticut, Limited Partnership, BFI Transfer Systems of Texas, LP, BFI Waste Services of Indiana, LP, BFI Waste Services of Texas, LP, BFI Waste Systems of Indiana, LP, Blue Ridge Landfill TX, LP, Brenham Total Roll-Offs, LP, Camelot Landfill TX, LP, Cefe Landfill TX, LP, Crow Landfill TX, L.P., Ellis County Landfill TX, LP, Forth Worth Landfill TX, LP, Galveston County Landfill TX, LP, Giles Road Landfill TX, LP, Golden Triangle Landfill TX, LP, Greenwood Landfill TX, LP, Gulf West Landfill TX, LP, Itasca Landfill TX, LP, Kerrville Landfill TX, LP, Lewisville Landfill TX, LP, Mars Road TX, LP, McCarty Road Landfill TX, LP, Mesquite Landfill TX, LP, Mexia Landfill TX, LP, Panama Road Landfill, TX, L.P., Pine Hill Farms Landfill TX, LP, Pleasant Oaks Landfill TX, LP, Republic Services Financial, Limited Partnership, Republic Services of Florida, Limited Partnership, Republic Services of Georgia, Limited Partnership, Republic Services of Indiana, Limited Partnership, Republic Services of Wisconsin, Limited Partnership, Rio Grande Valley Landfill TX, LP, Royal Oaks Landfill TX, LP, RWS Transport, L.P., Southwest Landfill TX, LP, Tessman Road Landfill TX, LP, Turkey Creek Landfill TX, LP, Victoria Landfill TX, LP and Whispering Pines Landfill TX, LP are organized as limited partnerships under the laws of Delaware.</w:t>
      </w:r>
    </w:p>
    <w:p>
      <w:pPr>
        <w:spacing w:after="0" w:line="73"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Section 15-110 of the Delaware Revised Uniform Partnership Act permits a partnership to indemnify any partner or other person from and against any and all claims and demands whatsoever.</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Section 15-103(f) of the Delaware Revised Uniform Partnership Act permits a partnership to provide in its partnership agreement that the partner or other person shall not be liable for breach of contract and breach of duties to the partnership or to another partner or to another person that is a party to or is otherwise bound by the partnership agreement, subject to certain limitations.</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agreement of limited partnership of each of Abilene Landfill TX, LP, BFI Energy Systems of Southeastern Connecticut, Limited Partnership, BFI Transfer Systems of Texas, LP, BFI Waste Services of Indiana, LP, BFI Waste Services of Texas, LP, BFI Waste Systems of Indiana, LP, Blue Ridge Landfill TX, LP, Brenham Total Roll-Offs, LP, Camelot Landfill TX, LP, Cefe Landfill TX, LP, Crow Landfill TX, L.P., Ellis County Landfill TX, LP, Forth Worth Landfill TX, LP, Galveston County Landfill TX, LP, Giles Road Landfill TX, LP, Golden Triangle Landfill TX, LP, Greenwood Landfill TX, LP, Gulf West Landfill TX, LP, Itasca Landfill TX, LP, Kerrville Landfill TX, LP, Lewisville Landfill TX, LP, Mars Road TX, LP, McCarty Road Landfill TX, LP, Mesquite Landfill TX, LP, Mexia Landfill TX, LP, Panama Road Landfill, TX, L.P., Pine Hill Farms Landfill TX, LP, Pleasant Oaks Landfill TX, LP, Rio Grande Valley Landfill TX, LP, Royal Oaks Landfill TX, LP, Southwest Landfill TX, LP, Tessman Road Landfill TX, LP, Turkey Creek Landfill TX, LP, Victoria Landfill TX, LP and Whispering Pines Landfill TX, LP provides that the partnership shall defend, indemnify and save harmless the partners and their officers and directors from and against all losses, claims, costs, liabilities and damages incurred by them by reason of any act performed or omitted to be performed by them in connection with the business of the partnership, including attorneys’ fees incurred by them in connection with the defense of any action based on any such act or omission; provided, however, no person shall be indemnified from any liability for fraud, bad faith, willful misconduct or gross negligence.</w:t>
      </w:r>
    </w:p>
    <w:p>
      <w:pPr>
        <w:spacing w:after="0" w:line="7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agreement of limited partnership of each of Republic Services of Florida, Limited Partnership, Republic Services of Georgia, Limited Partnership, Republic Services of Indiana, Limited Partnership, Republic Services of Wisconsin, Limited Partnership and RWS Transport, L.P. provides that to the fullest extent permitted by law, the partnership shall indemnify and hold harmless the general partner, its affiliates and all directors, officers,</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7" w:lineRule="auto"/>
        <w:rPr>
          <w:sz w:val="20"/>
          <w:szCs w:val="20"/>
          <w:color w:val="auto"/>
        </w:rPr>
      </w:pPr>
      <w:r>
        <w:rPr>
          <w:rFonts w:ascii="Arial" w:cs="Arial" w:eastAsia="Arial" w:hAnsi="Arial"/>
          <w:sz w:val="12"/>
          <w:szCs w:val="12"/>
          <w:color w:val="auto"/>
        </w:rPr>
        <w:t>shareholders, partners, employees, representatives and agents of the general partner and its affiliates and all officers, employees, representatives and agents of the partnership and its affiliates from and against any and all losses, claims, demands, liabilities, expenses (including all fees and expenses), judgments, fines, settlements, and other amounts arising from any and all claims, demands, actions, suits or proceedings, civil, criminal, administrative or investigative, in which such person may be involved, or threatened to be involved, as a party or otherwise, by reason of its management or the affairs of the partnership, or the general partner or its status as a general partner, an affiliate thereof, or partner, director, officer, stockholder, employee, representative or agent thereof or of the partnership or a person serving at the request of the partnership, the general partner or any affiliate thereof in another entity in a similar capacity, which relates to or arises out of the partnership, its property, its businesses or affairs. Such person shall not be entitled to indemnification with respect to any claim, issue or matter in which it has engaged in conduct that constitutes fraud, willful misconduct, bad faith or gross negligence; provided, however, that a court of competent jurisdiction may determine upon application that, despite such conduct, in view of all the circumstances of the case, such person is fairly and reasonably entitled to indemnification for such liabilities and expenses as the court may deem proper. Expenses shall be advanced by the partnership prior to the final disposition of such claim, demand, action, suit or proceeding upon receipt by the partnership of an undertaking by or on behalf of such person to repay such amount if it shall be determined that such person is not entitled to be indemnified as authorized in the company’s agreement of limited partnership. The general partner and the partnership may purchase and maintain insurance on behalf of any person against any liability that may be asserted against or expenses that may be incurred by such person in connection with activities of the partnership, regardless of whether the partnership would have the power to indemnify such person against such liability under the provisions of the agreement of limited partnership of the company.</w:t>
      </w:r>
    </w:p>
    <w:p>
      <w:pPr>
        <w:spacing w:after="0" w:line="6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agreement of limited partnership of each of Republic Services of Florida, Limited Partnership, Republic Services of Georgia, Limited Partnership, Republic Services of Indiana, Limited Partnership, Republic Services of Wisconsin, Limited Partnership and RWS Transport, L.P. provides that neither the general partner, its affiliates nor any of their respective officers, directors, shareholders, partners, employees, representatives or agents nor any officer, employee, representative or agent of the partnership and its affiliates shall be liable to the partnership or any partner for any act or omission (in relation to the partnership, the partnership agreement, any related document or any transaction or investment contemplated hereby or thereby) taken or omitted in good faith by such person and in the reasonable belief that such act or omission is in or is not contrary to the best interests of the partnership and is within the scope of authority granted to such person by the partnership agreement, provided that such act or omission does not constitute fraud, willful misconduct, bad faith or gross negligence.</w:t>
      </w:r>
    </w:p>
    <w:p>
      <w:pPr>
        <w:spacing w:after="0" w:line="59" w:lineRule="exact"/>
        <w:rPr>
          <w:sz w:val="20"/>
          <w:szCs w:val="20"/>
          <w:color w:val="auto"/>
        </w:rPr>
      </w:pPr>
    </w:p>
    <w:p>
      <w:pPr>
        <w:ind w:left="680" w:right="680" w:firstLine="399"/>
        <w:spacing w:after="0" w:line="276" w:lineRule="auto"/>
        <w:rPr>
          <w:sz w:val="20"/>
          <w:szCs w:val="20"/>
          <w:color w:val="auto"/>
        </w:rPr>
      </w:pPr>
      <w:r>
        <w:rPr>
          <w:rFonts w:ascii="Arial" w:cs="Arial" w:eastAsia="Arial" w:hAnsi="Arial"/>
          <w:sz w:val="13"/>
          <w:szCs w:val="13"/>
          <w:color w:val="auto"/>
        </w:rPr>
        <w:t>There is no provision for indemnification or insurance in the certificate of limited partnership or agreement of limited partnership of BFI Energy Systems of Southeastern Connecticut, Limited Partnership or Republic Services Financial, Limited Partnership.</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Florida Registrants:</w:t>
      </w:r>
    </w:p>
    <w:p>
      <w:pPr>
        <w:spacing w:after="0" w:line="96" w:lineRule="exact"/>
        <w:rPr>
          <w:sz w:val="20"/>
          <w:szCs w:val="20"/>
          <w:color w:val="auto"/>
        </w:rPr>
      </w:pPr>
    </w:p>
    <w:p>
      <w:pPr>
        <w:ind w:left="680" w:right="160" w:firstLine="7"/>
        <w:spacing w:after="0" w:line="283" w:lineRule="auto"/>
        <w:tabs>
          <w:tab w:leader="none" w:pos="866"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Delta Dade Recycling Corp., Delta Resources Corp., Delta Site Development Corp., Delta Waste Corp., Envirocycle, Inc., Gulfcoast Waste Service, Inc., Manumit of Florida, Inc., Republic Services Aviation, Inc. and Schofield Corporation of Orlando are incorporated under the laws of Florida.</w:t>
      </w:r>
    </w:p>
    <w:p>
      <w:pPr>
        <w:spacing w:after="0" w:line="54"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Section 607.0850 of the Florida Business Corporation Act authorizes a court to award, or a corporation’s board of directors to grant, indemnity to officers, directors, employees or other agents of the corporation under certain circumstances and subject to certain limitations.</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Section 607.0831 of the Florida Business Corporation Act provides that a director shall not be personally liable for monetary damages to the corporation or any other person for any statement, vote, decision or failure to act regarding corporate management or policy by such director, subject to certain limitations.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articles of incorporation of each of Delta Dade Recycling Corp., Envirocycle, Inc. and Gulfcoast Waste Service, Inc. provide that the corporation shall indemnify any officer or director, or any former officer or director, to the fullest extent permitted by law.</w:t>
      </w:r>
    </w:p>
    <w:p>
      <w:pPr>
        <w:spacing w:after="0" w:line="59"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bylaws of each of Delta Dade Recycling Corp., Delta Resources Corp., Delta Site Development Corp., Delta Waste Corp., Envirocycle, Inc., Gulfcoast Waste Service, Inc., Manumit of Florida, Inc., Republic Services</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7" w:lineRule="auto"/>
        <w:rPr>
          <w:sz w:val="20"/>
          <w:szCs w:val="20"/>
          <w:color w:val="auto"/>
        </w:rPr>
      </w:pPr>
      <w:r>
        <w:rPr>
          <w:rFonts w:ascii="Arial" w:cs="Arial" w:eastAsia="Arial" w:hAnsi="Arial"/>
          <w:sz w:val="12"/>
          <w:szCs w:val="12"/>
          <w:color w:val="auto"/>
        </w:rPr>
        <w:t>Aviation, Inc. and Schofield Corporation of Orlando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Delta Dade Recycling Corp., Delta Resources Corp., Delta Site Development Corp., Delta Waste Corp., Envirocycle, Inc., Gulfcoast Waste Service, Inc., Manumit of Florida, Inc., Republic Services Aviation, Inc. and Schofield Corporation of Orlando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5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Allied Waste Transfer Services of Florida, LLC is organized as a limited liability company under the laws of Florida.</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Section 608.4229 of the Florida Limited Liability Act permits a limited liability company to indemnify a member, manager or other person under certain circumstances and subject to certain limitations.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Section 608.4225 of the Florida Limited Liability Act provides that a manager or managing member shall not be liable for any action taken as a manager or managing member or any failure to take any action if the manager or managing member performed his or her duties in compliance with the duty of loyalty and duty of care to the company and all of the members of the company.</w:t>
      </w:r>
    </w:p>
    <w:p>
      <w:pPr>
        <w:spacing w:after="0" w:line="67"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operating agreement of Allied Waste Transfer Services of Florida, LLC provides that the company shall defend, indemnify and save harmless the sole member, its officers and directors, and the officers of the company from and against all losses, claims, costs, liabilities and damages incurred by such person by reason of any act performed or omitted to be performed by such person in connection with the business of the company, including</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Georgia Registrants:</w:t>
      </w:r>
    </w:p>
    <w:p>
      <w:pPr>
        <w:spacing w:after="0" w:line="96" w:lineRule="exact"/>
        <w:rPr>
          <w:sz w:val="20"/>
          <w:szCs w:val="20"/>
          <w:color w:val="auto"/>
        </w:rPr>
      </w:pPr>
    </w:p>
    <w:p>
      <w:pPr>
        <w:ind w:left="680" w:right="160" w:firstLine="7"/>
        <w:spacing w:after="0" w:line="283" w:lineRule="auto"/>
        <w:tabs>
          <w:tab w:leader="none" w:pos="858"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Allied Waste Hauling of Georgia, Inc., Allied Waste Industries of Georgia, Inc., Golden Waste Disposal, Inc., Price &amp; Sons Recycling Company and S &amp; S Recycling, Inc. are incorporated under the laws of Georgia.</w:t>
      </w:r>
    </w:p>
    <w:p>
      <w:pPr>
        <w:spacing w:after="0" w:line="54"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Sections 14-2-850 et seq. of the Georgia Business Corporation Code authorize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right="440" w:firstLine="399"/>
        <w:spacing w:after="0" w:line="280" w:lineRule="auto"/>
        <w:rPr>
          <w:sz w:val="20"/>
          <w:szCs w:val="20"/>
          <w:color w:val="auto"/>
        </w:rPr>
      </w:pPr>
      <w:r>
        <w:rPr>
          <w:rFonts w:ascii="Arial" w:cs="Arial" w:eastAsia="Arial" w:hAnsi="Arial"/>
          <w:sz w:val="12"/>
          <w:szCs w:val="12"/>
          <w:color w:val="auto"/>
        </w:rPr>
        <w:t>Section 14-2-202(b)(4) of the Georgia Business Corporation Code permits a corporation to provide in its articles of incorporation that a director of the corporation shall not be personally liable to the corporation or its shareholders for monetary damages for any action taken or any failure to take any action as a director, subject to certain limitations.</w:t>
      </w:r>
    </w:p>
    <w:p>
      <w:pPr>
        <w:ind w:left="680" w:right="20"/>
        <w:spacing w:after="0" w:line="258" w:lineRule="auto"/>
        <w:rPr>
          <w:sz w:val="20"/>
          <w:szCs w:val="20"/>
          <w:color w:val="auto"/>
        </w:rPr>
      </w:pPr>
      <w:r>
        <w:rPr>
          <w:rFonts w:ascii="Arial" w:cs="Arial" w:eastAsia="Arial" w:hAnsi="Arial"/>
          <w:sz w:val="13"/>
          <w:szCs w:val="13"/>
          <w:color w:val="auto"/>
        </w:rPr>
        <w:t>Section 14-2-842 of the Georgia Business Corporation Code provides that an officer shall not be liable to the corporation or to its shareholders for any action taken as an officer or any failure to take any action if such officer performed the duties of the office (i) in a manner he or she believes in good faith to be in the best interests of the corporation and (ii) with the care an ordinarily prudent person in a like position would exercise under similar circumstances.</w:t>
      </w:r>
    </w:p>
    <w:p>
      <w:pPr>
        <w:spacing w:after="0" w:line="71"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articles of incorporation of Price &amp; Sons Recycling Company provide that no director of the corporation shall have personal liability to the corporation or its shareholders for monetary damages for breach of such director’s duty of care or other duty as a director, except as required by the Georgia Business Corporation Code.</w:t>
      </w:r>
    </w:p>
    <w:p>
      <w:pPr>
        <w:spacing w:after="0" w:line="59" w:lineRule="exact"/>
        <w:rPr>
          <w:sz w:val="20"/>
          <w:szCs w:val="20"/>
          <w:color w:val="auto"/>
        </w:rPr>
      </w:pPr>
    </w:p>
    <w:p>
      <w:pPr>
        <w:ind w:left="680" w:right="20" w:firstLine="399"/>
        <w:spacing w:after="0" w:line="305" w:lineRule="auto"/>
        <w:rPr>
          <w:sz w:val="20"/>
          <w:szCs w:val="20"/>
          <w:color w:val="auto"/>
        </w:rPr>
      </w:pPr>
      <w:r>
        <w:rPr>
          <w:rFonts w:ascii="Arial" w:cs="Arial" w:eastAsia="Arial" w:hAnsi="Arial"/>
          <w:sz w:val="11"/>
          <w:szCs w:val="11"/>
          <w:color w:val="auto"/>
        </w:rPr>
        <w:t>The bylaws of each of Price &amp; Sons Recycling Company and S &amp; S Recycling,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4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bylaws of each of Price &amp; Sons Recycling Company and S &amp; S Recycling,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71"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There is no provision for indemnification or insurance in the articles of incorporation or bylaws of each of Allied Waste Hauling of Georgia, Inc., Allied Waste Industries of Georgia, Inc. or Golden Waste Disposal, Inc.</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Central Virginia Properties, LLC, Gateway Landfill, LLC and Wayne Developers, LLC are organized as limited liability companies under the laws of Georgia.</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Section 14-11-306 of the Georgia Limited Liability Company Act permits a limited liability company to indemnify a member, manager or other person under certain circumstances and subject to certain limitations.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operating agreement of Gateway Landfill, LLC provides that the company shall defend, indemnify and save harmless the sole member, its officers and directors, and the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There is no provision for indemnification or insurance in the certificate of formation or the operating agreement of Central Virginia Properties, LLC or Wayne Developers, LLC.</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Idaho Registrants: Ada County Development Company, Inc., Allied Waste Services of Page, Inc., and American Sanitation, Inc. are incorporated under the laws of Idaho.</w:t>
      </w:r>
    </w:p>
    <w:p>
      <w:pPr>
        <w:spacing w:after="0" w:line="11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Sections 30-1-850 et seq. of the Idaho Business Corporation Act authorize a court to award, or a corporation’s board of directors to grant, indemnity to officers and directors of the corporation under certain circumstances and subject to certain limitations.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Section 30-1-202(2)(d) of the Idaho Business Corporation Act permits a corporation to provide in its articles of incorporation that a director of the corporation shall not be personally liable to the corporation or its shareholders for monetary damages for any action taken or any failure to take any action as a director, subject to certain limitations. Section 30-1-842 of the Idaho Business Corporation Act provides that an officer shall not be liable to the corporation or to its shareholders for any decision to take or not to take action or any failure to take action as an officer if the duties of the office are performed (i) in good faith, (ii) with the care that a person in a like position would reasonably exercise under similar circumstances and (iii) in a manner the officer reasonably believes to be in the best interests of the corporation.</w:t>
      </w:r>
    </w:p>
    <w:p>
      <w:pPr>
        <w:spacing w:after="0" w:line="71"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articles of incorporation of American Sanitation, Inc. provide that no director of the corporation shall be personally liable to the corporation or its stockholders for monetary damages resulting from a breach of fiduciary duty as a director of the corporation, provided that such provision shall not eliminate or limit the liability of a director for (i) any breach of the director’s duty of loyalty to the corporation or its stockholders, (ii) acts or omissions not in good faith or which involve intentional misconduct or knowing violation of the law, (iii) any of those liabilities provided under 30-1-48 of the Idaho Business Corporation Act relating to unlawful dividends, repurchases or distributions of assets or (iv) any transaction from which the director derived an improper personal benefit.</w:t>
      </w:r>
    </w:p>
    <w:p>
      <w:pPr>
        <w:spacing w:after="0" w:line="71"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The bylaws of each of Ada County Development Company, Inc. and American Sanitation,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Ada County Development Company, Inc. and American Sanitation,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articles of incorporation or bylaws of Allied Waste Services of Page, Inc.</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Illinois Registrants:</w:t>
      </w:r>
    </w:p>
    <w:p>
      <w:pPr>
        <w:spacing w:after="0" w:line="96" w:lineRule="exact"/>
        <w:rPr>
          <w:sz w:val="20"/>
          <w:szCs w:val="20"/>
          <w:color w:val="auto"/>
        </w:rPr>
      </w:pPr>
    </w:p>
    <w:p>
      <w:pPr>
        <w:ind w:left="680" w:firstLine="7"/>
        <w:spacing w:after="0" w:line="286" w:lineRule="auto"/>
        <w:tabs>
          <w:tab w:leader="none" w:pos="858"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ADS of Illinois, Inc., Allied Waste Industries of Illinois, Inc., Arc Disposal Company, Inc., Area Disposal, Inc., Borrow Pit Corp., Brickyard Disposal &amp; Recycling, Inc., CWI of Illinois, Inc., Environmental Reclamation Company, Fred Barbara Trucking Co., Inc., Illinois Landfill, Inc., Illinois Recycling Services, Inc., Illinois Valley Recycling, Inc., Ingrum Waste Disposal, Inc., Kankakee Quarry, Inc., LandComp Corporation, Lee County Landfill, Inc., Loop Recycling, Inc., Loop Transfer, Incorporated, Northlake Transfer, Inc., RCS, Inc., Roxana Landfill, Inc., Saline County Landfill, Inc., Shred — All Recycling Systems Inc., Southern Illinois Regional Landfill, Inc., Streator Area Landfill, Inc., Suburban Transfer, Inc., Suburban Warehouse, Inc., Tri-State Recycling Services, Inc. and Upper Rock Island County Landfill, Inc. are incorporated under the laws of Illinois.</w:t>
      </w:r>
    </w:p>
    <w:p>
      <w:pPr>
        <w:spacing w:after="0" w:line="5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Section 8.75 of the Illinois Business Corporation Act authorizes a court to award, or a corporation’s board of directors to grant, indemnity to directors, officers, employees and agents of the corporation under certain circumstances and subject to certain limitations.</w:t>
      </w:r>
    </w:p>
    <w:p>
      <w:pPr>
        <w:spacing w:after="0" w:line="59"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Section 5/2.10(b)(3) of the Illinois Business Corporation Act permits a corporation to provide in its articles of incorporation that a director of the corporation shall not be personally liable to the corporation or its shareholders for monetary damages for any action taken or any failure to take any action as a director, subject to certain limitations.</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articles of incorporation of ADS of Illinois, Inc. provide that, to the fullest extent permitted by the Illinois Business Corporation Act, a director of the corporation shall not be liable to the corporation or its shareholders for monetary damages for breach of fiduciary duty as a director.</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articles of incorporation of Borrow Pit Corp. provide that a director of the corporation shall not be personally liable to the corporation or its shareholders for monetary damages for breach of fiduciary duty as a director, except for liability (i) for any breach of the director’s duty of loyalty to the corporation or its shareholders, (ii) for acts or omissions not in good faith or that involve intentional misconduct or a knowing violation of law, (iii) under Section 8.65 of the Illinois Business Corporation Act relating to unlawful distributions or (iv) any transaction from which the director derived an improper personal benefit.</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bylaws of each of ADS of Illinois, Inc., Arc Disposal Company, Inc., Area Disposal, Inc., Borrow Pit Corp., Brickyard Disposal &amp; Recycling, Inc., CWI of Illinois, Inc., Environmental Reclamation Company, Fred Barbara Trucking Co., Inc., Illinois Recycling Services, Inc., Illinois Valley Recycling, Inc., Ingrum Waste Disposal, Inc., Kankakee Quarry, Inc., LandComp Corporation, Loop Recycling, Inc., Loop Transfer, Incorporated, Northlake Transfer, Inc., Roxana Landfill, Inc., Saline County Landfill, Inc., Shred — All Recycling Systems Inc., Southern Illinois Regional Landfill, Inc., Suburban Transfer, Inc., Suburban Warehouse, Inc., Tri-State Recycling Services, Inc. and Upper Rock Island County Landfill,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the Illinois corporation registrants listed in the preceding paragraph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304" w:lineRule="auto"/>
        <w:rPr>
          <w:sz w:val="20"/>
          <w:szCs w:val="20"/>
          <w:color w:val="auto"/>
        </w:rPr>
      </w:pPr>
      <w:r>
        <w:rPr>
          <w:rFonts w:ascii="Arial" w:cs="Arial" w:eastAsia="Arial" w:hAnsi="Arial"/>
          <w:sz w:val="11"/>
          <w:szCs w:val="11"/>
          <w:color w:val="auto"/>
        </w:rPr>
        <w:t>The bylaws of Illinois Landfill, Inc. provide that, to the extent not inconsistent with applicable law, every person who is or was a director, officer, employee or agent of the corporation, or is or was serving at the request of the corporation as a director, officer, employee, agent or fiduciary of another entity, shall be indemnified by the corporation against all liability and reasonable expenses that may be incurred by him or her in connection with or resulting from any Claim: (i) if such person is successful with respect to the claim, (ii) if not successful, then if such person is determined to have: (1) conducted himself or herself in good faith; and (2) reasonably believed: (A) in the case of conduct in his official capacity with the corporation, that his conduct was in its best interest; and (B) in all other cases, that his conduct was at least not opposed to the best interest of the corporation; and (3) in the case of any criminal proceeding, either: (A) had reasonable cause to believe his conduct was lawful; or (B) had no reasonable cause to believe his conduct was unlawful. The determination whether such person has met the required standards of conduct shall be made (i) by the board of directors by majority vote of a quorum consisting of directors not at the time parties to the claim, and if such a quorum cannot be obtained, then (ii) by majority vote of a committee duly designated by the board of directors consisting solely of two or more directors not at the time parties to the claim, and if such a committee cannot be constituted, then (iii) by the shareholders (but shares owned by or voted under the control of a director who is at the time a party to the claim may not be voted), and if there are no shareholders who are entitled to vote pursuant to the requirements of (iii) above, then (iv) by special legal counsel selected by a majority vote of the full board of directors. Expenses incurred by such person with respect to any claim shall be advanced by the corporation (by action of the board of directors, whether or not a disinterested quorum exists) prior to the final disposition thereof if: (i) such person furnishes the corporation a written affirmation of his good faith belief that such person has met the standards of conduct specified in the bylaws of the corporation; and (ii) such person furnishes the corporation a written undertaking to repay the advance if it is ultimately determined that such person did not meet the specified standards of conduct; and (iii) the board of directors makes a determination that the facts then known would not preclude indemnification of such person.</w:t>
      </w:r>
    </w:p>
    <w:p>
      <w:pPr>
        <w:spacing w:after="0" w:line="207"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bylaws of each of RCS, Inc. and Streator Area Landfill, Inc. provide that the corporation shall have the power to indemnify any person who was or is a party or is threatened to be made party to any threatened, pending or completed action, suit or proceeding (other than an action by or in the right of the corporation) by reason of the fact that he or she is or was a director, officer, employee or agent of the corporation, or who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or her conduct was unlawful. The corporation shall have the power to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entity or other enterprise against expenses (including attorneys’ fees) actually and reasonably incurred by such person in connection with the defense or settlement of such action or suit if such person acted in good faith and in a manner he or she reasonably believed to be in, or not opposed to, the best interests of the corporation, provided that no indemnification shall be made in respect of any claim, issue or matter as to which such persons shall have been adjudged to be liable for negligence or misconduct in the performance of his or her duty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as the court shall deem proper. Any determination to indemnify such person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shareholders. Expenses incurred in defending a civil or criminal action, suit or proceeding may be paid by the corporation in advance of the final disposition of such action, suit or proceeding, as authorized by the board of directors in the specific case, upon receipt of an undertaking by or on behalf of the director, officer, employee or agent to repay such amount, unless it shall ultimately be determined that he or she is entitled to be indemnified by the corporation. The corporation shall have the power to purchase and maintain insurance on behalf of any person</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who is or was a director, officer, employee or agent of the corporation, or is or was serving at the request of the corporation, as a director, officer, employee or agent of another entity or other enterprise, against any liability asserted against such person and incurred by such person in any such capacity, or arising out of his status as such, whether or not the corporation would have the power to indemnify him or her against such liability under the provisions of this Article.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articles of incorporation or bylaws of Allied Waste Industries of Illinois, Inc. or Lee County Landfill, Inc.</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Liberty Waste Service of Illinois, L.L.C. is organized as a limited liability company under the laws of Illinois.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Section 15-7(a) of the Illinois Limited Liability Company Act authorizes a limited liability company to indemnify a member or manager under certain circumstances and subject to certain limitations.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operating agreement of Liberty Waste Service of Illinois, L.L.C. provides that the company shall defend, indemnify and save harmless the sole member, its officers and directors and the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Indiana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Allied Waste Industries of Northwest Indiana, Inc., DTC Management, Inc. and Wastehaul, Inc. are incorporated under the laws of Indiana.</w:t>
      </w:r>
    </w:p>
    <w:p>
      <w:pPr>
        <w:spacing w:after="0" w:line="10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Section 23-1-37 of the Indiana Business Corporation Law authorizes a court to award, or a corporation’s board of directors to grant, indemnity to officers, directors, agents and employees of the corporation under certain circumstances and subject to certain limitations.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Section 23-1-35-1(e) of the Indiana Business Corporation Law provides that a director shall not be liable for any action taken as a director or any failure to take any action, regardless of the nature of the alleged breach of duty unless (i) the director has breached or failed to perform the duties of the director’s office (1) in good faith, (2) with the care an ordinarily prudent person in a like position would exercise under similar circumstances and (3) in a manner the director reasonably believes to be in the best interests of the corporation and (ii) the breach or failure to perform constitutes willful misconduct or recklessness.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articles of incorporation of DTC Management, Inc. provide for indemnification to the fullest extent permissible by law.</w:t>
      </w:r>
    </w:p>
    <w:p>
      <w:pPr>
        <w:spacing w:after="0" w:line="96" w:lineRule="exact"/>
        <w:rPr>
          <w:sz w:val="20"/>
          <w:szCs w:val="20"/>
          <w:color w:val="auto"/>
        </w:rPr>
      </w:pPr>
    </w:p>
    <w:p>
      <w:pPr>
        <w:ind w:left="680" w:right="20" w:firstLine="399"/>
        <w:spacing w:after="0" w:line="300" w:lineRule="auto"/>
        <w:rPr>
          <w:sz w:val="20"/>
          <w:szCs w:val="20"/>
          <w:color w:val="auto"/>
        </w:rPr>
      </w:pPr>
      <w:r>
        <w:rPr>
          <w:rFonts w:ascii="Arial" w:cs="Arial" w:eastAsia="Arial" w:hAnsi="Arial"/>
          <w:sz w:val="11"/>
          <w:szCs w:val="11"/>
          <w:color w:val="auto"/>
        </w:rPr>
        <w:t>The bylaws of Allied Waste Industries of Northwest Indiana, Inc. provide for indemnification for any person who is or was a director, officer, employee or agent of the corporation or is or was serving at the request of the corporation as a director, officer, employee, agent or fiduciary of another foreign or domestic entity that may be incurred by him or her in connection with or resulting from any claim as long as such person acted in good faith and reasonably believed that his or her conduct was in the best interest of (in the case of conduct in his or her official capacity with the corporation) or not opposed to (in all other cases) the best interest of the corporation. In the case of any criminal proceeding, such person must have had reasonable cause to believe his or her conduct was lawful or had no reasonable cause to believe his or her conduct was unlawful. The determination whether such person has met the required standards of conduct shall be made (i) by the board of directors by majority vote of a quorum consisting of directors not at the time parties to the claim, and if such a quorum cannot be obtained; then</w:t>
      </w:r>
    </w:p>
    <w:p>
      <w:pPr>
        <w:spacing w:after="0" w:line="2" w:lineRule="exact"/>
        <w:rPr>
          <w:sz w:val="20"/>
          <w:szCs w:val="20"/>
          <w:color w:val="auto"/>
        </w:rPr>
      </w:pPr>
    </w:p>
    <w:p>
      <w:pPr>
        <w:ind w:left="680" w:firstLine="7"/>
        <w:spacing w:after="0" w:line="256" w:lineRule="auto"/>
        <w:tabs>
          <w:tab w:leader="none" w:pos="873" w:val="left"/>
        </w:tabs>
        <w:numPr>
          <w:ilvl w:val="0"/>
          <w:numId w:val="41"/>
        </w:numPr>
        <w:rPr>
          <w:rFonts w:ascii="Arial" w:cs="Arial" w:eastAsia="Arial" w:hAnsi="Arial"/>
          <w:sz w:val="13"/>
          <w:szCs w:val="13"/>
          <w:color w:val="auto"/>
        </w:rPr>
      </w:pPr>
      <w:r>
        <w:rPr>
          <w:rFonts w:ascii="Arial" w:cs="Arial" w:eastAsia="Arial" w:hAnsi="Arial"/>
          <w:sz w:val="13"/>
          <w:szCs w:val="13"/>
          <w:color w:val="auto"/>
        </w:rPr>
        <w:t>by majority vote of a committee duly designated by the board of directors consisting solely of two or more directors not at the time parties to the claim; and if such a committee cannot be constituted; then (iii) by the shareholders, and if there are no shareholders who are not also directors who are a party to the claim; then (iv) by special legal counsel selected by a majority vote of the full board of directors (in which selection, a director who is a party to the claim may participate). Expenses incurred by such person may be advanced by the corporation prior to the final disposition of the claim under certain circumstances.</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DTC Management, Inc. and Wastehaul,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DTC Management, Inc. and Wastehaul,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Agricultural Acquisitions, LLC is organized as a limited liability company under the laws of Indiana.</w:t>
      </w:r>
    </w:p>
    <w:p>
      <w:pPr>
        <w:spacing w:after="0" w:line="10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Section 23-18-2-2(14) of the Indiana Business Flexibility Act permits a limited liability company to indemnify a member, manager, agent or employee of the corporation under certain circumstances and subject to certain limitations.</w:t>
      </w:r>
    </w:p>
    <w:p>
      <w:pPr>
        <w:spacing w:after="0" w:line="59"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Section 23-18-4-2(a) of the Indiana Business Flexibility Act provides that, unless otherwise provided in a written operating agreement, a member or manager shall not be liable for damages to the limited liability company or to the members of the limited liability company for any action taken or failure to act on behalf of the limited liability company, unless the act or omission constitutes willful misconduct or recklessness.</w:t>
      </w:r>
    </w:p>
    <w:p>
      <w:pPr>
        <w:spacing w:after="0" w:line="67"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operating agreement of Agricultural Acquisitions, LLC provides that the company shall indemnify any member or manager and may indemnify any employee or other agent of the company who was or is a party or is threatened to be made a party to a threatened, pending or completed action, suit or proceeding, whether civil, criminal, administrative or investigative, and whether formal or informal (other than an action by or in the right of the company) by reason of the fact that such member, manager, employee or other agent of the company operates in that capacity, against all expenses, including attorney fees, judgments, penalties, fines and amounts paid in</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
        <w:spacing w:after="0" w:line="296" w:lineRule="auto"/>
        <w:rPr>
          <w:sz w:val="20"/>
          <w:szCs w:val="20"/>
          <w:color w:val="auto"/>
        </w:rPr>
      </w:pPr>
      <w:r>
        <w:rPr>
          <w:rFonts w:ascii="Arial" w:cs="Arial" w:eastAsia="Arial" w:hAnsi="Arial"/>
          <w:sz w:val="12"/>
          <w:szCs w:val="12"/>
          <w:color w:val="auto"/>
        </w:rPr>
        <w:t>settlement actually and reasonably incurred by such person in connection with the action, suit or proceeding. Such indemnification will only be provided if such person acted in good faith, with the care an ordinarily prudent person in a like position would exercise under similar circumstances and in a manner that such person reasonably believed to be in the best interest of the company and, with respect to a criminal action or proceeding, if such person had no reasonable cause to believe that the person’s conduct was unlawful.</w:t>
      </w:r>
    </w:p>
    <w:p>
      <w:pPr>
        <w:spacing w:after="0" w:line="46" w:lineRule="exact"/>
        <w:rPr>
          <w:sz w:val="20"/>
          <w:szCs w:val="20"/>
          <w:color w:val="auto"/>
        </w:rPr>
      </w:pPr>
    </w:p>
    <w:p>
      <w:pPr>
        <w:ind w:left="680" w:right="20" w:firstLine="7"/>
        <w:spacing w:after="0" w:line="300" w:lineRule="auto"/>
        <w:tabs>
          <w:tab w:leader="none" w:pos="858"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Benton County Development Company, Clinton County Landfill Partnership, County Line Landfill Partnership, Illiana Disposal Partnership, Jasper County Development Company Partnership, Key Waste Indiana Partnership, Lake County C &amp; D Development Partnership, Newton County Landfill Partnership, Springfield Environmental General Partnership, Tippecanoe County Waste Services Partnership and Warrick County Development Company are organized as general partnerships under the laws of Indiana.</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Section 23-4-1-18(b) of the Indiana Uniform Partnership Act authorizes a general partnership to indemnify partners under certain circumstances and subject to certain limitations.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partnership agreements of any of the Indiana general partnership registrants.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Iowa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Jetter Disposal, Inc. is incorporated under the laws of Iowa.</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Division VIII, Part E of the Iowa Business Corporation Act authorizes a court to award, or a corporation’s board of directors to grant, indemnity to officers and directors of the corporation under certain circumstances and subject to certain limitations.</w:t>
      </w:r>
    </w:p>
    <w:p>
      <w:pPr>
        <w:spacing w:after="0" w:line="59" w:lineRule="exact"/>
        <w:rPr>
          <w:sz w:val="20"/>
          <w:szCs w:val="20"/>
          <w:color w:val="auto"/>
        </w:rPr>
      </w:pPr>
    </w:p>
    <w:p>
      <w:pPr>
        <w:ind w:left="680" w:right="20" w:firstLine="399"/>
        <w:spacing w:after="0" w:line="305" w:lineRule="auto"/>
        <w:rPr>
          <w:sz w:val="20"/>
          <w:szCs w:val="20"/>
          <w:color w:val="auto"/>
        </w:rPr>
      </w:pPr>
      <w:r>
        <w:rPr>
          <w:rFonts w:ascii="Arial" w:cs="Arial" w:eastAsia="Arial" w:hAnsi="Arial"/>
          <w:sz w:val="11"/>
          <w:szCs w:val="11"/>
          <w:color w:val="auto"/>
        </w:rPr>
        <w:t>Section 490.831(1) provides that a director shall not be liable to the corporation or its shareholders for any decision as a director to take or not to take action or any failure to take any action unless the challenged conduct was the result of (i) action not in good faith, (ii) a decision that the director did not reasonably believe to be in the best interests of the corporation or</w:t>
      </w:r>
    </w:p>
    <w:p>
      <w:pPr>
        <w:spacing w:after="0" w:line="1" w:lineRule="exact"/>
        <w:rPr>
          <w:sz w:val="20"/>
          <w:szCs w:val="20"/>
          <w:color w:val="auto"/>
        </w:rPr>
      </w:pPr>
    </w:p>
    <w:p>
      <w:pPr>
        <w:ind w:left="680" w:firstLine="7"/>
        <w:spacing w:after="0" w:line="327" w:lineRule="auto"/>
        <w:tabs>
          <w:tab w:leader="none" w:pos="909" w:val="left"/>
        </w:tabs>
        <w:numPr>
          <w:ilvl w:val="0"/>
          <w:numId w:val="43"/>
        </w:numPr>
        <w:rPr>
          <w:rFonts w:ascii="Arial" w:cs="Arial" w:eastAsia="Arial" w:hAnsi="Arial"/>
          <w:sz w:val="11"/>
          <w:szCs w:val="11"/>
          <w:color w:val="auto"/>
        </w:rPr>
      </w:pPr>
      <w:r>
        <w:rPr>
          <w:rFonts w:ascii="Arial" w:cs="Arial" w:eastAsia="Arial" w:hAnsi="Arial"/>
          <w:sz w:val="11"/>
          <w:szCs w:val="11"/>
          <w:color w:val="auto"/>
        </w:rPr>
        <w:t>a decision as to which the director was not informed to an extent the director reasonably believed appropriate in the circumstances. Section 490.842(3) provides that an officer shall not be liable to the corporation or its shareholders for any decision to take or not to take action or any failure to take any action if the duties of the officer are performed (i) in good faith, (ii) with the care that a person in a like position would reasonably exercise under similar circumstances and (iii) in a manner he or she reasonably believes to be in the best interests of the corporation.</w:t>
      </w:r>
    </w:p>
    <w:p>
      <w:pPr>
        <w:spacing w:after="0" w:line="36"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The bylaws of Jetter Disposal,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The bylaws of Jetter Disposal,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w:t>
      </w:r>
    </w:p>
    <w:p>
      <w:pPr>
        <w:spacing w:after="0" w:line="1" w:lineRule="exact"/>
        <w:rPr>
          <w:sz w:val="20"/>
          <w:szCs w:val="20"/>
          <w:color w:val="auto"/>
        </w:rPr>
      </w:pPr>
    </w:p>
    <w:p>
      <w:pPr>
        <w:ind w:left="680" w:firstLine="7"/>
        <w:spacing w:after="0" w:line="254" w:lineRule="auto"/>
        <w:tabs>
          <w:tab w:leader="none" w:pos="836" w:val="left"/>
        </w:tabs>
        <w:numPr>
          <w:ilvl w:val="0"/>
          <w:numId w:val="44"/>
        </w:numPr>
        <w:rPr>
          <w:rFonts w:ascii="Arial" w:cs="Arial" w:eastAsia="Arial" w:hAnsi="Arial"/>
          <w:sz w:val="13"/>
          <w:szCs w:val="13"/>
          <w:color w:val="auto"/>
        </w:rPr>
      </w:pPr>
      <w:r>
        <w:rPr>
          <w:rFonts w:ascii="Arial" w:cs="Arial" w:eastAsia="Arial" w:hAnsi="Arial"/>
          <w:sz w:val="13"/>
          <w:szCs w:val="13"/>
          <w:color w:val="auto"/>
        </w:rPr>
        <w:t>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Allied Waste Transfer Services of Iowa, LLC is organized as a limited liability company under the laws of Iowa.</w:t>
      </w:r>
    </w:p>
    <w:p>
      <w:pPr>
        <w:spacing w:after="0" w:line="100"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Section 490A.202(17) of the Iowa Limited Liability Company Act permits a limited liability company to indemnify a member, manager or other person, as provided in an operating agreement.</w:t>
      </w:r>
    </w:p>
    <w:p>
      <w:pPr>
        <w:spacing w:after="0" w:line="59"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Section 490A.706(4) of the Iowa Limited Liability Company Act provides that a manager shall not be liable for any action taken as a manager or any failure to take any action if the manager performed the duties of the manager’s office in good faith, with the care an ordinary prudent person in a like position would exercise under similar circumstances, and in a manner the manager believes to be in the best interests of the limited liability company.</w:t>
      </w:r>
    </w:p>
    <w:p>
      <w:pPr>
        <w:spacing w:after="0" w:line="67"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operating agreement of Allied Waste Transfer Services of Iowa, LLC provides that the company shall defend, indemnify and save harmless the sole member, its officers and directors, and the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Kansas Registrants: American Disposal Services of Kansas, Inc., Resource Recovery, Inc. and Sunset Disposal, Inc. are incorporated under the laws of Kansas.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Section 17-6305 of the General Corporation Code of Kansas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The bylaws of each of the Kansas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w:t>
      </w: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89" w:lineRule="auto"/>
        <w:rPr>
          <w:sz w:val="20"/>
          <w:szCs w:val="20"/>
          <w:color w:val="auto"/>
        </w:rPr>
      </w:pPr>
      <w:r>
        <w:rPr>
          <w:rFonts w:ascii="Arial" w:cs="Arial" w:eastAsia="Arial" w:hAnsi="Arial"/>
          <w:sz w:val="12"/>
          <w:szCs w:val="12"/>
          <w:color w:val="auto"/>
        </w:rPr>
        <w:t>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53"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the Kansas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Kentucky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Republic Services of Kentucky, LLC is organized as a limited liability company under the laws of Kentucky.</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Section 275.180 of the Kentucky Limited Liability Company Act permits a limited liability company to indemnify a member or manager of the company under certain circumstances and subject to certain limitations.</w:t>
      </w:r>
    </w:p>
    <w:p>
      <w:pPr>
        <w:spacing w:after="0" w:line="59"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Section 274.170(1) of the Kentucky Limited Liability Company Act provides that, unless otherwise provided in a written operating agreement, a member or manager shall not be liable, responsible or accountable in damages or otherwise to a limited liability company for any action taken or failure to act on behalf of the limited liability company unless the act or omission constitutes wanton or reckless misconduct.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certificate of formation or operating agreement of Republic Services of Kentucky, LLC.</w:t>
      </w:r>
    </w:p>
    <w:p>
      <w:pPr>
        <w:spacing w:after="0" w:line="92" w:lineRule="exact"/>
        <w:rPr>
          <w:sz w:val="20"/>
          <w:szCs w:val="20"/>
          <w:color w:val="auto"/>
        </w:rPr>
      </w:pPr>
    </w:p>
    <w:p>
      <w:pPr>
        <w:ind w:left="680" w:firstLine="7"/>
        <w:spacing w:after="0" w:line="283" w:lineRule="auto"/>
        <w:tabs>
          <w:tab w:leader="none" w:pos="873"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Benson Valley Landfill General Partnership, Blue Ridge Landfill General Partnership, Green Valley Landfill General Partnership and Morehead Landfill General Partnership are organized as general partnerships under the laws of Kentucky.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Section 362.235 of the Kentucky Uniform Partnership Act authorizes a general partnership to indemnify partners under certain circumstances and subject to certain limitations.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partnership agreement of any of the Kentucky general partnership registrants.</w:t>
      </w:r>
    </w:p>
    <w:p>
      <w:pPr>
        <w:spacing w:after="0" w:line="92" w:lineRule="exact"/>
        <w:rPr>
          <w:sz w:val="20"/>
          <w:szCs w:val="20"/>
          <w:color w:val="auto"/>
        </w:rPr>
      </w:pPr>
    </w:p>
    <w:p>
      <w:pPr>
        <w:ind w:left="680" w:right="500"/>
        <w:spacing w:after="0" w:line="283" w:lineRule="auto"/>
        <w:rPr>
          <w:sz w:val="20"/>
          <w:szCs w:val="20"/>
          <w:color w:val="auto"/>
        </w:rPr>
      </w:pPr>
      <w:r>
        <w:rPr>
          <w:rFonts w:ascii="Arial" w:cs="Arial" w:eastAsia="Arial" w:hAnsi="Arial"/>
          <w:sz w:val="13"/>
          <w:szCs w:val="13"/>
          <w:b w:val="1"/>
          <w:bCs w:val="1"/>
          <w:color w:val="auto"/>
        </w:rPr>
        <w:t>Louisiana Registrants: Crescent Acres Landfill, LLC, Frontier Waste Services of Louisiana L.L.C., Jefferson Parish Development Company, LLC and St. Bernard Parish Development Company, LLC are organized as limited liability companies under the laws of Louisiana.</w:t>
      </w:r>
    </w:p>
    <w:p>
      <w:pPr>
        <w:spacing w:after="0" w:line="54"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Section 12:1315(2) of the Louisiana Limited Liability Company Act permits a limited liability company to indemnify a member or manager of the company under certain circumstances and subject to certain limitations.</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Section 12:1314 of the Louisiana Limited Liability Company Act provides that a manager or managing member shall not be liable for any action taken on behalf of the limited liability company or any failure to take any action if he or she performed the duties of his or her office in good faith, with the diligence, care, judgment, and skill which an ordinary prudent person in a like position would exercise under similar circumstances.</w:t>
      </w:r>
    </w:p>
    <w:p>
      <w:pPr>
        <w:spacing w:after="0" w:line="67" w:lineRule="exact"/>
        <w:rPr>
          <w:sz w:val="20"/>
          <w:szCs w:val="20"/>
          <w:color w:val="auto"/>
        </w:rPr>
      </w:pPr>
    </w:p>
    <w:p>
      <w:pPr>
        <w:jc w:val="both"/>
        <w:ind w:left="680" w:right="80" w:firstLine="399"/>
        <w:spacing w:after="0" w:line="289" w:lineRule="auto"/>
        <w:rPr>
          <w:sz w:val="20"/>
          <w:szCs w:val="20"/>
          <w:color w:val="auto"/>
        </w:rPr>
      </w:pPr>
      <w:r>
        <w:rPr>
          <w:rFonts w:ascii="Arial" w:cs="Arial" w:eastAsia="Arial" w:hAnsi="Arial"/>
          <w:sz w:val="12"/>
          <w:szCs w:val="12"/>
          <w:color w:val="auto"/>
        </w:rPr>
        <w:t>The operating agreement of Frontier Waste Services of Louisiana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53"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The operating agreement of each of Crescent Acres Landfill, LLC, Jefferson Parish Development Company, LLC and St. Bernard Parish Development, LLC provides for identical indemnification as described in the preceding paragraph, except that such indemnification is also provided to the directors of the sole member of the company.</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Maryland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Browning-Ferris, Inc., Calvert Trash Systems, Incorporated and Honeygo Run Reclamation Center, Inc. are incorporated under the laws of Maryland.</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Section 2-418 of the Maryland General Corporation Law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Section 2-405.1 of the Maryland General Corporation Law and Section 5-417 of the Maryland Courts and Judicial Proceedings Article provide that a director shall have no liability by reason of being or having been a director of a corporation if such director performs his or her duties (i) in good faith, (ii) in a manner he or she reasonably believes to be in the best interests of the corporation and (iii) with the care that an ordinarily prudent person in a like position would use under similar circumstances.</w:t>
      </w:r>
    </w:p>
    <w:p>
      <w:pPr>
        <w:spacing w:after="0" w:line="5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each of the Maryland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bylaws of each of the Maryland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Prince George’s County Landfill, LLC is organized as a limited liability company under the laws of Maryland.</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Section 4A-203 of the Maryland Limited Liability Company Act permits a limited liability company to indemnify a member, agent or employee of the company under certain circumstances and subject to certain limitations.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operating agreement of Prince George’s County Landfill,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Massachusetts Registrants:</w:t>
      </w:r>
    </w:p>
    <w:p>
      <w:pPr>
        <w:spacing w:after="0" w:line="96" w:lineRule="exact"/>
        <w:rPr>
          <w:sz w:val="20"/>
          <w:szCs w:val="20"/>
          <w:color w:val="auto"/>
        </w:rPr>
      </w:pPr>
    </w:p>
    <w:p>
      <w:pPr>
        <w:ind w:left="680" w:right="220" w:firstLine="7"/>
        <w:spacing w:after="0" w:line="283" w:lineRule="auto"/>
        <w:tabs>
          <w:tab w:leader="none" w:pos="858"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Allied Acquisition Two, Inc., Atlantic Waste Holding Company, Inc., Browning-Ferris Industries, Inc., F. P. McNamara Rubbish Removal, Inc. and Vining Disposal Service, Inc. are incorporated under the laws of Massachusetts.</w:t>
      </w:r>
    </w:p>
    <w:p>
      <w:pPr>
        <w:spacing w:after="0" w:line="54"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Sections 8.50 et seq. of the Massachusetts Business Corporation Act authorize a court to award, or a corporation’s board of directors to grant, indemnity to officers and directors of the corporation under certain circumstances and subject to certain limitations.</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Section 8.30 of the Massachusetts Business Corporation Act provides that a director shall not be liable for any action taken as a director, or any failure to take any action, if such director performed the duties of the office (i) in good faith, (ii) with the care that a person in a like position would reasonably believe appropriate under similar circumstances and (iii) in a manner such director reasonably believes to be in the best interests of the corporation. Section 8.42 of the Massachusetts Business Corporation Act provides that an officer shall not be liable to the corporation or its shareholders for any decision to take or not to take any action taken, or any failure to take any action as an officer if the duties of the officer are performed (i) in good faith, (ii) with the care that a person in a like position would reasonable exercise under similar circumstances and (iii) in a manner the officer reasonably believes to be in the best interests of the corporation.</w:t>
      </w:r>
    </w:p>
    <w:p>
      <w:pPr>
        <w:spacing w:after="0" w:line="72"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bylaws of each of Allied Acquisition Two, Inc., Atlantic Waste Holding Company, Inc., Browning-Ferris Industries, Inc. and F. P. McNamara Rubbish Removal,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73"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The bylaws of each of Allied Acquisition Two, Inc., Atlantic Waste Holding Company, Inc., Browning-Ferris Industries, Inc. and F. P. McNamara Rubbish Removal,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63"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The bylaws of Vining Disposal Service, Inc. provide that the corporation shall indemnify and hold harmless each person, now or hereafter an officer or director of the corporation, from and against any and all claims and liabilities to which such person may be or become subject by reason of such person being or having been an officer or a director of the corporation or by reason of such person’s alleged acts or omissions as an officer or director of the corporation. The corporation shall indemnify and reimburse each such officer and director against and for any and all legal and other expenses reasonably incurred by such person in connection with any such claims and liabilities, except with respect to any matters to which such officer or director shall have been adjudicated in any proceeding not to have acted in good faith in the reasonable belief that his action was in the best interest of the corporation. The corporation shall similarly indemnify and hold harmless persons who serve at the corporation’s request as directors or officers of another organization in which the corporation owns shares or of which it is a creditor.</w:t>
      </w:r>
    </w:p>
    <w:p>
      <w:pPr>
        <w:spacing w:after="0" w:line="41" w:lineRule="exact"/>
        <w:rPr>
          <w:sz w:val="20"/>
          <w:szCs w:val="20"/>
          <w:color w:val="auto"/>
        </w:rPr>
      </w:pPr>
    </w:p>
    <w:p>
      <w:pPr>
        <w:ind w:left="680" w:right="160" w:firstLine="7"/>
        <w:spacing w:after="0" w:line="283" w:lineRule="auto"/>
        <w:tabs>
          <w:tab w:leader="none" w:pos="866"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Allied Waste Services of Massachusetts, LLC, BFI Transfer Systems of Massachusetts, LLC and BFI Waste Systems of Massachusetts, LLC are organized as limited liability companies under the laws of Massachusetts.</w:t>
      </w:r>
    </w:p>
    <w:p>
      <w:pPr>
        <w:spacing w:after="0" w:line="54"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Section 8 of the Massachusetts Limited Liability Company Act permits a limited liability company to indemnify a member, manager or any other person under certain circumstances and subject to certain limitations.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operating agreement of each of the Massachusetts limited liability company registrants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Michigan Registrants:</w:t>
      </w:r>
    </w:p>
    <w:p>
      <w:pPr>
        <w:spacing w:after="0" w:line="96" w:lineRule="exact"/>
        <w:rPr>
          <w:sz w:val="20"/>
          <w:szCs w:val="20"/>
          <w:color w:val="auto"/>
        </w:rPr>
      </w:pPr>
    </w:p>
    <w:p>
      <w:pPr>
        <w:ind w:left="680" w:right="160" w:firstLine="7"/>
        <w:spacing w:after="0" w:line="262" w:lineRule="auto"/>
        <w:tabs>
          <w:tab w:leader="none" w:pos="858"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Adrian Landfill, Inc., Central Sanitary Landfill, Inc., Citizens Disposal, Inc., City-Star Services, Inc., Clarkston Disposal, Inc., Dinverno, Inc., Eagle Industries Leasing, Inc., FLL, Inc., G. Van Dyken Disposal Inc., Harland’s Sanitary Landfill, Inc., Oakland Heights Development, Inc., Reliable Disposal, Inc., Royal Holdings, Inc., Sanitary Disposal Service, Inc., Sauk Trail Development, Inc., Standard Disposal Services, Inc., Standard Environmental Services, Inc., Tay-Ban Corporation and Tri-County Refuse Service, Inc. are incorporated under the laws of Michigan.</w:t>
      </w:r>
    </w:p>
    <w:p>
      <w:pPr>
        <w:spacing w:after="0" w:line="6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Sections 450.1651 et seq. of the Michigan Business Corporation Act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Section 450.1209 of the Michigan Business Corporation Act permits a corporation to provide in its articles of incorporation that a director of the corporation shall not be personally liable to the corporation or its shareholders for monetary damages for any action taken or any failure to take any action as a director under certain circumstances and subject to certain limitations.</w:t>
      </w:r>
    </w:p>
    <w:p>
      <w:pPr>
        <w:spacing w:after="0" w:line="67"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The articles of incorporation of Central Sanitary Landfill, Inc. provide that the corporation shall indemnify any director of the corporation who was or is a party or is threatened to be made a party to any threatened, pending or completed action, suit or proceeding by reason of the fact that he or she is or was a director, or is or was serving at the request of the corporation in another capacity, to the fullest extent permitted (in the absence of rights granted under the articles of incorporation, bylaws or contractual rights) by the Michigan Business Corporation Act.</w:t>
      </w:r>
    </w:p>
    <w:p>
      <w:pPr>
        <w:spacing w:after="0" w:line="32"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articles of incorporation of Central Sanitary Landfill, Inc. also provide that a director of the corporation shall not be personally liable to the corporation or its shareholders for monetary damages for a breach of fiduciary duty as a director, except for liability arising from (i) a breach of the director’s duty of loyalty to the corporation or its shareholders, (ii) an act or omission not in good faith or that involves intentional misconduct or knowing violation of law, (iii) a violation of Section 551(1) of the Michigan Business Corporation Act relating to unlawful dividends, distributions or loans or (iv) a transaction from which such director derived an improper personal benefit.</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articles of incorporation of each of Citizens Disposal, Inc. and Clarkston Disposal, Inc. provide that no director of the corporation shall be personally liable to the corporation or its shareholders for monetary damages for a breach of the director’s fiduciary duty.</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articles of incorporation of Oakland Heights Development, Inc. provide that a director of the corporation shall not be personally liable to the corporation or its shareholders for monetary damages for a breach of fiduciary duty as a director, except for liability arising from (i) a breach of the director’s duty of loyalty to the corporation or its shareholders, (ii) an act or omission not in good faith or that involves intentional misconduct or knowing violation of law, (iii) a violation of Section 551(1) of the Michigan Business Corporation Act relating to unlawful dividends, distributions or loans, (iv) a transaction from which such director derived an improper personal benefit or (v) an act or omission occurring prior to the date that the articles of incorporation of the company became effective.</w:t>
      </w:r>
    </w:p>
    <w:p>
      <w:pPr>
        <w:spacing w:after="0" w:line="71"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The bylaws of each of Adrian Landfill, Inc., Central Sanitary Landfill, Inc., Citizens Disposal, Inc., City-Star Services, Inc., Clarkston Disposal, Inc., Dinverno, Inc., Eagle Industries Leasing, Inc., FLL, Inc., Harland’s Sanitary Landfill, Inc., Reliable Disposal, Inc., Sauk Trail Development, Inc., Standard Disposal Services, Inc., Standard Environmental Services, Inc., Tay-Ban Corporation and Tri-County Refuse Service,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57" w:lineRule="auto"/>
        <w:rPr>
          <w:sz w:val="20"/>
          <w:szCs w:val="20"/>
          <w:color w:val="auto"/>
        </w:rPr>
      </w:pPr>
      <w:r>
        <w:rPr>
          <w:rFonts w:ascii="Arial" w:cs="Arial" w:eastAsia="Arial" w:hAnsi="Arial"/>
          <w:sz w:val="13"/>
          <w:szCs w:val="13"/>
          <w:color w:val="auto"/>
        </w:rPr>
        <w:t>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72"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each of Adrian Landfill, Inc., Central Sanitary Landfill, Inc., Citizens Disposal, Inc., City-Star Services, Inc., Clarkston Disposal, Inc., Dinverno, Inc., Eagle Industries Leasing, Inc., FLL, Inc., Harland’s Sanitary Landfill, Inc., Reliable Disposal, Inc., Sauk Trail Development, Inc., Standard Disposal Services, Inc., Standard Environmental Services, Inc., Tay-Ban Corporation and Tri-County Refuse Service,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65"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The bylaws of each of G. Van Dyken Disposal Inc. and Oakland Heights Development, Inc. provide that the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request of the corporation as a director, officer, partner, trustee, employee or agent of another entity or other enterprise against expenses (including attorney fees), judgments, penalties,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or its shareholders and, with respect to a criminal action or proceeding, the person had no reasonable cause to believe his or her conduct was unlawful. The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partner, trustee, employee or agent of another entity or other enterprise, whether for profit or not for profit, against expenses, including attorney fees and amounts paid in settlement actually and reasonably incurred by the person in connection with the action or suit, if the person acted in good faith and in a manner the person reasonably believed to be in or not opposed to the best interests of the corporation or its shareholders. Indemnification shall not be made for a claim, issue or matter in which the person shall have been found liable to the corporation except to the extent authorized by statute.</w:t>
      </w:r>
    </w:p>
    <w:p>
      <w:pPr>
        <w:spacing w:after="0" w:line="65"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bylaws of each of G. Van Dyken Disposal Inc. and Oakland Heights Development, Inc. also provide that (unless compelled by a court) indemnification may be made by the corporation only as authorized in the specified case upon a determination that indemnification of the director, officer, employee or agent is proper in the circumstances because he or she has met the applicable standard of conduct set forth above. This determination</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1" w:lineRule="auto"/>
        <w:rPr>
          <w:sz w:val="20"/>
          <w:szCs w:val="20"/>
          <w:color w:val="auto"/>
        </w:rPr>
      </w:pPr>
      <w:r>
        <w:rPr>
          <w:rFonts w:ascii="Arial" w:cs="Arial" w:eastAsia="Arial" w:hAnsi="Arial"/>
          <w:sz w:val="12"/>
          <w:szCs w:val="12"/>
          <w:color w:val="auto"/>
        </w:rPr>
        <w:t>shall be made by (i) a majority vote of a quorum of the board of directors consisting of the directors who are not parties or threatened to be made parties to the claim, (ii) if a quorum cannot be obtained, by majority vote of a committee duly designated by the board or (iii) by independent legal counsel in a written opinion, or (iv) by all independent directors who are not parties or threatened to be made parties to the claim or (v) by the shareholders, but shares held by directors, officers, employees or agents who are parties or threatened to be made parties to the claim may not be voted. The corporation may advance expenses incurred by a director, officer, employee or agent before final disposition of a proceeding in certain circumstances.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5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bylaws of Royal Holdings, Inc. provide that any person made a party to any action, suit or proceeding by reason of the fact that such person is or was a director, officer or employee of the corporation, or of any corporation in which such person served as such at the request of the corporation, shall be indemnified by the corporation against the reasonable expenses (including attorney’s fees) actually and necessarily incurred by such person in connection with the defense of such action, suit or proceedings or in connection with any appeal therein; provided that such indemnification shall not be available in relation to matters as to which it was adjudged in such action, suit or proceeding or in connection with any appeal therein, that such person is liable for negligence or misconduct in the performance of such person’s duties.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articles of incorporation or bylaws of Sanitary Disposal Service, Inc.</w:t>
      </w:r>
    </w:p>
    <w:p>
      <w:pPr>
        <w:spacing w:after="0" w:line="92" w:lineRule="exact"/>
        <w:rPr>
          <w:sz w:val="20"/>
          <w:szCs w:val="20"/>
          <w:color w:val="auto"/>
        </w:rPr>
      </w:pPr>
    </w:p>
    <w:p>
      <w:pPr>
        <w:ind w:left="680" w:right="40" w:firstLine="7"/>
        <w:spacing w:after="0" w:line="267" w:lineRule="auto"/>
        <w:tabs>
          <w:tab w:leader="none" w:pos="866"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Allied Waste Systems of Michigan, LLC, C &amp; C Expanded Sanitary Landfill, LLC, Republic Services of Michigan Hauling, LLC, Republic Services of Michigan I, LLC, Republic Services of Michigan II, LLC, Republic Services of Michigan III, LLC, Republic Services of Michigan IV, LLC and Republic Services of Michigan V, LLC are organized as limited liability companies under the laws of Michigan.</w:t>
      </w:r>
    </w:p>
    <w:p>
      <w:pPr>
        <w:spacing w:after="0" w:line="6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Section 450.4408 of the Michigan Limited Liability Company Act permits a limited liability company to indemnify managers of the company under certain circumstances and subject to certain limitations.</w:t>
      </w:r>
    </w:p>
    <w:p>
      <w:pPr>
        <w:spacing w:after="0" w:line="59"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Section 450.4404 of the Michigan Limited Liability Company Act provides that a manager shall not be liable for an action taken as a manager or the failure to take an action if such manager performs the duties of his or her office in good faith, with the care an ordinarily prudent person in a like position would exercise under similar circumstances and in a manner he or she reasonably believes to be in the best interests of the limited liability company.</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operating agreement of each of Allied Waste Systems of Michigan, LLC and C &amp; C Expanded Sanitary Landfill,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71"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There is no provision for indemnification or insurance in the certificate of formation or the operating agreement of Republic Services of Michigan Hauling, LLC, Republic Services of Michigan I, LLC, Republic Services of Michigan II, LLC, Republic Services of Michigan III, LLC, Republic Services of Michigan IV, LLC or Republic Services of Michigan V, LLC.</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Minnesota Registrant: Woodlake Sanitary Service, Inc. is incorporated under the laws of Minnesota.</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Section 302A.521 of the Minnesota Business Corporation Act authorizes indemnification of officers, directors, members of committees of the board of directors and employees of the corporation under certain circumstances and subject to certain limitations.</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Section 302A.251(1) of the Minnesota Business Corporation Act provides that a director shall not be liable by reason of being or having been a director of the corporation if the director performs his or her duties (i) in good faith, (ii) in a manner the director reasonably believes to be in the best interests of the corporation and (iii) with the care an ordinarily prudent person in a like position would exercise under similar circumstances.</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Woodlake Sanitary Service,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5"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The bylaws of Woodlake Sanitary Service,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Mississippi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Mississippi Waste Paper Company is incorporated under the laws of Mississippi.</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Subarticle E of Article 8 of the Mississippi Business Corporation Act authorizes a court to award, or a corporation’s board of directors to grant, indemnity to officers and directors of the corporation under certain circumstances and subject to certain limitations.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Section 79-4-8.31 of the Mississippi Business Corporation Act provides that a director shall not be liable to the corporation or its shareholders for any decision to take or not to take action or any failure to take any action as a director unless the challenged conduct consisted or was the result of (i) action not in good faith, (ii) a decision (1) which the director did not reasonably believe to be in the best interests of the corporation or (2) as to which the director was not informed to an extent the director reasonably believed appropriate in the circumstances, (iii) a lack</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of objectivity or independence, (iv) a sustained failure of the director to be informed about the business and affairs of the corporation or (v) receipt of a financial benefit to which the director was not entitled. Section 79-4-8.42 of the Mississippi Business Corporation Act provides that an officer shall not be liable to the corporation or its shareholder for any decision to take or not to take action, or any failure to take any action as an officer so long as the duties of the office are performed (i) in good faith, (ii) with the care that a person in a like position would reasonably exercise under similar circumstances and (iii) in a manner the officer reasonably believes to be in the best interests of the corporation.</w:t>
      </w:r>
    </w:p>
    <w:p>
      <w:pPr>
        <w:spacing w:after="0" w:line="53"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Mississippi Waste Paper Company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5"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The bylaws of Mississippi Waste Paper Company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59" w:lineRule="exact"/>
        <w:rPr>
          <w:sz w:val="20"/>
          <w:szCs w:val="20"/>
          <w:color w:val="auto"/>
        </w:rPr>
      </w:pPr>
    </w:p>
    <w:p>
      <w:pPr>
        <w:ind w:left="680" w:right="20" w:firstLine="7"/>
        <w:spacing w:after="0" w:line="283" w:lineRule="auto"/>
        <w:tabs>
          <w:tab w:leader="none" w:pos="873"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Hancock County Development Company, LLC, Harrison County Landfill, LLC and Jackson County Landfill, LLC are organized as limited liability companies under the laws of Mississippi.</w:t>
      </w:r>
    </w:p>
    <w:p>
      <w:pPr>
        <w:spacing w:after="0" w:line="5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Section 79-29-110 of the Mississippi Limited Liability Company Act authorizes a court to award, or a limited liability company to grant, indemnity to a member, manager or agent of the company under certain circumstances and subject to certain limitations.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Section 79-29-402 of the Mississippi Limited Liability Company Act provides that a manager of a limited liability company shall not be liable for any action taken as a manger or any failure to take any action if the manager</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performed the duties of the office (i) in good faith, (ii) with the care an ordinarily prudent person in a like position would exercise under similar circumstances and (iii) in a manner he or she reasonably believes to be in the best interest of the limited liability company.</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operating agreement of each of the Mississippi limited liability company registrants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Missouri Registrants:</w:t>
      </w:r>
    </w:p>
    <w:p>
      <w:pPr>
        <w:spacing w:after="0" w:line="96" w:lineRule="exact"/>
        <w:rPr>
          <w:sz w:val="20"/>
          <w:szCs w:val="20"/>
          <w:color w:val="auto"/>
        </w:rPr>
      </w:pPr>
    </w:p>
    <w:p>
      <w:pPr>
        <w:ind w:left="680" w:right="120" w:firstLine="7"/>
        <w:spacing w:after="0" w:line="283" w:lineRule="auto"/>
        <w:tabs>
          <w:tab w:leader="none" w:pos="858"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Autoshred, Inc., Belleville Landfill, Inc., CWI of Missouri, Inc., Rock Road Industries, Inc., Tate’s Transfer Systems, Inc. and Thomas Disposal Service, Inc. are incorporated under the laws of Missouri.</w:t>
      </w:r>
    </w:p>
    <w:p>
      <w:pPr>
        <w:spacing w:after="0" w:line="5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Section 351.355 of the General and Business Corporation Law of Missouri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The bylaws of each of Autoshred, Inc., CWI of Missouri, Inc., Rock Road Industries, Inc. and Tate’s Transfer Systems,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3"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The bylaws of each of Autoshred, Inc., CWI of Missouri, Inc., Rock Road Industries, Inc. and Tate’s Transfer Systems,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capacity, or arising out of his or her status as such, whether or not the corporation would have the power or the obligation to indemnify him or her against such liability under the bylaws of the corporation.</w:t>
      </w:r>
    </w:p>
    <w:p>
      <w:pPr>
        <w:spacing w:after="0" w:line="59"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The bylaws of Thomas Disposal Service, Inc. provide that each director or officer or former director or former officer of the corporation shall be indemnified by the corporation against liabilities, expenses, counsel fees and costs reasonably incurred by such person in connection with, or arising out of, any action, suit, proceeding or claim in which such person is made a party by reason of being or having been such director or officer of the corporation.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articles of incorporation or bylaws of Belleville Landfill, Inc.</w:t>
      </w:r>
    </w:p>
    <w:p>
      <w:pPr>
        <w:spacing w:after="0" w:line="92" w:lineRule="exact"/>
        <w:rPr>
          <w:sz w:val="20"/>
          <w:szCs w:val="20"/>
          <w:color w:val="auto"/>
        </w:rPr>
      </w:pPr>
    </w:p>
    <w:p>
      <w:pPr>
        <w:ind w:left="1080" w:right="2520" w:hanging="393"/>
        <w:spacing w:after="0" w:line="397" w:lineRule="auto"/>
        <w:tabs>
          <w:tab w:leader="none" w:pos="874"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Missouri City Landfill, LLC and St. Joseph Landfill, LLC are organized as limited liability companies under the laws of Missouri. </w:t>
      </w:r>
      <w:r>
        <w:rPr>
          <w:rFonts w:ascii="Arial" w:cs="Arial" w:eastAsia="Arial" w:hAnsi="Arial"/>
          <w:sz w:val="13"/>
          <w:szCs w:val="13"/>
          <w:color w:val="auto"/>
        </w:rPr>
        <w:t>The Missouri Limited Liability Company Act is silent as to indemnification.</w:t>
      </w:r>
    </w:p>
    <w:p>
      <w:pPr>
        <w:spacing w:after="0" w:line="1"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Section 347.088(1) of the Missouri Limited Liability Company Act provides that, except as otherwise provided in the operating agreement, a manager or member-manager shall not be liable for any action taken or any failure to take action if he or she performs his duties in good faith, with the care a corporate officer of like position would exercise under similar circumstances and in the manner a reasonable person would believe to be in the best interest of the limited liability company.</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operating agreement of each of the Missouri limited liability company registrants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Montana Registrant: Allied Waste Systems of Montana, LLC is organized as a limited liability company under the laws of Montana.</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Section 35-8-107(12) of the Montana Limited Liability Company Act permits a Montana limited liability company to indemnify a member, agent or employee of the company under certain circumstances and subject to certain limitations.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operating agreement of Allied Waste Systems of Montana,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Nebraska Registrant: Oscar’s Collection System of Fremont, Inc. is incorporated under the laws of Nebraska.</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Sections 21-20, 102 et seq. of the Nebraska Business Corporation Act authorize a court to award, or a corporation’s board of directors to grant, indemnity to officers and directors of the corporation under certain circumstances and subject to certain limitations.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Sections 21-2095(4) and 21-2099(4) of the Nebraska Business Corporation Act provide that a director or officer of a corporation shall not be liable for any action taken as a director or officer or any failure to take any action if he or she performed the duties of his or her office (i) in good faith, (ii) with the care an ordinarily prudent person in a like position would exercise under similar circumstances and (iii) in a manner he or she reasonably believes to be in the best interests of the corporation.</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articles of incorporation or bylaws of Oscar’s Collection System of Fremont, Inc.</w:t>
      </w:r>
    </w:p>
    <w:p>
      <w:pPr>
        <w:spacing w:after="0" w:line="132" w:lineRule="exact"/>
        <w:rPr>
          <w:sz w:val="20"/>
          <w:szCs w:val="20"/>
          <w:color w:val="auto"/>
        </w:rPr>
      </w:pPr>
    </w:p>
    <w:p>
      <w:pPr>
        <w:ind w:left="680" w:right="120"/>
        <w:spacing w:after="0" w:line="283" w:lineRule="auto"/>
        <w:rPr>
          <w:sz w:val="20"/>
          <w:szCs w:val="20"/>
          <w:color w:val="auto"/>
        </w:rPr>
      </w:pPr>
      <w:r>
        <w:rPr>
          <w:rFonts w:ascii="Arial" w:cs="Arial" w:eastAsia="Arial" w:hAnsi="Arial"/>
          <w:sz w:val="13"/>
          <w:szCs w:val="13"/>
          <w:b w:val="1"/>
          <w:bCs w:val="1"/>
          <w:color w:val="auto"/>
        </w:rPr>
        <w:t>Nevada Registrants: Browning-Ferris Industries Chemical Services, Inc., Republic Dumpco, Inc., Republic Environmental Technologies, Inc. and Republic Silver State Disposal, Inc. are incorporated under the laws of Nevada.</w:t>
      </w:r>
    </w:p>
    <w:p>
      <w:pPr>
        <w:spacing w:after="0" w:line="54"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Section 78.7502 of the General Corporation Law of Nevada authorizes a court to award, or a corporation’s board of directors to grant, indemnity to officers and directors of the corporation under certain circumstances and subject to certain limitations.</w:t>
      </w:r>
    </w:p>
    <w:p>
      <w:pPr>
        <w:spacing w:after="0" w:line="59"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Section 78.138(7) of the General Corporation Law of Nevada provides that, unless the articles of incorporation or an amendment thereto filed after October 1, 2003 provide for greater individual liability, a director or officer is not individually liable to the corporation or its stockholders or creditors for any damages as a result of any act or failure to act in such person’s capacity as a director or officer unless it is proven that (i) such person’s act or failure to act constituted a breach of his or her fiduciary duties as a director or officer and (ii) such person’s breach of those duties involved intentional misconduct, fraud or a knowing violation of law.</w:t>
      </w:r>
    </w:p>
    <w:p>
      <w:pPr>
        <w:spacing w:after="0" w:line="7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each of the Nevada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the Nevada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Jersey Registrants:</w:t>
      </w:r>
    </w:p>
    <w:p>
      <w:pPr>
        <w:spacing w:after="0" w:line="96" w:lineRule="exact"/>
        <w:rPr>
          <w:sz w:val="20"/>
          <w:szCs w:val="20"/>
          <w:color w:val="auto"/>
        </w:rPr>
      </w:pPr>
    </w:p>
    <w:p>
      <w:pPr>
        <w:ind w:left="680" w:right="40" w:firstLine="7"/>
        <w:spacing w:after="0" w:line="300" w:lineRule="auto"/>
        <w:tabs>
          <w:tab w:leader="none" w:pos="858" w:val="left"/>
        </w:tabs>
        <w:numPr>
          <w:ilvl w:val="0"/>
          <w:numId w:val="53"/>
        </w:numPr>
        <w:rPr>
          <w:rFonts w:ascii="Arial" w:cs="Arial" w:eastAsia="Arial" w:hAnsi="Arial"/>
          <w:sz w:val="12"/>
          <w:szCs w:val="12"/>
          <w:b w:val="1"/>
          <w:bCs w:val="1"/>
          <w:color w:val="auto"/>
        </w:rPr>
      </w:pPr>
      <w:r>
        <w:rPr>
          <w:rFonts w:ascii="Arial" w:cs="Arial" w:eastAsia="Arial" w:hAnsi="Arial"/>
          <w:sz w:val="12"/>
          <w:szCs w:val="12"/>
          <w:b w:val="1"/>
          <w:bCs w:val="1"/>
          <w:color w:val="auto"/>
        </w:rPr>
        <w:t>Allied Waste of New Jersey, Inc., American Materials Recycling Corp., Automated Modular Systems, Inc., BFI Energy Systems of Essex County, Inc., BFI Transfer Systems of New Jersey, Inc., BFI Waste Systems of New Jersey, Inc., Browning-Ferris Industries of New Jersey, Inc., Louis Pinto &amp; Son, Inc., Sanitation Contractors, Newco Waste Systems of New Jersey, Inc., Tom Luciano’s Disposal Service, Inc. and Total Solid Waste Recyclers, Inc. are incorporated under the laws of New Jersey.</w:t>
      </w:r>
    </w:p>
    <w:p>
      <w:pPr>
        <w:spacing w:after="0" w:line="4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Section 14A:3-5 of the Business Corporation Act of New Jersey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Section 14A:2-7(3) of the New Jersey Business Corporation Act permits a corporation to provide in its articles of incorporation that a director or officer of the corporation shall not be personally liable to the corporation or its shareholders for damages for any breach of duty owed to the corporation or its shareholders, subject to certain limitations.</w:t>
      </w:r>
    </w:p>
    <w:p>
      <w:pPr>
        <w:spacing w:after="0" w:line="3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articles of incorporation of American Materials Recycling Corp. provide for indemnification of all corporate agents to the fullest extent permitted by the Business Corporation Act of New Jersey.</w:t>
      </w:r>
    </w:p>
    <w:p>
      <w:pPr>
        <w:spacing w:after="0" w:line="5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articles of incorporation of American Material Recycling Corp. also provide that the personal liability of the directors of the corporation are eliminated to the fullest extent permitted by the Business Corporation Act of New Jersey.</w:t>
      </w:r>
    </w:p>
    <w:p>
      <w:pPr>
        <w:spacing w:after="0" w:line="59" w:lineRule="exact"/>
        <w:rPr>
          <w:sz w:val="20"/>
          <w:szCs w:val="20"/>
          <w:color w:val="auto"/>
        </w:rPr>
      </w:pPr>
    </w:p>
    <w:p>
      <w:pPr>
        <w:ind w:left="680" w:right="60" w:firstLine="399"/>
        <w:spacing w:after="0" w:line="304" w:lineRule="auto"/>
        <w:rPr>
          <w:sz w:val="20"/>
          <w:szCs w:val="20"/>
          <w:color w:val="auto"/>
        </w:rPr>
      </w:pPr>
      <w:r>
        <w:rPr>
          <w:rFonts w:ascii="Arial" w:cs="Arial" w:eastAsia="Arial" w:hAnsi="Arial"/>
          <w:sz w:val="11"/>
          <w:szCs w:val="11"/>
          <w:color w:val="auto"/>
        </w:rPr>
        <w:t>The bylaws of each of American Materials Recycling Corp., Automated Modular Systems, Inc., BFI Energy Systems of Essex County, Inc., BFI Transfer Systems of New Jersey, Inc., BFI Waste Systems of New Jersey, Inc., Browning-Ferris Industries of New Jersey, Inc., Louis Pinto &amp; Son, Inc., Sanitation Contractors, Newco Waste Systems of New Jersey, Inc., Tom Luciano’s Disposal Service, Inc. and Total Solid Waste Recyclers,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207" w:lineRule="exact"/>
        <w:rPr>
          <w:sz w:val="20"/>
          <w:szCs w:val="20"/>
          <w:color w:val="auto"/>
        </w:rPr>
      </w:pPr>
    </w:p>
    <w:p>
      <w:pPr>
        <w:ind w:left="680" w:right="240" w:firstLine="399"/>
        <w:spacing w:after="0" w:line="316" w:lineRule="auto"/>
        <w:rPr>
          <w:sz w:val="20"/>
          <w:szCs w:val="20"/>
          <w:color w:val="auto"/>
        </w:rPr>
      </w:pPr>
      <w:r>
        <w:rPr>
          <w:rFonts w:ascii="Arial" w:cs="Arial" w:eastAsia="Arial" w:hAnsi="Arial"/>
          <w:sz w:val="11"/>
          <w:szCs w:val="11"/>
          <w:color w:val="auto"/>
        </w:rPr>
        <w:t>The bylaws of each of American Materials Recycling Corp., Automated Modular Systems, Inc., BFI Energy Systems of Essex County, Inc., BFI Transfer Systems of New Jersey, Inc., BFI Waste Systems of New Jersey, Inc., Browning-Ferris Industries of New Jersey, Inc., Louis Pinto &amp; Son, Inc., Sanitation Contractors, Newco Waste Systems of New Jersey, Inc., Tom Luciano’s Disposal Service, Inc. and Total Solid Waste Recyclers,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w:t>
      </w:r>
    </w:p>
    <w:p>
      <w:pPr>
        <w:spacing w:after="0" w:line="24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articles of incorporation or bylaws of Allied Waste of New Jersey, Inc.</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(b) Allied Transfer Systems of New Jersey, LLC and Allied Waste Systems of New Jersey, LLC are organized as limited liability companies under the laws of New Jersey.</w:t>
      </w:r>
    </w:p>
    <w:p>
      <w:pPr>
        <w:spacing w:after="0" w:line="11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Section 42:2B-10 of the New Jersey Limited Liability Company Act permits a limited liability company to indemnify a member, manager or other person from and against any and all claims and demands whatsoever.</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operating agreement of each of the New Jersey limited liability company registrants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Mexico Registrant: Allied Waste Industries (New Mexico), Inc. is incorporated under the laws of New Mexico.</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Section 53-11-4.1 of the New Mexico Business Corporation Act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right="20" w:firstLine="399"/>
        <w:spacing w:after="0" w:line="300" w:lineRule="auto"/>
        <w:rPr>
          <w:sz w:val="20"/>
          <w:szCs w:val="20"/>
          <w:color w:val="auto"/>
        </w:rPr>
      </w:pPr>
      <w:r>
        <w:rPr>
          <w:rFonts w:ascii="Arial" w:cs="Arial" w:eastAsia="Arial" w:hAnsi="Arial"/>
          <w:sz w:val="11"/>
          <w:szCs w:val="11"/>
          <w:color w:val="auto"/>
        </w:rPr>
        <w:t>The bylaws of Allied Waste Industries (New Mexico), Inc. provide for indemnification for any person who is or was a director, officer, employee or agent of the corporation or is or was serving at the request of the corporation as a director, officer, employee, agent or fiduciary of another foreign or domestic entity that may be incurred by him or her in connection with or resulting from any claim as long as such person acted in good faith and reasonably believed that his or her conduct was in the best interest of (in the case of conduct in his or her official capacity with the corporation) or not opposed to (in all other cases) the best interest of the corporation. In the case of any criminal proceeding, such person must have had reasonable cause to believe his or her conduct was lawful or had no reasonable cause to believe his or her conduct was unlawful. The determination whether such person has met the required standards of conduct shall be made (i) by the board of directors by majority vote of a quorum consisting of directors not at the time parties to the claim, and if such a quorum cannot be obtained; then</w:t>
      </w:r>
    </w:p>
    <w:p>
      <w:pPr>
        <w:spacing w:after="0" w:line="2" w:lineRule="exact"/>
        <w:rPr>
          <w:sz w:val="20"/>
          <w:szCs w:val="20"/>
          <w:color w:val="auto"/>
        </w:rPr>
      </w:pPr>
    </w:p>
    <w:p>
      <w:pPr>
        <w:ind w:left="680" w:right="20" w:firstLine="7"/>
        <w:spacing w:after="0" w:line="256" w:lineRule="auto"/>
        <w:tabs>
          <w:tab w:leader="none" w:pos="873" w:val="left"/>
        </w:tabs>
        <w:numPr>
          <w:ilvl w:val="0"/>
          <w:numId w:val="54"/>
        </w:numPr>
        <w:rPr>
          <w:rFonts w:ascii="Arial" w:cs="Arial" w:eastAsia="Arial" w:hAnsi="Arial"/>
          <w:sz w:val="13"/>
          <w:szCs w:val="13"/>
          <w:color w:val="auto"/>
        </w:rPr>
      </w:pPr>
      <w:r>
        <w:rPr>
          <w:rFonts w:ascii="Arial" w:cs="Arial" w:eastAsia="Arial" w:hAnsi="Arial"/>
          <w:sz w:val="13"/>
          <w:szCs w:val="13"/>
          <w:color w:val="auto"/>
        </w:rPr>
        <w:t>by majority vote of a committee duly designated by the board of directors consisting solely of two or more directors not at the time parties to the claim; and if such a committee cannot be constituted; then (iii) by the shareholders, and if there are no shareholders who are not also directors who are a party to the claim; then (iv) by special legal counsel selected by a majority vote of the full board of directors (in which selection, a director who is a party to the claim may participate). Expenses incurred by such person may be advanced by the corporation prior to the final disposition of the claim under certain circumstances.</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York Registrants:</w:t>
      </w:r>
    </w:p>
    <w:p>
      <w:pPr>
        <w:spacing w:after="0" w:line="96" w:lineRule="exact"/>
        <w:rPr>
          <w:sz w:val="20"/>
          <w:szCs w:val="20"/>
          <w:color w:val="auto"/>
        </w:rPr>
      </w:pPr>
    </w:p>
    <w:p>
      <w:pPr>
        <w:ind w:left="680" w:right="200" w:firstLine="7"/>
        <w:spacing w:after="0" w:line="283" w:lineRule="auto"/>
        <w:tabs>
          <w:tab w:leader="none" w:pos="858"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Allied Waste of Long Island, Inc., American Transfer Company, Inc., Browning-Ferris Industries of New York, Inc., CECOS International, Inc., Island Waste Services Ltd., Tricil (N.Y.), Inc. and Waste Services of New York, Inc. are incorporated under the laws of New York.</w:t>
      </w:r>
    </w:p>
    <w:p>
      <w:pPr>
        <w:spacing w:after="0" w:line="5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Article 7 of the New York Business Corporations Law authorizes a court to award, or a corporation’s board of directors to grant, indemnity to an officer or director of the corporation under certain circumstances and subject to certain limitations.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Section 402(b) of the New York Business Corporations Law permits a corporation to provide in its articles of incorporation that a director of the corporation shall not be personally liable to the corporation or its shareholders for damages for any breach of duty in his or her capacity as director, subject to certain limitations.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articles of incorporation of each of Allied Waste of Long Island, Inc. and Waste Services of New York, Inc. provide that no director shall be personally liable to the corporation or its shareholders for damages for any breach of duty in such capacity, except that this provision shall not eliminate or limit the liability of any director if a judgment or other final adjudication adverse to such director establishes that such director’s act or omissions (i) were in bad faith, (ii) involved intentional misconduct or a knowing violation of law, (iii) were such that such director personally gained a financial profit or other advantage to which such director was not legally entitled or (iv) that such director’s acts violated Section 719 of the New York Business Corporations Law relating to an unlawful dividend, repurchase or distribution of assets, nor shall this provision eliminate or limit the liability of any director for any act or omission prior to the adoption of this provision.</w:t>
      </w:r>
    </w:p>
    <w:p>
      <w:pPr>
        <w:spacing w:after="0" w:line="72"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each of Allied Waste of Long Island, Inc., American Transfer Company, Inc., Browning-Ferris Industries of New York, Inc. and CECOS International,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3"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The bylaws Allied Waste of Long Island, Inc., American Transfer Company, Inc., Browning-Ferris Industries of New York, Inc. and CECOS International,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80"/>
        <w:spacing w:after="0" w:line="289" w:lineRule="auto"/>
        <w:rPr>
          <w:sz w:val="20"/>
          <w:szCs w:val="20"/>
          <w:color w:val="auto"/>
        </w:rPr>
      </w:pPr>
      <w:r>
        <w:rPr>
          <w:rFonts w:ascii="Arial" w:cs="Arial" w:eastAsia="Arial" w:hAnsi="Arial"/>
          <w:sz w:val="12"/>
          <w:szCs w:val="12"/>
          <w:color w:val="auto"/>
        </w:rPr>
        <w:t>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53"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bylaws of Tricil (N.Y.), Inc. provide that the corporation shall indemnify any person made or threatened to be made a party to any action, suit or proceeding by reason of the fact that such person is or was a director or officer of the corporation, or of any other corporation which such person served as such at the request of the corporation, against all judgments, fines, amounts paid in settlement and reasonable expenses, including attorneys’ fees, actually and necessarily incurred by him or her in connection with the defense of such action, suit or proceeding, or in connection with any appeal therein, to the fullest extent and in the manner set forth in and permitted by the New York Business Corporations Law. The board of directors, in its discretion, shall have the power to purchase and maintain insurance in accordance with the New York Business Corporations Law.</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bylaws of Island Waste Services Ltd. or Waste Services of New York, Inc.</w:t>
      </w:r>
    </w:p>
    <w:p>
      <w:pPr>
        <w:spacing w:after="0" w:line="92" w:lineRule="exact"/>
        <w:rPr>
          <w:sz w:val="20"/>
          <w:szCs w:val="20"/>
          <w:color w:val="auto"/>
        </w:rPr>
      </w:pPr>
    </w:p>
    <w:p>
      <w:pPr>
        <w:ind w:left="680" w:right="40" w:firstLine="7"/>
        <w:spacing w:after="0" w:line="283" w:lineRule="auto"/>
        <w:tabs>
          <w:tab w:leader="none" w:pos="866"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Allied Waste Niagara Falls Landfill, LLC, Allied Waste Transfer Services of New York, LLC, Menands Environmental Solutions, LLC and Wayne County Land Development, LLC are organized as limited liability companies under the laws of New York.</w:t>
      </w:r>
    </w:p>
    <w:p>
      <w:pPr>
        <w:spacing w:after="0" w:line="5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Section 420 of the New York Limited Liability Company Law authorizes a limited liability company to indemnify any member, manager or other person under certain circumstances and subject to certain limitations.</w:t>
      </w:r>
    </w:p>
    <w:p>
      <w:pPr>
        <w:spacing w:after="0" w:line="59"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Section 409(c) of the New York Limited Liability Company Law provides that a manager shall have no liability by reason of being or having been a manager of a limited liability company if the manager performs his or her duties in good faith and with that degree of care that an ordinarily prudent person in a like position would use under similar circumstances.</w:t>
      </w:r>
    </w:p>
    <w:p>
      <w:pPr>
        <w:spacing w:after="0" w:line="3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operating agreement of each of the New York limited liability company registrants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North Carolina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Lake Norman Landfill, Inc. and Republic Services Real Estate Holding, Inc. are incorporated under the laws of North Carolina.</w:t>
      </w:r>
    </w:p>
    <w:p>
      <w:pPr>
        <w:spacing w:after="0" w:line="100"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Part 5 of Article 8 of the North Carolina Business Corporation Act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Section 55-2-02(b)(3) of the North Carolina Business Corporation Act permits a corporation to provide in its articles of incorporation that a director of the corporation shall not be personally liable in an action by or in the right of the corporation for monetary damages for any breach of duty as a director under certain circumstances and subject to certain limitations. Sections 55-8-30(d) and 55-8-42(d) provide that a director or officer of a corporation shall not be liable for any action taken as a director or officer or any failure to take any action if he performed the duties of his or her office (i) in good faith, (ii) with the care an ordinarily prudent person in a like position would exercise under similar circumstances and (iii) in a manner he or she reasonably believes to be in the best interests of the corporation.</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The articles of incorporation of Lake Norman Landfill, Inc. provide that, to the fullest extent permitted by the North Carolina Business Corporation Act, no person who is serving or has served as a director of the corporation shall be liable to the corporation nor to any of its shareholders for monetary damages for breach of duty as a director.</w:t>
      </w:r>
    </w:p>
    <w:p>
      <w:pPr>
        <w:spacing w:after="0" w:line="35"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each of the North Carolina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the North Carolina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59" w:lineRule="exact"/>
        <w:rPr>
          <w:sz w:val="20"/>
          <w:szCs w:val="20"/>
          <w:color w:val="auto"/>
        </w:rPr>
      </w:pPr>
    </w:p>
    <w:p>
      <w:pPr>
        <w:ind w:left="680" w:right="60" w:firstLine="7"/>
        <w:spacing w:after="0" w:line="283" w:lineRule="auto"/>
        <w:tabs>
          <w:tab w:leader="none" w:pos="866"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Allied Waste Systems of North Carolina, LLC, Allied Waste Transfer Services of North Carolina, LLC and Republic Services of North Carolina, LLC are organized as limited liability companies under the laws of North Carolina.</w:t>
      </w:r>
    </w:p>
    <w:p>
      <w:pPr>
        <w:spacing w:after="0" w:line="54"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Sections 53C-3-31 and 53C-3-32 of the North Carolina Limited Liability Company Act authorize a limited liability company to indemnify a member, manager, director or executive of the company under certain circumstances and subject to certain limitations.</w:t>
      </w:r>
    </w:p>
    <w:p>
      <w:pPr>
        <w:spacing w:after="0" w:line="59"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Section 57C-3-22(d) of the North Carolina Limited Liability Company Act provides that a manager shall not be liable for any action taken as a manager or any failure to take any action if the manager performs the duties of his or her office (i) in good faith, (ii) with the care an ordinary prudent person in a like position would exercise under similar circumstances and</w:t>
      </w:r>
    </w:p>
    <w:p>
      <w:pPr>
        <w:ind w:left="5540" w:right="4240" w:hanging="4853"/>
        <w:spacing w:after="0" w:line="738" w:lineRule="auto"/>
        <w:tabs>
          <w:tab w:leader="none" w:pos="91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 the manner the manager reasonably believes to be in the best interests of the limited liability company. 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operating agreement of each of Allied Waste Systems of North Carolina, LLC and Allied Waste Transfer Services of North Carolina,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certificate of formation or the operating agreement of Republic Services of North Carolina, LLC.</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Ohio Registrants:</w:t>
      </w:r>
    </w:p>
    <w:p>
      <w:pPr>
        <w:spacing w:after="0" w:line="96" w:lineRule="exact"/>
        <w:rPr>
          <w:sz w:val="20"/>
          <w:szCs w:val="20"/>
          <w:color w:val="auto"/>
        </w:rPr>
      </w:pPr>
    </w:p>
    <w:p>
      <w:pPr>
        <w:ind w:left="680" w:right="300" w:firstLine="7"/>
        <w:spacing w:after="0" w:line="267" w:lineRule="auto"/>
        <w:tabs>
          <w:tab w:leader="none" w:pos="866"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Celina Landfill, Inc., Cherokee Run Landfill, Inc., Dempsey Waste Systems II, Inc., Noble Road Landfill, Inc., Ohio Republic Contracts, Inc., Port Clinton Landfill, Inc., Preble County Landfill, Inc., R.C. Miller Enterprises, Inc., R.C. Miller Refuse Service Inc., Ross Bros. Waste &amp; Recycling Co., The Ecology Group, Inc. and Williams County Landfill Inc. are incorporated under the laws of Ohio.</w:t>
      </w:r>
    </w:p>
    <w:p>
      <w:pPr>
        <w:spacing w:after="0" w:line="6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Section 1701.13(E) of the Ohio General Corporation Law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Section 1701.59(D) of the Ohio General Corporation Law provides that, unless otherwise provided in the articles of incorporation or bylaws, a director shall be liable in damages for any action that the director takes or fails to take as a director only if it is proved by clear and convincing evidence in a court of competent jurisdiction that the director’s action or failure to act involved an act or omission undertaken with deliberate intent to cause injury to the corporation or undertaken with reckless disregard for the best interests of the corporation.</w:t>
      </w:r>
    </w:p>
    <w:p>
      <w:pPr>
        <w:spacing w:after="0" w:line="5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The articles of incorporation of R.C. Miller Enterprises, Inc. provide that the corporation shall indemnify and hold harmless each person who shall serve at any time as a director or officer of the corporation from and against any and all claims and liabilities to which such person shall become subject by reason of his or her having been a director or officer of the corporation, or by reason of any action alleged to have been taken or omitted by him or her as such director or officer, and shall reimburse each such person for all legal and other expenses reasonably incurred by such person in connection with any such claim or liability; provided, however, that no such person shall be indemnified against or be reimbursed for any expense incurred arising out of such person’s own negligence or willful misconduct.</w:t>
      </w:r>
    </w:p>
    <w:p>
      <w:pPr>
        <w:spacing w:after="0" w:line="71"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bylaws of Celina Landfill, Inc. provide that each director, officer and non-officer employee of the corporation shall be indemnified by the corporation against the costs and expenses reasonably incurred by such person in connection with the defense of any action, suit or proceeding to which such person is made a party by reason of being or having been a director, officer or non-officer employee of the corporation, except with respect to matters as to which such person shall be adjudged in such action to be liable for dereliction or negligence in the performance of such person’s duties as director, officer or non-officer employee.</w:t>
      </w:r>
    </w:p>
    <w:p>
      <w:pPr>
        <w:spacing w:after="0" w:line="7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bylaws of Cherokee Run Landfill, Inc. provide that the corporation shall indemnify any person who was or is a party or is threatened to be made a party to any threatened, pending or completed action, suit or proceeding, whether civil, criminal, administrative or investigative (other than an action threatened or instituted directly by the corporation) by reason of the fact that such person is or was a director, officer, employee or agent of the corporation, or is or was serving at the request of the corporation as a director, trustee,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conduct was unlawful. The corporation may indemnify or agree to indemnify any person who was or is a party or is threatened to be made a party to any threatened, pending or completed action or suit which is threatened or instituted by the corporation directly (rather than a derivative action in the right of the corporation) to procure a judgment in its favor by reason of the fact that such person is or was a director, officer, employee or agent of the</w:t>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corporation, or is or was serving at the request of the corporation as a director, trustee, officer, employee or agent of another entity or other enterprise, against expenses (including attorneys’ fees) actually and reasonably incurred by him or her in connection with such action or suit of such person acted in good faith and in a manner such person reasonably believed to be in or not opposed to the best interests of the corporation, except that no such indemnification shall be made in respect of any claim, issue or matter as to which such person shall have been adjudged to be liable for negligence or misconduct in the performance of his or her duty to the corporation unless and only to the extent that the Court of Common Pleas of Madison County, Ohio or the court in which such action or suit was brought shall determine upon application that, despite the adjudication of liability, but in view of all the circumstances of the case, such person is fairly and reasonably entitled to indemnity for such expenses as such court shall deem proper.</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bylaws of Cherokee Run Landfill, Inc. also provide that, to the extent that a director, trustee, officer, employee or agent has been successful on the merits or otherwise in defense of any such action, suit or proceeding or in defense of any claim, issue or matter therein, such person shall be indemnified against expenses (including attorneys’ fees) actually and reasonably incurred by him or her in connection therewith. The corporation may purchase and maintain insurance on behalf of any person who is or was a director, officer, employee or agent of the corporation, or is or was serving at the request of the corporation as a director, trustee, officer, employee, or agent of another entity or other enterprise, against any liability asserted against him or her and incurred by him or her in any such capacity, or arising out of his status as such, whether or not the corporation would have the power to indemnify him or her against such liability under the bylaws of the corporation.</w:t>
      </w:r>
    </w:p>
    <w:p>
      <w:pPr>
        <w:spacing w:after="0" w:line="72"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each of Dempsey Waste Systems II, Inc., Noble Road Landfill, Inc., Ohio Republic Contracts, Inc., Port Clinton Landfill, Inc., Preble County Landfill, Inc., R.C. Miller Enterprises, Inc., R.C. Miller Refuse Service Inc., Ross Bros. Waste &amp; Recycling Co., The Ecology Group, Inc. and Williams County Landfill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bylaws of each of Dempsey Waste Systems II, Inc., Noble Road Landfill, Inc., Ohio Republic Contracts, Inc., Port Clinton Landfill, Inc., Preble County Landfill, Inc., R.C. Miller Enterprises, Inc., R.C. Miller Refuse Service Inc., Ross Bros. Waste &amp; Recycling Co., The Ecology Group, Inc. and Williams County Landfill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51" w:lineRule="exact"/>
        <w:rPr>
          <w:sz w:val="20"/>
          <w:szCs w:val="20"/>
          <w:color w:val="auto"/>
        </w:rPr>
      </w:pPr>
    </w:p>
    <w:p>
      <w:pPr>
        <w:jc w:val="both"/>
        <w:ind w:left="680" w:right="80" w:firstLine="7"/>
        <w:spacing w:after="0" w:line="262" w:lineRule="auto"/>
        <w:tabs>
          <w:tab w:leader="none" w:pos="866"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Allied Waste Transfer Services of Lima, LLC, AWIN Leasing II, LLC, Carbon Limestone Landfill, LLC, County Environmental Landfill, LLC, County Land Development Landfill, LLC, General Refuse Service of Ohio, L.L.C., Lorain County Landfill, LLC, Lucas County Landfill, LLC, Republic Ohio Contracts, LLC, Republic Services of Ohio Hauling, LLC, Republic Services of Ohio I, LLC, Republic Services of Ohio II, LLC, Republic Services of Ohio III, LLC and Republic Services of Ohio IV, LLC are organized as limited liability companies under the laws of Ohio.</w:t>
      </w:r>
    </w:p>
    <w:p>
      <w:pPr>
        <w:spacing w:after="0" w:line="6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Section 1705.32 of the Ohio Revised Code authorizes a court to award, or a limited liability company to grant, indemnity to a manager, officer, employee or agent of the company under certain circumstances and subject to certain limitations.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Section 1705.29(D) of the Ohio Revised Code provides that, unless otherwise provided in the articles of incorporation or operating agreement, a manager of a limited liability company shall be liable for damages for any action that such manager takes or fails to take as a manager only if it is proved by clear and convincing evidence in a court with jurisdiction that his action or failure to act involved an act or omission undertaken with deliberate intent to cause injury to the company or undertaken with reckless disregard for the best interests of the company.</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operating agreement of each of AWIN Leasing II, LLC and General Refuse Service of Ohio,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53"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operating agreement of each of Allied Waste Transfer Services of Lima, LLC, Carbon Limestone Landfill, LLC, County Environmental Landfill, LLC, County Land Development Landfill, LLC, Lorain County Landfill, LLC and Lucas County Landfill, LLC provides for identical indemnification as described in the preceding paragraph, except that such indemnification is also provided to the directors of the sole member of the company.</w:t>
      </w:r>
    </w:p>
    <w:p>
      <w:pPr>
        <w:spacing w:after="0" w:line="67"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color w:val="auto"/>
        </w:rPr>
        <w:t>There is no provision for indemnification or insurance in the certificate of formation or the operating agreement of Republic Ohio Contracts, LLC, Republic Services of Ohio Hauling, LLC, Republic Services of Ohio I, LLC, Republic Services of Ohio II, LLC, Republic Services of Ohio III, LLC or Republic Services of Ohio IV, LLC.</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Oklahoma Registrants:</w:t>
      </w:r>
    </w:p>
    <w:p>
      <w:pPr>
        <w:spacing w:after="0" w:line="96" w:lineRule="exact"/>
        <w:rPr>
          <w:sz w:val="20"/>
          <w:szCs w:val="20"/>
          <w:color w:val="auto"/>
        </w:rPr>
      </w:pPr>
    </w:p>
    <w:p>
      <w:pPr>
        <w:ind w:left="680" w:right="440" w:firstLine="7"/>
        <w:spacing w:after="0" w:line="283" w:lineRule="auto"/>
        <w:tabs>
          <w:tab w:leader="none" w:pos="858"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ADS, Inc., Allied Waste Services of Stillwater, Inc., American Disposal Services of Missouri, Inc. and Pittsburg County Landfill, Inc. are incorporated under the laws of Oklahoma.</w:t>
      </w:r>
    </w:p>
    <w:p>
      <w:pPr>
        <w:spacing w:after="0" w:line="5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Section 1031of the Oklahoma General Corporation Act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right="500" w:firstLine="399"/>
        <w:spacing w:after="0" w:line="320" w:lineRule="auto"/>
        <w:rPr>
          <w:sz w:val="20"/>
          <w:szCs w:val="20"/>
          <w:color w:val="auto"/>
        </w:rPr>
      </w:pPr>
      <w:r>
        <w:rPr>
          <w:rFonts w:ascii="Arial" w:cs="Arial" w:eastAsia="Arial" w:hAnsi="Arial"/>
          <w:sz w:val="12"/>
          <w:szCs w:val="12"/>
          <w:color w:val="auto"/>
        </w:rPr>
        <w:t>Section 1006(B)(7) of the Oklahoma General Corporation Act permits a corporation to provide in its certificate of incorporation that a director of the corporation shall not be personally liable to the corporation or its shareholders for monetary damages for any breach of a fiduciary duty as a director, subject to certain limitations.</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color w:val="auto"/>
        </w:rPr>
        <w:t>The certificate of incorporation of each of ADS, Inc., American Disposal Services of Missouri, Inc. and Pittsburg County Landfill, Inc. provides that, to the fullest extent permitted by the Oklahoma General Corporation Act, a director of the corporation shall not be liable to the corporation or its shareholders for monetary damages for breach of fiduciary duty as a director.</w:t>
      </w:r>
    </w:p>
    <w:p>
      <w:pPr>
        <w:spacing w:after="0" w:line="12"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each of the Oklahoma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the Oklahoma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bylaws of the corporation.</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BFI Waste Systems of Oklahoma, LLC and Oklahoma City Landfill, L.L.C. are organized as limited liability companies under the laws of Oklahoma.</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Section 2003 and 2017 of the Oklahoma Limited Liability Act permit a limited liability company to indemnify a member, manager, agent or employee of the company under certain circumstances and subject to certain limitations.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Section 2016(4) of the Oklahoma Limited Liability Company Act provides that a manager shall not be liable for any action taken as a manager or any failure to take any action if the manager performed the duties of the office in compliance with the business judgment rule as applied in Oklahoma to directors and officers of a corporation.</w:t>
      </w:r>
    </w:p>
    <w:p>
      <w:pPr>
        <w:spacing w:after="0" w:line="59"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operating agreement of BFI Waste Systems of Oklahoma, LLC provides that the company shall defend, indemnify and save harmless the sole member, its officers, and any officers of the company from and against all</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264" w:lineRule="auto"/>
        <w:rPr>
          <w:sz w:val="20"/>
          <w:szCs w:val="20"/>
          <w:color w:val="auto"/>
        </w:rPr>
      </w:pPr>
      <w:r>
        <w:rPr>
          <w:rFonts w:ascii="Arial" w:cs="Arial" w:eastAsia="Arial" w:hAnsi="Arial"/>
          <w:sz w:val="13"/>
          <w:szCs w:val="13"/>
          <w:color w:val="auto"/>
        </w:rPr>
        <w:t>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operating agreement of Oklahoma City Landfill, L.L.C. provides for identical indemnification as described in the preceding paragraph, except that such indemnification is also provided to the directors of the sole member of the company.</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Oregon Registrants:</w:t>
      </w:r>
    </w:p>
    <w:p>
      <w:pPr>
        <w:spacing w:after="0" w:line="96" w:lineRule="exact"/>
        <w:rPr>
          <w:sz w:val="20"/>
          <w:szCs w:val="20"/>
          <w:color w:val="auto"/>
        </w:rPr>
      </w:pPr>
    </w:p>
    <w:p>
      <w:pPr>
        <w:jc w:val="both"/>
        <w:ind w:left="680" w:right="120" w:firstLine="7"/>
        <w:spacing w:after="0" w:line="262" w:lineRule="auto"/>
        <w:tabs>
          <w:tab w:leader="none" w:pos="858"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Agri-Tech, Inc. of Oregon, Albany — Lebanon Sanitation, Inc., Bio-Med of Oregon, Inc., Capitol Recycling and Disposal, Inc., Corvallis Disposal Co., Dallas Disposal Co., Grants Pass Sanitation, Inc., Keller Drop Box, Inc., McInnis Waste Systems, Inc., Peltier Real Estate Company, Portable Storage Co., Rossman Sanitary Service, Inc., Source Recycling, Inc., United Disposal Service, Inc., Valley Landfills, Inc., Waste Control Systems, Inc., WDTR, Inc. and Willamette Resources, Inc. are incorporated under the laws of Oregon.</w:t>
      </w:r>
    </w:p>
    <w:p>
      <w:pPr>
        <w:spacing w:after="0" w:line="6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Sections 60.387 et seq. of the Oregon Business Corporation Act authorize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Section 60.047(2)(d) of the Oregon Business Corporation Act permits a corporation to provide in its articles of incorporation that a director of the corporation shall not be personally liable to the corporation or its shareholders for monetary damages for conduct as a director, subject to certain limitations. Sections 60.357 and 60.377 of the Oregon Business Corporation Act provide that a director or officer of a corporation shall not be liable for any action taken as a director or officer or any failure to take any action if he or she performed the duties of the office in good faith, with the care an ordinarily prudent person in a like position would exercise under similar circumstances and in a manner he or she reasonably believes to be in the best interests of the corporation.</w:t>
      </w:r>
    </w:p>
    <w:p>
      <w:pPr>
        <w:spacing w:after="0" w:line="71"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The articles of incorporation of each of Agri-Tech, Inc. of Oregon, Albany — Lebanon Sanitation, Inc., Bio-Med of Oregon, Inc., Capitol Recycling and Disposal, Inc., Corvallis Disposal Co., Dallas Disposal Co., Grants Pass Sanitation, Inc., Keller Drop Box, Inc., Peltier Real Estate Company, Portable Storage Co., Source Recycling, Inc., United Disposal Service, Inc., Valley Landfills, Inc., Waste Control Systems, Inc., WDTR, Inc. and Willamette Resources, Inc. provide that the corporation shall indemnify, to the fullest extent permitted by law, any person who is made or threatened to be made a party to, witness in, or otherwise involved in, any action, suit or proceeding by reason of the fact that such person is or was a director or officer of the corporation or any of its subsidiaries. The corporation shall advance all reasonable expenses incurred by such person in advance of the proceeding to the fullest extent required or authorized under the law.</w:t>
      </w:r>
    </w:p>
    <w:p>
      <w:pPr>
        <w:spacing w:after="0" w:line="72" w:lineRule="exact"/>
        <w:rPr>
          <w:sz w:val="20"/>
          <w:szCs w:val="20"/>
          <w:color w:val="auto"/>
        </w:rPr>
      </w:pPr>
    </w:p>
    <w:p>
      <w:pPr>
        <w:ind w:left="680" w:right="120" w:firstLine="399"/>
        <w:spacing w:after="0" w:line="301" w:lineRule="auto"/>
        <w:rPr>
          <w:sz w:val="20"/>
          <w:szCs w:val="20"/>
          <w:color w:val="auto"/>
        </w:rPr>
      </w:pPr>
      <w:r>
        <w:rPr>
          <w:rFonts w:ascii="Arial" w:cs="Arial" w:eastAsia="Arial" w:hAnsi="Arial"/>
          <w:sz w:val="11"/>
          <w:szCs w:val="11"/>
          <w:color w:val="auto"/>
        </w:rPr>
        <w:t>The articles of incorporation of each of Agri-Tech, Inc. of Oregon, Albany — Lebanon Sanitation, Inc., Bio-Med of Oregon, Inc., Capitol Recycling and Disposal, Inc., Corvallis Disposal Co., Dallas Disposal Co., Grants Pass Sanitation, Inc., Keller Drop Box, Inc., Peltier Real Estate Company, Portable Storage Co., Source Recycling, Inc., United Disposal Service, Inc., Valley Landfills, Inc., Waste Control Systems, Inc., WDTR, Inc. and Willamette Resources, Inc. provide that, to the fullest extent permitted by law, no director of the corporation shall be personally liable to the corporation or its shareholders for monetary damages for conduct as a director, except that this provision shall not eliminate or limit the liability of a director for</w:t>
      </w:r>
    </w:p>
    <w:p>
      <w:pPr>
        <w:spacing w:after="0" w:line="2" w:lineRule="exact"/>
        <w:rPr>
          <w:sz w:val="20"/>
          <w:szCs w:val="20"/>
          <w:color w:val="auto"/>
        </w:rPr>
      </w:pPr>
    </w:p>
    <w:p>
      <w:pPr>
        <w:ind w:left="680" w:right="20" w:firstLine="7"/>
        <w:spacing w:after="0" w:line="258" w:lineRule="auto"/>
        <w:tabs>
          <w:tab w:leader="none" w:pos="836" w:val="left"/>
        </w:tabs>
        <w:numPr>
          <w:ilvl w:val="0"/>
          <w:numId w:val="63"/>
        </w:numPr>
        <w:rPr>
          <w:rFonts w:ascii="Arial" w:cs="Arial" w:eastAsia="Arial" w:hAnsi="Arial"/>
          <w:sz w:val="13"/>
          <w:szCs w:val="13"/>
          <w:color w:val="auto"/>
        </w:rPr>
      </w:pPr>
      <w:r>
        <w:rPr>
          <w:rFonts w:ascii="Arial" w:cs="Arial" w:eastAsia="Arial" w:hAnsi="Arial"/>
          <w:sz w:val="13"/>
          <w:szCs w:val="13"/>
          <w:color w:val="auto"/>
        </w:rPr>
        <w:t>any act or omission occurring before the date this provision became effective, (ii) any breach of a director’s duty of loyalty to the corporation or its shareholders, (iii) acts or omissions not in good faith or that involve intentional misconduct or a knowing violation of law, (iv) any distribution to shareholders that is unlawful under the Oregon Business Corporation Act or successor statute or (v) any transaction from which the director derived an improper personal benefit.</w:t>
      </w:r>
    </w:p>
    <w:p>
      <w:pPr>
        <w:spacing w:after="0" w:line="71"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bylaws of each of the Oregon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the Oregon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Allied Waste Transfer Services of Oregon, LLC is organized as a limited liability company under the laws of Oregon.</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Section 63.160 of the Oregon Limited Liability Company Act permits a limited liability company to indemnify a member, manager, employee or agent of the company under certain circumstances and subject to certain limitations.</w:t>
      </w:r>
    </w:p>
    <w:p>
      <w:pPr>
        <w:spacing w:after="0" w:line="5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operating agreement of Allied Waste Transfer Services of Oregon,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Pennsylvania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Allied Acquisition Pennsylvania, Inc., McCusker Recycling, Inc. and New Morgan Landfill Company, Inc. are incorporated under the laws of Pennsylvania.</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Subchapter D of Subpart B of Part II of the Pennsylvania Business Corporation Law authorizes a court to award, or a corporation’s board of directors to grant, indemnity to an officer, director, employee or agent of the corporation under certain circumstances and subject to certain limitations.</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Section 1712(c) of the Pennsylvania Business Corporation Law provides that, except as otherwise provided in the bylaws, an officer of a corporation shall not be liable by reason of having been an officer of the corporation if such officer performs his or her duties as an officer in good faith, in a manner he or she reasonably believes to be in the best interests of the corporation and with such care, including reasonable inquiry, skill and diligence, as a person of ordinary prudence would use under similar circumstances.</w:t>
      </w:r>
    </w:p>
    <w:p>
      <w:pPr>
        <w:spacing w:after="0" w:line="50"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The bylaws of each of McCusker Recycling, Inc. and New Morgan Landfill Company,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20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McCusker Recycling, Inc. and New Morgan Landfill Company,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articles of incorporation or bylaws of Allied Acquisition Pennsylvania, Inc.</w:t>
      </w:r>
    </w:p>
    <w:p>
      <w:pPr>
        <w:spacing w:after="0" w:line="92" w:lineRule="exact"/>
        <w:rPr>
          <w:sz w:val="20"/>
          <w:szCs w:val="20"/>
          <w:color w:val="auto"/>
        </w:rPr>
      </w:pPr>
    </w:p>
    <w:p>
      <w:pPr>
        <w:ind w:left="680" w:right="380" w:firstLine="7"/>
        <w:spacing w:after="0" w:line="283" w:lineRule="auto"/>
        <w:tabs>
          <w:tab w:leader="none" w:pos="866"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Allied Waste Systems of Pennsylvania, LLC, BFI Transfer Systems of Pennsylvania, LLC, BFI Waste Services of Pennsylvania, LLC, Greenridge Reclamation, LLC and Greenridge Waste Services, LLC are organized as limited liability companies under the laws of Pennsylvania.</w:t>
      </w:r>
    </w:p>
    <w:p>
      <w:pPr>
        <w:spacing w:after="0" w:line="54"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Section 8945 of the Pennsylvania Limited Liability Company Law permits a limited liability company to indemnify a member, manager or other person under certain circumstances and subject to certain limitations.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operating agreement of each of the Pennsylvania limited liability company registrants provides that the company shall defend, indemnify and save harmless the sole member, its officers, and any officers of the company</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South Carolina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NationsWaste Catawba Regional Landfill, Inc. is incorporated under the laws of South Carolina.</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Article 5 of Chapter 8 of the South Carolina Business Corporation Act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Sections 33-8-300(d) and 33-8-420(d) of the South Carolina Business Corporation Act provide that a director or officer shall not be liable for any action taken as a director or officer or any failure to take any action if such director or officer performed the duties of his or her office (i) in good faith, (ii) with the care an ordinarily prudent person in a like position would exercise under similar circumstances and (iii) in a manner he or she reasonably believes to be in the best interests of the corporation and its shareholders.</w:t>
      </w:r>
    </w:p>
    <w:p>
      <w:pPr>
        <w:spacing w:after="0" w:line="5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articles of incorporation of NationsWaste Catawba Regional Landfill, Inc. provide that the corporation shall, to the fullest extent permitted by the South Carolina Business Corporation Act, indemnify any and all persons whom it shall have the power to indemnify under the law from and against any and all of the expenses, liabilities or other matters referred to in or covered by the law.</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NationsWaste Catawba Regional Landfill,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5"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bylaws of NationsWaste Catawba Regional Landfill,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Flint Hill Road, LLC is organized as a limited liability company under the laws of South Carolina.</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Section 34-44-403 of the South Carolina Uniform Limited Liability Company Act authorizes a limited liability company to indemnify a member or manager of the company under certain circumstances and subject to certain limitations.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operating agreement of Flint Hill Road,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Tennessee Registrants:</w:t>
      </w:r>
    </w:p>
    <w:p>
      <w:pPr>
        <w:spacing w:after="0" w:line="96" w:lineRule="exact"/>
        <w:rPr>
          <w:sz w:val="20"/>
          <w:szCs w:val="20"/>
          <w:color w:val="auto"/>
        </w:rPr>
      </w:pPr>
    </w:p>
    <w:p>
      <w:pPr>
        <w:ind w:left="680" w:firstLine="7"/>
        <w:spacing w:after="0" w:line="283" w:lineRule="auto"/>
        <w:tabs>
          <w:tab w:leader="none" w:pos="858"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Allied Waste Industries of Tennessee, Inc., Barker Brothers Waste, Incorporated, Browning-Ferris Industries of Tennessee, Inc. and Northwest Tennessee Disposal Corporation are incorporated under the laws of Tennessee.</w:t>
      </w:r>
    </w:p>
    <w:p>
      <w:pPr>
        <w:spacing w:after="0" w:line="54"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Part 5 of Chapter 18 of the Tennessee Business Corporation Act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Sections 48-18-301(d) and 48-18-403(d) of the Tennessee Business Corporation Act provide that a director or officer shall not be liable for any action taken as a director or officer or any failure to take any action if the director or officer performed the duties of his or her office (i) in good faith, (ii) with the care an ordinarily prudent person in a like position would exercise under similar circumstances and (iii) in a manner the director reasonably believes to be in the best interests of the corporation.</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each of Barker Brothers Waste, Incorporated, Browning-Ferris Industries of Tennessee, Inc. and Northwest Tennessee Disposal Corporation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Barker Brothers Waste, Incorporated, Browning-Ferris Industries of Tennessee, Inc. and Northwest Tennessee Disposal Corporation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articles of incorporation or bylaws of Allied Waste Industries of Tennessee, Inc.</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Madison County Development, LLC is organized as a limited liability company under the laws of Tennessee.</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Section 48-243-101 of the Tennessee Limited Liability Company Act authorizes a court to award, or a limited liability company to grant, indemnity to a governor, member, manager, partner, trustee, employee, independent contractor or agent of the company under certain circumstances and subject to certain limitations.</w:t>
      </w:r>
    </w:p>
    <w:p>
      <w:pPr>
        <w:spacing w:after="0" w:line="59"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Sections 48-240-102(e) and 48-241-111(d) of the Tennessee Limited Liability Company Act provide that a member or manager shall not be liable for any action taken as a member or manager or any failure to take any action if the member or manager performed the duties of the position (i) in good faith, (ii) with the care an ordinarily prudent person in a like position would exercise under similar circumstances and (iii) in a manner the member or manager reasonably believes to be in the best interest of the LLC.</w:t>
      </w:r>
    </w:p>
    <w:p>
      <w:pPr>
        <w:spacing w:after="0" w:line="5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operating agreement of Madison County Development,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Texas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Action Disposal, Inc. is incorporated under the laws of Texas.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Section 2.02-1 of the Texas Business Corporation Act authorizes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The bylaws of Action Disposal,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1" w:lineRule="auto"/>
        <w:rPr>
          <w:sz w:val="20"/>
          <w:szCs w:val="20"/>
          <w:color w:val="auto"/>
        </w:rPr>
      </w:pPr>
      <w:r>
        <w:rPr>
          <w:rFonts w:ascii="Arial" w:cs="Arial" w:eastAsia="Arial" w:hAnsi="Arial"/>
          <w:sz w:val="12"/>
          <w:szCs w:val="12"/>
          <w:color w:val="auto"/>
        </w:rPr>
        <w:t>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58"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The bylaws of Action Disposal,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w:t>
      </w:r>
    </w:p>
    <w:p>
      <w:pPr>
        <w:spacing w:after="0" w:line="1" w:lineRule="exact"/>
        <w:rPr>
          <w:sz w:val="20"/>
          <w:szCs w:val="20"/>
          <w:color w:val="auto"/>
        </w:rPr>
      </w:pPr>
    </w:p>
    <w:p>
      <w:pPr>
        <w:ind w:left="680" w:firstLine="7"/>
        <w:spacing w:after="0" w:line="254" w:lineRule="auto"/>
        <w:tabs>
          <w:tab w:leader="none" w:pos="836" w:val="left"/>
        </w:tabs>
        <w:numPr>
          <w:ilvl w:val="0"/>
          <w:numId w:val="66"/>
        </w:numPr>
        <w:rPr>
          <w:rFonts w:ascii="Arial" w:cs="Arial" w:eastAsia="Arial" w:hAnsi="Arial"/>
          <w:sz w:val="13"/>
          <w:szCs w:val="13"/>
          <w:color w:val="auto"/>
        </w:rPr>
      </w:pPr>
      <w:r>
        <w:rPr>
          <w:rFonts w:ascii="Arial" w:cs="Arial" w:eastAsia="Arial" w:hAnsi="Arial"/>
          <w:sz w:val="13"/>
          <w:szCs w:val="13"/>
          <w:color w:val="auto"/>
        </w:rPr>
        <w:t>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Total Roll-Offs, L.L.C. is organized as a limited liability company under the laws of Texas.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Section 2.20 of the Texas Limited Liability Company Act permits a limited liability company to indemnify a member, manager, officer or other person under certain circumstances and subject to certain limitations.</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operating agreement of Total Roll-Offs,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66" w:lineRule="exact"/>
        <w:rPr>
          <w:sz w:val="20"/>
          <w:szCs w:val="20"/>
          <w:color w:val="auto"/>
        </w:rPr>
      </w:pPr>
    </w:p>
    <w:p>
      <w:pPr>
        <w:ind w:left="680" w:right="20" w:firstLine="7"/>
        <w:spacing w:after="0" w:line="283" w:lineRule="auto"/>
        <w:tabs>
          <w:tab w:leader="none" w:pos="858"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Desarrollo del Rancho La Gloria TX, LP, El Centro Landfill, L.P., Frontier Waste Services, L.P., Republic Waste Services of Texas, Ltd. and South Central Texas Land Co. TX, LP are organized as limited partnerships under the laws of Texas.</w:t>
      </w:r>
    </w:p>
    <w:p>
      <w:pPr>
        <w:spacing w:after="0" w:line="5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Chapter 8 of the Texas Revised Limited Partnership Act authorizes a court to award, or a limited partnership to grant, indemnity to a person serving as part of the governing authority of a limited partnership, officer, employee or agent of the corporation under certain circumstances and subject to certain limitations.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Texas Revised Limited Partnership Act is silent as to exculpation of partners.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agreement of limited partnership of each of Desarrollo del Rancho La Gloria TX, LP, Frontier Waste Services, L.P. and South Central Texas Land Co. TX, LP provides that the partnership shall defend, indemnify and save harmless the partners and their officers and directors from and against all losses, claims, costs, liabilities and damages incurred by them by reason of any act performed or omitted to be performed by them in connection with the business of the partnership, including attorneys’ fees incurred by them in connection with the defense of any</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action based on any such act or omission; provided, however, no such person shall be indemnified from any liability for fraud, bad faith, willful misconduct or gross negligence.</w:t>
      </w:r>
    </w:p>
    <w:p>
      <w:pPr>
        <w:spacing w:after="0" w:line="96" w:lineRule="exact"/>
        <w:rPr>
          <w:sz w:val="20"/>
          <w:szCs w:val="20"/>
          <w:color w:val="auto"/>
        </w:rPr>
      </w:pPr>
    </w:p>
    <w:p>
      <w:pPr>
        <w:ind w:left="680" w:right="60" w:firstLine="399"/>
        <w:spacing w:after="0" w:line="307" w:lineRule="auto"/>
        <w:rPr>
          <w:sz w:val="20"/>
          <w:szCs w:val="20"/>
          <w:color w:val="auto"/>
        </w:rPr>
      </w:pPr>
      <w:r>
        <w:rPr>
          <w:rFonts w:ascii="Arial" w:cs="Arial" w:eastAsia="Arial" w:hAnsi="Arial"/>
          <w:sz w:val="11"/>
          <w:szCs w:val="11"/>
          <w:color w:val="auto"/>
        </w:rPr>
        <w:t>The agreement of limited partnership of El Centro Landfill, L.P. provides that the partnership shall indemnify the general partner and its officers, directors, shareholders, controlling persons, employees, agents, affiliates, or assigns thereof, against and save them harmless from any claim, demand, judgment, or liability, and against and from any loss, cost or expense (including, but not limited to, attorneys’ fees and court costs, which may be paid by the partnership as incurred), which may be made or imposed upon such persons by reason of any (i) act performed for or on behalf of the partnership or in furtherance of the partnership business, (ii) inaction on the part of such persons, so long as the party to be indemnified has determined, in good faith, that such course of conduct was in the best interests of the partnership and said conduct did not constitute gross negligence or willful misconduct. The expenses (including legal fees and expenses) of such indemnified persons incurred in defending any proceeding shall be paid by the partnership in advance of the final disposition of the proceeding upon receipt of an undertaking by or on behalf of such person to repay such amount if it shall ultimately be determined by a court of competent jurisdiction that such person is not entitled to be indemnified by the partnership as authorized hereunder. The partnership may purchase and maintain insurance on behalf of the general partner and the persons covered by the preceding sentence whether or not the partnership would have the power or obligation to provide indemnification against liability under the provisions of the agreement of limited partnership.</w:t>
      </w:r>
    </w:p>
    <w:p>
      <w:pPr>
        <w:spacing w:after="0" w:line="48"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agreement of limited partnership of El Centro Landfill, L.P. provides that neither the general partner, nor its officers, directors, shareholders, controlling persons, employees, agents, affiliates or assigns thereof, shall be liable, responsible or accountable in damages or otherwise to the partnership or any partner for any action taken or failure to act on behalf of the partnership within the scope of the authority conferred on the general partner by the partnership agreement or by law, so long as such party acted in good faith and on the belief that such course of conduct was in the best interest of the partnership and such conduct did not constitute gross negligence or gross misconduct.</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There is no provision for indemnification or insurance in the certificate of limited partnership or the limited partnership agreement of Republic Waste Services of Texas, Ltd.</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Utah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Allied Waste Transfer Services of Utah, Inc. and Wasatch Regional Landfill, Inc. are incorporated under the laws of Utah.</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Part 9 of the Utah Business Organizations Code authorizes a court to award, or a corporation’s board of directors to grant, indemnity to an officer, director, employee, fiduciary or agent of the corporation under certain circumstances and subject to certain limitations.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Section 16-10a-840(4) of the Utah Business Organizations Code provides that a director or officer shall not be liable to the corporation, its shareholders or any conservator or receiver or any assignee or successor-in-interest thereof for any action taken or any failure to take any action as an officer or director unless (i) the director or officer has failed to perform the duties of his or her office (1) in good faith, (2) with the care an ordinarily prudent person in a like position would exercise under similar circumstances and (3) in a manner the director or officer reasonably believes to be in the best interests of the corporation and (ii) the breach or failure to perform constitutes gross negligence, willful misconduct or intentional infliction of harm on the corporation or the shareholders.</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bylaws of each of the Utah corporation registrants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each of the Utah corporation registrants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ECDC Environmental, L.C. and Frontier Waste Services (Utah), LLC are organized as limited liability companies under the laws of Utah.</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Part 18 of the Utah Revised Limited Liability Company Act authorizes a court to award, or a limited liability company to grant, indemnity to a member, manager, employee, fiduciary or agent of the company under certain circumstances and subject to certain limitations.</w:t>
      </w:r>
    </w:p>
    <w:p>
      <w:pPr>
        <w:spacing w:after="0" w:line="59"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Section 48-2c-807(a) of the Utah Revised Limited Liability Company Act provides that a member or manager shall not be liable or accountable in damages or otherwise to the company or the members for any action taken or failure to act on behalf of the company unless the act or omission constitutes (i) gross negligence, (ii) willful misconduct or (iii) a breach of a higher standard of conduct that would result in greater exposure to liability for the member or manager that is established in the company’s articles of organization or operating agreement.</w:t>
      </w:r>
    </w:p>
    <w:p>
      <w:pPr>
        <w:spacing w:after="0" w:line="3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articles of organization of Frontier Waste Services (Utah), LLC provide that the company shall indemnify to the fullest extent permitted by the Utah Limited Liability Company Act any person or entity who was or is a party or is threatened to be made a party to any threatened, pending or completed action, suit or proceeding, whether civil, criminal, administrative or investigative by reason of the fact that such person is or was a member, manager or officer of the company.</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operating agreement of each of ECDC Environmental, L.C. and Frontier Waste Services (Utah), LLC provides that the company shall defend, indemnify and save harmless the sole member, its officers,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Virginia Registrants: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623 Landfill, Inc. is incorporated under the laws of Virginia.</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Article 10 of the Virginia Stock Corporation Act authorizes a court to award, or a corporation’s board of directors to grant, indemnity to officers and directors of the corporation under certain circumstances and subject to certain limitations.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Section 13.1-690(C) of the Virginia Stock Corporation Act provides that a director shall not be liable for any action taken as a director or any failure to take any action if such director performed the duties of the office in accordance with his or her good faith business judgment of the best interests of the corporation.</w:t>
      </w:r>
    </w:p>
    <w:p>
      <w:pPr>
        <w:spacing w:after="0" w:line="59"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color w:val="auto"/>
        </w:rPr>
        <w:t>The articles of incorporation of 623 Landfill, Inc. provide that every person who was or is a party or is threatened to be made a party to any threatened, pending or completed action, suit or proceeding of any kind or was or is the subject of any claim by reason of his being or having been a director or officer of the corporation or by reason of his serving or having served at the request of the corporation as a director, officer, employee or agent of another entity or other enterprise shall be indemnified by the corporation against expenses (including attorneys’ fees), judgments, fines, penalties, awards, costs, amounts paid in settlement and liabilities of all kinds, actually and reasonably incurred by such person in connection with, or resulting from, such action, suit, proceeding or claim. Such indemnification is only allowed if such person acted in good faith and in the manner he or she reasonably believed to be in, or not opposed to, the best interests of the corporation, and, with respect to any criminal action or proceeding, had no reasonable cause to believe his conduct was unlawful, provided that no indemnification shall be made in respect of any claim, issue or matter as to which such person shall have been adjudicated to be liable to the corporation for negligence or misconduct in the performance of his duty to the corporation unless, and only to the extent that, the court in which such action, suit or proceeding was brought shall determine upon application that, despite the adjudication of liability but in view of all circumstances of the case, such person is fairly and reasonably entitled to indemnity. Any indemnification under the preceding paragraph (unless ordered by a court) shall be made by the corporation only as authorized in the specific case upon a determination that indemnification of such person is proper in the circumstances because he or she had met the applicable standard of conduct set forth in said paragraph. Such determination may be made either (i) by the board of directors of the corporation by a majority vote of a quorum consisting of directors who were not parties to such action, suit, or proceeding, (ii) if such a quorum is not obtainable or, even if obtainable, if a quorum of disinterested directors so directs, by independent legal counsel in a written opinion or (iii) by the stockholders. Expenses incurred by or in respect of any such person in connection with any such action, suit or proceeding, whether criminal, administrative, arbitrative or investigative, may be paid by the corporation in advance of the final disposition thereof upon receipt of an undertaking by, or on behalf of, such person to repay such amount unless it shall ultimately be determined that he or she is entitled to be indemnified by the corporation. The board of directors shall have the power to indemnify its other employees and agents to the same extent as provided in the articles of incorporation with respect to its directors and officers.</w:t>
      </w:r>
    </w:p>
    <w:p>
      <w:pPr>
        <w:spacing w:after="0" w:line="209"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The bylaws of 623 Landfill, Inc.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59"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The bylaws of 623 Landfill, Inc.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w:t>
      </w:r>
    </w:p>
    <w:p>
      <w:pPr>
        <w:spacing w:after="0" w:line="1" w:lineRule="exact"/>
        <w:rPr>
          <w:sz w:val="20"/>
          <w:szCs w:val="20"/>
          <w:color w:val="auto"/>
        </w:rPr>
      </w:pPr>
    </w:p>
    <w:p>
      <w:pPr>
        <w:ind w:left="680" w:firstLine="7"/>
        <w:spacing w:after="0" w:line="254" w:lineRule="auto"/>
        <w:tabs>
          <w:tab w:leader="none" w:pos="836" w:val="left"/>
        </w:tabs>
        <w:numPr>
          <w:ilvl w:val="0"/>
          <w:numId w:val="68"/>
        </w:numPr>
        <w:rPr>
          <w:rFonts w:ascii="Arial" w:cs="Arial" w:eastAsia="Arial" w:hAnsi="Arial"/>
          <w:sz w:val="13"/>
          <w:szCs w:val="13"/>
          <w:color w:val="auto"/>
        </w:rPr>
      </w:pPr>
      <w:r>
        <w:rPr>
          <w:rFonts w:ascii="Arial" w:cs="Arial" w:eastAsia="Arial" w:hAnsi="Arial"/>
          <w:sz w:val="13"/>
          <w:szCs w:val="13"/>
          <w:color w:val="auto"/>
        </w:rPr>
        <w:t>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69" w:lineRule="exact"/>
        <w:rPr>
          <w:sz w:val="20"/>
          <w:szCs w:val="20"/>
          <w:color w:val="auto"/>
        </w:rPr>
      </w:pPr>
    </w:p>
    <w:p>
      <w:pPr>
        <w:ind w:left="680" w:right="180" w:firstLine="7"/>
        <w:spacing w:after="0" w:line="283" w:lineRule="auto"/>
        <w:tabs>
          <w:tab w:leader="none" w:pos="873"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Cumberland County Development Company, LLC, Obscurity Land Development, LLC and Republic Services of Virginia, LLC are organized as limited liability companies under the laws of Virginia.</w:t>
      </w:r>
    </w:p>
    <w:p>
      <w:pPr>
        <w:spacing w:after="0" w:line="54"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Section 13.1-1009(16) of the Virginia Limited Liability Company Act permits a limited liability company to indemnify members, managers or other persons from and against any and all claims and demands whatsoever.</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operating agreement of each of Cumberland County Development Company, LLC and Obscurity Land Development, LLC provides that the company shall defend, indemnify and save harmless the sole member, its officers and directors, and any officers of the company, from and against all losses, claims, costs, liabilities and damages incurred by such person by reason of any act performed or omitted to be performed by such person in connection with the business of the company, including attorneys’ fees incurred by such person in connection with the defense of any action based on any such act or omission; provided, however, no such person shall be indemnified from any liability for fraud, bad faith, willful misconduct or gross negligence.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certificate of formation or the operating agreement of Republic Services of Virginia, LLC.</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Washington Registrants:</w:t>
      </w:r>
    </w:p>
    <w:p>
      <w:pPr>
        <w:spacing w:after="0" w:line="96" w:lineRule="exact"/>
        <w:rPr>
          <w:sz w:val="20"/>
          <w:szCs w:val="20"/>
          <w:color w:val="auto"/>
        </w:rPr>
      </w:pPr>
    </w:p>
    <w:p>
      <w:pPr>
        <w:ind w:left="5540" w:right="3140" w:hanging="4853"/>
        <w:spacing w:after="0" w:line="756" w:lineRule="auto"/>
        <w:tabs>
          <w:tab w:leader="none" w:pos="867"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Rabanco Recycling, Inc., Rabanco, Ltd. and WJR Environmental, Inc. are incorporated under the laws of Washington. </w:t>
      </w:r>
      <w:r>
        <w:rPr>
          <w:rFonts w:ascii="Arial" w:cs="Arial" w:eastAsia="Arial" w:hAnsi="Arial"/>
          <w:sz w:val="13"/>
          <w:szCs w:val="13"/>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Sections 23B.08.500 et seq. of the Washington Business Corporation Act authorize a court to award, or a corporation’s board of directors to grant, indemnity to an officer, director, employee or agent of the corporation under certain circumstances and subject to certain limitations.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Section 23B.08.320 of the Washington Business Corporation Act provides that the articles of incorporation of a corporation may eliminate or limit the personal liability of a director to the corporation or its shareholders, subject to certain limitations. Sections 23B.08.420(4) and 23B.08.300(4) of the Washington Business Corporation Act provide that a director or officer of a corporation shall not be liable for any action taken as a director or officer or any failure to take any action if such director or officer performed the duties of his or her office (i) in good faith, (ii) with the care an ordinarily prudent person in a like position would exercise under similar circumstances and (iii) in a manner he or she reasonably believes to be in the best interests of the corporation.</w:t>
      </w:r>
    </w:p>
    <w:p>
      <w:pPr>
        <w:spacing w:after="0" w:line="71"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The articles of incorporation of each of Rabanco Recycling, Inc. and Rabanco, Ltd. provide that a director of the corporation shall not be personally liable to the corporation or its stockholders for monetary damages for breach of fiduciary duty as a director, except to the extent that the elimination or limitation of liability is prohibited under the Washington Business Corporation Act.</w:t>
      </w:r>
    </w:p>
    <w:p>
      <w:pPr>
        <w:spacing w:after="0" w:line="67" w:lineRule="exact"/>
        <w:rPr>
          <w:sz w:val="20"/>
          <w:szCs w:val="20"/>
          <w:color w:val="auto"/>
        </w:rPr>
      </w:pPr>
    </w:p>
    <w:p>
      <w:pPr>
        <w:jc w:val="both"/>
        <w:ind w:left="680" w:right="200" w:firstLine="399"/>
        <w:spacing w:after="0" w:line="280" w:lineRule="auto"/>
        <w:rPr>
          <w:sz w:val="20"/>
          <w:szCs w:val="20"/>
          <w:color w:val="auto"/>
        </w:rPr>
      </w:pPr>
      <w:r>
        <w:rPr>
          <w:rFonts w:ascii="Arial" w:cs="Arial" w:eastAsia="Arial" w:hAnsi="Arial"/>
          <w:sz w:val="12"/>
          <w:szCs w:val="12"/>
          <w:color w:val="auto"/>
        </w:rPr>
        <w:t>The articles of incorporation of WJR Environmental, Inc. provide that a director of the corporation shall not be personally liable to the corporation or its shareholders for monetary damages for conduct as a director, except for (i) acts or omissions involving intentional misconduct by the director or a knowing violation of law by the director, (ii) conduct violating</w:t>
      </w:r>
    </w:p>
    <w:p>
      <w:pPr>
        <w:ind w:left="680" w:right="20"/>
        <w:spacing w:after="0" w:line="264" w:lineRule="auto"/>
        <w:rPr>
          <w:sz w:val="20"/>
          <w:szCs w:val="20"/>
          <w:color w:val="auto"/>
        </w:rPr>
      </w:pPr>
      <w:r>
        <w:rPr>
          <w:rFonts w:ascii="Arial" w:cs="Arial" w:eastAsia="Arial" w:hAnsi="Arial"/>
          <w:sz w:val="13"/>
          <w:szCs w:val="13"/>
          <w:color w:val="auto"/>
        </w:rPr>
        <w:t>23B.08.310 of the Washington Business Corporation Act relating to certain distributions by the corporation or (iii) any transaction from which the director will personally receive a benefit in money, property or services to which the director is not legally entitled.</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bylaws of each of the Washington corporation registrants provide that the corporation shall, to the fullest extent permitted by the law, indemnify and advance expenses to each person to whom indemnification and advancement of expenses may be offered under the law. The corporation shall have the power to purchase and maintain insurance on behalf of any person who is or was a director, officer, employee or agent of the corporation, or is or was serving at the request of the corporation as a director, officer, partner, trustee, employee or agent of another entity or other enterprise against any liability asserted against or incurred by such person in such capacity or arising out of such person’s status as such, whether or not the corporation would have the power to indemnify such person against such liability under the provisions of Washington law.</w:t>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Rabanco Companies is organized as a general partnership under the laws of Washington.</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Section 25.05.150(3) of the Washington Revised Uniform Partnership Act authorizes a general partnership to indemnify partners under certain circumstances and subject to certain limitations.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no provision for indemnification or insurance in the partnership agreement of Rabanco Companies.</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West Virginia Registrant: Sandy Hollow Landfill Corp. is organized as a corporation under the laws of West Virginia.</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Part 5 of Article 8 of the West Virginia Business Corporation Act authorizes a court to award, or a corporation’s board of directors to grant, indemnity to officers and directors of the corporation under certain circumstances and subject to certain limitations.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Section 31D-8-831(a) of the West Virginia Business Corporation Act provides that a director of a corporation shall not be liable to the corporation or its shareholders for any decision to take or not to take action or any failure to take any action as a director unless the party asserting liability establishes that the articles of incorporation and other law do not preclude liability and the challenged conduct consisted of or was the result of (i) action not in good faith, (ii) a decision (1) which the director did not reasonably believe to be in the best interests of the corporation or (2) as to which the director was not informed to an extent the director reasonably believed appropriate in the circumstances, (iii) a lack of objectivity or independence, (iv) a sustained failure of the director to devote attention to ongoing oversight of the business and affairs of the corporation or (v) receipt of a financial benefit to which the director was not entitled.</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bylaws of Sandy Hollow Landfill Corp. provide that the corporation shall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officer, employee or agent of another entity or other enterprise, against expenses (including attorneys’ fees), judgments, fines and amounts paid in settlement actually and reasonably incurred by him or her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conduct was unlawful.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entity or other enterprise against expenses (including attorneys’ fees) actually and reasonably incurred by him or her in connection with the defense or settlement of such action or suit if such person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6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bylaws of Sandy Hollow Landfill Corp. also provide that any indemnification (unless ordered by a court) shall be made by the corporation only as authorized in the specific case upon a determination that indemnification of the director or officer is proper in the circumstances because such person has met the applicable standard of conduct. Such determination shall be made (i) by the board of directors by a majority vote of a quorum consisting of directors who were not parties to such action, suit or proceeding, (ii) if such a quorum is not obtainable, or, even if obtainable, a quorum of disinterested directors so directs, by independent legal counsel in a written opinion or (iii) by the stockholders.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according to the bylaws of the corporation. The corporation may purchase and maintain insurance on behalf of any person who is or was a director or officer of the corporation, or is or was serving at the request of the corporation as a director, officer, employee or agent of another entity or other enterprise against any liability asserted against or incurred by such person in any such capacity, or arising out of his or her status as such, whether or not the corporation would have the power or the obligation to indemnify him or her against such liability under the bylaws of the corporation.</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list of exhibits filed with this registration statement is contained in the index to exhibits, which is incorporated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of the undersigned co-registrants hereby undertakes:</w:t>
      </w:r>
    </w:p>
    <w:p>
      <w:pPr>
        <w:spacing w:after="0" w:line="96" w:lineRule="exact"/>
        <w:rPr>
          <w:sz w:val="20"/>
          <w:szCs w:val="20"/>
          <w:color w:val="auto"/>
        </w:rPr>
      </w:pPr>
    </w:p>
    <w:p>
      <w:pPr>
        <w:ind w:left="1660" w:hanging="191"/>
        <w:spacing w:after="0"/>
        <w:tabs>
          <w:tab w:leader="none" w:pos="16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To file, during any period in which offers or sales are being made, a post-effective amendment to this registration statement:</w:t>
      </w:r>
    </w:p>
    <w:p>
      <w:pPr>
        <w:spacing w:after="0" w:line="96" w:lineRule="exact"/>
        <w:rPr>
          <w:rFonts w:ascii="Arial" w:cs="Arial" w:eastAsia="Arial" w:hAnsi="Arial"/>
          <w:sz w:val="13"/>
          <w:szCs w:val="13"/>
          <w:color w:val="auto"/>
        </w:rPr>
      </w:pPr>
    </w:p>
    <w:p>
      <w:pPr>
        <w:ind w:left="2000" w:hanging="148"/>
        <w:spacing w:after="0"/>
        <w:tabs>
          <w:tab w:leader="none" w:pos="2000" w:val="left"/>
        </w:tabs>
        <w:numPr>
          <w:ilvl w:val="1"/>
          <w:numId w:val="71"/>
        </w:numPr>
        <w:rPr>
          <w:rFonts w:ascii="Arial" w:cs="Arial" w:eastAsia="Arial" w:hAnsi="Arial"/>
          <w:sz w:val="13"/>
          <w:szCs w:val="13"/>
          <w:color w:val="auto"/>
        </w:rPr>
      </w:pPr>
      <w:r>
        <w:rPr>
          <w:rFonts w:ascii="Arial" w:cs="Arial" w:eastAsia="Arial" w:hAnsi="Arial"/>
          <w:sz w:val="13"/>
          <w:szCs w:val="13"/>
          <w:color w:val="auto"/>
        </w:rPr>
        <w:t>To include any prospectus required by section 10(a)(3) of the Securities Act of 1933;</w:t>
      </w:r>
    </w:p>
    <w:p>
      <w:pPr>
        <w:spacing w:after="0" w:line="96" w:lineRule="exact"/>
        <w:rPr>
          <w:rFonts w:ascii="Arial" w:cs="Arial" w:eastAsia="Arial" w:hAnsi="Arial"/>
          <w:sz w:val="13"/>
          <w:szCs w:val="13"/>
          <w:color w:val="auto"/>
        </w:rPr>
      </w:pPr>
    </w:p>
    <w:p>
      <w:pPr>
        <w:ind w:left="1480" w:right="100" w:firstLine="372"/>
        <w:spacing w:after="0" w:line="260" w:lineRule="auto"/>
        <w:tabs>
          <w:tab w:leader="none" w:pos="2038" w:val="left"/>
        </w:tabs>
        <w:numPr>
          <w:ilvl w:val="1"/>
          <w:numId w:val="71"/>
        </w:numPr>
        <w:rPr>
          <w:rFonts w:ascii="Arial" w:cs="Arial" w:eastAsia="Arial" w:hAnsi="Arial"/>
          <w:sz w:val="13"/>
          <w:szCs w:val="13"/>
          <w:color w:val="auto"/>
        </w:rPr>
      </w:pPr>
      <w:r>
        <w:rPr>
          <w:rFonts w:ascii="Arial" w:cs="Arial" w:eastAsia="Arial" w:hAnsi="Arial"/>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480" w:right="140"/>
        <w:spacing w:after="0" w:line="264" w:lineRule="auto"/>
        <w:rPr>
          <w:sz w:val="20"/>
          <w:szCs w:val="20"/>
          <w:color w:val="auto"/>
        </w:rPr>
      </w:pPr>
      <w:r>
        <w:rPr>
          <w:rFonts w:ascii="Arial" w:cs="Arial" w:eastAsia="Arial" w:hAnsi="Arial"/>
          <w:sz w:val="13"/>
          <w:szCs w:val="13"/>
          <w:color w:val="auto"/>
        </w:rPr>
        <w:t>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7" w:lineRule="exact"/>
        <w:rPr>
          <w:sz w:val="20"/>
          <w:szCs w:val="20"/>
          <w:color w:val="auto"/>
        </w:rPr>
      </w:pPr>
    </w:p>
    <w:p>
      <w:pPr>
        <w:ind w:left="1480" w:right="220" w:firstLine="372"/>
        <w:spacing w:after="0" w:line="276" w:lineRule="auto"/>
        <w:tabs>
          <w:tab w:leader="none" w:pos="2074" w:val="left"/>
        </w:tabs>
        <w:numPr>
          <w:ilvl w:val="0"/>
          <w:numId w:val="72"/>
        </w:numPr>
        <w:rPr>
          <w:rFonts w:ascii="Arial" w:cs="Arial" w:eastAsia="Arial" w:hAnsi="Arial"/>
          <w:sz w:val="13"/>
          <w:szCs w:val="13"/>
          <w:color w:val="auto"/>
        </w:rPr>
      </w:pPr>
      <w:r>
        <w:rPr>
          <w:rFonts w:ascii="Arial" w:cs="Arial" w:eastAsia="Arial" w:hAnsi="Arial"/>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59" w:lineRule="exact"/>
        <w:rPr>
          <w:sz w:val="20"/>
          <w:szCs w:val="20"/>
          <w:color w:val="auto"/>
        </w:rPr>
      </w:pPr>
    </w:p>
    <w:p>
      <w:pPr>
        <w:ind w:left="1080" w:right="200" w:firstLine="383"/>
        <w:spacing w:after="0" w:line="334" w:lineRule="auto"/>
        <w:rPr>
          <w:sz w:val="20"/>
          <w:szCs w:val="20"/>
          <w:color w:val="auto"/>
        </w:rPr>
      </w:pPr>
      <w:r>
        <w:rPr>
          <w:rFonts w:ascii="Arial" w:cs="Arial" w:eastAsia="Arial" w:hAnsi="Arial"/>
          <w:sz w:val="11"/>
          <w:szCs w:val="11"/>
          <w:i w:val="1"/>
          <w:iCs w:val="1"/>
          <w:color w:val="auto"/>
        </w:rPr>
        <w:t>provided, however</w:t>
      </w:r>
      <w:r>
        <w:rPr>
          <w:rFonts w:ascii="Arial" w:cs="Arial" w:eastAsia="Arial" w:hAnsi="Arial"/>
          <w:sz w:val="11"/>
          <w:szCs w:val="11"/>
          <w:color w:val="auto"/>
        </w:rPr>
        <w:t>, that paragraphs (i), (ii) and (iii) above do not apply if the information required to be included in a post-effective amendment by those paragraphs is</w:t>
      </w:r>
      <w:r>
        <w:rPr>
          <w:rFonts w:ascii="Arial" w:cs="Arial" w:eastAsia="Arial" w:hAnsi="Arial"/>
          <w:sz w:val="11"/>
          <w:szCs w:val="11"/>
          <w:i w:val="1"/>
          <w:iCs w:val="1"/>
          <w:color w:val="auto"/>
        </w:rPr>
        <w:t xml:space="preserve"> </w:t>
      </w:r>
      <w:r>
        <w:rPr>
          <w:rFonts w:ascii="Arial" w:cs="Arial" w:eastAsia="Arial" w:hAnsi="Arial"/>
          <w:sz w:val="11"/>
          <w:szCs w:val="11"/>
          <w:color w:val="auto"/>
        </w:rPr>
        <w:t>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32" w:lineRule="exact"/>
        <w:rPr>
          <w:sz w:val="20"/>
          <w:szCs w:val="20"/>
          <w:color w:val="auto"/>
        </w:rPr>
      </w:pPr>
    </w:p>
    <w:p>
      <w:pPr>
        <w:ind w:left="1080" w:right="60" w:firstLine="389"/>
        <w:spacing w:after="0" w:line="320" w:lineRule="auto"/>
        <w:tabs>
          <w:tab w:leader="none" w:pos="1646" w:val="left"/>
        </w:tabs>
        <w:numPr>
          <w:ilvl w:val="0"/>
          <w:numId w:val="73"/>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offering thereof.</w:t>
      </w:r>
    </w:p>
    <w:p>
      <w:pPr>
        <w:spacing w:after="0" w:line="35" w:lineRule="exact"/>
        <w:rPr>
          <w:rFonts w:ascii="Arial" w:cs="Arial" w:eastAsia="Arial" w:hAnsi="Arial"/>
          <w:sz w:val="12"/>
          <w:szCs w:val="12"/>
          <w:color w:val="auto"/>
        </w:rPr>
      </w:pPr>
    </w:p>
    <w:p>
      <w:pPr>
        <w:ind w:left="1660" w:hanging="191"/>
        <w:spacing w:after="0"/>
        <w:tabs>
          <w:tab w:leader="none" w:pos="16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07" w:lineRule="exact"/>
        <w:rPr>
          <w:rFonts w:ascii="Arial" w:cs="Arial" w:eastAsia="Arial" w:hAnsi="Arial"/>
          <w:sz w:val="12"/>
          <w:szCs w:val="12"/>
          <w:color w:val="auto"/>
        </w:rPr>
      </w:pPr>
    </w:p>
    <w:p>
      <w:pPr>
        <w:ind w:left="1660" w:hanging="191"/>
        <w:spacing w:after="0"/>
        <w:tabs>
          <w:tab w:leader="none" w:pos="16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That, for the purpose of determining liability under the Securities Act of 1933 to any purchaser:</w:t>
      </w:r>
    </w:p>
    <w:p>
      <w:pPr>
        <w:spacing w:after="0" w:line="96" w:lineRule="exact"/>
        <w:rPr>
          <w:rFonts w:ascii="Arial" w:cs="Arial" w:eastAsia="Arial" w:hAnsi="Arial"/>
          <w:sz w:val="13"/>
          <w:szCs w:val="13"/>
          <w:color w:val="auto"/>
        </w:rPr>
      </w:pPr>
    </w:p>
    <w:p>
      <w:pPr>
        <w:ind w:left="1480" w:right="280" w:firstLine="372"/>
        <w:spacing w:after="0" w:line="276" w:lineRule="auto"/>
        <w:tabs>
          <w:tab w:leader="none" w:pos="2004" w:val="left"/>
        </w:tabs>
        <w:numPr>
          <w:ilvl w:val="1"/>
          <w:numId w:val="73"/>
        </w:numPr>
        <w:rPr>
          <w:rFonts w:ascii="Arial" w:cs="Arial" w:eastAsia="Arial" w:hAnsi="Arial"/>
          <w:sz w:val="13"/>
          <w:szCs w:val="13"/>
          <w:color w:val="auto"/>
        </w:rPr>
      </w:pPr>
      <w:r>
        <w:rPr>
          <w:rFonts w:ascii="Arial" w:cs="Arial" w:eastAsia="Arial" w:hAnsi="Arial"/>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9" w:lineRule="exact"/>
        <w:rPr>
          <w:rFonts w:ascii="Arial" w:cs="Arial" w:eastAsia="Arial" w:hAnsi="Arial"/>
          <w:sz w:val="13"/>
          <w:szCs w:val="13"/>
          <w:color w:val="auto"/>
        </w:rPr>
      </w:pPr>
    </w:p>
    <w:p>
      <w:pPr>
        <w:ind w:left="1480" w:firstLine="372"/>
        <w:spacing w:after="0" w:line="279" w:lineRule="auto"/>
        <w:tabs>
          <w:tab w:leader="none" w:pos="2040" w:val="left"/>
        </w:tabs>
        <w:numPr>
          <w:ilvl w:val="1"/>
          <w:numId w:val="73"/>
        </w:numPr>
        <w:rPr>
          <w:rFonts w:ascii="Arial" w:cs="Arial" w:eastAsia="Arial" w:hAnsi="Arial"/>
          <w:sz w:val="12"/>
          <w:szCs w:val="12"/>
          <w:color w:val="auto"/>
        </w:rPr>
      </w:pPr>
      <w:r>
        <w:rPr>
          <w:rFonts w:ascii="Arial" w:cs="Arial" w:eastAsia="Arial" w:hAnsi="Arial"/>
          <w:sz w:val="12"/>
          <w:szCs w:val="12"/>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offering thereof. </w:t>
      </w:r>
      <w:r>
        <w:rPr>
          <w:rFonts w:ascii="Arial" w:cs="Arial" w:eastAsia="Arial" w:hAnsi="Arial"/>
          <w:sz w:val="12"/>
          <w:szCs w:val="12"/>
          <w:i w:val="1"/>
          <w:iCs w:val="1"/>
          <w:color w:val="auto"/>
        </w:rPr>
        <w:t>Provided, however</w:t>
      </w:r>
      <w:r>
        <w:rPr>
          <w:rFonts w:ascii="Arial" w:cs="Arial" w:eastAsia="Arial" w:hAnsi="Arial"/>
          <w:sz w:val="12"/>
          <w:szCs w:val="12"/>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0" w:lineRule="exact"/>
        <w:rPr>
          <w:rFonts w:ascii="Arial" w:cs="Arial" w:eastAsia="Arial" w:hAnsi="Arial"/>
          <w:sz w:val="12"/>
          <w:szCs w:val="12"/>
          <w:color w:val="auto"/>
        </w:rPr>
      </w:pPr>
    </w:p>
    <w:p>
      <w:pPr>
        <w:jc w:val="both"/>
        <w:ind w:left="1080" w:right="280" w:firstLine="389"/>
        <w:spacing w:after="0" w:line="260" w:lineRule="auto"/>
        <w:tabs>
          <w:tab w:leader="none" w:pos="1646"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That, for the purpose of determining liability of the registrant under the Securities Act of 1933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w:t>
      </w:r>
    </w:p>
    <w:p>
      <w:pPr>
        <w:spacing w:after="0" w:line="69" w:lineRule="exact"/>
        <w:rPr>
          <w:rFonts w:ascii="Arial" w:cs="Arial" w:eastAsia="Arial" w:hAnsi="Arial"/>
          <w:sz w:val="13"/>
          <w:szCs w:val="13"/>
          <w:color w:val="auto"/>
        </w:rPr>
      </w:pPr>
    </w:p>
    <w:p>
      <w:pPr>
        <w:ind w:left="2000" w:hanging="148"/>
        <w:spacing w:after="0"/>
        <w:tabs>
          <w:tab w:leader="none" w:pos="200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Any preliminary prospectus or prospectus of the registrant relating to the offering required to be filed pursuant to Rule 424;</w:t>
      </w:r>
    </w:p>
    <w:p>
      <w:pPr>
        <w:spacing w:after="0" w:line="96" w:lineRule="exact"/>
        <w:rPr>
          <w:rFonts w:ascii="Arial" w:cs="Arial" w:eastAsia="Arial" w:hAnsi="Arial"/>
          <w:sz w:val="13"/>
          <w:szCs w:val="13"/>
          <w:color w:val="auto"/>
        </w:rPr>
      </w:pPr>
    </w:p>
    <w:p>
      <w:pPr>
        <w:ind w:left="2040" w:hanging="188"/>
        <w:spacing w:after="0"/>
        <w:tabs>
          <w:tab w:leader="none" w:pos="20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Any free writing prospectus relating to the offering prepared by or on behalf of the registrant or used or referred to by the registrant;</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480" w:right="320" w:firstLine="372"/>
        <w:spacing w:after="0" w:line="276" w:lineRule="auto"/>
        <w:tabs>
          <w:tab w:leader="none" w:pos="2074" w:val="left"/>
        </w:tabs>
        <w:numPr>
          <w:ilvl w:val="1"/>
          <w:numId w:val="74"/>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registrant or its securities provided by or on behalf of the registrant; and</w:t>
      </w:r>
    </w:p>
    <w:p>
      <w:pPr>
        <w:spacing w:after="0" w:line="59" w:lineRule="exact"/>
        <w:rPr>
          <w:rFonts w:ascii="Arial" w:cs="Arial" w:eastAsia="Arial" w:hAnsi="Arial"/>
          <w:sz w:val="13"/>
          <w:szCs w:val="13"/>
          <w:color w:val="auto"/>
        </w:rPr>
      </w:pPr>
    </w:p>
    <w:p>
      <w:pPr>
        <w:ind w:left="2060" w:hanging="208"/>
        <w:spacing w:after="0"/>
        <w:tabs>
          <w:tab w:leader="none" w:pos="2060" w:val="left"/>
        </w:tabs>
        <w:numPr>
          <w:ilvl w:val="1"/>
          <w:numId w:val="74"/>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registrant to the purchaser.</w:t>
      </w:r>
    </w:p>
    <w:p>
      <w:pPr>
        <w:spacing w:after="0" w:line="96" w:lineRule="exact"/>
        <w:rPr>
          <w:rFonts w:ascii="Arial" w:cs="Arial" w:eastAsia="Arial" w:hAnsi="Arial"/>
          <w:sz w:val="13"/>
          <w:szCs w:val="13"/>
          <w:color w:val="auto"/>
        </w:rPr>
      </w:pPr>
    </w:p>
    <w:p>
      <w:pPr>
        <w:ind w:left="1080" w:right="180" w:firstLine="389"/>
        <w:spacing w:after="0" w:line="280" w:lineRule="auto"/>
        <w:tabs>
          <w:tab w:leader="none" w:pos="1646"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w:t>
      </w:r>
    </w:p>
    <w:p>
      <w:pPr>
        <w:ind w:left="1080" w:right="240"/>
        <w:spacing w:after="0" w:line="264" w:lineRule="auto"/>
        <w:rPr>
          <w:rFonts w:ascii="Arial" w:cs="Arial" w:eastAsia="Arial" w:hAnsi="Arial"/>
          <w:sz w:val="12"/>
          <w:szCs w:val="12"/>
          <w:color w:val="auto"/>
        </w:rPr>
      </w:pPr>
      <w:r>
        <w:rPr>
          <w:rFonts w:ascii="Arial" w:cs="Arial" w:eastAsia="Arial" w:hAnsi="Arial"/>
          <w:sz w:val="13"/>
          <w:szCs w:val="13"/>
          <w:color w:val="auto"/>
        </w:rPr>
        <w:t xml:space="preserve">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offering thereof.</w:t>
      </w:r>
    </w:p>
    <w:p>
      <w:pPr>
        <w:spacing w:after="0" w:line="66" w:lineRule="exact"/>
        <w:rPr>
          <w:rFonts w:ascii="Arial" w:cs="Arial" w:eastAsia="Arial" w:hAnsi="Arial"/>
          <w:sz w:val="12"/>
          <w:szCs w:val="12"/>
          <w:color w:val="auto"/>
        </w:rPr>
      </w:pPr>
    </w:p>
    <w:p>
      <w:pPr>
        <w:ind w:left="1080" w:right="20" w:firstLine="389"/>
        <w:spacing w:after="0" w:line="334" w:lineRule="auto"/>
        <w:tabs>
          <w:tab w:leader="none" w:pos="1646" w:val="left"/>
        </w:tabs>
        <w:numPr>
          <w:ilvl w:val="0"/>
          <w:numId w:val="75"/>
        </w:numPr>
        <w:rPr>
          <w:rFonts w:ascii="Arial" w:cs="Arial" w:eastAsia="Arial" w:hAnsi="Arial"/>
          <w:sz w:val="11"/>
          <w:szCs w:val="11"/>
          <w:color w:val="auto"/>
        </w:rPr>
      </w:pPr>
      <w:r>
        <w:rPr>
          <w:rFonts w:ascii="Arial" w:cs="Arial" w:eastAsia="Arial" w:hAnsi="Arial"/>
          <w:sz w:val="11"/>
          <w:szCs w:val="11"/>
          <w:color w:val="auto"/>
        </w:rPr>
        <w:t>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32" w:lineRule="exact"/>
        <w:rPr>
          <w:rFonts w:ascii="Arial" w:cs="Arial" w:eastAsia="Arial" w:hAnsi="Arial"/>
          <w:sz w:val="11"/>
          <w:szCs w:val="11"/>
          <w:color w:val="auto"/>
        </w:rPr>
      </w:pPr>
    </w:p>
    <w:p>
      <w:pPr>
        <w:ind w:left="1080" w:firstLine="389"/>
        <w:spacing w:after="0" w:line="256" w:lineRule="auto"/>
        <w:tabs>
          <w:tab w:leader="none" w:pos="1649"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00" w:firstLine="399"/>
        <w:spacing w:after="0" w:line="371" w:lineRule="auto"/>
        <w:rPr>
          <w:sz w:val="20"/>
          <w:szCs w:val="20"/>
          <w:color w:val="auto"/>
        </w:rPr>
      </w:pPr>
      <w:r>
        <w:rPr>
          <w:rFonts w:ascii="Arial" w:cs="Arial" w:eastAsia="Arial" w:hAnsi="Arial"/>
          <w:sz w:val="11"/>
          <w:szCs w:val="11"/>
          <w:color w:val="auto"/>
        </w:rPr>
        <w:t>Pursuant to the requirements of the Securities Act of 1933, Republic Services, Inc.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REPUBLIC SERVICES, INC.</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James 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James E. O’Connor</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Chairman of the Board and Chief Executive Officer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(principal executive officer)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James E. O’Connor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3"/>
              </w:rPr>
              <w:t>Chairman of the Board and Chief Executive Officer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James E. O’Connor</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Tod C. Holmes</w:t>
            </w:r>
          </w:p>
        </w:tc>
        <w:tc>
          <w:tcPr>
            <w:tcW w:w="6680" w:type="dxa"/>
            <w:vAlign w:val="bottom"/>
          </w:tcPr>
          <w:p>
            <w:pPr>
              <w:jc w:val="center"/>
              <w:ind w:right="454"/>
              <w:spacing w:after="0"/>
              <w:rPr>
                <w:sz w:val="20"/>
                <w:szCs w:val="20"/>
                <w:color w:val="auto"/>
              </w:rPr>
            </w:pPr>
            <w:r>
              <w:rPr>
                <w:rFonts w:ascii="Arial" w:cs="Arial" w:eastAsia="Arial" w:hAnsi="Arial"/>
                <w:sz w:val="13"/>
                <w:szCs w:val="13"/>
                <w:color w:val="auto"/>
                <w:w w:val="93"/>
              </w:rPr>
              <w:t>Executive Vice President and Chief Financial Officer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Tod C. Holmes</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6"/>
              </w:rPr>
              <w:t>(principal financial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3"/>
              </w:rPr>
              <w:t>Senior Vice President and Chief Accounting Officer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accounting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/s/ John W. Croghan</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John W. Croghan</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James W. Crownover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James W. Crownover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William J. Flynn</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William J. Flynn</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David I. Foley</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5"/>
              </w:rPr>
              <w:t>David I. Foley</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Michael Larson</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5"/>
              </w:rPr>
              <w:t>Michael Larson</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II-64</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Nolan Lehmann</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Nolan Lehmann</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W. Lee Nutter</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W. Lee Nutter</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Ramon A. Rodriguez</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Ramon A. Rodriguez</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Allan C. Sorensen</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Allan C. Sorensen</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John M. Trani</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John M. Trani</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Michael W. Wickham</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Michael W. Wickham</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II-65</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A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A hereto</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Vice President — Finance and 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1"/>
              </w:rPr>
              <w:t>President and Director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Vice President — Finance, Treasurer and Director</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4"/>
              <w:spacing w:after="0" w:line="130" w:lineRule="exact"/>
              <w:rPr>
                <w:sz w:val="20"/>
                <w:szCs w:val="20"/>
                <w:color w:val="auto"/>
              </w:rPr>
            </w:pPr>
            <w:r>
              <w:rPr>
                <w:rFonts w:ascii="Arial" w:cs="Arial" w:eastAsia="Arial" w:hAnsi="Arial"/>
                <w:sz w:val="13"/>
                <w:szCs w:val="13"/>
                <w:color w:val="auto"/>
                <w:w w:val="94"/>
              </w:rPr>
              <w:t>(principal financial officer and principal accounting</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5"/>
              </w:rPr>
              <w:t>officer)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II-66</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B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B hereto</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Vice President — Finance and 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Kevin Walbridge</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President</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Kevin Walbridge</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Vice President — Finance, Treasurer and Director</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4"/>
              <w:spacing w:after="0" w:line="130" w:lineRule="exact"/>
              <w:rPr>
                <w:sz w:val="20"/>
                <w:szCs w:val="20"/>
                <w:color w:val="auto"/>
              </w:rPr>
            </w:pPr>
            <w:r>
              <w:rPr>
                <w:rFonts w:ascii="Arial" w:cs="Arial" w:eastAsia="Arial" w:hAnsi="Arial"/>
                <w:sz w:val="13"/>
                <w:szCs w:val="13"/>
                <w:color w:val="auto"/>
                <w:w w:val="94"/>
              </w:rPr>
              <w:t>(principal financial officer and principal accounting</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5"/>
              </w:rPr>
              <w:t>officer)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II-67</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C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C hereto</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Vice President — Finance and 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Jeff D. Andrews</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President</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Jeff D. Andrews</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Vice President — Finance, Treasurer and Director</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4"/>
              <w:spacing w:after="0" w:line="130" w:lineRule="exact"/>
              <w:rPr>
                <w:sz w:val="20"/>
                <w:szCs w:val="20"/>
                <w:color w:val="auto"/>
              </w:rPr>
            </w:pPr>
            <w:r>
              <w:rPr>
                <w:rFonts w:ascii="Arial" w:cs="Arial" w:eastAsia="Arial" w:hAnsi="Arial"/>
                <w:sz w:val="13"/>
                <w:szCs w:val="13"/>
                <w:color w:val="auto"/>
                <w:w w:val="94"/>
              </w:rPr>
              <w:t>(principal financial officer and principal accounting</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5"/>
              </w:rPr>
              <w:t>officer)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II-68</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D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D hereto</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Vice President — Finance and 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500" w:type="dxa"/>
            <w:vAlign w:val="bottom"/>
          </w:tcPr>
          <w:p>
            <w:pPr>
              <w:ind w:left="4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6680" w:type="dxa"/>
            <w:vAlign w:val="bottom"/>
          </w:tcPr>
          <w:p>
            <w:pPr>
              <w:ind w:left="30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r>
      <w:tr>
        <w:trPr>
          <w:trHeight w:val="480"/>
        </w:trPr>
        <w:tc>
          <w:tcPr>
            <w:tcW w:w="68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1517"/>
              <w:spacing w:after="0"/>
              <w:rPr>
                <w:sz w:val="20"/>
                <w:szCs w:val="20"/>
                <w:color w:val="auto"/>
              </w:rPr>
            </w:pPr>
            <w:r>
              <w:rPr>
                <w:rFonts w:ascii="Arial" w:cs="Arial" w:eastAsia="Arial" w:hAnsi="Arial"/>
                <w:sz w:val="13"/>
                <w:szCs w:val="13"/>
                <w:color w:val="auto"/>
                <w:w w:val="99"/>
              </w:rPr>
              <w:t>/s/ Ronald Krall</w:t>
            </w:r>
          </w:p>
        </w:tc>
        <w:tc>
          <w:tcPr>
            <w:tcW w:w="6680" w:type="dxa"/>
            <w:vAlign w:val="bottom"/>
          </w:tcPr>
          <w:p>
            <w:pPr>
              <w:ind w:left="2840"/>
              <w:spacing w:after="0"/>
              <w:rPr>
                <w:sz w:val="20"/>
                <w:szCs w:val="20"/>
                <w:color w:val="auto"/>
              </w:rPr>
            </w:pPr>
            <w:r>
              <w:rPr>
                <w:rFonts w:ascii="Arial" w:cs="Arial" w:eastAsia="Arial" w:hAnsi="Arial"/>
                <w:sz w:val="13"/>
                <w:szCs w:val="13"/>
                <w:color w:val="auto"/>
              </w:rPr>
              <w:t>President</w:t>
            </w:r>
          </w:p>
        </w:tc>
      </w:tr>
      <w:tr>
        <w:trPr>
          <w:trHeight w:val="156"/>
        </w:trPr>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500" w:type="dxa"/>
            <w:vAlign w:val="bottom"/>
          </w:tcPr>
          <w:p>
            <w:pPr>
              <w:jc w:val="center"/>
              <w:ind w:right="1517"/>
              <w:spacing w:after="0"/>
              <w:rPr>
                <w:sz w:val="20"/>
                <w:szCs w:val="20"/>
                <w:color w:val="auto"/>
              </w:rPr>
            </w:pPr>
            <w:r>
              <w:rPr>
                <w:rFonts w:ascii="Arial" w:cs="Arial" w:eastAsia="Arial" w:hAnsi="Arial"/>
                <w:sz w:val="13"/>
                <w:szCs w:val="13"/>
                <w:color w:val="auto"/>
                <w:w w:val="95"/>
              </w:rPr>
              <w:t>Ronald Krall</w:t>
            </w:r>
          </w:p>
        </w:tc>
        <w:tc>
          <w:tcPr>
            <w:tcW w:w="6680" w:type="dxa"/>
            <w:vAlign w:val="bottom"/>
          </w:tcPr>
          <w:p>
            <w:pPr>
              <w:jc w:val="center"/>
              <w:ind w:right="436"/>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1600" w:type="dxa"/>
            <w:vAlign w:val="bottom"/>
            <w:tcBorders>
              <w:bottom w:val="single" w:sz="8" w:color="auto"/>
            </w:tcBorders>
          </w:tcPr>
          <w:p>
            <w:pPr>
              <w:ind w:left="1440"/>
              <w:spacing w:after="0"/>
              <w:rPr>
                <w:sz w:val="20"/>
                <w:szCs w:val="20"/>
                <w:color w:val="auto"/>
              </w:rPr>
            </w:pPr>
            <w:r>
              <w:rPr>
                <w:rFonts w:ascii="Arial" w:cs="Arial" w:eastAsia="Arial" w:hAnsi="Arial"/>
                <w:sz w:val="13"/>
                <w:szCs w:val="13"/>
                <w:color w:val="auto"/>
              </w:rPr>
              <w:t>/s/</w:t>
            </w:r>
          </w:p>
        </w:tc>
        <w:tc>
          <w:tcPr>
            <w:tcW w:w="2500" w:type="dxa"/>
            <w:vAlign w:val="bottom"/>
            <w:tcBorders>
              <w:bottom w:val="single" w:sz="8" w:color="auto"/>
            </w:tcBorders>
          </w:tcPr>
          <w:p>
            <w:pPr>
              <w:jc w:val="center"/>
              <w:ind w:right="1337"/>
              <w:spacing w:after="0"/>
              <w:rPr>
                <w:sz w:val="20"/>
                <w:szCs w:val="20"/>
                <w:color w:val="auto"/>
              </w:rPr>
            </w:pPr>
            <w:r>
              <w:rPr>
                <w:rFonts w:ascii="Arial" w:cs="Arial" w:eastAsia="Arial" w:hAnsi="Arial"/>
                <w:sz w:val="13"/>
                <w:szCs w:val="13"/>
                <w:color w:val="auto"/>
                <w:w w:val="95"/>
              </w:rPr>
              <w:t>Edward A. Lang, III</w:t>
            </w:r>
          </w:p>
        </w:tc>
        <w:tc>
          <w:tcPr>
            <w:tcW w:w="6680" w:type="dxa"/>
            <w:vAlign w:val="bottom"/>
          </w:tcPr>
          <w:p>
            <w:pPr>
              <w:jc w:val="center"/>
              <w:ind w:right="436"/>
              <w:spacing w:after="0"/>
              <w:rPr>
                <w:sz w:val="20"/>
                <w:szCs w:val="20"/>
                <w:color w:val="auto"/>
              </w:rPr>
            </w:pPr>
            <w:r>
              <w:rPr>
                <w:rFonts w:ascii="Arial" w:cs="Arial" w:eastAsia="Arial" w:hAnsi="Arial"/>
                <w:sz w:val="13"/>
                <w:szCs w:val="13"/>
                <w:color w:val="auto"/>
                <w:w w:val="90"/>
              </w:rPr>
              <w:t>Vice President — Finance, Treasurer and Director</w:t>
            </w:r>
          </w:p>
        </w:tc>
      </w:tr>
      <w:tr>
        <w:trPr>
          <w:trHeight w:val="130"/>
        </w:trPr>
        <w:tc>
          <w:tcPr>
            <w:tcW w:w="680" w:type="dxa"/>
            <w:vAlign w:val="bottom"/>
          </w:tcPr>
          <w:p>
            <w:pPr>
              <w:spacing w:after="0"/>
              <w:rPr>
                <w:sz w:val="11"/>
                <w:szCs w:val="11"/>
                <w:color w:val="auto"/>
              </w:rPr>
            </w:pPr>
          </w:p>
        </w:tc>
        <w:tc>
          <w:tcPr>
            <w:tcW w:w="4100" w:type="dxa"/>
            <w:vAlign w:val="bottom"/>
            <w:gridSpan w:val="2"/>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6"/>
              <w:spacing w:after="0" w:line="130" w:lineRule="exact"/>
              <w:rPr>
                <w:sz w:val="20"/>
                <w:szCs w:val="20"/>
                <w:color w:val="auto"/>
              </w:rPr>
            </w:pPr>
            <w:r>
              <w:rPr>
                <w:rFonts w:ascii="Arial" w:cs="Arial" w:eastAsia="Arial" w:hAnsi="Arial"/>
                <w:sz w:val="13"/>
                <w:szCs w:val="13"/>
                <w:color w:val="auto"/>
                <w:w w:val="94"/>
              </w:rPr>
              <w:t>(principal financial officer and principal accounting</w:t>
            </w:r>
          </w:p>
        </w:tc>
      </w:tr>
      <w:tr>
        <w:trPr>
          <w:trHeight w:val="165"/>
        </w:trPr>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680" w:type="dxa"/>
            <w:vAlign w:val="bottom"/>
          </w:tcPr>
          <w:p>
            <w:pPr>
              <w:jc w:val="center"/>
              <w:ind w:right="436"/>
              <w:spacing w:after="0"/>
              <w:rPr>
                <w:sz w:val="20"/>
                <w:szCs w:val="20"/>
                <w:color w:val="auto"/>
              </w:rPr>
            </w:pPr>
            <w:r>
              <w:rPr>
                <w:rFonts w:ascii="Arial" w:cs="Arial" w:eastAsia="Arial" w:hAnsi="Arial"/>
                <w:sz w:val="13"/>
                <w:szCs w:val="13"/>
                <w:color w:val="auto"/>
                <w:w w:val="95"/>
              </w:rPr>
              <w:t>officer)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6"/>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500" w:type="dxa"/>
            <w:vAlign w:val="bottom"/>
          </w:tcPr>
          <w:p>
            <w:pPr>
              <w:jc w:val="center"/>
              <w:ind w:right="1517"/>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0" w:type="dxa"/>
            <w:vAlign w:val="bottom"/>
            <w:tcBorders>
              <w:bottom w:val="single" w:sz="8" w:color="auto"/>
            </w:tcBorders>
          </w:tcPr>
          <w:p>
            <w:pPr>
              <w:ind w:left="1460"/>
              <w:spacing w:after="0"/>
              <w:rPr>
                <w:sz w:val="20"/>
                <w:szCs w:val="20"/>
                <w:color w:val="auto"/>
              </w:rPr>
            </w:pPr>
            <w:r>
              <w:rPr>
                <w:rFonts w:ascii="Arial" w:cs="Arial" w:eastAsia="Arial" w:hAnsi="Arial"/>
                <w:sz w:val="13"/>
                <w:szCs w:val="13"/>
                <w:color w:val="auto"/>
                <w:w w:val="87"/>
              </w:rPr>
              <w:t>/s/</w:t>
            </w:r>
          </w:p>
        </w:tc>
        <w:tc>
          <w:tcPr>
            <w:tcW w:w="2500" w:type="dxa"/>
            <w:vAlign w:val="bottom"/>
            <w:tcBorders>
              <w:bottom w:val="single" w:sz="8" w:color="auto"/>
            </w:tcBorders>
          </w:tcPr>
          <w:p>
            <w:pPr>
              <w:jc w:val="center"/>
              <w:ind w:right="1317"/>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jc w:val="center"/>
              <w:ind w:right="416"/>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gridSpan w:val="2"/>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II-69</w:t>
            </w:r>
          </w:p>
        </w:tc>
      </w:tr>
      <w:tr>
        <w:trPr>
          <w:trHeight w:val="163"/>
        </w:trPr>
        <w:tc>
          <w:tcPr>
            <w:tcW w:w="68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25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E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E hereto</w:t>
      </w:r>
    </w:p>
    <w:p>
      <w:pPr>
        <w:spacing w:after="0" w:line="332" w:lineRule="exact"/>
        <w:rPr>
          <w:sz w:val="20"/>
          <w:szCs w:val="20"/>
          <w:color w:val="auto"/>
        </w:rPr>
      </w:pPr>
    </w:p>
    <w:tbl>
      <w:tblPr>
        <w:tblLayout w:type="fixed"/>
        <w:tblInd w:w="4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6560" w:type="dxa"/>
            <w:vAlign w:val="bottom"/>
            <w:tcBorders>
              <w:bottom w:val="single" w:sz="8" w:color="auto"/>
            </w:tcBorders>
          </w:tcPr>
          <w:p>
            <w:pPr>
              <w:jc w:val="center"/>
              <w:ind w:right="794"/>
              <w:spacing w:after="0"/>
              <w:rPr>
                <w:sz w:val="20"/>
                <w:szCs w:val="20"/>
                <w:color w:val="auto"/>
              </w:rPr>
            </w:pPr>
            <w:r>
              <w:rPr>
                <w:rFonts w:ascii="Arial" w:cs="Arial" w:eastAsia="Arial" w:hAnsi="Arial"/>
                <w:sz w:val="13"/>
                <w:szCs w:val="13"/>
                <w:color w:val="auto"/>
                <w:w w:val="98"/>
              </w:rPr>
              <w:t>/s/ Edward A. Lang, III</w:t>
            </w:r>
          </w:p>
        </w:tc>
      </w:tr>
      <w:tr>
        <w:trPr>
          <w:trHeight w:val="144"/>
        </w:trPr>
        <w:tc>
          <w:tcPr>
            <w:tcW w:w="400" w:type="dxa"/>
            <w:vAlign w:val="bottom"/>
          </w:tcPr>
          <w:p>
            <w:pPr>
              <w:spacing w:after="0"/>
              <w:rPr>
                <w:sz w:val="12"/>
                <w:szCs w:val="12"/>
                <w:color w:val="auto"/>
              </w:rPr>
            </w:pPr>
          </w:p>
        </w:tc>
        <w:tc>
          <w:tcPr>
            <w:tcW w:w="6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6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Christopher Synek</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President</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Christopher Synek</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Vice President — Finance, Treasurer and Director</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4"/>
              <w:spacing w:after="0" w:line="130" w:lineRule="exact"/>
              <w:rPr>
                <w:sz w:val="20"/>
                <w:szCs w:val="20"/>
                <w:color w:val="auto"/>
              </w:rPr>
            </w:pPr>
            <w:r>
              <w:rPr>
                <w:rFonts w:ascii="Arial" w:cs="Arial" w:eastAsia="Arial" w:hAnsi="Arial"/>
                <w:sz w:val="13"/>
                <w:szCs w:val="13"/>
                <w:color w:val="auto"/>
                <w:w w:val="94"/>
              </w:rPr>
              <w:t>(principal financial officer and principal accounting</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5"/>
              </w:rPr>
              <w:t>officer)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II-70</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F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F hereto</w:t>
      </w:r>
    </w:p>
    <w:p>
      <w:pPr>
        <w:spacing w:after="0" w:line="332" w:lineRule="exact"/>
        <w:rPr>
          <w:sz w:val="20"/>
          <w:szCs w:val="20"/>
          <w:color w:val="auto"/>
        </w:rPr>
      </w:pPr>
    </w:p>
    <w:tbl>
      <w:tblPr>
        <w:tblLayout w:type="fixed"/>
        <w:tblInd w:w="4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6560" w:type="dxa"/>
            <w:vAlign w:val="bottom"/>
            <w:tcBorders>
              <w:bottom w:val="single" w:sz="8" w:color="auto"/>
            </w:tcBorders>
          </w:tcPr>
          <w:p>
            <w:pPr>
              <w:jc w:val="center"/>
              <w:ind w:right="794"/>
              <w:spacing w:after="0"/>
              <w:rPr>
                <w:sz w:val="20"/>
                <w:szCs w:val="20"/>
                <w:color w:val="auto"/>
              </w:rPr>
            </w:pPr>
            <w:r>
              <w:rPr>
                <w:rFonts w:ascii="Arial" w:cs="Arial" w:eastAsia="Arial" w:hAnsi="Arial"/>
                <w:sz w:val="13"/>
                <w:szCs w:val="13"/>
                <w:color w:val="auto"/>
                <w:w w:val="98"/>
              </w:rPr>
              <w:t>/s/ Edward A. Lang, III</w:t>
            </w:r>
          </w:p>
        </w:tc>
      </w:tr>
      <w:tr>
        <w:trPr>
          <w:trHeight w:val="144"/>
        </w:trPr>
        <w:tc>
          <w:tcPr>
            <w:tcW w:w="400" w:type="dxa"/>
            <w:vAlign w:val="bottom"/>
          </w:tcPr>
          <w:p>
            <w:pPr>
              <w:spacing w:after="0"/>
              <w:rPr>
                <w:sz w:val="12"/>
                <w:szCs w:val="12"/>
                <w:color w:val="auto"/>
              </w:rPr>
            </w:pPr>
          </w:p>
        </w:tc>
        <w:tc>
          <w:tcPr>
            <w:tcW w:w="6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6560" w:type="dxa"/>
            <w:vAlign w:val="bottom"/>
          </w:tcPr>
          <w:p>
            <w:pPr>
              <w:jc w:val="center"/>
              <w:ind w:right="794"/>
              <w:spacing w:after="0"/>
              <w:rPr>
                <w:sz w:val="20"/>
                <w:szCs w:val="20"/>
                <w:color w:val="auto"/>
              </w:rPr>
            </w:pPr>
            <w:r>
              <w:rPr>
                <w:rFonts w:ascii="Arial" w:cs="Arial" w:eastAsia="Arial" w:hAnsi="Arial"/>
                <w:sz w:val="13"/>
                <w:szCs w:val="13"/>
                <w:color w:val="auto"/>
                <w:w w:val="88"/>
              </w:rPr>
              <w:t>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President</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Treasurer and Director</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ind w:left="1720"/>
              <w:spacing w:after="0" w:line="130" w:lineRule="exact"/>
              <w:rPr>
                <w:sz w:val="20"/>
                <w:szCs w:val="20"/>
                <w:color w:val="auto"/>
              </w:rPr>
            </w:pPr>
            <w:r>
              <w:rPr>
                <w:rFonts w:ascii="Arial" w:cs="Arial" w:eastAsia="Arial" w:hAnsi="Arial"/>
                <w:sz w:val="13"/>
                <w:szCs w:val="13"/>
                <w:color w:val="auto"/>
              </w:rPr>
              <w:t>(principal financial officer and principal accounting</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5"/>
              </w:rPr>
              <w:t>officer)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II-71</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G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G hereto</w:t>
      </w:r>
    </w:p>
    <w:p>
      <w:pPr>
        <w:spacing w:after="0" w:line="332" w:lineRule="exact"/>
        <w:rPr>
          <w:sz w:val="20"/>
          <w:szCs w:val="20"/>
          <w:color w:val="auto"/>
        </w:rPr>
      </w:pPr>
    </w:p>
    <w:tbl>
      <w:tblPr>
        <w:tblLayout w:type="fixed"/>
        <w:tblInd w:w="4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6560" w:type="dxa"/>
            <w:vAlign w:val="bottom"/>
            <w:tcBorders>
              <w:bottom w:val="single" w:sz="8" w:color="auto"/>
            </w:tcBorders>
          </w:tcPr>
          <w:p>
            <w:pPr>
              <w:jc w:val="center"/>
              <w:ind w:right="794"/>
              <w:spacing w:after="0"/>
              <w:rPr>
                <w:sz w:val="20"/>
                <w:szCs w:val="20"/>
                <w:color w:val="auto"/>
              </w:rPr>
            </w:pPr>
            <w:r>
              <w:rPr>
                <w:rFonts w:ascii="Arial" w:cs="Arial" w:eastAsia="Arial" w:hAnsi="Arial"/>
                <w:sz w:val="13"/>
                <w:szCs w:val="13"/>
                <w:color w:val="auto"/>
                <w:w w:val="98"/>
              </w:rPr>
              <w:t>/s/ Edward A. Lang, III</w:t>
            </w:r>
          </w:p>
        </w:tc>
      </w:tr>
      <w:tr>
        <w:trPr>
          <w:trHeight w:val="144"/>
        </w:trPr>
        <w:tc>
          <w:tcPr>
            <w:tcW w:w="400" w:type="dxa"/>
            <w:vAlign w:val="bottom"/>
          </w:tcPr>
          <w:p>
            <w:pPr>
              <w:spacing w:after="0"/>
              <w:rPr>
                <w:sz w:val="12"/>
                <w:szCs w:val="12"/>
                <w:color w:val="auto"/>
              </w:rPr>
            </w:pPr>
          </w:p>
        </w:tc>
        <w:tc>
          <w:tcPr>
            <w:tcW w:w="6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6560" w:type="dxa"/>
            <w:vAlign w:val="bottom"/>
          </w:tcPr>
          <w:p>
            <w:pPr>
              <w:jc w:val="center"/>
              <w:ind w:right="794"/>
              <w:spacing w:after="0"/>
              <w:rPr>
                <w:sz w:val="20"/>
                <w:szCs w:val="20"/>
                <w:color w:val="auto"/>
              </w:rPr>
            </w:pPr>
            <w:r>
              <w:rPr>
                <w:rFonts w:ascii="Arial" w:cs="Arial" w:eastAsia="Arial" w:hAnsi="Arial"/>
                <w:sz w:val="13"/>
                <w:szCs w:val="13"/>
                <w:color w:val="auto"/>
                <w:w w:val="88"/>
              </w:rPr>
              <w:t>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Jeff D. Andrews</w:t>
            </w:r>
          </w:p>
        </w:tc>
        <w:tc>
          <w:tcPr>
            <w:tcW w:w="668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Jeff D. Andrews</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Treasurer and Director</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4"/>
              </w:rPr>
              <w:t>(principal financial officer and principal accounting</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5"/>
              </w:rPr>
              <w:t>officer)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II-72</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H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H hereto</w:t>
      </w:r>
    </w:p>
    <w:p>
      <w:pPr>
        <w:spacing w:after="0" w:line="332" w:lineRule="exact"/>
        <w:rPr>
          <w:sz w:val="20"/>
          <w:szCs w:val="20"/>
          <w:color w:val="auto"/>
        </w:rPr>
      </w:pPr>
    </w:p>
    <w:tbl>
      <w:tblPr>
        <w:tblLayout w:type="fixed"/>
        <w:tblInd w:w="4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6560" w:type="dxa"/>
            <w:vAlign w:val="bottom"/>
            <w:tcBorders>
              <w:bottom w:val="single" w:sz="8" w:color="auto"/>
            </w:tcBorders>
          </w:tcPr>
          <w:p>
            <w:pPr>
              <w:jc w:val="center"/>
              <w:ind w:right="794"/>
              <w:spacing w:after="0"/>
              <w:rPr>
                <w:sz w:val="20"/>
                <w:szCs w:val="20"/>
                <w:color w:val="auto"/>
              </w:rPr>
            </w:pPr>
            <w:r>
              <w:rPr>
                <w:rFonts w:ascii="Arial" w:cs="Arial" w:eastAsia="Arial" w:hAnsi="Arial"/>
                <w:sz w:val="13"/>
                <w:szCs w:val="13"/>
                <w:color w:val="auto"/>
                <w:w w:val="98"/>
              </w:rPr>
              <w:t>/s/ Edward A. Lang, III</w:t>
            </w:r>
          </w:p>
        </w:tc>
      </w:tr>
      <w:tr>
        <w:trPr>
          <w:trHeight w:val="144"/>
        </w:trPr>
        <w:tc>
          <w:tcPr>
            <w:tcW w:w="400" w:type="dxa"/>
            <w:vAlign w:val="bottom"/>
          </w:tcPr>
          <w:p>
            <w:pPr>
              <w:spacing w:after="0"/>
              <w:rPr>
                <w:sz w:val="12"/>
                <w:szCs w:val="12"/>
                <w:color w:val="auto"/>
              </w:rPr>
            </w:pPr>
          </w:p>
        </w:tc>
        <w:tc>
          <w:tcPr>
            <w:tcW w:w="6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6560" w:type="dxa"/>
            <w:vAlign w:val="bottom"/>
          </w:tcPr>
          <w:p>
            <w:pPr>
              <w:jc w:val="center"/>
              <w:ind w:right="794"/>
              <w:spacing w:after="0"/>
              <w:rPr>
                <w:sz w:val="20"/>
                <w:szCs w:val="20"/>
                <w:color w:val="auto"/>
              </w:rPr>
            </w:pPr>
            <w:r>
              <w:rPr>
                <w:rFonts w:ascii="Arial" w:cs="Arial" w:eastAsia="Arial" w:hAnsi="Arial"/>
                <w:sz w:val="13"/>
                <w:szCs w:val="13"/>
                <w:color w:val="auto"/>
                <w:w w:val="88"/>
              </w:rPr>
              <w:t>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500" w:type="dxa"/>
            <w:vAlign w:val="bottom"/>
          </w:tcPr>
          <w:p>
            <w:pPr>
              <w:ind w:left="4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6680" w:type="dxa"/>
            <w:vAlign w:val="bottom"/>
          </w:tcPr>
          <w:p>
            <w:pPr>
              <w:ind w:left="30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r>
      <w:tr>
        <w:trPr>
          <w:trHeight w:val="480"/>
        </w:trPr>
        <w:tc>
          <w:tcPr>
            <w:tcW w:w="68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1517"/>
              <w:spacing w:after="0"/>
              <w:rPr>
                <w:sz w:val="20"/>
                <w:szCs w:val="20"/>
                <w:color w:val="auto"/>
              </w:rPr>
            </w:pPr>
            <w:r>
              <w:rPr>
                <w:rFonts w:ascii="Arial" w:cs="Arial" w:eastAsia="Arial" w:hAnsi="Arial"/>
                <w:sz w:val="13"/>
                <w:szCs w:val="13"/>
                <w:color w:val="auto"/>
                <w:w w:val="99"/>
              </w:rPr>
              <w:t>/s/ Ronald Krall</w:t>
            </w:r>
          </w:p>
        </w:tc>
        <w:tc>
          <w:tcPr>
            <w:tcW w:w="6680" w:type="dxa"/>
            <w:vAlign w:val="bottom"/>
          </w:tcPr>
          <w:p>
            <w:pPr>
              <w:jc w:val="center"/>
              <w:ind w:right="436"/>
              <w:spacing w:after="0"/>
              <w:rPr>
                <w:sz w:val="20"/>
                <w:szCs w:val="20"/>
                <w:color w:val="auto"/>
              </w:rPr>
            </w:pPr>
            <w:r>
              <w:rPr>
                <w:rFonts w:ascii="Arial" w:cs="Arial" w:eastAsia="Arial" w:hAnsi="Arial"/>
                <w:sz w:val="13"/>
                <w:szCs w:val="13"/>
                <w:color w:val="auto"/>
                <w:w w:val="90"/>
              </w:rPr>
              <w:t>President</w:t>
            </w:r>
          </w:p>
        </w:tc>
      </w:tr>
      <w:tr>
        <w:trPr>
          <w:trHeight w:val="156"/>
        </w:trPr>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500" w:type="dxa"/>
            <w:vAlign w:val="bottom"/>
          </w:tcPr>
          <w:p>
            <w:pPr>
              <w:jc w:val="center"/>
              <w:ind w:right="1517"/>
              <w:spacing w:after="0"/>
              <w:rPr>
                <w:sz w:val="20"/>
                <w:szCs w:val="20"/>
                <w:color w:val="auto"/>
              </w:rPr>
            </w:pPr>
            <w:r>
              <w:rPr>
                <w:rFonts w:ascii="Arial" w:cs="Arial" w:eastAsia="Arial" w:hAnsi="Arial"/>
                <w:sz w:val="13"/>
                <w:szCs w:val="13"/>
                <w:color w:val="auto"/>
                <w:w w:val="95"/>
              </w:rPr>
              <w:t>Ronald Krall</w:t>
            </w:r>
          </w:p>
        </w:tc>
        <w:tc>
          <w:tcPr>
            <w:tcW w:w="6680" w:type="dxa"/>
            <w:vAlign w:val="bottom"/>
          </w:tcPr>
          <w:p>
            <w:pPr>
              <w:jc w:val="center"/>
              <w:ind w:right="436"/>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1600" w:type="dxa"/>
            <w:vAlign w:val="bottom"/>
            <w:tcBorders>
              <w:bottom w:val="single" w:sz="8" w:color="auto"/>
            </w:tcBorders>
          </w:tcPr>
          <w:p>
            <w:pPr>
              <w:ind w:left="1440"/>
              <w:spacing w:after="0"/>
              <w:rPr>
                <w:sz w:val="20"/>
                <w:szCs w:val="20"/>
                <w:color w:val="auto"/>
              </w:rPr>
            </w:pPr>
            <w:r>
              <w:rPr>
                <w:rFonts w:ascii="Arial" w:cs="Arial" w:eastAsia="Arial" w:hAnsi="Arial"/>
                <w:sz w:val="13"/>
                <w:szCs w:val="13"/>
                <w:color w:val="auto"/>
              </w:rPr>
              <w:t>/s/</w:t>
            </w:r>
          </w:p>
        </w:tc>
        <w:tc>
          <w:tcPr>
            <w:tcW w:w="2500" w:type="dxa"/>
            <w:vAlign w:val="bottom"/>
            <w:tcBorders>
              <w:bottom w:val="single" w:sz="8" w:color="auto"/>
            </w:tcBorders>
          </w:tcPr>
          <w:p>
            <w:pPr>
              <w:jc w:val="center"/>
              <w:ind w:right="1337"/>
              <w:spacing w:after="0"/>
              <w:rPr>
                <w:sz w:val="20"/>
                <w:szCs w:val="20"/>
                <w:color w:val="auto"/>
              </w:rPr>
            </w:pPr>
            <w:r>
              <w:rPr>
                <w:rFonts w:ascii="Arial" w:cs="Arial" w:eastAsia="Arial" w:hAnsi="Arial"/>
                <w:sz w:val="13"/>
                <w:szCs w:val="13"/>
                <w:color w:val="auto"/>
                <w:w w:val="95"/>
              </w:rPr>
              <w:t>Edward A. Lang, III</w:t>
            </w:r>
          </w:p>
        </w:tc>
        <w:tc>
          <w:tcPr>
            <w:tcW w:w="6680" w:type="dxa"/>
            <w:vAlign w:val="bottom"/>
          </w:tcPr>
          <w:p>
            <w:pPr>
              <w:jc w:val="center"/>
              <w:ind w:right="436"/>
              <w:spacing w:after="0"/>
              <w:rPr>
                <w:sz w:val="20"/>
                <w:szCs w:val="20"/>
                <w:color w:val="auto"/>
              </w:rPr>
            </w:pPr>
            <w:r>
              <w:rPr>
                <w:rFonts w:ascii="Arial" w:cs="Arial" w:eastAsia="Arial" w:hAnsi="Arial"/>
                <w:sz w:val="13"/>
                <w:szCs w:val="13"/>
                <w:color w:val="auto"/>
                <w:w w:val="90"/>
              </w:rPr>
              <w:t>Treasurer and Director</w:t>
            </w:r>
          </w:p>
        </w:tc>
      </w:tr>
      <w:tr>
        <w:trPr>
          <w:trHeight w:val="130"/>
        </w:trPr>
        <w:tc>
          <w:tcPr>
            <w:tcW w:w="680" w:type="dxa"/>
            <w:vAlign w:val="bottom"/>
          </w:tcPr>
          <w:p>
            <w:pPr>
              <w:spacing w:after="0"/>
              <w:rPr>
                <w:sz w:val="11"/>
                <w:szCs w:val="11"/>
                <w:color w:val="auto"/>
              </w:rPr>
            </w:pPr>
          </w:p>
        </w:tc>
        <w:tc>
          <w:tcPr>
            <w:tcW w:w="4100" w:type="dxa"/>
            <w:vAlign w:val="bottom"/>
            <w:gridSpan w:val="2"/>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6"/>
              <w:spacing w:after="0" w:line="130" w:lineRule="exact"/>
              <w:rPr>
                <w:sz w:val="20"/>
                <w:szCs w:val="20"/>
                <w:color w:val="auto"/>
              </w:rPr>
            </w:pPr>
            <w:r>
              <w:rPr>
                <w:rFonts w:ascii="Arial" w:cs="Arial" w:eastAsia="Arial" w:hAnsi="Arial"/>
                <w:sz w:val="13"/>
                <w:szCs w:val="13"/>
                <w:color w:val="auto"/>
                <w:w w:val="94"/>
              </w:rPr>
              <w:t>(principal financial officer and principal accounting</w:t>
            </w:r>
          </w:p>
        </w:tc>
      </w:tr>
      <w:tr>
        <w:trPr>
          <w:trHeight w:val="165"/>
        </w:trPr>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680" w:type="dxa"/>
            <w:vAlign w:val="bottom"/>
          </w:tcPr>
          <w:p>
            <w:pPr>
              <w:jc w:val="center"/>
              <w:ind w:right="436"/>
              <w:spacing w:after="0"/>
              <w:rPr>
                <w:sz w:val="20"/>
                <w:szCs w:val="20"/>
                <w:color w:val="auto"/>
              </w:rPr>
            </w:pPr>
            <w:r>
              <w:rPr>
                <w:rFonts w:ascii="Arial" w:cs="Arial" w:eastAsia="Arial" w:hAnsi="Arial"/>
                <w:sz w:val="13"/>
                <w:szCs w:val="13"/>
                <w:color w:val="auto"/>
                <w:w w:val="95"/>
              </w:rPr>
              <w:t>officer)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6"/>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500" w:type="dxa"/>
            <w:vAlign w:val="bottom"/>
          </w:tcPr>
          <w:p>
            <w:pPr>
              <w:jc w:val="center"/>
              <w:ind w:right="1517"/>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0" w:type="dxa"/>
            <w:vAlign w:val="bottom"/>
            <w:tcBorders>
              <w:bottom w:val="single" w:sz="8" w:color="auto"/>
            </w:tcBorders>
          </w:tcPr>
          <w:p>
            <w:pPr>
              <w:ind w:left="1460"/>
              <w:spacing w:after="0"/>
              <w:rPr>
                <w:sz w:val="20"/>
                <w:szCs w:val="20"/>
                <w:color w:val="auto"/>
              </w:rPr>
            </w:pPr>
            <w:r>
              <w:rPr>
                <w:rFonts w:ascii="Arial" w:cs="Arial" w:eastAsia="Arial" w:hAnsi="Arial"/>
                <w:sz w:val="13"/>
                <w:szCs w:val="13"/>
                <w:color w:val="auto"/>
                <w:w w:val="87"/>
              </w:rPr>
              <w:t>/s/</w:t>
            </w:r>
          </w:p>
        </w:tc>
        <w:tc>
          <w:tcPr>
            <w:tcW w:w="2500" w:type="dxa"/>
            <w:vAlign w:val="bottom"/>
            <w:tcBorders>
              <w:bottom w:val="single" w:sz="8" w:color="auto"/>
            </w:tcBorders>
          </w:tcPr>
          <w:p>
            <w:pPr>
              <w:jc w:val="center"/>
              <w:ind w:right="1317"/>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jc w:val="center"/>
              <w:ind w:right="416"/>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gridSpan w:val="2"/>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II-73</w:t>
            </w:r>
          </w:p>
        </w:tc>
      </w:tr>
      <w:tr>
        <w:trPr>
          <w:trHeight w:val="163"/>
        </w:trPr>
        <w:tc>
          <w:tcPr>
            <w:tcW w:w="68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25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1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I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I hereto</w:t>
      </w:r>
    </w:p>
    <w:p>
      <w:pPr>
        <w:spacing w:after="0" w:line="332" w:lineRule="exact"/>
        <w:rPr>
          <w:sz w:val="20"/>
          <w:szCs w:val="20"/>
          <w:color w:val="auto"/>
        </w:rPr>
      </w:pPr>
    </w:p>
    <w:tbl>
      <w:tblPr>
        <w:tblLayout w:type="fixed"/>
        <w:tblInd w:w="4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6560" w:type="dxa"/>
            <w:vAlign w:val="bottom"/>
            <w:tcBorders>
              <w:bottom w:val="single" w:sz="8" w:color="auto"/>
            </w:tcBorders>
          </w:tcPr>
          <w:p>
            <w:pPr>
              <w:jc w:val="center"/>
              <w:ind w:right="794"/>
              <w:spacing w:after="0"/>
              <w:rPr>
                <w:sz w:val="20"/>
                <w:szCs w:val="20"/>
                <w:color w:val="auto"/>
              </w:rPr>
            </w:pPr>
            <w:r>
              <w:rPr>
                <w:rFonts w:ascii="Arial" w:cs="Arial" w:eastAsia="Arial" w:hAnsi="Arial"/>
                <w:sz w:val="13"/>
                <w:szCs w:val="13"/>
                <w:color w:val="auto"/>
                <w:w w:val="98"/>
              </w:rPr>
              <w:t>/s/ Edward A. Lang, III</w:t>
            </w:r>
          </w:p>
        </w:tc>
      </w:tr>
      <w:tr>
        <w:trPr>
          <w:trHeight w:val="144"/>
        </w:trPr>
        <w:tc>
          <w:tcPr>
            <w:tcW w:w="400" w:type="dxa"/>
            <w:vAlign w:val="bottom"/>
          </w:tcPr>
          <w:p>
            <w:pPr>
              <w:spacing w:after="0"/>
              <w:rPr>
                <w:sz w:val="12"/>
                <w:szCs w:val="12"/>
                <w:color w:val="auto"/>
              </w:rPr>
            </w:pPr>
          </w:p>
        </w:tc>
        <w:tc>
          <w:tcPr>
            <w:tcW w:w="6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6560" w:type="dxa"/>
            <w:vAlign w:val="bottom"/>
          </w:tcPr>
          <w:p>
            <w:pPr>
              <w:jc w:val="center"/>
              <w:ind w:right="794"/>
              <w:spacing w:after="0"/>
              <w:rPr>
                <w:sz w:val="20"/>
                <w:szCs w:val="20"/>
                <w:color w:val="auto"/>
              </w:rPr>
            </w:pPr>
            <w:r>
              <w:rPr>
                <w:rFonts w:ascii="Arial" w:cs="Arial" w:eastAsia="Arial" w:hAnsi="Arial"/>
                <w:sz w:val="13"/>
                <w:szCs w:val="13"/>
                <w:color w:val="auto"/>
                <w:w w:val="88"/>
              </w:rPr>
              <w:t>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Kevin Walbridge</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President</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Kevin Walbridge</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Treasurer and Director</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4"/>
              <w:spacing w:after="0" w:line="130" w:lineRule="exact"/>
              <w:rPr>
                <w:sz w:val="20"/>
                <w:szCs w:val="20"/>
                <w:color w:val="auto"/>
              </w:rPr>
            </w:pPr>
            <w:r>
              <w:rPr>
                <w:rFonts w:ascii="Arial" w:cs="Arial" w:eastAsia="Arial" w:hAnsi="Arial"/>
                <w:sz w:val="13"/>
                <w:szCs w:val="13"/>
                <w:color w:val="auto"/>
                <w:w w:val="94"/>
              </w:rPr>
              <w:t>(principal financial officer and principal accounting</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5"/>
              </w:rPr>
              <w:t>officer)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II-74</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J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J hereto</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Christopher Synek</w:t>
            </w:r>
          </w:p>
        </w:tc>
        <w:tc>
          <w:tcPr>
            <w:tcW w:w="6680" w:type="dxa"/>
            <w:vAlign w:val="bottom"/>
          </w:tcPr>
          <w:p>
            <w:pPr>
              <w:ind w:left="2840"/>
              <w:spacing w:after="0"/>
              <w:rPr>
                <w:sz w:val="20"/>
                <w:szCs w:val="20"/>
                <w:color w:val="auto"/>
              </w:rPr>
            </w:pPr>
            <w:r>
              <w:rPr>
                <w:rFonts w:ascii="Arial" w:cs="Arial" w:eastAsia="Arial" w:hAnsi="Arial"/>
                <w:sz w:val="13"/>
                <w:szCs w:val="13"/>
                <w:color w:val="auto"/>
              </w:rPr>
              <w:t>President</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Christopher Synek</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Treasurer and Director</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4"/>
              <w:spacing w:after="0" w:line="130" w:lineRule="exact"/>
              <w:rPr>
                <w:sz w:val="20"/>
                <w:szCs w:val="20"/>
                <w:color w:val="auto"/>
              </w:rPr>
            </w:pPr>
            <w:r>
              <w:rPr>
                <w:rFonts w:ascii="Arial" w:cs="Arial" w:eastAsia="Arial" w:hAnsi="Arial"/>
                <w:sz w:val="13"/>
                <w:szCs w:val="13"/>
                <w:color w:val="auto"/>
                <w:w w:val="94"/>
              </w:rPr>
              <w:t>(principal financial officer and principal accounting</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5"/>
              </w:rPr>
              <w:t>officer)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II-75</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K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K hereto</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James 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James E. O’Connor</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President and Chief Executive Officer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James E. O’Connor</w:t>
            </w:r>
          </w:p>
        </w:tc>
        <w:tc>
          <w:tcPr>
            <w:tcW w:w="6680" w:type="dxa"/>
            <w:vAlign w:val="bottom"/>
          </w:tcPr>
          <w:p>
            <w:pPr>
              <w:jc w:val="center"/>
              <w:ind w:right="474"/>
              <w:spacing w:after="0"/>
              <w:rPr>
                <w:sz w:val="20"/>
                <w:szCs w:val="20"/>
                <w:color w:val="auto"/>
              </w:rPr>
            </w:pPr>
            <w:r>
              <w:rPr>
                <w:rFonts w:ascii="Arial" w:cs="Arial" w:eastAsia="Arial" w:hAnsi="Arial"/>
                <w:sz w:val="13"/>
                <w:szCs w:val="13"/>
                <w:color w:val="auto"/>
                <w:w w:val="93"/>
              </w:rPr>
              <w:t>President, Chief Executive Officer and Director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James E. O’Connor</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Tod C. Holmes</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3"/>
              </w:rPr>
              <w:t>Chief Financial Officer and Director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Tod C. Holmes</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6"/>
              </w:rPr>
              <w:t>(principal financial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5"/>
              </w:rPr>
              <w:t>Chief Accounting Officer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accounting officer)</w:t>
            </w: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II-76</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L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L hereto</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Thomas E. Miller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1"/>
              </w:rPr>
              <w:t>President and Director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4"/>
              </w:rPr>
              <w:t>Thomas E. Miller</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88"/>
              </w:rPr>
              <w:t>Treasurer</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4"/>
              <w:spacing w:after="0" w:line="130" w:lineRule="exact"/>
              <w:rPr>
                <w:sz w:val="20"/>
                <w:szCs w:val="20"/>
                <w:color w:val="auto"/>
              </w:rPr>
            </w:pPr>
            <w:r>
              <w:rPr>
                <w:rFonts w:ascii="Arial" w:cs="Arial" w:eastAsia="Arial" w:hAnsi="Arial"/>
                <w:sz w:val="13"/>
                <w:szCs w:val="13"/>
                <w:color w:val="auto"/>
                <w:w w:val="94"/>
              </w:rPr>
              <w:t>(principal financial officer and principal accounting</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5"/>
              </w:rPr>
              <w:t>officer)</w:t>
            </w:r>
          </w:p>
        </w:tc>
      </w:tr>
      <w:tr>
        <w:trPr>
          <w:trHeight w:val="442"/>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II-77</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M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M hereto</w:t>
      </w:r>
    </w:p>
    <w:p>
      <w:pPr>
        <w:spacing w:after="0" w:line="332" w:lineRule="exact"/>
        <w:rPr>
          <w:sz w:val="20"/>
          <w:szCs w:val="20"/>
          <w:color w:val="auto"/>
        </w:rPr>
      </w:pPr>
    </w:p>
    <w:p>
      <w:pPr>
        <w:ind w:left="4580"/>
        <w:spacing w:after="0"/>
        <w:tabs>
          <w:tab w:leader="none" w:pos="72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Roger A. Groen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Roger A. Groen Jr.</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President</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Roger A. Groen Jr.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1"/>
              </w:rPr>
              <w:t>President and Director</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1"/>
              </w:rPr>
              <w:t>Roger A. Groen Jr.</w:t>
            </w:r>
          </w:p>
        </w:tc>
        <w:tc>
          <w:tcPr>
            <w:tcW w:w="6680" w:type="dxa"/>
            <w:vAlign w:val="bottom"/>
          </w:tcPr>
          <w:p>
            <w:pPr>
              <w:jc w:val="center"/>
              <w:ind w:right="434"/>
              <w:spacing w:after="0" w:line="130" w:lineRule="exact"/>
              <w:rPr>
                <w:sz w:val="20"/>
                <w:szCs w:val="20"/>
                <w:color w:val="auto"/>
              </w:rPr>
            </w:pPr>
            <w:r>
              <w:rPr>
                <w:rFonts w:ascii="Arial" w:cs="Arial" w:eastAsia="Arial" w:hAnsi="Arial"/>
                <w:sz w:val="13"/>
                <w:szCs w:val="13"/>
                <w:color w:val="auto"/>
                <w:w w:val="95"/>
              </w:rPr>
              <w:t>(principal executive officer, principal financial officer</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3"/>
              </w:rPr>
              <w:t>and principal accounting officer)</w:t>
            </w:r>
          </w:p>
        </w:tc>
      </w:tr>
      <w:tr>
        <w:trPr>
          <w:trHeight w:val="442"/>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II-78</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N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N hereto</w:t>
      </w:r>
    </w:p>
    <w:p>
      <w:pPr>
        <w:spacing w:after="0" w:line="332" w:lineRule="exact"/>
        <w:rPr>
          <w:sz w:val="20"/>
          <w:szCs w:val="20"/>
          <w:color w:val="auto"/>
        </w:rPr>
      </w:pPr>
    </w:p>
    <w:tbl>
      <w:tblPr>
        <w:tblLayout w:type="fixed"/>
        <w:tblInd w:w="4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6560" w:type="dxa"/>
            <w:vAlign w:val="bottom"/>
            <w:tcBorders>
              <w:bottom w:val="single" w:sz="8" w:color="auto"/>
            </w:tcBorders>
          </w:tcPr>
          <w:p>
            <w:pPr>
              <w:jc w:val="center"/>
              <w:ind w:right="794"/>
              <w:spacing w:after="0"/>
              <w:rPr>
                <w:sz w:val="20"/>
                <w:szCs w:val="20"/>
                <w:color w:val="auto"/>
              </w:rPr>
            </w:pPr>
            <w:r>
              <w:rPr>
                <w:rFonts w:ascii="Arial" w:cs="Arial" w:eastAsia="Arial" w:hAnsi="Arial"/>
                <w:sz w:val="13"/>
                <w:szCs w:val="13"/>
                <w:color w:val="auto"/>
                <w:w w:val="98"/>
              </w:rPr>
              <w:t>/s/ Edward A. Lang, III</w:t>
            </w:r>
          </w:p>
        </w:tc>
      </w:tr>
      <w:tr>
        <w:trPr>
          <w:trHeight w:val="144"/>
        </w:trPr>
        <w:tc>
          <w:tcPr>
            <w:tcW w:w="400" w:type="dxa"/>
            <w:vAlign w:val="bottom"/>
          </w:tcPr>
          <w:p>
            <w:pPr>
              <w:spacing w:after="0"/>
              <w:rPr>
                <w:sz w:val="12"/>
                <w:szCs w:val="12"/>
                <w:color w:val="auto"/>
              </w:rPr>
            </w:pPr>
          </w:p>
        </w:tc>
        <w:tc>
          <w:tcPr>
            <w:tcW w:w="6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6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500" w:type="dxa"/>
            <w:vAlign w:val="bottom"/>
          </w:tcPr>
          <w:p>
            <w:pPr>
              <w:ind w:left="4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6680" w:type="dxa"/>
            <w:vAlign w:val="bottom"/>
          </w:tcPr>
          <w:p>
            <w:pPr>
              <w:ind w:left="30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r>
      <w:tr>
        <w:trPr>
          <w:trHeight w:val="480"/>
        </w:trPr>
        <w:tc>
          <w:tcPr>
            <w:tcW w:w="68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1517"/>
              <w:spacing w:after="0"/>
              <w:rPr>
                <w:sz w:val="20"/>
                <w:szCs w:val="20"/>
                <w:color w:val="auto"/>
              </w:rPr>
            </w:pPr>
            <w:r>
              <w:rPr>
                <w:rFonts w:ascii="Arial" w:cs="Arial" w:eastAsia="Arial" w:hAnsi="Arial"/>
                <w:sz w:val="13"/>
                <w:szCs w:val="13"/>
                <w:color w:val="auto"/>
                <w:w w:val="99"/>
              </w:rPr>
              <w:t>/s/ Ronald Krall</w:t>
            </w:r>
          </w:p>
        </w:tc>
        <w:tc>
          <w:tcPr>
            <w:tcW w:w="6680" w:type="dxa"/>
            <w:vAlign w:val="bottom"/>
          </w:tcPr>
          <w:p>
            <w:pPr>
              <w:jc w:val="center"/>
              <w:ind w:right="436"/>
              <w:spacing w:after="0"/>
              <w:rPr>
                <w:sz w:val="20"/>
                <w:szCs w:val="20"/>
                <w:color w:val="auto"/>
              </w:rPr>
            </w:pPr>
            <w:r>
              <w:rPr>
                <w:rFonts w:ascii="Arial" w:cs="Arial" w:eastAsia="Arial" w:hAnsi="Arial"/>
                <w:sz w:val="13"/>
                <w:szCs w:val="13"/>
                <w:color w:val="auto"/>
                <w:w w:val="90"/>
              </w:rPr>
              <w:t>President</w:t>
            </w:r>
          </w:p>
        </w:tc>
      </w:tr>
      <w:tr>
        <w:trPr>
          <w:trHeight w:val="156"/>
        </w:trPr>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500" w:type="dxa"/>
            <w:vAlign w:val="bottom"/>
          </w:tcPr>
          <w:p>
            <w:pPr>
              <w:jc w:val="center"/>
              <w:ind w:right="1517"/>
              <w:spacing w:after="0"/>
              <w:rPr>
                <w:sz w:val="20"/>
                <w:szCs w:val="20"/>
                <w:color w:val="auto"/>
              </w:rPr>
            </w:pPr>
            <w:r>
              <w:rPr>
                <w:rFonts w:ascii="Arial" w:cs="Arial" w:eastAsia="Arial" w:hAnsi="Arial"/>
                <w:sz w:val="13"/>
                <w:szCs w:val="13"/>
                <w:color w:val="auto"/>
                <w:w w:val="95"/>
              </w:rPr>
              <w:t>Ronald Krall</w:t>
            </w:r>
          </w:p>
        </w:tc>
        <w:tc>
          <w:tcPr>
            <w:tcW w:w="6680" w:type="dxa"/>
            <w:vAlign w:val="bottom"/>
          </w:tcPr>
          <w:p>
            <w:pPr>
              <w:jc w:val="center"/>
              <w:ind w:right="436"/>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1600" w:type="dxa"/>
            <w:vAlign w:val="bottom"/>
            <w:tcBorders>
              <w:bottom w:val="single" w:sz="8" w:color="auto"/>
            </w:tcBorders>
          </w:tcPr>
          <w:p>
            <w:pPr>
              <w:ind w:left="1440"/>
              <w:spacing w:after="0"/>
              <w:rPr>
                <w:sz w:val="20"/>
                <w:szCs w:val="20"/>
                <w:color w:val="auto"/>
              </w:rPr>
            </w:pPr>
            <w:r>
              <w:rPr>
                <w:rFonts w:ascii="Arial" w:cs="Arial" w:eastAsia="Arial" w:hAnsi="Arial"/>
                <w:sz w:val="13"/>
                <w:szCs w:val="13"/>
                <w:color w:val="auto"/>
              </w:rPr>
              <w:t>/s/</w:t>
            </w:r>
          </w:p>
        </w:tc>
        <w:tc>
          <w:tcPr>
            <w:tcW w:w="2500" w:type="dxa"/>
            <w:vAlign w:val="bottom"/>
            <w:tcBorders>
              <w:bottom w:val="single" w:sz="8" w:color="auto"/>
            </w:tcBorders>
          </w:tcPr>
          <w:p>
            <w:pPr>
              <w:jc w:val="center"/>
              <w:ind w:right="1337"/>
              <w:spacing w:after="0"/>
              <w:rPr>
                <w:sz w:val="20"/>
                <w:szCs w:val="20"/>
                <w:color w:val="auto"/>
              </w:rPr>
            </w:pPr>
            <w:r>
              <w:rPr>
                <w:rFonts w:ascii="Arial" w:cs="Arial" w:eastAsia="Arial" w:hAnsi="Arial"/>
                <w:sz w:val="13"/>
                <w:szCs w:val="13"/>
                <w:color w:val="auto"/>
                <w:w w:val="95"/>
              </w:rPr>
              <w:t>Edward A. Lang, III</w:t>
            </w:r>
          </w:p>
        </w:tc>
        <w:tc>
          <w:tcPr>
            <w:tcW w:w="6680" w:type="dxa"/>
            <w:vAlign w:val="bottom"/>
          </w:tcPr>
          <w:p>
            <w:pPr>
              <w:jc w:val="center"/>
              <w:ind w:right="436"/>
              <w:spacing w:after="0"/>
              <w:rPr>
                <w:sz w:val="20"/>
                <w:szCs w:val="20"/>
                <w:color w:val="auto"/>
              </w:rPr>
            </w:pPr>
            <w:r>
              <w:rPr>
                <w:rFonts w:ascii="Arial" w:cs="Arial" w:eastAsia="Arial" w:hAnsi="Arial"/>
                <w:sz w:val="13"/>
                <w:szCs w:val="13"/>
                <w:color w:val="auto"/>
                <w:w w:val="90"/>
              </w:rPr>
              <w:t>Vice President — Finance, Treasurer and Director</w:t>
            </w:r>
          </w:p>
        </w:tc>
      </w:tr>
      <w:tr>
        <w:trPr>
          <w:trHeight w:val="130"/>
        </w:trPr>
        <w:tc>
          <w:tcPr>
            <w:tcW w:w="680" w:type="dxa"/>
            <w:vAlign w:val="bottom"/>
          </w:tcPr>
          <w:p>
            <w:pPr>
              <w:spacing w:after="0"/>
              <w:rPr>
                <w:sz w:val="11"/>
                <w:szCs w:val="11"/>
                <w:color w:val="auto"/>
              </w:rPr>
            </w:pPr>
          </w:p>
        </w:tc>
        <w:tc>
          <w:tcPr>
            <w:tcW w:w="4100" w:type="dxa"/>
            <w:vAlign w:val="bottom"/>
            <w:gridSpan w:val="2"/>
          </w:tcPr>
          <w:p>
            <w:pPr>
              <w:jc w:val="center"/>
              <w:spacing w:after="0" w:line="130" w:lineRule="exact"/>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6"/>
              <w:spacing w:after="0" w:line="130" w:lineRule="exact"/>
              <w:rPr>
                <w:sz w:val="20"/>
                <w:szCs w:val="20"/>
                <w:color w:val="auto"/>
              </w:rPr>
            </w:pPr>
            <w:r>
              <w:rPr>
                <w:rFonts w:ascii="Arial" w:cs="Arial" w:eastAsia="Arial" w:hAnsi="Arial"/>
                <w:sz w:val="13"/>
                <w:szCs w:val="13"/>
                <w:color w:val="auto"/>
                <w:w w:val="94"/>
              </w:rPr>
              <w:t>(principal financial officer and principal accounting</w:t>
            </w:r>
          </w:p>
        </w:tc>
      </w:tr>
      <w:tr>
        <w:trPr>
          <w:trHeight w:val="165"/>
        </w:trPr>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680" w:type="dxa"/>
            <w:vAlign w:val="bottom"/>
          </w:tcPr>
          <w:p>
            <w:pPr>
              <w:jc w:val="center"/>
              <w:ind w:right="436"/>
              <w:spacing w:after="0"/>
              <w:rPr>
                <w:sz w:val="20"/>
                <w:szCs w:val="20"/>
                <w:color w:val="auto"/>
              </w:rPr>
            </w:pPr>
            <w:r>
              <w:rPr>
                <w:rFonts w:ascii="Arial" w:cs="Arial" w:eastAsia="Arial" w:hAnsi="Arial"/>
                <w:sz w:val="13"/>
                <w:szCs w:val="13"/>
                <w:color w:val="auto"/>
                <w:w w:val="95"/>
              </w:rPr>
              <w:t>officer)</w:t>
            </w:r>
          </w:p>
        </w:tc>
      </w:tr>
      <w:tr>
        <w:trPr>
          <w:trHeight w:val="315"/>
        </w:trPr>
        <w:tc>
          <w:tcPr>
            <w:tcW w:w="680" w:type="dxa"/>
            <w:vAlign w:val="bottom"/>
          </w:tcPr>
          <w:p>
            <w:pPr>
              <w:spacing w:after="0"/>
              <w:rPr>
                <w:sz w:val="24"/>
                <w:szCs w:val="24"/>
                <w:color w:val="auto"/>
              </w:rPr>
            </w:pPr>
          </w:p>
        </w:tc>
        <w:tc>
          <w:tcPr>
            <w:tcW w:w="1600" w:type="dxa"/>
            <w:vAlign w:val="bottom"/>
            <w:tcBorders>
              <w:bottom w:val="single" w:sz="8" w:color="auto"/>
            </w:tcBorders>
          </w:tcPr>
          <w:p>
            <w:pPr>
              <w:ind w:left="1460"/>
              <w:spacing w:after="0"/>
              <w:rPr>
                <w:sz w:val="20"/>
                <w:szCs w:val="20"/>
                <w:color w:val="auto"/>
              </w:rPr>
            </w:pPr>
            <w:r>
              <w:rPr>
                <w:rFonts w:ascii="Arial" w:cs="Arial" w:eastAsia="Arial" w:hAnsi="Arial"/>
                <w:sz w:val="13"/>
                <w:szCs w:val="13"/>
                <w:color w:val="auto"/>
                <w:w w:val="87"/>
              </w:rPr>
              <w:t>/s/</w:t>
            </w:r>
          </w:p>
        </w:tc>
        <w:tc>
          <w:tcPr>
            <w:tcW w:w="2500" w:type="dxa"/>
            <w:vAlign w:val="bottom"/>
            <w:tcBorders>
              <w:bottom w:val="single" w:sz="8" w:color="auto"/>
            </w:tcBorders>
          </w:tcPr>
          <w:p>
            <w:pPr>
              <w:jc w:val="center"/>
              <w:ind w:right="1317"/>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jc w:val="center"/>
              <w:ind w:right="416"/>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gridSpan w:val="2"/>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II-79</w:t>
            </w:r>
          </w:p>
        </w:tc>
      </w:tr>
      <w:tr>
        <w:trPr>
          <w:trHeight w:val="163"/>
        </w:trPr>
        <w:tc>
          <w:tcPr>
            <w:tcW w:w="68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25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O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O hereto</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By: Allied Waste Landfill Holdings,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Vice President — Finance and 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3"/>
              </w:rPr>
              <w:t>President and Director of Allied Waste Landfill</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3"/>
              </w:rPr>
              <w:t>Holdings,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1"/>
              </w:rPr>
              <w:t>Vice President — Finance, Treasurer and Director of</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5"/>
              </w:rPr>
              <w:t>Allied Waste Landfill Holdings,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5"/>
              </w:rPr>
              <w:t>Director of Allied Waste Landfill Holdings,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II-80</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P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P hereto</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By: Allied Waste Landfill Holdings,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Vice President — Finance and Treasurer</w:t>
      </w:r>
    </w:p>
    <w:p>
      <w:pPr>
        <w:spacing w:after="0" w:line="167"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By: Allied Waste North America,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James 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10795</wp:posOffset>
            </wp:positionV>
            <wp:extent cx="416433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jc w:val="center"/>
        <w:ind w:left="4180"/>
        <w:spacing w:after="0"/>
        <w:rPr>
          <w:sz w:val="20"/>
          <w:szCs w:val="20"/>
          <w:color w:val="auto"/>
        </w:rPr>
      </w:pPr>
      <w:r>
        <w:rPr>
          <w:rFonts w:ascii="Arial" w:cs="Arial" w:eastAsia="Arial" w:hAnsi="Arial"/>
          <w:sz w:val="13"/>
          <w:szCs w:val="13"/>
          <w:color w:val="auto"/>
        </w:rPr>
        <w:t>James E. O’Connor</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President and Chief Executive Officer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3"/>
              </w:rPr>
              <w:t>President and Director of Allied Waste Landfill</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3"/>
              </w:rPr>
              <w:t>Holdings,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1"/>
              </w:rPr>
              <w:t>Vice President — Finance, Treasurer and Director of</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5"/>
              </w:rPr>
              <w:t>Allied Waste Landfill Holdings,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ind w:left="1700"/>
              <w:spacing w:after="0"/>
              <w:rPr>
                <w:sz w:val="20"/>
                <w:szCs w:val="20"/>
                <w:color w:val="auto"/>
              </w:rPr>
            </w:pPr>
            <w:r>
              <w:rPr>
                <w:rFonts w:ascii="Arial" w:cs="Arial" w:eastAsia="Arial" w:hAnsi="Arial"/>
                <w:sz w:val="13"/>
                <w:szCs w:val="13"/>
                <w:color w:val="auto"/>
              </w:rPr>
              <w:t>Director of Allied Waste Landfill Holdings, Inc. and</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89"/>
              </w:rPr>
              <w:t>Charles F. Serianni</w:t>
            </w:r>
          </w:p>
        </w:tc>
        <w:tc>
          <w:tcPr>
            <w:tcW w:w="6680" w:type="dxa"/>
            <w:vAlign w:val="bottom"/>
          </w:tcPr>
          <w:p>
            <w:pPr>
              <w:jc w:val="center"/>
              <w:ind w:right="434"/>
              <w:spacing w:after="0" w:line="130" w:lineRule="exact"/>
              <w:rPr>
                <w:sz w:val="20"/>
                <w:szCs w:val="20"/>
                <w:color w:val="auto"/>
              </w:rPr>
            </w:pPr>
            <w:r>
              <w:rPr>
                <w:rFonts w:ascii="Arial" w:cs="Arial" w:eastAsia="Arial" w:hAnsi="Arial"/>
                <w:sz w:val="13"/>
                <w:szCs w:val="13"/>
                <w:color w:val="auto"/>
                <w:w w:val="95"/>
              </w:rPr>
              <w:t>Chief Accounting Officer of Allied Waste North</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4"/>
              </w:rPr>
              <w:t>America, Inc.</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James E. O’Connor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3"/>
              </w:rPr>
              <w:t>President, Chief Executive Officer and Director of</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James E. O’Connor</w:t>
            </w:r>
          </w:p>
        </w:tc>
        <w:tc>
          <w:tcPr>
            <w:tcW w:w="6680" w:type="dxa"/>
            <w:vAlign w:val="bottom"/>
          </w:tcPr>
          <w:p>
            <w:pPr>
              <w:jc w:val="center"/>
              <w:ind w:right="414"/>
              <w:spacing w:after="0" w:line="145" w:lineRule="exact"/>
              <w:rPr>
                <w:sz w:val="20"/>
                <w:szCs w:val="20"/>
                <w:color w:val="auto"/>
              </w:rPr>
            </w:pPr>
            <w:r>
              <w:rPr>
                <w:rFonts w:ascii="Arial" w:cs="Arial" w:eastAsia="Arial" w:hAnsi="Arial"/>
                <w:sz w:val="13"/>
                <w:szCs w:val="13"/>
                <w:color w:val="auto"/>
                <w:w w:val="94"/>
              </w:rPr>
              <w:t>Allied Waste North America,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Tod C. Holmes</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4"/>
              </w:rPr>
              <w:t>Chief Financial Officer and Director of Allied Waste</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Tod C. Holmes</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5"/>
              </w:rPr>
              <w:t>North America, Inc.</w:t>
            </w: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II-81</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Q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Q hereto</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By: Allied Waste North America,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James 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James E. O’Connor</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President and Chief Executive Officer</w:t>
      </w:r>
    </w:p>
    <w:p>
      <w:pPr>
        <w:spacing w:after="0" w:line="167"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By: Browning-Ferris Industries of Tennessee,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10795</wp:posOffset>
            </wp:positionV>
            <wp:extent cx="416433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Vice President — Finance and 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James E. O’Connor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3"/>
              </w:rPr>
              <w:t>President, Chief Executive Officer and Director of</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James E. O’Connor</w:t>
            </w:r>
          </w:p>
        </w:tc>
        <w:tc>
          <w:tcPr>
            <w:tcW w:w="6680" w:type="dxa"/>
            <w:vAlign w:val="bottom"/>
          </w:tcPr>
          <w:p>
            <w:pPr>
              <w:jc w:val="center"/>
              <w:ind w:right="414"/>
              <w:spacing w:after="0" w:line="145" w:lineRule="exact"/>
              <w:rPr>
                <w:sz w:val="20"/>
                <w:szCs w:val="20"/>
                <w:color w:val="auto"/>
              </w:rPr>
            </w:pPr>
            <w:r>
              <w:rPr>
                <w:rFonts w:ascii="Arial" w:cs="Arial" w:eastAsia="Arial" w:hAnsi="Arial"/>
                <w:sz w:val="13"/>
                <w:szCs w:val="13"/>
                <w:color w:val="auto"/>
                <w:w w:val="94"/>
              </w:rPr>
              <w:t>Allied Waste North America,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Tod C. Holmes</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4"/>
              </w:rPr>
              <w:t>Chief Financial Officer and Director of Allied Waste</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Tod C. Holmes</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5"/>
              </w:rPr>
              <w:t>North America,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5"/>
              </w:rPr>
              <w:t>Chief Accounting Officer of Allied Waste North</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89"/>
              </w:rPr>
              <w:t>Charles F. Serianni</w:t>
            </w:r>
          </w:p>
        </w:tc>
        <w:tc>
          <w:tcPr>
            <w:tcW w:w="6680" w:type="dxa"/>
            <w:vAlign w:val="bottom"/>
          </w:tcPr>
          <w:p>
            <w:pPr>
              <w:jc w:val="center"/>
              <w:ind w:right="434"/>
              <w:spacing w:after="0" w:line="130" w:lineRule="exact"/>
              <w:rPr>
                <w:sz w:val="20"/>
                <w:szCs w:val="20"/>
                <w:color w:val="auto"/>
              </w:rPr>
            </w:pPr>
            <w:r>
              <w:rPr>
                <w:rFonts w:ascii="Arial" w:cs="Arial" w:eastAsia="Arial" w:hAnsi="Arial"/>
                <w:sz w:val="13"/>
                <w:szCs w:val="13"/>
                <w:color w:val="auto"/>
                <w:w w:val="94"/>
              </w:rPr>
              <w:t>America, Inc. and Director of Browning-Ferris</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89"/>
              </w:rPr>
              <w:t>Industries of Tennessee, Inc.</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President and Director of Browning-Ferris</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89"/>
              </w:rPr>
              <w:t>Industries of Tennessee,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1"/>
              </w:rPr>
              <w:t>Vice President — Finance, Treasurer and Director of</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14"/>
              <w:spacing w:after="0" w:line="145" w:lineRule="exact"/>
              <w:rPr>
                <w:sz w:val="20"/>
                <w:szCs w:val="20"/>
                <w:color w:val="auto"/>
              </w:rPr>
            </w:pPr>
            <w:r>
              <w:rPr>
                <w:rFonts w:ascii="Arial" w:cs="Arial" w:eastAsia="Arial" w:hAnsi="Arial"/>
                <w:sz w:val="13"/>
                <w:szCs w:val="13"/>
                <w:color w:val="auto"/>
                <w:w w:val="91"/>
              </w:rPr>
              <w:t>Browning-Ferris Industries of Tennessee, Inc.</w:t>
            </w: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II-82</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R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R hereto</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By: Republic Waste Services of Texas GP,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Christopher Synek</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0"/>
              </w:rPr>
              <w:t>President of Republic Waste Services of Texas GP,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Christopher Synek</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0"/>
              </w:rPr>
              <w:t>Treasurer and Director of Republic Waste Services of</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14"/>
              <w:spacing w:after="0" w:line="145" w:lineRule="exact"/>
              <w:rPr>
                <w:sz w:val="20"/>
                <w:szCs w:val="20"/>
                <w:color w:val="auto"/>
              </w:rPr>
            </w:pPr>
            <w:r>
              <w:rPr>
                <w:rFonts w:ascii="Arial" w:cs="Arial" w:eastAsia="Arial" w:hAnsi="Arial"/>
                <w:sz w:val="13"/>
                <w:szCs w:val="13"/>
                <w:color w:val="auto"/>
                <w:w w:val="88"/>
              </w:rPr>
              <w:t>Texas GP,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0"/>
              </w:rPr>
              <w:t>Director of Republic Waste Services of Texas GP,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0"/>
              </w:rPr>
              <w:t>Director of Republic Waste Services of Texas GP,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II-83</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S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S hereto</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By: BFI Energy Systems of Southeastern Connecticut,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Vice President — Finance and 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President and Director of BFI Energy Systems of</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1"/>
              </w:rPr>
              <w:t>Southeastern Connecticut,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1"/>
              </w:rPr>
              <w:t>Vice President — Finance, Treasurer and Director of BFI</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0"/>
              </w:rPr>
              <w:t>Energy Systems of Southeastern Connecticut,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2"/>
              </w:rPr>
              <w:t>Director of BFI Energy Systems of Southeastern Connecticut,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II-84</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T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T hereto</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By: Republic Services,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James 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James E. O’Connor</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Chairman of the Board and Chief Executive Officer</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By: Zakaroff Services,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10795</wp:posOffset>
            </wp:positionV>
            <wp:extent cx="416433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James E. O’Connor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Chairman of the Board and Chief Executive Officer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James E. O’Connor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Tod C. Holmes</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Executive Vice President and Chief Financial Officer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Tod C. Holmes</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3"/>
              </w:rPr>
              <w:t>Senior Vice President and Chief Accounting Officer of Republic Services, Inc. and Director of Zakaroff</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jc w:val="center"/>
              <w:ind w:right="414"/>
              <w:spacing w:after="0" w:line="145" w:lineRule="exact"/>
              <w:rPr>
                <w:sz w:val="20"/>
                <w:szCs w:val="20"/>
                <w:color w:val="auto"/>
              </w:rPr>
            </w:pPr>
            <w:r>
              <w:rPr>
                <w:rFonts w:ascii="Arial" w:cs="Arial" w:eastAsia="Arial" w:hAnsi="Arial"/>
                <w:sz w:val="13"/>
                <w:szCs w:val="13"/>
                <w:color w:val="auto"/>
                <w:w w:val="88"/>
              </w:rPr>
              <w:t>Services</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/s/ John W. Croghan</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John W. Croghan</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James W. Crownover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James W. Crownover</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II-85</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9"/>
              </w:rPr>
              <w:t>/s/ William J. Flynn</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60"/>
        </w:trPr>
        <w:tc>
          <w:tcPr>
            <w:tcW w:w="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40" w:type="dxa"/>
            <w:vAlign w:val="bottom"/>
          </w:tcPr>
          <w:p>
            <w:pPr>
              <w:jc w:val="center"/>
              <w:ind w:right="1474"/>
              <w:spacing w:after="0"/>
              <w:rPr>
                <w:sz w:val="20"/>
                <w:szCs w:val="20"/>
                <w:color w:val="auto"/>
              </w:rPr>
            </w:pPr>
            <w:r>
              <w:rPr>
                <w:rFonts w:ascii="Arial" w:cs="Arial" w:eastAsia="Arial" w:hAnsi="Arial"/>
                <w:sz w:val="13"/>
                <w:szCs w:val="13"/>
                <w:color w:val="auto"/>
                <w:w w:val="96"/>
              </w:rPr>
              <w:t>William J. Flynn</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center"/>
              <w:ind w:right="1474"/>
              <w:spacing w:after="0"/>
              <w:rPr>
                <w:sz w:val="20"/>
                <w:szCs w:val="20"/>
                <w:color w:val="auto"/>
              </w:rPr>
            </w:pPr>
            <w:r>
              <w:rPr>
                <w:rFonts w:ascii="Arial" w:cs="Arial" w:eastAsia="Arial" w:hAnsi="Arial"/>
                <w:sz w:val="13"/>
                <w:szCs w:val="13"/>
                <w:color w:val="auto"/>
                <w:w w:val="99"/>
              </w:rPr>
              <w:t>/s/ David I. Foley</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60"/>
        </w:trPr>
        <w:tc>
          <w:tcPr>
            <w:tcW w:w="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40" w:type="dxa"/>
            <w:vAlign w:val="bottom"/>
          </w:tcPr>
          <w:p>
            <w:pPr>
              <w:jc w:val="center"/>
              <w:ind w:right="1474"/>
              <w:spacing w:after="0"/>
              <w:rPr>
                <w:sz w:val="20"/>
                <w:szCs w:val="20"/>
                <w:color w:val="auto"/>
              </w:rPr>
            </w:pPr>
            <w:r>
              <w:rPr>
                <w:rFonts w:ascii="Arial" w:cs="Arial" w:eastAsia="Arial" w:hAnsi="Arial"/>
                <w:sz w:val="13"/>
                <w:szCs w:val="13"/>
                <w:color w:val="auto"/>
                <w:w w:val="95"/>
              </w:rPr>
              <w:t>David I. Foley</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4"/>
              </w:rPr>
              <w:t>/s/ Michael Larson</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60"/>
        </w:trPr>
        <w:tc>
          <w:tcPr>
            <w:tcW w:w="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40" w:type="dxa"/>
            <w:vAlign w:val="bottom"/>
          </w:tcPr>
          <w:p>
            <w:pPr>
              <w:jc w:val="center"/>
              <w:ind w:right="1474"/>
              <w:spacing w:after="0"/>
              <w:rPr>
                <w:sz w:val="20"/>
                <w:szCs w:val="20"/>
                <w:color w:val="auto"/>
              </w:rPr>
            </w:pPr>
            <w:r>
              <w:rPr>
                <w:rFonts w:ascii="Arial" w:cs="Arial" w:eastAsia="Arial" w:hAnsi="Arial"/>
                <w:sz w:val="13"/>
                <w:szCs w:val="13"/>
                <w:color w:val="auto"/>
                <w:w w:val="95"/>
              </w:rPr>
              <w:t>Michael Larson</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5"/>
              </w:rPr>
              <w:t>/s/ Nolan Lehmann</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60"/>
        </w:trPr>
        <w:tc>
          <w:tcPr>
            <w:tcW w:w="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40" w:type="dxa"/>
            <w:vAlign w:val="bottom"/>
          </w:tcPr>
          <w:p>
            <w:pPr>
              <w:jc w:val="center"/>
              <w:ind w:right="1474"/>
              <w:spacing w:after="0"/>
              <w:rPr>
                <w:sz w:val="20"/>
                <w:szCs w:val="20"/>
                <w:color w:val="auto"/>
              </w:rPr>
            </w:pPr>
            <w:r>
              <w:rPr>
                <w:rFonts w:ascii="Arial" w:cs="Arial" w:eastAsia="Arial" w:hAnsi="Arial"/>
                <w:sz w:val="13"/>
                <w:szCs w:val="13"/>
                <w:color w:val="auto"/>
                <w:w w:val="91"/>
              </w:rPr>
              <w:t>Nolan Lehmann</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center"/>
              <w:ind w:right="1474"/>
              <w:spacing w:after="0"/>
              <w:rPr>
                <w:sz w:val="20"/>
                <w:szCs w:val="20"/>
                <w:color w:val="auto"/>
              </w:rPr>
            </w:pPr>
            <w:r>
              <w:rPr>
                <w:rFonts w:ascii="Arial" w:cs="Arial" w:eastAsia="Arial" w:hAnsi="Arial"/>
                <w:sz w:val="13"/>
                <w:szCs w:val="13"/>
                <w:color w:val="auto"/>
                <w:w w:val="94"/>
              </w:rPr>
              <w:t>/s/ W. Lee Nutter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60"/>
        </w:trPr>
        <w:tc>
          <w:tcPr>
            <w:tcW w:w="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40" w:type="dxa"/>
            <w:vAlign w:val="bottom"/>
          </w:tcPr>
          <w:p>
            <w:pPr>
              <w:jc w:val="center"/>
              <w:ind w:right="1494"/>
              <w:spacing w:after="0"/>
              <w:rPr>
                <w:sz w:val="20"/>
                <w:szCs w:val="20"/>
                <w:color w:val="auto"/>
              </w:rPr>
            </w:pPr>
            <w:r>
              <w:rPr>
                <w:rFonts w:ascii="Arial" w:cs="Arial" w:eastAsia="Arial" w:hAnsi="Arial"/>
                <w:sz w:val="13"/>
                <w:szCs w:val="13"/>
                <w:color w:val="auto"/>
                <w:w w:val="92"/>
              </w:rPr>
              <w:t>W. Lee Nutter</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560" w:type="dxa"/>
            <w:vAlign w:val="bottom"/>
            <w:tcBorders>
              <w:bottom w:val="single" w:sz="8" w:color="auto"/>
            </w:tcBorders>
          </w:tcPr>
          <w:p>
            <w:pPr>
              <w:ind w:left="1400"/>
              <w:spacing w:after="0"/>
              <w:rPr>
                <w:sz w:val="20"/>
                <w:szCs w:val="20"/>
                <w:color w:val="auto"/>
              </w:rPr>
            </w:pPr>
            <w:r>
              <w:rPr>
                <w:rFonts w:ascii="Arial" w:cs="Arial" w:eastAsia="Arial" w:hAnsi="Arial"/>
                <w:sz w:val="13"/>
                <w:szCs w:val="13"/>
                <w:color w:val="auto"/>
              </w:rPr>
              <w:t>/s/</w:t>
            </w:r>
          </w:p>
        </w:tc>
        <w:tc>
          <w:tcPr>
            <w:tcW w:w="2540" w:type="dxa"/>
            <w:vAlign w:val="bottom"/>
            <w:tcBorders>
              <w:bottom w:val="single" w:sz="8" w:color="auto"/>
            </w:tcBorders>
          </w:tcPr>
          <w:p>
            <w:pPr>
              <w:jc w:val="center"/>
              <w:ind w:right="1274"/>
              <w:spacing w:after="0"/>
              <w:rPr>
                <w:sz w:val="20"/>
                <w:szCs w:val="20"/>
                <w:color w:val="auto"/>
              </w:rPr>
            </w:pPr>
            <w:r>
              <w:rPr>
                <w:rFonts w:ascii="Arial" w:cs="Arial" w:eastAsia="Arial" w:hAnsi="Arial"/>
                <w:sz w:val="13"/>
                <w:szCs w:val="13"/>
                <w:color w:val="auto"/>
                <w:w w:val="92"/>
              </w:rPr>
              <w:t>Ramon A. Rodriguez</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60"/>
        </w:trPr>
        <w:tc>
          <w:tcPr>
            <w:tcW w:w="680" w:type="dxa"/>
            <w:vAlign w:val="bottom"/>
          </w:tcPr>
          <w:p>
            <w:pPr>
              <w:spacing w:after="0"/>
              <w:rPr>
                <w:sz w:val="13"/>
                <w:szCs w:val="13"/>
                <w:color w:val="auto"/>
              </w:rPr>
            </w:pPr>
          </w:p>
        </w:tc>
        <w:tc>
          <w:tcPr>
            <w:tcW w:w="4100" w:type="dxa"/>
            <w:vAlign w:val="bottom"/>
            <w:gridSpan w:val="2"/>
          </w:tcPr>
          <w:p>
            <w:pPr>
              <w:jc w:val="center"/>
              <w:spacing w:after="0"/>
              <w:rPr>
                <w:sz w:val="20"/>
                <w:szCs w:val="20"/>
                <w:color w:val="auto"/>
              </w:rPr>
            </w:pPr>
            <w:r>
              <w:rPr>
                <w:rFonts w:ascii="Arial" w:cs="Arial" w:eastAsia="Arial" w:hAnsi="Arial"/>
                <w:sz w:val="13"/>
                <w:szCs w:val="13"/>
                <w:color w:val="auto"/>
                <w:w w:val="92"/>
              </w:rPr>
              <w:t>Ramon A. Rodriguez</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3"/>
              </w:rPr>
              <w:t>/s/ Allan C. Sorensen</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60"/>
        </w:trPr>
        <w:tc>
          <w:tcPr>
            <w:tcW w:w="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40" w:type="dxa"/>
            <w:vAlign w:val="bottom"/>
          </w:tcPr>
          <w:p>
            <w:pPr>
              <w:jc w:val="center"/>
              <w:ind w:right="1474"/>
              <w:spacing w:after="0"/>
              <w:rPr>
                <w:sz w:val="20"/>
                <w:szCs w:val="20"/>
                <w:color w:val="auto"/>
              </w:rPr>
            </w:pPr>
            <w:r>
              <w:rPr>
                <w:rFonts w:ascii="Arial" w:cs="Arial" w:eastAsia="Arial" w:hAnsi="Arial"/>
                <w:sz w:val="13"/>
                <w:szCs w:val="13"/>
                <w:color w:val="auto"/>
                <w:w w:val="91"/>
              </w:rPr>
              <w:t>Allan C. Sorensen</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center"/>
              <w:ind w:right="1474"/>
              <w:spacing w:after="0"/>
              <w:rPr>
                <w:sz w:val="20"/>
                <w:szCs w:val="20"/>
                <w:color w:val="auto"/>
              </w:rPr>
            </w:pPr>
            <w:r>
              <w:rPr>
                <w:rFonts w:ascii="Arial" w:cs="Arial" w:eastAsia="Arial" w:hAnsi="Arial"/>
                <w:sz w:val="13"/>
                <w:szCs w:val="13"/>
                <w:color w:val="auto"/>
                <w:w w:val="94"/>
              </w:rPr>
              <w:t>/s/ John M. Trani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60"/>
        </w:trPr>
        <w:tc>
          <w:tcPr>
            <w:tcW w:w="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40" w:type="dxa"/>
            <w:vAlign w:val="bottom"/>
          </w:tcPr>
          <w:p>
            <w:pPr>
              <w:jc w:val="center"/>
              <w:ind w:right="1494"/>
              <w:spacing w:after="0"/>
              <w:rPr>
                <w:sz w:val="20"/>
                <w:szCs w:val="20"/>
                <w:color w:val="auto"/>
              </w:rPr>
            </w:pPr>
            <w:r>
              <w:rPr>
                <w:rFonts w:ascii="Arial" w:cs="Arial" w:eastAsia="Arial" w:hAnsi="Arial"/>
                <w:sz w:val="13"/>
                <w:szCs w:val="13"/>
                <w:color w:val="auto"/>
                <w:w w:val="93"/>
              </w:rPr>
              <w:t>John M. Trani</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560" w:type="dxa"/>
            <w:vAlign w:val="bottom"/>
            <w:tcBorders>
              <w:bottom w:val="single" w:sz="8" w:color="auto"/>
            </w:tcBorders>
          </w:tcPr>
          <w:p>
            <w:pPr>
              <w:ind w:left="1400"/>
              <w:spacing w:after="0"/>
              <w:rPr>
                <w:sz w:val="20"/>
                <w:szCs w:val="20"/>
                <w:color w:val="auto"/>
              </w:rPr>
            </w:pPr>
            <w:r>
              <w:rPr>
                <w:rFonts w:ascii="Arial" w:cs="Arial" w:eastAsia="Arial" w:hAnsi="Arial"/>
                <w:sz w:val="13"/>
                <w:szCs w:val="13"/>
                <w:color w:val="auto"/>
              </w:rPr>
              <w:t>/s/</w:t>
            </w:r>
          </w:p>
        </w:tc>
        <w:tc>
          <w:tcPr>
            <w:tcW w:w="2540" w:type="dxa"/>
            <w:vAlign w:val="bottom"/>
            <w:tcBorders>
              <w:bottom w:val="single" w:sz="8" w:color="auto"/>
            </w:tcBorders>
          </w:tcPr>
          <w:p>
            <w:pPr>
              <w:jc w:val="center"/>
              <w:ind w:right="1294"/>
              <w:spacing w:after="0"/>
              <w:rPr>
                <w:sz w:val="20"/>
                <w:szCs w:val="20"/>
                <w:color w:val="auto"/>
              </w:rPr>
            </w:pPr>
            <w:r>
              <w:rPr>
                <w:rFonts w:ascii="Arial" w:cs="Arial" w:eastAsia="Arial" w:hAnsi="Arial"/>
                <w:sz w:val="13"/>
                <w:szCs w:val="13"/>
                <w:color w:val="auto"/>
                <w:w w:val="93"/>
              </w:rPr>
              <w:t>Michael W. Wickham</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60"/>
        </w:trPr>
        <w:tc>
          <w:tcPr>
            <w:tcW w:w="680" w:type="dxa"/>
            <w:vAlign w:val="bottom"/>
          </w:tcPr>
          <w:p>
            <w:pPr>
              <w:spacing w:after="0"/>
              <w:rPr>
                <w:sz w:val="13"/>
                <w:szCs w:val="13"/>
                <w:color w:val="auto"/>
              </w:rPr>
            </w:pPr>
          </w:p>
        </w:tc>
        <w:tc>
          <w:tcPr>
            <w:tcW w:w="4100" w:type="dxa"/>
            <w:vAlign w:val="bottom"/>
            <w:gridSpan w:val="2"/>
          </w:tcPr>
          <w:p>
            <w:pPr>
              <w:jc w:val="center"/>
              <w:spacing w:after="0"/>
              <w:rPr>
                <w:sz w:val="20"/>
                <w:szCs w:val="20"/>
                <w:color w:val="auto"/>
              </w:rPr>
            </w:pPr>
            <w:r>
              <w:rPr>
                <w:rFonts w:ascii="Arial" w:cs="Arial" w:eastAsia="Arial" w:hAnsi="Arial"/>
                <w:sz w:val="13"/>
                <w:szCs w:val="13"/>
                <w:color w:val="auto"/>
                <w:w w:val="93"/>
              </w:rPr>
              <w:t>Michael W. Wickham</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1"/>
              </w:rPr>
              <w:t>President and Director of Zakaroff Services</w:t>
            </w:r>
          </w:p>
        </w:tc>
      </w:tr>
      <w:tr>
        <w:trPr>
          <w:trHeight w:val="160"/>
        </w:trPr>
        <w:tc>
          <w:tcPr>
            <w:tcW w:w="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40" w:type="dxa"/>
            <w:vAlign w:val="bottom"/>
          </w:tcPr>
          <w:p>
            <w:pPr>
              <w:jc w:val="center"/>
              <w:ind w:right="1474"/>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560" w:type="dxa"/>
            <w:vAlign w:val="bottom"/>
            <w:tcBorders>
              <w:bottom w:val="single" w:sz="8" w:color="auto"/>
            </w:tcBorders>
          </w:tcPr>
          <w:p>
            <w:pPr>
              <w:ind w:left="1440"/>
              <w:spacing w:after="0"/>
              <w:rPr>
                <w:sz w:val="20"/>
                <w:szCs w:val="20"/>
                <w:color w:val="auto"/>
              </w:rPr>
            </w:pPr>
            <w:r>
              <w:rPr>
                <w:rFonts w:ascii="Arial" w:cs="Arial" w:eastAsia="Arial" w:hAnsi="Arial"/>
                <w:sz w:val="13"/>
                <w:szCs w:val="13"/>
                <w:color w:val="auto"/>
                <w:w w:val="72"/>
              </w:rPr>
              <w:t>/s/</w:t>
            </w:r>
          </w:p>
        </w:tc>
        <w:tc>
          <w:tcPr>
            <w:tcW w:w="2540" w:type="dxa"/>
            <w:vAlign w:val="bottom"/>
            <w:tcBorders>
              <w:bottom w:val="single" w:sz="8" w:color="auto"/>
            </w:tcBorders>
          </w:tcPr>
          <w:p>
            <w:pPr>
              <w:jc w:val="center"/>
              <w:ind w:right="1294"/>
              <w:spacing w:after="0"/>
              <w:rPr>
                <w:sz w:val="20"/>
                <w:szCs w:val="20"/>
                <w:color w:val="auto"/>
              </w:rPr>
            </w:pPr>
            <w:r>
              <w:rPr>
                <w:rFonts w:ascii="Arial" w:cs="Arial" w:eastAsia="Arial" w:hAnsi="Arial"/>
                <w:sz w:val="13"/>
                <w:szCs w:val="13"/>
                <w:color w:val="auto"/>
                <w:w w:val="95"/>
              </w:rPr>
              <w:t>Edward A. Lang, III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1"/>
              </w:rPr>
              <w:t>Treasurer and Director of Zakaroff Services</w:t>
            </w:r>
          </w:p>
        </w:tc>
      </w:tr>
      <w:tr>
        <w:trPr>
          <w:trHeight w:val="160"/>
        </w:trPr>
        <w:tc>
          <w:tcPr>
            <w:tcW w:w="680" w:type="dxa"/>
            <w:vAlign w:val="bottom"/>
          </w:tcPr>
          <w:p>
            <w:pPr>
              <w:spacing w:after="0"/>
              <w:rPr>
                <w:sz w:val="13"/>
                <w:szCs w:val="13"/>
                <w:color w:val="auto"/>
              </w:rPr>
            </w:pPr>
          </w:p>
        </w:tc>
        <w:tc>
          <w:tcPr>
            <w:tcW w:w="4100" w:type="dxa"/>
            <w:vAlign w:val="bottom"/>
            <w:gridSpan w:val="2"/>
          </w:tcPr>
          <w:p>
            <w:pPr>
              <w:jc w:val="center"/>
              <w:spacing w:after="0"/>
              <w:rPr>
                <w:sz w:val="20"/>
                <w:szCs w:val="20"/>
                <w:color w:val="auto"/>
              </w:rPr>
            </w:pPr>
            <w:r>
              <w:rPr>
                <w:rFonts w:ascii="Arial" w:cs="Arial" w:eastAsia="Arial" w:hAnsi="Arial"/>
                <w:sz w:val="13"/>
                <w:szCs w:val="13"/>
                <w:color w:val="auto"/>
                <w:w w:val="97"/>
              </w:rPr>
              <w:t>Edward A. Lang, III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II-86</w:t>
            </w:r>
          </w:p>
        </w:tc>
      </w:tr>
      <w:tr>
        <w:trPr>
          <w:trHeight w:val="163"/>
        </w:trPr>
        <w:tc>
          <w:tcPr>
            <w:tcW w:w="680" w:type="dxa"/>
            <w:vAlign w:val="bottom"/>
            <w:tcBorders>
              <w:bottom w:val="single" w:sz="8" w:color="808080"/>
            </w:tcBorders>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c>
          <w:tcPr>
            <w:tcW w:w="254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U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U hereto</w:t>
      </w:r>
    </w:p>
    <w:p>
      <w:pPr>
        <w:spacing w:after="0" w:line="175"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By: Rabanco Recycling,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Vice President — Finance and Treasurer</w:t>
      </w:r>
    </w:p>
    <w:p>
      <w:pPr>
        <w:spacing w:after="0" w:line="167"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By: Rabanco, Ltd.,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10795</wp:posOffset>
            </wp:positionV>
            <wp:extent cx="416433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Vice President — Finance and 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Jeff D. Andrews</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1"/>
              </w:rPr>
              <w:t>President of Rabanco Recycling, Inc. and Rabanco, Ltd.</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Jeff D. Andrews</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1"/>
              </w:rPr>
              <w:t>Vice President — Finance, Treasurer and Director of</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14"/>
              <w:spacing w:after="0" w:line="145" w:lineRule="exact"/>
              <w:rPr>
                <w:sz w:val="20"/>
                <w:szCs w:val="20"/>
                <w:color w:val="auto"/>
              </w:rPr>
            </w:pPr>
            <w:r>
              <w:rPr>
                <w:rFonts w:ascii="Arial" w:cs="Arial" w:eastAsia="Arial" w:hAnsi="Arial"/>
                <w:sz w:val="13"/>
                <w:szCs w:val="13"/>
                <w:color w:val="auto"/>
                <w:w w:val="91"/>
              </w:rPr>
              <w:t>Rabanco Recycling, Inc. and Rabanco, Ltd.</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Rabanco Recycling, Inc. and Rabanco, Ltd.</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Rabanco Recycling, Inc. and Rabanco, Ltd.</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II-87</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V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V hereto</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By: Republic Silver State Disposal,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Jeff D. Andrews</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President of Republic Silver State Disposal,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Jeff D. Andrews</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2"/>
              </w:rPr>
              <w:t>Treasurer and Director of Republic Silver State</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14"/>
              <w:spacing w:after="0" w:line="145" w:lineRule="exact"/>
              <w:rPr>
                <w:sz w:val="20"/>
                <w:szCs w:val="20"/>
                <w:color w:val="auto"/>
              </w:rPr>
            </w:pPr>
            <w:r>
              <w:rPr>
                <w:rFonts w:ascii="Arial" w:cs="Arial" w:eastAsia="Arial" w:hAnsi="Arial"/>
                <w:sz w:val="13"/>
                <w:szCs w:val="13"/>
                <w:color w:val="auto"/>
                <w:w w:val="92"/>
              </w:rPr>
              <w:t>Disposal,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3"/>
              </w:rPr>
              <w:t>Director of Republic Silver State Disposal,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3"/>
              </w:rPr>
              <w:t>Director of Republic Silver State Disposal,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II-88</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W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W hereto</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By: Republic Services of Florida GP,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Christopher Synek</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1"/>
              </w:rPr>
              <w:t>President of Republic Services of Florida GP,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Christopher Synek</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A. Lang, III</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Treasurer and Director of Republic Services of Florida</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7"/>
              </w:rPr>
              <w:t>Edward A. Lang, III</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89"/>
              </w:rPr>
              <w:t>GP, Inc.</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Donald W. Slager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2"/>
              </w:rPr>
              <w:t>Director of Republic Services of Florida GP,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Donald W. Slager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2"/>
              </w:rPr>
              <w:t>Director of Republic Services of Florida GP,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II-89</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X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X hereto</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By: Republic Services of Georgia GP, LLC,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700" w:type="dxa"/>
            <w:vAlign w:val="bottom"/>
          </w:tcPr>
          <w:p>
            <w:pPr>
              <w:ind w:left="162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480" w:type="dxa"/>
            <w:vAlign w:val="bottom"/>
          </w:tcPr>
          <w:p>
            <w:pPr>
              <w:spacing w:after="0"/>
              <w:rPr>
                <w:sz w:val="11"/>
                <w:szCs w:val="11"/>
                <w:color w:val="auto"/>
              </w:rPr>
            </w:pPr>
          </w:p>
        </w:tc>
        <w:tc>
          <w:tcPr>
            <w:tcW w:w="5680" w:type="dxa"/>
            <w:vAlign w:val="bottom"/>
          </w:tcPr>
          <w:p>
            <w:pPr>
              <w:ind w:left="238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r>
      <w:tr>
        <w:trPr>
          <w:trHeight w:val="480"/>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356"/>
              <w:spacing w:after="0"/>
              <w:rPr>
                <w:sz w:val="20"/>
                <w:szCs w:val="20"/>
                <w:color w:val="auto"/>
              </w:rPr>
            </w:pPr>
            <w:r>
              <w:rPr>
                <w:rFonts w:ascii="Arial" w:cs="Arial" w:eastAsia="Arial" w:hAnsi="Arial"/>
                <w:sz w:val="13"/>
                <w:szCs w:val="13"/>
                <w:color w:val="auto"/>
                <w:w w:val="93"/>
              </w:rPr>
              <w:t>/s/ Christopher Synek</w:t>
            </w:r>
          </w:p>
        </w:tc>
        <w:tc>
          <w:tcPr>
            <w:tcW w:w="480" w:type="dxa"/>
            <w:vAlign w:val="bottom"/>
            <w:tcBorders>
              <w:bottom w:val="single" w:sz="8" w:color="auto"/>
            </w:tcBorders>
          </w:tcPr>
          <w:p>
            <w:pPr>
              <w:spacing w:after="0"/>
              <w:rPr>
                <w:sz w:val="24"/>
                <w:szCs w:val="24"/>
                <w:color w:val="auto"/>
              </w:rPr>
            </w:pPr>
          </w:p>
        </w:tc>
        <w:tc>
          <w:tcPr>
            <w:tcW w:w="5680" w:type="dxa"/>
            <w:vAlign w:val="bottom"/>
          </w:tcPr>
          <w:p>
            <w:pPr>
              <w:jc w:val="center"/>
              <w:ind w:right="818"/>
              <w:spacing w:after="0"/>
              <w:rPr>
                <w:sz w:val="20"/>
                <w:szCs w:val="20"/>
                <w:color w:val="auto"/>
              </w:rPr>
            </w:pPr>
            <w:r>
              <w:rPr>
                <w:rFonts w:ascii="Arial" w:cs="Arial" w:eastAsia="Arial" w:hAnsi="Arial"/>
                <w:sz w:val="13"/>
                <w:szCs w:val="13"/>
                <w:color w:val="auto"/>
                <w:w w:val="92"/>
              </w:rPr>
              <w:t>President of Republic Services of Georgia GP, LLC</w:t>
            </w:r>
          </w:p>
        </w:tc>
      </w:tr>
      <w:tr>
        <w:trPr>
          <w:trHeight w:val="155"/>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700" w:type="dxa"/>
            <w:vAlign w:val="bottom"/>
          </w:tcPr>
          <w:p>
            <w:pPr>
              <w:jc w:val="center"/>
              <w:ind w:right="376"/>
              <w:spacing w:after="0"/>
              <w:rPr>
                <w:sz w:val="20"/>
                <w:szCs w:val="20"/>
                <w:color w:val="auto"/>
              </w:rPr>
            </w:pPr>
            <w:r>
              <w:rPr>
                <w:rFonts w:ascii="Arial" w:cs="Arial" w:eastAsia="Arial" w:hAnsi="Arial"/>
                <w:sz w:val="13"/>
                <w:szCs w:val="13"/>
                <w:color w:val="auto"/>
                <w:w w:val="91"/>
              </w:rPr>
              <w:t>Christopher Synek</w:t>
            </w:r>
          </w:p>
        </w:tc>
        <w:tc>
          <w:tcPr>
            <w:tcW w:w="480" w:type="dxa"/>
            <w:vAlign w:val="bottom"/>
          </w:tcPr>
          <w:p>
            <w:pPr>
              <w:spacing w:after="0"/>
              <w:rPr>
                <w:sz w:val="13"/>
                <w:szCs w:val="13"/>
                <w:color w:val="auto"/>
              </w:rPr>
            </w:pPr>
          </w:p>
        </w:tc>
        <w:tc>
          <w:tcPr>
            <w:tcW w:w="5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356"/>
              <w:spacing w:after="0"/>
              <w:rPr>
                <w:sz w:val="20"/>
                <w:szCs w:val="20"/>
                <w:color w:val="auto"/>
              </w:rPr>
            </w:pPr>
            <w:r>
              <w:rPr>
                <w:rFonts w:ascii="Arial" w:cs="Arial" w:eastAsia="Arial" w:hAnsi="Arial"/>
                <w:sz w:val="13"/>
                <w:szCs w:val="13"/>
                <w:color w:val="auto"/>
                <w:w w:val="96"/>
              </w:rPr>
              <w:t>/s/ Edward A. Lang, III</w:t>
            </w:r>
          </w:p>
        </w:tc>
        <w:tc>
          <w:tcPr>
            <w:tcW w:w="480" w:type="dxa"/>
            <w:vAlign w:val="bottom"/>
            <w:tcBorders>
              <w:bottom w:val="single" w:sz="8" w:color="auto"/>
            </w:tcBorders>
          </w:tcPr>
          <w:p>
            <w:pPr>
              <w:spacing w:after="0"/>
              <w:rPr>
                <w:sz w:val="24"/>
                <w:szCs w:val="24"/>
                <w:color w:val="auto"/>
              </w:rPr>
            </w:pPr>
          </w:p>
        </w:tc>
        <w:tc>
          <w:tcPr>
            <w:tcW w:w="5680" w:type="dxa"/>
            <w:vAlign w:val="bottom"/>
          </w:tcPr>
          <w:p>
            <w:pPr>
              <w:jc w:val="center"/>
              <w:ind w:right="818"/>
              <w:spacing w:after="0"/>
              <w:rPr>
                <w:sz w:val="20"/>
                <w:szCs w:val="20"/>
                <w:color w:val="auto"/>
              </w:rPr>
            </w:pPr>
            <w:r>
              <w:rPr>
                <w:rFonts w:ascii="Arial" w:cs="Arial" w:eastAsia="Arial" w:hAnsi="Arial"/>
                <w:sz w:val="13"/>
                <w:szCs w:val="13"/>
                <w:color w:val="auto"/>
                <w:w w:val="91"/>
              </w:rPr>
              <w:t>Treasurer of Republic Services of Georgia GP, LLC</w:t>
            </w:r>
          </w:p>
        </w:tc>
      </w:tr>
      <w:tr>
        <w:trPr>
          <w:trHeight w:val="155"/>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700" w:type="dxa"/>
            <w:vAlign w:val="bottom"/>
          </w:tcPr>
          <w:p>
            <w:pPr>
              <w:jc w:val="center"/>
              <w:ind w:right="356"/>
              <w:spacing w:after="0"/>
              <w:rPr>
                <w:sz w:val="20"/>
                <w:szCs w:val="20"/>
                <w:color w:val="auto"/>
              </w:rPr>
            </w:pPr>
            <w:r>
              <w:rPr>
                <w:rFonts w:ascii="Arial" w:cs="Arial" w:eastAsia="Arial" w:hAnsi="Arial"/>
                <w:sz w:val="13"/>
                <w:szCs w:val="13"/>
                <w:color w:val="auto"/>
                <w:w w:val="97"/>
              </w:rPr>
              <w:t>Edward A. Lang, III</w:t>
            </w:r>
          </w:p>
        </w:tc>
        <w:tc>
          <w:tcPr>
            <w:tcW w:w="480" w:type="dxa"/>
            <w:vAlign w:val="bottom"/>
          </w:tcPr>
          <w:p>
            <w:pPr>
              <w:spacing w:after="0"/>
              <w:rPr>
                <w:sz w:val="13"/>
                <w:szCs w:val="13"/>
                <w:color w:val="auto"/>
              </w:rPr>
            </w:pPr>
          </w:p>
        </w:tc>
        <w:tc>
          <w:tcPr>
            <w:tcW w:w="5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Inc.</w:t>
            </w:r>
          </w:p>
        </w:tc>
        <w:tc>
          <w:tcPr>
            <w:tcW w:w="480" w:type="dxa"/>
            <w:vAlign w:val="bottom"/>
          </w:tcPr>
          <w:p>
            <w:pPr>
              <w:spacing w:after="0"/>
              <w:rPr>
                <w:sz w:val="24"/>
                <w:szCs w:val="24"/>
                <w:color w:val="auto"/>
              </w:rPr>
            </w:pPr>
          </w:p>
        </w:tc>
        <w:tc>
          <w:tcPr>
            <w:tcW w:w="5680" w:type="dxa"/>
            <w:vAlign w:val="bottom"/>
          </w:tcPr>
          <w:p>
            <w:pPr>
              <w:jc w:val="center"/>
              <w:ind w:right="818"/>
              <w:spacing w:after="0"/>
              <w:rPr>
                <w:sz w:val="20"/>
                <w:szCs w:val="20"/>
                <w:color w:val="auto"/>
              </w:rPr>
            </w:pPr>
            <w:r>
              <w:rPr>
                <w:rFonts w:ascii="Arial" w:cs="Arial" w:eastAsia="Arial" w:hAnsi="Arial"/>
                <w:sz w:val="13"/>
                <w:szCs w:val="13"/>
                <w:color w:val="auto"/>
                <w:w w:val="93"/>
              </w:rPr>
              <w:t>Managing Member of Republic Services of Georgia GP, LLC</w:t>
            </w:r>
          </w:p>
        </w:tc>
      </w:tr>
      <w:tr>
        <w:trPr>
          <w:trHeight w:val="315"/>
        </w:trPr>
        <w:tc>
          <w:tcPr>
            <w:tcW w:w="680" w:type="dxa"/>
            <w:vAlign w:val="bottom"/>
          </w:tcPr>
          <w:p>
            <w:pPr>
              <w:spacing w:after="0"/>
              <w:rPr>
                <w:sz w:val="24"/>
                <w:szCs w:val="24"/>
                <w:color w:val="auto"/>
              </w:rPr>
            </w:pPr>
          </w:p>
        </w:tc>
        <w:tc>
          <w:tcPr>
            <w:tcW w:w="920" w:type="dxa"/>
            <w:vAlign w:val="bottom"/>
          </w:tcPr>
          <w:p>
            <w:pPr>
              <w:jc w:val="center"/>
              <w:ind w:right="34"/>
              <w:spacing w:after="0"/>
              <w:rPr>
                <w:sz w:val="20"/>
                <w:szCs w:val="20"/>
                <w:color w:val="auto"/>
              </w:rPr>
            </w:pPr>
            <w:r>
              <w:rPr>
                <w:rFonts w:ascii="Arial" w:cs="Arial" w:eastAsia="Arial" w:hAnsi="Arial"/>
                <w:sz w:val="13"/>
                <w:szCs w:val="13"/>
                <w:color w:val="auto"/>
                <w:w w:val="95"/>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E. O’Connor</w:t>
            </w:r>
          </w:p>
        </w:tc>
        <w:tc>
          <w:tcPr>
            <w:tcW w:w="480" w:type="dxa"/>
            <w:vAlign w:val="bottom"/>
            <w:tcBorders>
              <w:bottom w:val="single" w:sz="8" w:color="auto"/>
            </w:tcBorders>
          </w:tcPr>
          <w:p>
            <w:pPr>
              <w:spacing w:after="0"/>
              <w:rPr>
                <w:sz w:val="24"/>
                <w:szCs w:val="24"/>
                <w:color w:val="auto"/>
              </w:rPr>
            </w:pPr>
          </w:p>
        </w:tc>
        <w:tc>
          <w:tcPr>
            <w:tcW w:w="568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jc w:val="center"/>
              <w:ind w:right="34"/>
              <w:spacing w:after="0" w:line="140" w:lineRule="exact"/>
              <w:rPr>
                <w:sz w:val="20"/>
                <w:szCs w:val="20"/>
                <w:color w:val="auto"/>
              </w:rPr>
            </w:pPr>
            <w:r>
              <w:rPr>
                <w:rFonts w:ascii="Arial" w:cs="Arial" w:eastAsia="Arial" w:hAnsi="Arial"/>
                <w:sz w:val="13"/>
                <w:szCs w:val="13"/>
                <w:color w:val="auto"/>
                <w:w w:val="88"/>
              </w:rPr>
              <w:t>Name:</w:t>
            </w:r>
          </w:p>
        </w:tc>
        <w:tc>
          <w:tcPr>
            <w:tcW w:w="3700" w:type="dxa"/>
            <w:vAlign w:val="bottom"/>
          </w:tcPr>
          <w:p>
            <w:pPr>
              <w:jc w:val="center"/>
              <w:ind w:left="436"/>
              <w:spacing w:after="0" w:line="140" w:lineRule="exact"/>
              <w:rPr>
                <w:sz w:val="20"/>
                <w:szCs w:val="20"/>
                <w:color w:val="auto"/>
              </w:rPr>
            </w:pPr>
            <w:r>
              <w:rPr>
                <w:rFonts w:ascii="Arial" w:cs="Arial" w:eastAsia="Arial" w:hAnsi="Arial"/>
                <w:sz w:val="13"/>
                <w:szCs w:val="13"/>
                <w:color w:val="auto"/>
                <w:w w:val="91"/>
              </w:rPr>
              <w:t>James E. O’Connor</w:t>
            </w:r>
          </w:p>
        </w:tc>
        <w:tc>
          <w:tcPr>
            <w:tcW w:w="480" w:type="dxa"/>
            <w:vAlign w:val="bottom"/>
          </w:tcPr>
          <w:p>
            <w:pPr>
              <w:spacing w:after="0"/>
              <w:rPr>
                <w:sz w:val="12"/>
                <w:szCs w:val="12"/>
                <w:color w:val="auto"/>
              </w:rPr>
            </w:pPr>
          </w:p>
        </w:tc>
        <w:tc>
          <w:tcPr>
            <w:tcW w:w="568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jc w:val="center"/>
              <w:ind w:right="14"/>
              <w:spacing w:after="0"/>
              <w:rPr>
                <w:sz w:val="20"/>
                <w:szCs w:val="20"/>
                <w:color w:val="auto"/>
              </w:rPr>
            </w:pPr>
            <w:r>
              <w:rPr>
                <w:rFonts w:ascii="Arial" w:cs="Arial" w:eastAsia="Arial" w:hAnsi="Arial"/>
                <w:sz w:val="13"/>
                <w:szCs w:val="13"/>
                <w:color w:val="auto"/>
                <w:w w:val="99"/>
              </w:rPr>
              <w:t>Title:</w:t>
            </w:r>
          </w:p>
        </w:tc>
        <w:tc>
          <w:tcPr>
            <w:tcW w:w="3700" w:type="dxa"/>
            <w:vAlign w:val="bottom"/>
          </w:tcPr>
          <w:p>
            <w:pPr>
              <w:jc w:val="center"/>
              <w:ind w:left="436"/>
              <w:spacing w:after="0"/>
              <w:rPr>
                <w:sz w:val="20"/>
                <w:szCs w:val="20"/>
                <w:color w:val="auto"/>
              </w:rPr>
            </w:pPr>
            <w:r>
              <w:rPr>
                <w:rFonts w:ascii="Arial" w:cs="Arial" w:eastAsia="Arial" w:hAnsi="Arial"/>
                <w:sz w:val="13"/>
                <w:szCs w:val="13"/>
                <w:color w:val="auto"/>
                <w:w w:val="93"/>
              </w:rPr>
              <w:t>Chairman of the Board and Chief Executive Officer</w:t>
            </w:r>
          </w:p>
        </w:tc>
        <w:tc>
          <w:tcPr>
            <w:tcW w:w="480" w:type="dxa"/>
            <w:vAlign w:val="bottom"/>
          </w:tcPr>
          <w:p>
            <w:pPr>
              <w:spacing w:after="0"/>
              <w:rPr>
                <w:sz w:val="14"/>
                <w:szCs w:val="14"/>
                <w:color w:val="auto"/>
              </w:rPr>
            </w:pPr>
          </w:p>
        </w:tc>
        <w:tc>
          <w:tcPr>
            <w:tcW w:w="568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160" w:type="dxa"/>
            <w:vAlign w:val="bottom"/>
            <w:gridSpan w:val="2"/>
          </w:tcPr>
          <w:p>
            <w:pPr>
              <w:ind w:left="240"/>
              <w:spacing w:after="0"/>
              <w:rPr>
                <w:sz w:val="20"/>
                <w:szCs w:val="20"/>
                <w:color w:val="auto"/>
              </w:rPr>
            </w:pPr>
            <w:r>
              <w:rPr>
                <w:rFonts w:ascii="Arial" w:cs="Arial" w:eastAsia="Arial" w:hAnsi="Arial"/>
                <w:sz w:val="13"/>
                <w:szCs w:val="13"/>
                <w:color w:val="auto"/>
              </w:rPr>
              <w:t>II-90</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5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Y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On behalf of each Subsidiary Guarantor listed on Schedule Y hereto</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By: Republic Services, Inc., as General Partner</w:t>
      </w:r>
    </w:p>
    <w:p>
      <w:pPr>
        <w:spacing w:after="0" w:line="332"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James 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16510</wp:posOffset>
            </wp:positionV>
            <wp:extent cx="416433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64330" cy="6350"/>
                    </a:xfrm>
                    <a:prstGeom prst="rect">
                      <a:avLst/>
                    </a:prstGeom>
                    <a:noFill/>
                  </pic:spPr>
                </pic:pic>
              </a:graphicData>
            </a:graphic>
          </wp:anchor>
        </w:drawing>
      </w:r>
    </w:p>
    <w:p>
      <w:pPr>
        <w:spacing w:after="0" w:line="7"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James E. O’Connor</w:t>
      </w:r>
    </w:p>
    <w:p>
      <w:pPr>
        <w:spacing w:after="0" w:line="15" w:lineRule="exact"/>
        <w:rPr>
          <w:sz w:val="20"/>
          <w:szCs w:val="20"/>
          <w:color w:val="auto"/>
        </w:rPr>
      </w:pPr>
    </w:p>
    <w:p>
      <w:pPr>
        <w:jc w:val="center"/>
        <w:ind w:left="4180"/>
        <w:spacing w:after="0"/>
        <w:rPr>
          <w:sz w:val="20"/>
          <w:szCs w:val="20"/>
          <w:color w:val="auto"/>
        </w:rPr>
      </w:pPr>
      <w:r>
        <w:rPr>
          <w:rFonts w:ascii="Arial" w:cs="Arial" w:eastAsia="Arial" w:hAnsi="Arial"/>
          <w:sz w:val="13"/>
          <w:szCs w:val="13"/>
          <w:color w:val="auto"/>
        </w:rPr>
        <w:t>Chairman of the Board and Chief Executive Officer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James E. O’Connor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Chairman of the Board and Chief Executive Officer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James E. O’Connor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Tod C. Holmes</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Executive Vice President and Chief Financial Officer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Tod C. Holmes</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F. Serianni</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2"/>
              </w:rPr>
              <w:t>Senior Vice President and Chief Accounting Officer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89"/>
              </w:rPr>
              <w:t>Charles F. Serianni</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/s/ John W. Croghan</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John W. Croghan</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James W. Crownover</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James W. Crownover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William J. Flynn</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William J. Flynn</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David I. Foley</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5"/>
              </w:rPr>
              <w:t>David I. Foley</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Michael Larson</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Director of Republic Services, Inc.</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5"/>
              </w:rPr>
              <w:t>Michael Larson</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II-91</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560" w:type="dxa"/>
            <w:vAlign w:val="bottom"/>
          </w:tcPr>
          <w:p>
            <w:pPr>
              <w:ind w:left="50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6680" w:type="dxa"/>
            <w:vAlign w:val="bottom"/>
          </w:tcPr>
          <w:p>
            <w:pPr>
              <w:ind w:left="30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r>
      <w:tr>
        <w:trPr>
          <w:trHeight w:val="485"/>
        </w:trPr>
        <w:tc>
          <w:tcPr>
            <w:tcW w:w="6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1456"/>
              <w:spacing w:after="0"/>
              <w:rPr>
                <w:sz w:val="20"/>
                <w:szCs w:val="20"/>
                <w:color w:val="auto"/>
              </w:rPr>
            </w:pPr>
            <w:r>
              <w:rPr>
                <w:rFonts w:ascii="Arial" w:cs="Arial" w:eastAsia="Arial" w:hAnsi="Arial"/>
                <w:sz w:val="13"/>
                <w:szCs w:val="13"/>
                <w:color w:val="auto"/>
                <w:w w:val="95"/>
              </w:rPr>
              <w:t>/s/ Nolan Lehmann</w:t>
            </w:r>
          </w:p>
        </w:tc>
        <w:tc>
          <w:tcPr>
            <w:tcW w:w="6680" w:type="dxa"/>
            <w:vAlign w:val="bottom"/>
          </w:tcPr>
          <w:p>
            <w:pPr>
              <w:ind w:left="2180"/>
              <w:spacing w:after="0"/>
              <w:rPr>
                <w:sz w:val="20"/>
                <w:szCs w:val="20"/>
                <w:color w:val="auto"/>
              </w:rPr>
            </w:pPr>
            <w:r>
              <w:rPr>
                <w:rFonts w:ascii="Arial" w:cs="Arial" w:eastAsia="Arial" w:hAnsi="Arial"/>
                <w:sz w:val="13"/>
                <w:szCs w:val="13"/>
                <w:color w:val="auto"/>
              </w:rPr>
              <w:t>Director of Republic Services, Inc.</w:t>
            </w:r>
          </w:p>
        </w:tc>
      </w:tr>
      <w:tr>
        <w:trPr>
          <w:trHeight w:val="160"/>
        </w:trPr>
        <w:tc>
          <w:tcPr>
            <w:tcW w:w="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60" w:type="dxa"/>
            <w:vAlign w:val="bottom"/>
          </w:tcPr>
          <w:p>
            <w:pPr>
              <w:jc w:val="center"/>
              <w:ind w:right="1456"/>
              <w:spacing w:after="0"/>
              <w:rPr>
                <w:sz w:val="20"/>
                <w:szCs w:val="20"/>
                <w:color w:val="auto"/>
              </w:rPr>
            </w:pPr>
            <w:r>
              <w:rPr>
                <w:rFonts w:ascii="Arial" w:cs="Arial" w:eastAsia="Arial" w:hAnsi="Arial"/>
                <w:sz w:val="13"/>
                <w:szCs w:val="13"/>
                <w:color w:val="auto"/>
                <w:w w:val="91"/>
              </w:rPr>
              <w:t>Nolan Lehmann</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1456"/>
              <w:spacing w:after="0"/>
              <w:rPr>
                <w:sz w:val="20"/>
                <w:szCs w:val="20"/>
                <w:color w:val="auto"/>
              </w:rPr>
            </w:pPr>
            <w:r>
              <w:rPr>
                <w:rFonts w:ascii="Arial" w:cs="Arial" w:eastAsia="Arial" w:hAnsi="Arial"/>
                <w:sz w:val="13"/>
                <w:szCs w:val="13"/>
                <w:color w:val="auto"/>
                <w:w w:val="94"/>
              </w:rPr>
              <w:t>/s/ W. Lee Nutter</w:t>
            </w:r>
          </w:p>
        </w:tc>
        <w:tc>
          <w:tcPr>
            <w:tcW w:w="6680" w:type="dxa"/>
            <w:vAlign w:val="bottom"/>
          </w:tcPr>
          <w:p>
            <w:pPr>
              <w:ind w:left="2180"/>
              <w:spacing w:after="0"/>
              <w:rPr>
                <w:sz w:val="20"/>
                <w:szCs w:val="20"/>
                <w:color w:val="auto"/>
              </w:rPr>
            </w:pPr>
            <w:r>
              <w:rPr>
                <w:rFonts w:ascii="Arial" w:cs="Arial" w:eastAsia="Arial" w:hAnsi="Arial"/>
                <w:sz w:val="13"/>
                <w:szCs w:val="13"/>
                <w:color w:val="auto"/>
              </w:rPr>
              <w:t>Director of Republic Services, Inc.</w:t>
            </w:r>
          </w:p>
        </w:tc>
      </w:tr>
      <w:tr>
        <w:trPr>
          <w:trHeight w:val="160"/>
        </w:trPr>
        <w:tc>
          <w:tcPr>
            <w:tcW w:w="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60" w:type="dxa"/>
            <w:vAlign w:val="bottom"/>
          </w:tcPr>
          <w:p>
            <w:pPr>
              <w:jc w:val="center"/>
              <w:ind w:right="1476"/>
              <w:spacing w:after="0"/>
              <w:rPr>
                <w:sz w:val="20"/>
                <w:szCs w:val="20"/>
                <w:color w:val="auto"/>
              </w:rPr>
            </w:pPr>
            <w:r>
              <w:rPr>
                <w:rFonts w:ascii="Arial" w:cs="Arial" w:eastAsia="Arial" w:hAnsi="Arial"/>
                <w:sz w:val="13"/>
                <w:szCs w:val="13"/>
                <w:color w:val="auto"/>
                <w:w w:val="92"/>
              </w:rPr>
              <w:t>W. Lee Nutter</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540" w:type="dxa"/>
            <w:vAlign w:val="bottom"/>
            <w:tcBorders>
              <w:bottom w:val="single" w:sz="8" w:color="auto"/>
            </w:tcBorders>
          </w:tcPr>
          <w:p>
            <w:pPr>
              <w:ind w:left="1400"/>
              <w:spacing w:after="0"/>
              <w:rPr>
                <w:sz w:val="20"/>
                <w:szCs w:val="20"/>
                <w:color w:val="auto"/>
              </w:rPr>
            </w:pPr>
            <w:r>
              <w:rPr>
                <w:rFonts w:ascii="Arial" w:cs="Arial" w:eastAsia="Arial" w:hAnsi="Arial"/>
                <w:sz w:val="13"/>
                <w:szCs w:val="13"/>
                <w:color w:val="auto"/>
                <w:w w:val="87"/>
              </w:rPr>
              <w:t>/s/</w:t>
            </w:r>
          </w:p>
        </w:tc>
        <w:tc>
          <w:tcPr>
            <w:tcW w:w="25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Ramon A. Rodriguez</w:t>
            </w:r>
          </w:p>
        </w:tc>
        <w:tc>
          <w:tcPr>
            <w:tcW w:w="6680" w:type="dxa"/>
            <w:vAlign w:val="bottom"/>
          </w:tcPr>
          <w:p>
            <w:pPr>
              <w:ind w:left="2180"/>
              <w:spacing w:after="0"/>
              <w:rPr>
                <w:sz w:val="20"/>
                <w:szCs w:val="20"/>
                <w:color w:val="auto"/>
              </w:rPr>
            </w:pPr>
            <w:r>
              <w:rPr>
                <w:rFonts w:ascii="Arial" w:cs="Arial" w:eastAsia="Arial" w:hAnsi="Arial"/>
                <w:sz w:val="13"/>
                <w:szCs w:val="13"/>
                <w:color w:val="auto"/>
              </w:rPr>
              <w:t>Director of Republic Services, Inc.</w:t>
            </w:r>
          </w:p>
        </w:tc>
      </w:tr>
      <w:tr>
        <w:trPr>
          <w:trHeight w:val="160"/>
        </w:trPr>
        <w:tc>
          <w:tcPr>
            <w:tcW w:w="680" w:type="dxa"/>
            <w:vAlign w:val="bottom"/>
          </w:tcPr>
          <w:p>
            <w:pPr>
              <w:spacing w:after="0"/>
              <w:rPr>
                <w:sz w:val="13"/>
                <w:szCs w:val="13"/>
                <w:color w:val="auto"/>
              </w:rPr>
            </w:pPr>
          </w:p>
        </w:tc>
        <w:tc>
          <w:tcPr>
            <w:tcW w:w="4100" w:type="dxa"/>
            <w:vAlign w:val="bottom"/>
            <w:gridSpan w:val="2"/>
          </w:tcPr>
          <w:p>
            <w:pPr>
              <w:jc w:val="center"/>
              <w:spacing w:after="0"/>
              <w:rPr>
                <w:sz w:val="20"/>
                <w:szCs w:val="20"/>
                <w:color w:val="auto"/>
              </w:rPr>
            </w:pPr>
            <w:r>
              <w:rPr>
                <w:rFonts w:ascii="Arial" w:cs="Arial" w:eastAsia="Arial" w:hAnsi="Arial"/>
                <w:sz w:val="13"/>
                <w:szCs w:val="13"/>
                <w:color w:val="auto"/>
                <w:w w:val="92"/>
              </w:rPr>
              <w:t>Ramon A. Rodriguez</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3"/>
              </w:rPr>
              <w:t>/s/ Allan C. Sorensen</w:t>
            </w:r>
          </w:p>
        </w:tc>
        <w:tc>
          <w:tcPr>
            <w:tcW w:w="6680" w:type="dxa"/>
            <w:vAlign w:val="bottom"/>
          </w:tcPr>
          <w:p>
            <w:pPr>
              <w:ind w:left="2180"/>
              <w:spacing w:after="0"/>
              <w:rPr>
                <w:sz w:val="20"/>
                <w:szCs w:val="20"/>
                <w:color w:val="auto"/>
              </w:rPr>
            </w:pPr>
            <w:r>
              <w:rPr>
                <w:rFonts w:ascii="Arial" w:cs="Arial" w:eastAsia="Arial" w:hAnsi="Arial"/>
                <w:sz w:val="13"/>
                <w:szCs w:val="13"/>
                <w:color w:val="auto"/>
              </w:rPr>
              <w:t>Director of Republic Services, Inc.</w:t>
            </w:r>
          </w:p>
        </w:tc>
      </w:tr>
      <w:tr>
        <w:trPr>
          <w:trHeight w:val="160"/>
        </w:trPr>
        <w:tc>
          <w:tcPr>
            <w:tcW w:w="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60" w:type="dxa"/>
            <w:vAlign w:val="bottom"/>
          </w:tcPr>
          <w:p>
            <w:pPr>
              <w:jc w:val="center"/>
              <w:ind w:right="1456"/>
              <w:spacing w:after="0"/>
              <w:rPr>
                <w:sz w:val="20"/>
                <w:szCs w:val="20"/>
                <w:color w:val="auto"/>
              </w:rPr>
            </w:pPr>
            <w:r>
              <w:rPr>
                <w:rFonts w:ascii="Arial" w:cs="Arial" w:eastAsia="Arial" w:hAnsi="Arial"/>
                <w:sz w:val="13"/>
                <w:szCs w:val="13"/>
                <w:color w:val="auto"/>
                <w:w w:val="91"/>
              </w:rPr>
              <w:t>Allan C. Sorensen</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1456"/>
              <w:spacing w:after="0"/>
              <w:rPr>
                <w:sz w:val="20"/>
                <w:szCs w:val="20"/>
                <w:color w:val="auto"/>
              </w:rPr>
            </w:pPr>
            <w:r>
              <w:rPr>
                <w:rFonts w:ascii="Arial" w:cs="Arial" w:eastAsia="Arial" w:hAnsi="Arial"/>
                <w:sz w:val="13"/>
                <w:szCs w:val="13"/>
                <w:color w:val="auto"/>
                <w:w w:val="94"/>
              </w:rPr>
              <w:t>/s/ John M. Trani</w:t>
            </w:r>
          </w:p>
        </w:tc>
        <w:tc>
          <w:tcPr>
            <w:tcW w:w="6680" w:type="dxa"/>
            <w:vAlign w:val="bottom"/>
          </w:tcPr>
          <w:p>
            <w:pPr>
              <w:ind w:left="2180"/>
              <w:spacing w:after="0"/>
              <w:rPr>
                <w:sz w:val="20"/>
                <w:szCs w:val="20"/>
                <w:color w:val="auto"/>
              </w:rPr>
            </w:pPr>
            <w:r>
              <w:rPr>
                <w:rFonts w:ascii="Arial" w:cs="Arial" w:eastAsia="Arial" w:hAnsi="Arial"/>
                <w:sz w:val="13"/>
                <w:szCs w:val="13"/>
                <w:color w:val="auto"/>
              </w:rPr>
              <w:t>Director of Republic Services, Inc.</w:t>
            </w:r>
          </w:p>
        </w:tc>
      </w:tr>
      <w:tr>
        <w:trPr>
          <w:trHeight w:val="160"/>
        </w:trPr>
        <w:tc>
          <w:tcPr>
            <w:tcW w:w="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60" w:type="dxa"/>
            <w:vAlign w:val="bottom"/>
          </w:tcPr>
          <w:p>
            <w:pPr>
              <w:jc w:val="center"/>
              <w:ind w:right="1476"/>
              <w:spacing w:after="0"/>
              <w:rPr>
                <w:sz w:val="20"/>
                <w:szCs w:val="20"/>
                <w:color w:val="auto"/>
              </w:rPr>
            </w:pPr>
            <w:r>
              <w:rPr>
                <w:rFonts w:ascii="Arial" w:cs="Arial" w:eastAsia="Arial" w:hAnsi="Arial"/>
                <w:sz w:val="13"/>
                <w:szCs w:val="13"/>
                <w:color w:val="auto"/>
                <w:w w:val="93"/>
              </w:rPr>
              <w:t>John M. Trani</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540" w:type="dxa"/>
            <w:vAlign w:val="bottom"/>
            <w:tcBorders>
              <w:bottom w:val="single" w:sz="8" w:color="auto"/>
            </w:tcBorders>
          </w:tcPr>
          <w:p>
            <w:pPr>
              <w:ind w:left="1400"/>
              <w:spacing w:after="0"/>
              <w:rPr>
                <w:sz w:val="20"/>
                <w:szCs w:val="20"/>
                <w:color w:val="auto"/>
              </w:rPr>
            </w:pPr>
            <w:r>
              <w:rPr>
                <w:rFonts w:ascii="Arial" w:cs="Arial" w:eastAsia="Arial" w:hAnsi="Arial"/>
                <w:sz w:val="13"/>
                <w:szCs w:val="13"/>
                <w:color w:val="auto"/>
                <w:w w:val="87"/>
              </w:rPr>
              <w:t>/s/</w:t>
            </w:r>
          </w:p>
        </w:tc>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Michael W. Wickham</w:t>
            </w:r>
          </w:p>
        </w:tc>
        <w:tc>
          <w:tcPr>
            <w:tcW w:w="6680" w:type="dxa"/>
            <w:vAlign w:val="bottom"/>
          </w:tcPr>
          <w:p>
            <w:pPr>
              <w:ind w:left="2180"/>
              <w:spacing w:after="0"/>
              <w:rPr>
                <w:sz w:val="20"/>
                <w:szCs w:val="20"/>
                <w:color w:val="auto"/>
              </w:rPr>
            </w:pPr>
            <w:r>
              <w:rPr>
                <w:rFonts w:ascii="Arial" w:cs="Arial" w:eastAsia="Arial" w:hAnsi="Arial"/>
                <w:sz w:val="13"/>
                <w:szCs w:val="13"/>
                <w:color w:val="auto"/>
              </w:rPr>
              <w:t>Director of Republic Services, Inc.</w:t>
            </w:r>
          </w:p>
        </w:tc>
      </w:tr>
      <w:tr>
        <w:trPr>
          <w:trHeight w:val="160"/>
        </w:trPr>
        <w:tc>
          <w:tcPr>
            <w:tcW w:w="680" w:type="dxa"/>
            <w:vAlign w:val="bottom"/>
          </w:tcPr>
          <w:p>
            <w:pPr>
              <w:spacing w:after="0"/>
              <w:rPr>
                <w:sz w:val="13"/>
                <w:szCs w:val="13"/>
                <w:color w:val="auto"/>
              </w:rPr>
            </w:pPr>
          </w:p>
        </w:tc>
        <w:tc>
          <w:tcPr>
            <w:tcW w:w="4100" w:type="dxa"/>
            <w:vAlign w:val="bottom"/>
            <w:gridSpan w:val="2"/>
          </w:tcPr>
          <w:p>
            <w:pPr>
              <w:jc w:val="center"/>
              <w:spacing w:after="0"/>
              <w:rPr>
                <w:sz w:val="20"/>
                <w:szCs w:val="20"/>
                <w:color w:val="auto"/>
              </w:rPr>
            </w:pPr>
            <w:r>
              <w:rPr>
                <w:rFonts w:ascii="Arial" w:cs="Arial" w:eastAsia="Arial" w:hAnsi="Arial"/>
                <w:sz w:val="13"/>
                <w:szCs w:val="13"/>
                <w:color w:val="auto"/>
                <w:w w:val="93"/>
              </w:rPr>
              <w:t>Michael W. Wickham</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13"/>
                <w:szCs w:val="13"/>
                <w:color w:val="auto"/>
              </w:rPr>
              <w:t>II-92</w:t>
            </w:r>
          </w:p>
        </w:tc>
      </w:tr>
      <w:tr>
        <w:trPr>
          <w:trHeight w:val="163"/>
        </w:trPr>
        <w:tc>
          <w:tcPr>
            <w:tcW w:w="680" w:type="dxa"/>
            <w:vAlign w:val="bottom"/>
            <w:tcBorders>
              <w:bottom w:val="single" w:sz="8" w:color="808080"/>
            </w:tcBorders>
          </w:tcPr>
          <w:p>
            <w:pPr>
              <w:spacing w:after="0"/>
              <w:rPr>
                <w:sz w:val="14"/>
                <w:szCs w:val="14"/>
                <w:color w:val="auto"/>
              </w:rPr>
            </w:pPr>
          </w:p>
        </w:tc>
        <w:tc>
          <w:tcPr>
            <w:tcW w:w="1540" w:type="dxa"/>
            <w:vAlign w:val="bottom"/>
            <w:tcBorders>
              <w:bottom w:val="single" w:sz="8" w:color="808080"/>
            </w:tcBorders>
          </w:tcPr>
          <w:p>
            <w:pPr>
              <w:spacing w:after="0"/>
              <w:rPr>
                <w:sz w:val="14"/>
                <w:szCs w:val="14"/>
                <w:color w:val="auto"/>
              </w:rPr>
            </w:pPr>
          </w:p>
        </w:tc>
        <w:tc>
          <w:tcPr>
            <w:tcW w:w="256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Z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Z hereto</w:t>
      </w:r>
    </w:p>
    <w:p>
      <w:pPr>
        <w:spacing w:after="0" w:line="175" w:lineRule="exact"/>
        <w:rPr>
          <w:sz w:val="20"/>
          <w:szCs w:val="20"/>
          <w:color w:val="auto"/>
        </w:rPr>
      </w:pPr>
    </w:p>
    <w:tbl>
      <w:tblPr>
        <w:tblLayout w:type="fixed"/>
        <w:tblInd w:w="558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Pr>
          <w:p>
            <w:pPr>
              <w:spacing w:after="0"/>
              <w:rPr>
                <w:sz w:val="20"/>
                <w:szCs w:val="20"/>
                <w:color w:val="auto"/>
              </w:rPr>
            </w:pPr>
            <w:r>
              <w:rPr>
                <w:rFonts w:ascii="Arial" w:cs="Arial" w:eastAsia="Arial" w:hAnsi="Arial"/>
                <w:sz w:val="13"/>
                <w:szCs w:val="13"/>
                <w:color w:val="auto"/>
              </w:rPr>
              <w:t>Republic Services of Wisconsin GP, LLC, as General Partner</w:t>
            </w:r>
          </w:p>
        </w:tc>
      </w:tr>
      <w:tr>
        <w:trPr>
          <w:trHeight w:val="477"/>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5"/>
              </w:rPr>
              <w:t>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ind w:left="12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6360" w:type="dxa"/>
            <w:vAlign w:val="bottom"/>
          </w:tcPr>
          <w:p>
            <w:pPr>
              <w:ind w:left="290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r>
      <w:tr>
        <w:trPr>
          <w:trHeight w:val="480"/>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6"/>
              <w:spacing w:after="0"/>
              <w:rPr>
                <w:sz w:val="20"/>
                <w:szCs w:val="20"/>
                <w:color w:val="auto"/>
              </w:rPr>
            </w:pPr>
            <w:r>
              <w:rPr>
                <w:rFonts w:ascii="Arial" w:cs="Arial" w:eastAsia="Arial" w:hAnsi="Arial"/>
                <w:sz w:val="13"/>
                <w:szCs w:val="13"/>
                <w:color w:val="auto"/>
                <w:w w:val="98"/>
              </w:rPr>
              <w:t>/s/ Kevin Walbridge</w:t>
            </w:r>
          </w:p>
        </w:tc>
        <w:tc>
          <w:tcPr>
            <w:tcW w:w="6360" w:type="dxa"/>
            <w:vAlign w:val="bottom"/>
          </w:tcPr>
          <w:p>
            <w:pPr>
              <w:jc w:val="center"/>
              <w:ind w:right="457"/>
              <w:spacing w:after="0"/>
              <w:rPr>
                <w:sz w:val="20"/>
                <w:szCs w:val="20"/>
                <w:color w:val="auto"/>
              </w:rPr>
            </w:pPr>
            <w:r>
              <w:rPr>
                <w:rFonts w:ascii="Arial" w:cs="Arial" w:eastAsia="Arial" w:hAnsi="Arial"/>
                <w:sz w:val="13"/>
                <w:szCs w:val="13"/>
                <w:color w:val="auto"/>
                <w:w w:val="92"/>
              </w:rPr>
              <w:t>President of Republic Services of Wisconsin GP, LLC</w:t>
            </w:r>
          </w:p>
        </w:tc>
      </w:tr>
      <w:tr>
        <w:trPr>
          <w:trHeight w:val="155"/>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6"/>
              <w:spacing w:after="0"/>
              <w:rPr>
                <w:sz w:val="20"/>
                <w:szCs w:val="20"/>
                <w:color w:val="auto"/>
              </w:rPr>
            </w:pPr>
            <w:r>
              <w:rPr>
                <w:rFonts w:ascii="Arial" w:cs="Arial" w:eastAsia="Arial" w:hAnsi="Arial"/>
                <w:sz w:val="13"/>
                <w:szCs w:val="13"/>
                <w:color w:val="auto"/>
                <w:w w:val="95"/>
              </w:rPr>
              <w:t>Kevin Walbridge</w:t>
            </w:r>
          </w:p>
        </w:tc>
        <w:tc>
          <w:tcPr>
            <w:tcW w:w="63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6"/>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7"/>
              <w:spacing w:after="0"/>
              <w:rPr>
                <w:sz w:val="20"/>
                <w:szCs w:val="20"/>
                <w:color w:val="auto"/>
              </w:rPr>
            </w:pPr>
            <w:r>
              <w:rPr>
                <w:rFonts w:ascii="Arial" w:cs="Arial" w:eastAsia="Arial" w:hAnsi="Arial"/>
                <w:sz w:val="13"/>
                <w:szCs w:val="13"/>
                <w:color w:val="auto"/>
                <w:w w:val="91"/>
              </w:rPr>
              <w:t>Treasurer of Republic Services of Wisconsin GP, LLC</w:t>
            </w:r>
          </w:p>
        </w:tc>
      </w:tr>
      <w:tr>
        <w:trPr>
          <w:trHeight w:val="155"/>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6"/>
              <w:spacing w:after="0"/>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3"/>
                <w:szCs w:val="13"/>
                <w:color w:val="auto"/>
              </w:rPr>
            </w:pPr>
          </w:p>
        </w:tc>
      </w:tr>
      <w:tr>
        <w:trPr>
          <w:trHeight w:val="298"/>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Inc.</w:t>
            </w:r>
          </w:p>
        </w:tc>
        <w:tc>
          <w:tcPr>
            <w:tcW w:w="6360" w:type="dxa"/>
            <w:vAlign w:val="bottom"/>
          </w:tcPr>
          <w:p>
            <w:pPr>
              <w:jc w:val="center"/>
              <w:ind w:right="437"/>
              <w:spacing w:after="0"/>
              <w:rPr>
                <w:sz w:val="20"/>
                <w:szCs w:val="20"/>
                <w:color w:val="auto"/>
              </w:rPr>
            </w:pPr>
            <w:r>
              <w:rPr>
                <w:rFonts w:ascii="Arial" w:cs="Arial" w:eastAsia="Arial" w:hAnsi="Arial"/>
                <w:sz w:val="13"/>
                <w:szCs w:val="13"/>
                <w:color w:val="auto"/>
                <w:w w:val="92"/>
              </w:rPr>
              <w:t>Managing Member of Republic Services of Wisconsin</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7"/>
              <w:spacing w:after="0"/>
              <w:rPr>
                <w:sz w:val="20"/>
                <w:szCs w:val="20"/>
                <w:color w:val="auto"/>
              </w:rPr>
            </w:pPr>
            <w:r>
              <w:rPr>
                <w:rFonts w:ascii="Arial" w:cs="Arial" w:eastAsia="Arial" w:hAnsi="Arial"/>
                <w:sz w:val="13"/>
                <w:szCs w:val="13"/>
                <w:color w:val="auto"/>
                <w:w w:val="92"/>
              </w:rPr>
              <w:t>GP, LLC</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E. O’Connor</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89"/>
              </w:rPr>
              <w:t>James E. O’Connor</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93"/>
              </w:rPr>
              <w:t>Chairman of the Board and Chief Executive Officer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40"/>
              <w:spacing w:after="0"/>
              <w:rPr>
                <w:sz w:val="20"/>
                <w:szCs w:val="20"/>
                <w:color w:val="auto"/>
              </w:rPr>
            </w:pPr>
            <w:r>
              <w:rPr>
                <w:rFonts w:ascii="Arial" w:cs="Arial" w:eastAsia="Arial" w:hAnsi="Arial"/>
                <w:sz w:val="13"/>
                <w:szCs w:val="13"/>
                <w:color w:val="auto"/>
              </w:rPr>
              <w:t>II-93</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9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AA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AA hereto</w:t>
      </w:r>
    </w:p>
    <w:p>
      <w:pPr>
        <w:spacing w:after="0" w:line="332" w:lineRule="exact"/>
        <w:rPr>
          <w:sz w:val="20"/>
          <w:szCs w:val="20"/>
          <w:color w:val="auto"/>
        </w:rPr>
      </w:pPr>
    </w:p>
    <w:p>
      <w:pPr>
        <w:ind w:left="5580"/>
        <w:spacing w:after="0"/>
        <w:tabs>
          <w:tab w:leader="none" w:pos="76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88"/>
              </w:rPr>
              <w:t>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34"/>
              <w:spacing w:after="0" w:line="130" w:lineRule="exact"/>
              <w:rPr>
                <w:sz w:val="20"/>
                <w:szCs w:val="20"/>
                <w:color w:val="auto"/>
              </w:rPr>
            </w:pPr>
            <w:r>
              <w:rPr>
                <w:rFonts w:ascii="Arial" w:cs="Arial" w:eastAsia="Arial" w:hAnsi="Arial"/>
                <w:sz w:val="13"/>
                <w:szCs w:val="13"/>
                <w:color w:val="auto"/>
                <w:w w:val="96"/>
              </w:rPr>
              <w:t>(principal financial officer</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3"/>
              </w:rPr>
              <w:t>and 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of Indiana, Limited Partnership</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Pr>
          <w:p>
            <w:pPr>
              <w:jc w:val="center"/>
              <w:spacing w:after="0"/>
              <w:rPr>
                <w:sz w:val="20"/>
                <w:szCs w:val="20"/>
                <w:color w:val="auto"/>
              </w:rPr>
            </w:pPr>
            <w:r>
              <w:rPr>
                <w:rFonts w:ascii="Arial" w:cs="Arial" w:eastAsia="Arial" w:hAnsi="Arial"/>
                <w:sz w:val="13"/>
                <w:szCs w:val="13"/>
                <w:color w:val="auto"/>
                <w:w w:val="90"/>
              </w:rPr>
              <w:t>Republic Services, Inc., as General Partner</w:t>
            </w:r>
          </w:p>
        </w:tc>
        <w:tc>
          <w:tcPr>
            <w:tcW w:w="6360" w:type="dxa"/>
            <w:vAlign w:val="bottom"/>
          </w:tcPr>
          <w:p>
            <w:pPr>
              <w:spacing w:after="0"/>
              <w:rPr>
                <w:sz w:val="24"/>
                <w:szCs w:val="24"/>
                <w:color w:val="auto"/>
              </w:rPr>
            </w:pP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E. O’Connor</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89"/>
              </w:rPr>
              <w:t>James E. O’Connor</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93"/>
              </w:rPr>
              <w:t>Chairman of the Board and Chief Executive Officer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40"/>
              <w:spacing w:after="0"/>
              <w:rPr>
                <w:sz w:val="20"/>
                <w:szCs w:val="20"/>
                <w:color w:val="auto"/>
              </w:rPr>
            </w:pPr>
            <w:r>
              <w:rPr>
                <w:rFonts w:ascii="Arial" w:cs="Arial" w:eastAsia="Arial" w:hAnsi="Arial"/>
                <w:sz w:val="13"/>
                <w:szCs w:val="13"/>
                <w:color w:val="auto"/>
              </w:rPr>
              <w:t>II-94</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BB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BB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Allied Waste North America,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40"/>
              <w:spacing w:after="0"/>
              <w:rPr>
                <w:sz w:val="20"/>
                <w:szCs w:val="20"/>
                <w:color w:val="auto"/>
              </w:rPr>
            </w:pPr>
            <w:r>
              <w:rPr>
                <w:rFonts w:ascii="Arial" w:cs="Arial" w:eastAsia="Arial" w:hAnsi="Arial"/>
                <w:sz w:val="13"/>
                <w:szCs w:val="13"/>
                <w:color w:val="auto"/>
              </w:rPr>
              <w:t>II-95</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CC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CC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Allied Waste Landfill Holdings,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40"/>
              <w:spacing w:after="0"/>
              <w:rPr>
                <w:sz w:val="20"/>
                <w:szCs w:val="20"/>
                <w:color w:val="auto"/>
              </w:rPr>
            </w:pPr>
            <w:r>
              <w:rPr>
                <w:rFonts w:ascii="Arial" w:cs="Arial" w:eastAsia="Arial" w:hAnsi="Arial"/>
                <w:sz w:val="13"/>
                <w:szCs w:val="13"/>
                <w:color w:val="auto"/>
              </w:rPr>
              <w:t>II-96</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DD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DD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Kevin Walbridge</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5"/>
              </w:rPr>
              <w:t>Kevin Walbridge</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Browning-Ferris Industries,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40"/>
              <w:spacing w:after="0"/>
              <w:rPr>
                <w:sz w:val="20"/>
                <w:szCs w:val="20"/>
                <w:color w:val="auto"/>
              </w:rPr>
            </w:pPr>
            <w:r>
              <w:rPr>
                <w:rFonts w:ascii="Arial" w:cs="Arial" w:eastAsia="Arial" w:hAnsi="Arial"/>
                <w:sz w:val="13"/>
                <w:szCs w:val="13"/>
                <w:color w:val="auto"/>
              </w:rPr>
              <w:t>II-97</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EE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EE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7"/>
              </w:rPr>
              <w:t>/s/ Ronald Krall</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8"/>
              </w:rPr>
              <w:t>Ronald Krall</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Browning-Ferris Industries,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40"/>
              <w:spacing w:after="0"/>
              <w:rPr>
                <w:sz w:val="20"/>
                <w:szCs w:val="20"/>
                <w:color w:val="auto"/>
              </w:rPr>
            </w:pPr>
            <w:r>
              <w:rPr>
                <w:rFonts w:ascii="Arial" w:cs="Arial" w:eastAsia="Arial" w:hAnsi="Arial"/>
                <w:sz w:val="13"/>
                <w:szCs w:val="13"/>
                <w:color w:val="auto"/>
              </w:rPr>
              <w:t>II-98</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0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FF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FF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7"/>
              </w:rPr>
              <w:t>/s/ Ronald Krall</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8"/>
              </w:rPr>
              <w:t>Ronald Krall</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Allied Waste North America,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40"/>
              <w:spacing w:after="0"/>
              <w:rPr>
                <w:sz w:val="20"/>
                <w:szCs w:val="20"/>
                <w:color w:val="auto"/>
              </w:rPr>
            </w:pPr>
            <w:r>
              <w:rPr>
                <w:rFonts w:ascii="Arial" w:cs="Arial" w:eastAsia="Arial" w:hAnsi="Arial"/>
                <w:sz w:val="13"/>
                <w:szCs w:val="13"/>
                <w:color w:val="auto"/>
              </w:rPr>
              <w:t>II-99</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GG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GG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Browning-Ferris Industries,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II-100</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HH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HH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7"/>
              </w:rPr>
              <w:t>/s/ Jeff D. Andrews</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3"/>
              </w:rPr>
              <w:t>Jeff D. Andrews</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Browning-Ferris Industries,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II-101</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II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II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7"/>
              </w:rPr>
              <w:t>/s/ Jeff D. Andrews</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3"/>
              </w:rPr>
              <w:t>Jeff D. Andrews</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Allied Waste North America,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II-102</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JJ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JJ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4"/>
              </w:rPr>
              <w:t>/s/ Christopher Synek</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1"/>
              </w:rPr>
              <w:t>Christopher Synek</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Browning-Ferris Industries,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II-103</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KK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KK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Kevin Walbridge</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5"/>
              </w:rPr>
              <w:t>Kevin Walbridge</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Allied Waste North America,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II-104</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LL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LL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5"/>
              </w:rPr>
              <w:t>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88"/>
              </w:rPr>
              <w:t>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Aviation,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8"/>
              </w:rPr>
              <w:t>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II-105</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MM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MM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4"/>
              </w:rPr>
              <w:t>/s/ Christopher Synek</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1"/>
              </w:rPr>
              <w:t>Christopher Synek</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Allied Waste North America,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II-106</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NN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NN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Allied Green Power,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II-107</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OO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OO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BFI Waste Systems of North America,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II-108</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0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PP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PP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Kevin Walbridge</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5"/>
              </w:rPr>
              <w:t>Kevin Walbridge</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Bridgeton Landfill,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II-109</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QQ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QQ hereto</w:t>
      </w:r>
    </w:p>
    <w:p>
      <w:pPr>
        <w:spacing w:after="0" w:line="175"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7"/>
              </w:rPr>
              <w:t>/s/ Ronald Krall</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8"/>
              </w:rPr>
              <w:t>Ronald Krall</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Browning-Ferris Industries of Ohio,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II-110</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0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RR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RR hereto</w:t>
      </w:r>
    </w:p>
    <w:p>
      <w:pPr>
        <w:spacing w:after="0" w:line="332" w:lineRule="exact"/>
        <w:rPr>
          <w:sz w:val="20"/>
          <w:szCs w:val="20"/>
          <w:color w:val="auto"/>
        </w:rPr>
      </w:pPr>
    </w:p>
    <w:p>
      <w:pPr>
        <w:ind w:left="5580"/>
        <w:spacing w:after="0"/>
        <w:tabs>
          <w:tab w:leader="none" w:pos="76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160" w:type="dxa"/>
            <w:vAlign w:val="bottom"/>
          </w:tcPr>
          <w:p>
            <w:pPr>
              <w:ind w:left="42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980" w:type="dxa"/>
            <w:vAlign w:val="bottom"/>
          </w:tcPr>
          <w:p>
            <w:pPr>
              <w:spacing w:after="0"/>
              <w:rPr>
                <w:sz w:val="11"/>
                <w:szCs w:val="11"/>
                <w:color w:val="auto"/>
              </w:rPr>
            </w:pPr>
          </w:p>
        </w:tc>
        <w:tc>
          <w:tcPr>
            <w:tcW w:w="4580" w:type="dxa"/>
            <w:vAlign w:val="bottom"/>
          </w:tcPr>
          <w:p>
            <w:pPr>
              <w:ind w:left="24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800" w:type="dxa"/>
            <w:vAlign w:val="bottom"/>
          </w:tcPr>
          <w:p>
            <w:pPr>
              <w:spacing w:after="0"/>
              <w:rPr>
                <w:sz w:val="11"/>
                <w:szCs w:val="11"/>
                <w:color w:val="auto"/>
              </w:rPr>
            </w:pPr>
          </w:p>
        </w:tc>
      </w:tr>
      <w:tr>
        <w:trPr>
          <w:trHeight w:val="480"/>
        </w:trPr>
        <w:tc>
          <w:tcPr>
            <w:tcW w:w="680" w:type="dxa"/>
            <w:vAlign w:val="bottom"/>
          </w:tcPr>
          <w:p>
            <w:pPr>
              <w:spacing w:after="0"/>
              <w:rPr>
                <w:sz w:val="24"/>
                <w:szCs w:val="24"/>
                <w:color w:val="auto"/>
              </w:rPr>
            </w:pPr>
          </w:p>
        </w:tc>
        <w:tc>
          <w:tcPr>
            <w:tcW w:w="2260" w:type="dxa"/>
            <w:vAlign w:val="bottom"/>
            <w:tcBorders>
              <w:bottom w:val="single" w:sz="8" w:color="auto"/>
            </w:tcBorders>
          </w:tcPr>
          <w:p>
            <w:pPr>
              <w:ind w:left="2120"/>
              <w:spacing w:after="0"/>
              <w:rPr>
                <w:sz w:val="20"/>
                <w:szCs w:val="20"/>
                <w:color w:val="auto"/>
              </w:rPr>
            </w:pPr>
            <w:r>
              <w:rPr>
                <w:rFonts w:ascii="Arial" w:cs="Arial" w:eastAsia="Arial" w:hAnsi="Arial"/>
                <w:sz w:val="13"/>
                <w:szCs w:val="13"/>
                <w:color w:val="auto"/>
                <w:w w:val="87"/>
              </w:rPr>
              <w:t>/s/</w:t>
            </w:r>
          </w:p>
        </w:tc>
        <w:tc>
          <w:tcPr>
            <w:tcW w:w="2160" w:type="dxa"/>
            <w:vAlign w:val="bottom"/>
            <w:tcBorders>
              <w:bottom w:val="single" w:sz="8" w:color="auto"/>
            </w:tcBorders>
          </w:tcPr>
          <w:p>
            <w:pPr>
              <w:jc w:val="center"/>
              <w:ind w:right="999"/>
              <w:spacing w:after="0"/>
              <w:rPr>
                <w:sz w:val="20"/>
                <w:szCs w:val="20"/>
                <w:color w:val="auto"/>
              </w:rPr>
            </w:pPr>
            <w:r>
              <w:rPr>
                <w:rFonts w:ascii="Arial" w:cs="Arial" w:eastAsia="Arial" w:hAnsi="Arial"/>
                <w:sz w:val="13"/>
                <w:szCs w:val="13"/>
                <w:color w:val="auto"/>
                <w:w w:val="91"/>
              </w:rPr>
              <w:t>Christopher Synek</w:t>
            </w:r>
          </w:p>
        </w:tc>
        <w:tc>
          <w:tcPr>
            <w:tcW w:w="980" w:type="dxa"/>
            <w:vAlign w:val="bottom"/>
            <w:tcBorders>
              <w:bottom w:val="single" w:sz="8" w:color="auto"/>
            </w:tcBorders>
          </w:tcPr>
          <w:p>
            <w:pPr>
              <w:spacing w:after="0"/>
              <w:rPr>
                <w:sz w:val="24"/>
                <w:szCs w:val="24"/>
                <w:color w:val="auto"/>
              </w:rPr>
            </w:pPr>
          </w:p>
        </w:tc>
        <w:tc>
          <w:tcPr>
            <w:tcW w:w="4580" w:type="dxa"/>
            <w:vAlign w:val="bottom"/>
          </w:tcPr>
          <w:p>
            <w:pPr>
              <w:jc w:val="center"/>
              <w:ind w:left="236"/>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420" w:type="dxa"/>
            <w:vAlign w:val="bottom"/>
            <w:gridSpan w:val="2"/>
          </w:tcPr>
          <w:p>
            <w:pPr>
              <w:ind w:left="2220"/>
              <w:spacing w:after="0"/>
              <w:rPr>
                <w:sz w:val="20"/>
                <w:szCs w:val="20"/>
                <w:color w:val="auto"/>
              </w:rPr>
            </w:pPr>
            <w:r>
              <w:rPr>
                <w:rFonts w:ascii="Arial" w:cs="Arial" w:eastAsia="Arial" w:hAnsi="Arial"/>
                <w:sz w:val="13"/>
                <w:szCs w:val="13"/>
                <w:color w:val="auto"/>
              </w:rPr>
              <w:t>Christopher Synek</w:t>
            </w:r>
          </w:p>
        </w:tc>
        <w:tc>
          <w:tcPr>
            <w:tcW w:w="980" w:type="dxa"/>
            <w:vAlign w:val="bottom"/>
          </w:tcPr>
          <w:p>
            <w:pPr>
              <w:spacing w:after="0"/>
              <w:rPr>
                <w:sz w:val="13"/>
                <w:szCs w:val="13"/>
                <w:color w:val="auto"/>
              </w:rPr>
            </w:pPr>
          </w:p>
        </w:tc>
        <w:tc>
          <w:tcPr>
            <w:tcW w:w="4580" w:type="dxa"/>
            <w:vAlign w:val="bottom"/>
          </w:tcPr>
          <w:p>
            <w:pPr>
              <w:jc w:val="center"/>
              <w:ind w:left="236"/>
              <w:spacing w:after="0" w:line="145" w:lineRule="exact"/>
              <w:rPr>
                <w:sz w:val="20"/>
                <w:szCs w:val="20"/>
                <w:color w:val="auto"/>
              </w:rPr>
            </w:pPr>
            <w:r>
              <w:rPr>
                <w:rFonts w:ascii="Arial" w:cs="Arial" w:eastAsia="Arial" w:hAnsi="Arial"/>
                <w:sz w:val="13"/>
                <w:szCs w:val="13"/>
                <w:color w:val="auto"/>
                <w:w w:val="95"/>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2260" w:type="dxa"/>
            <w:vAlign w:val="bottom"/>
            <w:tcBorders>
              <w:bottom w:val="single" w:sz="8" w:color="auto"/>
            </w:tcBorders>
          </w:tcPr>
          <w:p>
            <w:pPr>
              <w:ind w:left="2080"/>
              <w:spacing w:after="0"/>
              <w:rPr>
                <w:sz w:val="20"/>
                <w:szCs w:val="20"/>
                <w:color w:val="auto"/>
              </w:rPr>
            </w:pPr>
            <w:r>
              <w:rPr>
                <w:rFonts w:ascii="Arial" w:cs="Arial" w:eastAsia="Arial" w:hAnsi="Arial"/>
                <w:sz w:val="13"/>
                <w:szCs w:val="13"/>
                <w:color w:val="auto"/>
              </w:rPr>
              <w:t>/s/</w:t>
            </w:r>
          </w:p>
        </w:tc>
        <w:tc>
          <w:tcPr>
            <w:tcW w:w="2160" w:type="dxa"/>
            <w:vAlign w:val="bottom"/>
            <w:tcBorders>
              <w:bottom w:val="single" w:sz="8" w:color="auto"/>
            </w:tcBorders>
          </w:tcPr>
          <w:p>
            <w:pPr>
              <w:jc w:val="center"/>
              <w:ind w:right="1019"/>
              <w:spacing w:after="0"/>
              <w:rPr>
                <w:sz w:val="20"/>
                <w:szCs w:val="20"/>
                <w:color w:val="auto"/>
              </w:rPr>
            </w:pPr>
            <w:r>
              <w:rPr>
                <w:rFonts w:ascii="Arial" w:cs="Arial" w:eastAsia="Arial" w:hAnsi="Arial"/>
                <w:sz w:val="13"/>
                <w:szCs w:val="13"/>
                <w:color w:val="auto"/>
                <w:w w:val="97"/>
              </w:rPr>
              <w:t>Edward A. Lang, III</w:t>
            </w:r>
          </w:p>
        </w:tc>
        <w:tc>
          <w:tcPr>
            <w:tcW w:w="980" w:type="dxa"/>
            <w:vAlign w:val="bottom"/>
            <w:tcBorders>
              <w:bottom w:val="single" w:sz="8" w:color="auto"/>
            </w:tcBorders>
          </w:tcPr>
          <w:p>
            <w:pPr>
              <w:spacing w:after="0"/>
              <w:rPr>
                <w:sz w:val="24"/>
                <w:szCs w:val="24"/>
                <w:color w:val="auto"/>
              </w:rPr>
            </w:pPr>
          </w:p>
        </w:tc>
        <w:tc>
          <w:tcPr>
            <w:tcW w:w="4580" w:type="dxa"/>
            <w:vAlign w:val="bottom"/>
          </w:tcPr>
          <w:p>
            <w:pPr>
              <w:jc w:val="center"/>
              <w:ind w:left="256"/>
              <w:spacing w:after="0"/>
              <w:rPr>
                <w:sz w:val="20"/>
                <w:szCs w:val="20"/>
                <w:color w:val="auto"/>
              </w:rPr>
            </w:pPr>
            <w:r>
              <w:rPr>
                <w:rFonts w:ascii="Arial" w:cs="Arial" w:eastAsia="Arial" w:hAnsi="Arial"/>
                <w:sz w:val="13"/>
                <w:szCs w:val="13"/>
                <w:color w:val="auto"/>
                <w:w w:val="88"/>
              </w:rPr>
              <w:t>Treasurer</w:t>
            </w:r>
          </w:p>
        </w:tc>
        <w:tc>
          <w:tcPr>
            <w:tcW w:w="800" w:type="dxa"/>
            <w:vAlign w:val="bottom"/>
          </w:tcPr>
          <w:p>
            <w:pPr>
              <w:spacing w:after="0"/>
              <w:rPr>
                <w:sz w:val="24"/>
                <w:szCs w:val="24"/>
                <w:color w:val="auto"/>
              </w:rPr>
            </w:pPr>
          </w:p>
        </w:tc>
      </w:tr>
      <w:tr>
        <w:trPr>
          <w:trHeight w:val="130"/>
        </w:trPr>
        <w:tc>
          <w:tcPr>
            <w:tcW w:w="680" w:type="dxa"/>
            <w:vAlign w:val="bottom"/>
          </w:tcPr>
          <w:p>
            <w:pPr>
              <w:spacing w:after="0"/>
              <w:rPr>
                <w:sz w:val="11"/>
                <w:szCs w:val="11"/>
                <w:color w:val="auto"/>
              </w:rPr>
            </w:pPr>
          </w:p>
        </w:tc>
        <w:tc>
          <w:tcPr>
            <w:tcW w:w="4420" w:type="dxa"/>
            <w:vAlign w:val="bottom"/>
            <w:gridSpan w:val="2"/>
          </w:tcPr>
          <w:p>
            <w:pPr>
              <w:ind w:left="2180"/>
              <w:spacing w:after="0" w:line="130" w:lineRule="exact"/>
              <w:rPr>
                <w:sz w:val="20"/>
                <w:szCs w:val="20"/>
                <w:color w:val="auto"/>
              </w:rPr>
            </w:pPr>
            <w:r>
              <w:rPr>
                <w:rFonts w:ascii="Arial" w:cs="Arial" w:eastAsia="Arial" w:hAnsi="Arial"/>
                <w:sz w:val="13"/>
                <w:szCs w:val="13"/>
                <w:color w:val="auto"/>
              </w:rPr>
              <w:t>Edward A. Lang, III</w:t>
            </w:r>
          </w:p>
        </w:tc>
        <w:tc>
          <w:tcPr>
            <w:tcW w:w="980" w:type="dxa"/>
            <w:vAlign w:val="bottom"/>
          </w:tcPr>
          <w:p>
            <w:pPr>
              <w:spacing w:after="0"/>
              <w:rPr>
                <w:sz w:val="11"/>
                <w:szCs w:val="11"/>
                <w:color w:val="auto"/>
              </w:rPr>
            </w:pPr>
          </w:p>
        </w:tc>
        <w:tc>
          <w:tcPr>
            <w:tcW w:w="4580" w:type="dxa"/>
            <w:vAlign w:val="bottom"/>
          </w:tcPr>
          <w:p>
            <w:pPr>
              <w:jc w:val="center"/>
              <w:ind w:left="256"/>
              <w:spacing w:after="0" w:line="130" w:lineRule="exact"/>
              <w:rPr>
                <w:sz w:val="20"/>
                <w:szCs w:val="20"/>
                <w:color w:val="auto"/>
              </w:rPr>
            </w:pPr>
            <w:r>
              <w:rPr>
                <w:rFonts w:ascii="Arial" w:cs="Arial" w:eastAsia="Arial" w:hAnsi="Arial"/>
                <w:sz w:val="13"/>
                <w:szCs w:val="13"/>
                <w:color w:val="auto"/>
                <w:w w:val="96"/>
              </w:rPr>
              <w:t>(principal financial officer</w:t>
            </w:r>
          </w:p>
        </w:tc>
        <w:tc>
          <w:tcPr>
            <w:tcW w:w="80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80" w:type="dxa"/>
            <w:vAlign w:val="bottom"/>
          </w:tcPr>
          <w:p>
            <w:pPr>
              <w:jc w:val="center"/>
              <w:ind w:left="236"/>
              <w:spacing w:after="0"/>
              <w:rPr>
                <w:sz w:val="20"/>
                <w:szCs w:val="20"/>
                <w:color w:val="auto"/>
              </w:rPr>
            </w:pPr>
            <w:r>
              <w:rPr>
                <w:rFonts w:ascii="Arial" w:cs="Arial" w:eastAsia="Arial" w:hAnsi="Arial"/>
                <w:sz w:val="13"/>
                <w:szCs w:val="13"/>
                <w:color w:val="auto"/>
                <w:w w:val="93"/>
              </w:rPr>
              <w:t>and principal accounting officer)</w:t>
            </w:r>
          </w:p>
        </w:tc>
        <w:tc>
          <w:tcPr>
            <w:tcW w:w="800" w:type="dxa"/>
            <w:vAlign w:val="bottom"/>
          </w:tcPr>
          <w:p>
            <w:pPr>
              <w:spacing w:after="0"/>
              <w:rPr>
                <w:sz w:val="14"/>
                <w:szCs w:val="14"/>
                <w:color w:val="auto"/>
              </w:rPr>
            </w:pPr>
          </w:p>
        </w:tc>
      </w:tr>
      <w:tr>
        <w:trPr>
          <w:trHeight w:val="303"/>
        </w:trPr>
        <w:tc>
          <w:tcPr>
            <w:tcW w:w="68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3"/>
                <w:szCs w:val="13"/>
                <w:b w:val="1"/>
                <w:bCs w:val="1"/>
                <w:color w:val="auto"/>
              </w:rPr>
              <w:t>Republic Services of Georgia,</w:t>
            </w:r>
          </w:p>
        </w:tc>
        <w:tc>
          <w:tcPr>
            <w:tcW w:w="2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80" w:type="dxa"/>
            <w:vAlign w:val="bottom"/>
          </w:tcPr>
          <w:p>
            <w:pPr>
              <w:jc w:val="center"/>
              <w:ind w:left="236"/>
              <w:spacing w:after="0"/>
              <w:rPr>
                <w:sz w:val="20"/>
                <w:szCs w:val="20"/>
                <w:color w:val="auto"/>
              </w:rPr>
            </w:pPr>
            <w:r>
              <w:rPr>
                <w:rFonts w:ascii="Arial" w:cs="Arial" w:eastAsia="Arial" w:hAnsi="Arial"/>
                <w:sz w:val="13"/>
                <w:szCs w:val="13"/>
                <w:color w:val="auto"/>
                <w:w w:val="92"/>
              </w:rPr>
              <w:t>Managing Member</w:t>
            </w:r>
          </w:p>
        </w:tc>
        <w:tc>
          <w:tcPr>
            <w:tcW w:w="800" w:type="dxa"/>
            <w:vAlign w:val="bottom"/>
          </w:tcPr>
          <w:p>
            <w:pPr>
              <w:spacing w:after="0"/>
              <w:rPr>
                <w:sz w:val="24"/>
                <w:szCs w:val="24"/>
                <w:color w:val="auto"/>
              </w:rPr>
            </w:pPr>
          </w:p>
        </w:tc>
      </w:tr>
      <w:tr>
        <w:trPr>
          <w:trHeight w:val="169"/>
        </w:trPr>
        <w:tc>
          <w:tcPr>
            <w:tcW w:w="68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3"/>
                <w:szCs w:val="13"/>
                <w:b w:val="1"/>
                <w:bCs w:val="1"/>
                <w:color w:val="auto"/>
              </w:rPr>
              <w:t>Limited Partnership</w:t>
            </w:r>
          </w:p>
        </w:tc>
        <w:tc>
          <w:tcPr>
            <w:tcW w:w="2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07"/>
        </w:trPr>
        <w:tc>
          <w:tcPr>
            <w:tcW w:w="68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3"/>
                <w:szCs w:val="13"/>
                <w:color w:val="auto"/>
              </w:rPr>
              <w:t>By:</w:t>
            </w:r>
          </w:p>
        </w:tc>
        <w:tc>
          <w:tcPr>
            <w:tcW w:w="21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3"/>
                <w:szCs w:val="13"/>
                <w:color w:val="auto"/>
              </w:rPr>
              <w:t>Republic Services of Georgia GP, LLC, as</w:t>
            </w:r>
          </w:p>
        </w:tc>
        <w:tc>
          <w:tcPr>
            <w:tcW w:w="800" w:type="dxa"/>
            <w:vAlign w:val="bottom"/>
          </w:tcPr>
          <w:p>
            <w:pPr>
              <w:spacing w:after="0"/>
              <w:rPr>
                <w:sz w:val="24"/>
                <w:szCs w:val="24"/>
                <w:color w:val="auto"/>
              </w:rPr>
            </w:pPr>
          </w:p>
        </w:tc>
      </w:tr>
      <w:tr>
        <w:trPr>
          <w:trHeight w:val="165"/>
        </w:trPr>
        <w:tc>
          <w:tcPr>
            <w:tcW w:w="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3"/>
                <w:szCs w:val="13"/>
                <w:color w:val="auto"/>
              </w:rPr>
              <w:t>General Partner</w:t>
            </w:r>
          </w:p>
        </w:tc>
        <w:tc>
          <w:tcPr>
            <w:tcW w:w="80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3"/>
                <w:szCs w:val="13"/>
                <w:color w:val="auto"/>
              </w:rPr>
              <w:t>By:</w:t>
            </w:r>
          </w:p>
        </w:tc>
        <w:tc>
          <w:tcPr>
            <w:tcW w:w="2160" w:type="dxa"/>
            <w:vAlign w:val="bottom"/>
          </w:tcPr>
          <w:p>
            <w:pPr>
              <w:spacing w:after="0"/>
              <w:rPr>
                <w:sz w:val="24"/>
                <w:szCs w:val="24"/>
                <w:color w:val="auto"/>
              </w:rPr>
            </w:pP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Edward A. Lang, III</w:t>
            </w:r>
          </w:p>
        </w:tc>
        <w:tc>
          <w:tcPr>
            <w:tcW w:w="80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2260" w:type="dxa"/>
            <w:vAlign w:val="bottom"/>
          </w:tcPr>
          <w:p>
            <w:pPr>
              <w:spacing w:after="0" w:line="140" w:lineRule="exact"/>
              <w:rPr>
                <w:sz w:val="20"/>
                <w:szCs w:val="20"/>
                <w:color w:val="auto"/>
              </w:rPr>
            </w:pPr>
            <w:r>
              <w:rPr>
                <w:rFonts w:ascii="Arial" w:cs="Arial" w:eastAsia="Arial" w:hAnsi="Arial"/>
                <w:sz w:val="13"/>
                <w:szCs w:val="13"/>
                <w:color w:val="auto"/>
              </w:rPr>
              <w:t>Name:   Edward A. Lang, III</w:t>
            </w:r>
          </w:p>
        </w:tc>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3"/>
                <w:szCs w:val="13"/>
                <w:color w:val="auto"/>
              </w:rPr>
              <w:t>Title: Treasurer</w:t>
            </w:r>
          </w:p>
        </w:tc>
        <w:tc>
          <w:tcPr>
            <w:tcW w:w="2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560" w:type="dxa"/>
            <w:vAlign w:val="bottom"/>
            <w:gridSpan w:val="2"/>
          </w:tcPr>
          <w:p>
            <w:pPr>
              <w:ind w:left="420"/>
              <w:spacing w:after="0"/>
              <w:rPr>
                <w:sz w:val="20"/>
                <w:szCs w:val="20"/>
                <w:color w:val="auto"/>
              </w:rPr>
            </w:pPr>
            <w:r>
              <w:rPr>
                <w:rFonts w:ascii="Arial" w:cs="Arial" w:eastAsia="Arial" w:hAnsi="Arial"/>
                <w:sz w:val="13"/>
                <w:szCs w:val="13"/>
                <w:color w:val="auto"/>
              </w:rPr>
              <w:t>II-111</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260" w:type="dxa"/>
            <w:vAlign w:val="bottom"/>
            <w:tcBorders>
              <w:bottom w:val="single" w:sz="8" w:color="808080"/>
            </w:tcBorders>
          </w:tcPr>
          <w:p>
            <w:pPr>
              <w:spacing w:after="0"/>
              <w:rPr>
                <w:sz w:val="14"/>
                <w:szCs w:val="14"/>
                <w:color w:val="auto"/>
              </w:rPr>
            </w:pPr>
          </w:p>
        </w:tc>
        <w:tc>
          <w:tcPr>
            <w:tcW w:w="216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45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0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SS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SS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5"/>
              </w:rPr>
              <w:t>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00" w:type="dxa"/>
            <w:vAlign w:val="bottom"/>
          </w:tcPr>
          <w:p>
            <w:pPr>
              <w:ind w:left="98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6960" w:type="dxa"/>
            <w:vAlign w:val="bottom"/>
          </w:tcPr>
          <w:p>
            <w:pPr>
              <w:ind w:left="320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r>
      <w:tr>
        <w:trPr>
          <w:trHeight w:val="480"/>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856"/>
              <w:spacing w:after="0"/>
              <w:rPr>
                <w:sz w:val="20"/>
                <w:szCs w:val="20"/>
                <w:color w:val="auto"/>
              </w:rPr>
            </w:pPr>
            <w:r>
              <w:rPr>
                <w:rFonts w:ascii="Arial" w:cs="Arial" w:eastAsia="Arial" w:hAnsi="Arial"/>
                <w:sz w:val="13"/>
                <w:szCs w:val="13"/>
                <w:color w:val="auto"/>
                <w:w w:val="97"/>
              </w:rPr>
              <w:t>/s/ Jeff D. Andrews</w:t>
            </w:r>
          </w:p>
        </w:tc>
        <w:tc>
          <w:tcPr>
            <w:tcW w:w="6960" w:type="dxa"/>
            <w:vAlign w:val="bottom"/>
          </w:tcPr>
          <w:p>
            <w:pPr>
              <w:jc w:val="center"/>
              <w:ind w:right="456"/>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900" w:type="dxa"/>
            <w:vAlign w:val="bottom"/>
          </w:tcPr>
          <w:p>
            <w:pPr>
              <w:jc w:val="center"/>
              <w:ind w:right="856"/>
              <w:spacing w:after="0"/>
              <w:rPr>
                <w:sz w:val="20"/>
                <w:szCs w:val="20"/>
                <w:color w:val="auto"/>
              </w:rPr>
            </w:pPr>
            <w:r>
              <w:rPr>
                <w:rFonts w:ascii="Arial" w:cs="Arial" w:eastAsia="Arial" w:hAnsi="Arial"/>
                <w:sz w:val="13"/>
                <w:szCs w:val="13"/>
                <w:color w:val="auto"/>
                <w:w w:val="93"/>
              </w:rPr>
              <w:t>Jeff D. Andrews</w:t>
            </w:r>
          </w:p>
        </w:tc>
        <w:tc>
          <w:tcPr>
            <w:tcW w:w="6960" w:type="dxa"/>
            <w:vAlign w:val="bottom"/>
          </w:tcPr>
          <w:p>
            <w:pPr>
              <w:jc w:val="center"/>
              <w:ind w:right="436"/>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856"/>
              <w:spacing w:after="0"/>
              <w:rPr>
                <w:sz w:val="20"/>
                <w:szCs w:val="20"/>
                <w:color w:val="auto"/>
              </w:rPr>
            </w:pPr>
            <w:r>
              <w:rPr>
                <w:rFonts w:ascii="Arial" w:cs="Arial" w:eastAsia="Arial" w:hAnsi="Arial"/>
                <w:sz w:val="13"/>
                <w:szCs w:val="13"/>
                <w:color w:val="auto"/>
                <w:w w:val="98"/>
              </w:rPr>
              <w:t>/s/ Edward A. Lang, III</w:t>
            </w:r>
          </w:p>
        </w:tc>
        <w:tc>
          <w:tcPr>
            <w:tcW w:w="6960" w:type="dxa"/>
            <w:vAlign w:val="bottom"/>
          </w:tcPr>
          <w:p>
            <w:pPr>
              <w:jc w:val="center"/>
              <w:ind w:right="436"/>
              <w:spacing w:after="0"/>
              <w:rPr>
                <w:sz w:val="20"/>
                <w:szCs w:val="20"/>
                <w:color w:val="auto"/>
              </w:rPr>
            </w:pPr>
            <w:r>
              <w:rPr>
                <w:rFonts w:ascii="Arial" w:cs="Arial" w:eastAsia="Arial" w:hAnsi="Arial"/>
                <w:sz w:val="13"/>
                <w:szCs w:val="13"/>
                <w:color w:val="auto"/>
                <w:w w:val="88"/>
              </w:rPr>
              <w:t>Treasurer</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900" w:type="dxa"/>
            <w:vAlign w:val="bottom"/>
          </w:tcPr>
          <w:p>
            <w:pPr>
              <w:jc w:val="center"/>
              <w:ind w:right="856"/>
              <w:spacing w:after="0"/>
              <w:rPr>
                <w:sz w:val="20"/>
                <w:szCs w:val="20"/>
                <w:color w:val="auto"/>
              </w:rPr>
            </w:pPr>
            <w:r>
              <w:rPr>
                <w:rFonts w:ascii="Arial" w:cs="Arial" w:eastAsia="Arial" w:hAnsi="Arial"/>
                <w:sz w:val="13"/>
                <w:szCs w:val="13"/>
                <w:color w:val="auto"/>
                <w:w w:val="95"/>
              </w:rPr>
              <w:t>Edward A. Lang, III</w:t>
            </w:r>
          </w:p>
        </w:tc>
        <w:tc>
          <w:tcPr>
            <w:tcW w:w="6960" w:type="dxa"/>
            <w:vAlign w:val="bottom"/>
          </w:tcPr>
          <w:p>
            <w:pPr>
              <w:jc w:val="center"/>
              <w:ind w:right="436"/>
              <w:spacing w:after="0" w:line="145" w:lineRule="exact"/>
              <w:rPr>
                <w:sz w:val="20"/>
                <w:szCs w:val="20"/>
                <w:color w:val="auto"/>
              </w:rPr>
            </w:pPr>
            <w:r>
              <w:rPr>
                <w:rFonts w:ascii="Arial" w:cs="Arial" w:eastAsia="Arial" w:hAnsi="Arial"/>
                <w:sz w:val="13"/>
                <w:szCs w:val="13"/>
                <w:color w:val="auto"/>
                <w:w w:val="95"/>
              </w:rPr>
              <w:t>(principal financial officer and principal accounting officer)</w:t>
            </w:r>
          </w:p>
        </w:tc>
      </w:tr>
      <w:tr>
        <w:trPr>
          <w:trHeight w:val="306"/>
        </w:trPr>
        <w:tc>
          <w:tcPr>
            <w:tcW w:w="68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Inc.</w:t>
            </w:r>
          </w:p>
        </w:tc>
        <w:tc>
          <w:tcPr>
            <w:tcW w:w="6960" w:type="dxa"/>
            <w:vAlign w:val="bottom"/>
          </w:tcPr>
          <w:p>
            <w:pPr>
              <w:jc w:val="center"/>
              <w:ind w:right="456"/>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29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E. O’Connor</w:t>
            </w:r>
          </w:p>
        </w:tc>
        <w:tc>
          <w:tcPr>
            <w:tcW w:w="69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2900" w:type="dxa"/>
            <w:vAlign w:val="bottom"/>
          </w:tcPr>
          <w:p>
            <w:pPr>
              <w:jc w:val="center"/>
              <w:spacing w:after="0" w:line="140" w:lineRule="exact"/>
              <w:rPr>
                <w:sz w:val="20"/>
                <w:szCs w:val="20"/>
                <w:color w:val="auto"/>
              </w:rPr>
            </w:pPr>
            <w:r>
              <w:rPr>
                <w:rFonts w:ascii="Arial" w:cs="Arial" w:eastAsia="Arial" w:hAnsi="Arial"/>
                <w:sz w:val="13"/>
                <w:szCs w:val="13"/>
                <w:color w:val="auto"/>
                <w:w w:val="89"/>
              </w:rPr>
              <w:t>James E. O’Connor</w:t>
            </w:r>
          </w:p>
        </w:tc>
        <w:tc>
          <w:tcPr>
            <w:tcW w:w="69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2900" w:type="dxa"/>
            <w:vAlign w:val="bottom"/>
          </w:tcPr>
          <w:p>
            <w:pPr>
              <w:jc w:val="center"/>
              <w:spacing w:after="0"/>
              <w:rPr>
                <w:sz w:val="20"/>
                <w:szCs w:val="20"/>
                <w:color w:val="auto"/>
              </w:rPr>
            </w:pPr>
            <w:r>
              <w:rPr>
                <w:rFonts w:ascii="Arial" w:cs="Arial" w:eastAsia="Arial" w:hAnsi="Arial"/>
                <w:sz w:val="13"/>
                <w:szCs w:val="13"/>
                <w:color w:val="auto"/>
                <w:w w:val="93"/>
              </w:rPr>
              <w:t>Chairman of the Board and Chief Executive Officer</w:t>
            </w:r>
          </w:p>
        </w:tc>
        <w:tc>
          <w:tcPr>
            <w:tcW w:w="69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960" w:type="dxa"/>
            <w:vAlign w:val="bottom"/>
          </w:tcPr>
          <w:p>
            <w:pPr>
              <w:ind w:left="1020"/>
              <w:spacing w:after="0"/>
              <w:rPr>
                <w:sz w:val="20"/>
                <w:szCs w:val="20"/>
                <w:color w:val="auto"/>
              </w:rPr>
            </w:pPr>
            <w:r>
              <w:rPr>
                <w:rFonts w:ascii="Arial" w:cs="Arial" w:eastAsia="Arial" w:hAnsi="Arial"/>
                <w:sz w:val="13"/>
                <w:szCs w:val="13"/>
                <w:color w:val="auto"/>
              </w:rPr>
              <w:t>II-112</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900" w:type="dxa"/>
            <w:vAlign w:val="bottom"/>
            <w:tcBorders>
              <w:bottom w:val="single" w:sz="8" w:color="808080"/>
            </w:tcBorders>
          </w:tcPr>
          <w:p>
            <w:pPr>
              <w:spacing w:after="0"/>
              <w:rPr>
                <w:sz w:val="14"/>
                <w:szCs w:val="14"/>
                <w:color w:val="auto"/>
              </w:rPr>
            </w:pPr>
          </w:p>
        </w:tc>
        <w:tc>
          <w:tcPr>
            <w:tcW w:w="69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TT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TT hereto</w:t>
      </w:r>
    </w:p>
    <w:p>
      <w:pPr>
        <w:spacing w:after="0" w:line="332" w:lineRule="exact"/>
        <w:rPr>
          <w:sz w:val="20"/>
          <w:szCs w:val="20"/>
          <w:color w:val="auto"/>
        </w:rPr>
      </w:pPr>
    </w:p>
    <w:p>
      <w:pPr>
        <w:ind w:left="5580"/>
        <w:spacing w:after="0"/>
        <w:tabs>
          <w:tab w:leader="none" w:pos="76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7"/>
              </w:rPr>
              <w:t>/s/ Ronald Krall</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8"/>
              </w:rPr>
              <w:t>Ronald Krall</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88"/>
              </w:rPr>
              <w:t>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E. O’Connor</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89"/>
              </w:rPr>
              <w:t>James E. O’Connor</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93"/>
              </w:rPr>
              <w:t>Chairman of the Board and Chief Executive Officer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II-113</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UU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UU hereto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7"/>
              </w:rPr>
              <w:t>/s/ Ronald Krall</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8"/>
              </w:rPr>
              <w:t>Ronald Krall</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County Disposal (Ohio),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II-114</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VV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VV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Kevin Walbridge</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5"/>
              </w:rPr>
              <w:t>Kevin Walbridge</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Liberty Waste Services of Illinois,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II-115</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WW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WW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7"/>
              </w:rPr>
              <w:t>/s/ Jeff D. Andrews</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3"/>
              </w:rPr>
              <w:t>Jeff D. Andrews</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ECDC Holdings,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II-116</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XX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XX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Liberty Waste Services Limited,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II-117</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4" w:right="13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YY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YY hereto</w:t>
      </w:r>
    </w:p>
    <w:p>
      <w:pPr>
        <w:spacing w:after="0" w:line="175"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Frontier Waste Services, L.P.</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Pr>
          <w:p>
            <w:pPr>
              <w:spacing w:after="0"/>
              <w:rPr>
                <w:sz w:val="20"/>
                <w:szCs w:val="20"/>
                <w:color w:val="auto"/>
              </w:rPr>
            </w:pPr>
            <w:r>
              <w:rPr>
                <w:rFonts w:ascii="Arial" w:cs="Arial" w:eastAsia="Arial" w:hAnsi="Arial"/>
                <w:sz w:val="13"/>
                <w:szCs w:val="13"/>
                <w:color w:val="auto"/>
              </w:rPr>
              <w:t>Allied Waste Landfill Holdings, Inc., as General Partner</w:t>
            </w:r>
          </w:p>
        </w:tc>
        <w:tc>
          <w:tcPr>
            <w:tcW w:w="6360" w:type="dxa"/>
            <w:vAlign w:val="bottom"/>
          </w:tcPr>
          <w:p>
            <w:pPr>
              <w:spacing w:after="0"/>
              <w:rPr>
                <w:sz w:val="24"/>
                <w:szCs w:val="24"/>
                <w:color w:val="auto"/>
              </w:rPr>
            </w:pP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II-118</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ZZ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ZZ hereto</w:t>
      </w:r>
    </w:p>
    <w:p>
      <w:pPr>
        <w:spacing w:after="0" w:line="175"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7"/>
              </w:rPr>
              <w:t>/s/ Jeff D. Andrews</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3"/>
              </w:rPr>
              <w:t>Jeff D. Andrews</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Allied Waste Services of North America,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II-119</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AAA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Schedule AAA hereto</w:t>
      </w:r>
    </w:p>
    <w:p>
      <w:pPr>
        <w:spacing w:after="0" w:line="167"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American Disposal Services of Illinois,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II-120</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4" w:right="13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BBB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BBB hereto</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Kevin Walbridge</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5"/>
              </w:rPr>
              <w:t>Kevin Walbridge</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Liberty Waste Services Limited,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II-121</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4" w:right="13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CCC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CCC hereto</w:t>
      </w:r>
    </w:p>
    <w:p>
      <w:pPr>
        <w:spacing w:after="0" w:line="175"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Edward A. Lang, III</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7"/>
              </w:rPr>
              <w:t>Edward A. Lang, III</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89"/>
              </w:rPr>
              <w:t>Vice President — Finance and Treasurer</w:t>
            </w:r>
          </w:p>
        </w:tc>
      </w:tr>
    </w:tbl>
    <w:p>
      <w:pPr>
        <w:spacing w:after="0" w:line="81"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Kevin Walbridge</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7"/>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5"/>
              </w:rPr>
              <w:t>Kevin Walbridge</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89"/>
              </w:rPr>
              <w:t>Vice President — Finance and 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Allied Waste Systems,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9"/>
              </w:rPr>
              <w:t>Vice President — Finance and 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II-122</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4" w:right="13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DDD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Schedule DDD hereto</w:t>
      </w:r>
    </w:p>
    <w:p>
      <w:pPr>
        <w:spacing w:after="0" w:line="16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74"/>
              <w:spacing w:after="0"/>
              <w:rPr>
                <w:sz w:val="20"/>
                <w:szCs w:val="20"/>
                <w:color w:val="auto"/>
              </w:rPr>
            </w:pPr>
            <w:r>
              <w:rPr>
                <w:rFonts w:ascii="Arial" w:cs="Arial" w:eastAsia="Arial" w:hAnsi="Arial"/>
                <w:sz w:val="13"/>
                <w:szCs w:val="13"/>
                <w:color w:val="auto"/>
                <w:w w:val="90"/>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74"/>
              <w:spacing w:after="0"/>
              <w:rPr>
                <w:sz w:val="20"/>
                <w:szCs w:val="20"/>
                <w:color w:val="auto"/>
              </w:rPr>
            </w:pPr>
            <w:r>
              <w:rPr>
                <w:rFonts w:ascii="Arial" w:cs="Arial" w:eastAsia="Arial" w:hAnsi="Arial"/>
                <w:sz w:val="13"/>
                <w:szCs w:val="13"/>
                <w:color w:val="auto"/>
                <w:w w:val="88"/>
              </w:rPr>
              <w:t>Treasurer</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5"/>
              </w:rPr>
              <w:t>(principal financial officer and principal accounting officer)</w:t>
            </w:r>
          </w:p>
        </w:tc>
      </w:tr>
      <w:tr>
        <w:trPr>
          <w:trHeight w:val="306"/>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of Ohio Hauling, LLC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A. Lang, III</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88"/>
              </w:rPr>
              <w:t>Treasurer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II-123</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EEE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Schedule EEE hereto</w:t>
      </w:r>
    </w:p>
    <w:p>
      <w:pPr>
        <w:spacing w:after="0" w:line="16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2860"/>
        <w:spacing w:after="0"/>
        <w:tabs>
          <w:tab w:leader="none" w:pos="79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2"/>
              </w:rPr>
              <w:t>/s/ Donald W. Slager</w:t>
            </w:r>
          </w:p>
        </w:tc>
        <w:tc>
          <w:tcPr>
            <w:tcW w:w="6360" w:type="dxa"/>
            <w:vAlign w:val="bottom"/>
          </w:tcPr>
          <w:p>
            <w:pPr>
              <w:jc w:val="center"/>
              <w:ind w:right="474"/>
              <w:spacing w:after="0"/>
              <w:rPr>
                <w:sz w:val="20"/>
                <w:szCs w:val="20"/>
                <w:color w:val="auto"/>
              </w:rPr>
            </w:pPr>
            <w:r>
              <w:rPr>
                <w:rFonts w:ascii="Arial" w:cs="Arial" w:eastAsia="Arial" w:hAnsi="Arial"/>
                <w:sz w:val="13"/>
                <w:szCs w:val="13"/>
                <w:color w:val="auto"/>
                <w:w w:val="90"/>
              </w:rPr>
              <w:t>President</w:t>
            </w:r>
          </w:p>
        </w:tc>
      </w:tr>
      <w:tr>
        <w:trPr>
          <w:trHeight w:val="156"/>
        </w:trPr>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Pr>
          <w:p>
            <w:pPr>
              <w:jc w:val="center"/>
              <w:ind w:right="854"/>
              <w:spacing w:after="0"/>
              <w:rPr>
                <w:sz w:val="20"/>
                <w:szCs w:val="20"/>
                <w:color w:val="auto"/>
              </w:rPr>
            </w:pPr>
            <w:r>
              <w:rPr>
                <w:rFonts w:ascii="Arial" w:cs="Arial" w:eastAsia="Arial" w:hAnsi="Arial"/>
                <w:sz w:val="13"/>
                <w:szCs w:val="13"/>
                <w:color w:val="auto"/>
                <w:w w:val="92"/>
              </w:rPr>
              <w:t>Donald W. Slager</w:t>
            </w:r>
          </w:p>
        </w:tc>
        <w:tc>
          <w:tcPr>
            <w:tcW w:w="636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854"/>
              <w:spacing w:after="0"/>
              <w:rPr>
                <w:sz w:val="20"/>
                <w:szCs w:val="20"/>
                <w:color w:val="auto"/>
              </w:rPr>
            </w:pPr>
            <w:r>
              <w:rPr>
                <w:rFonts w:ascii="Arial" w:cs="Arial" w:eastAsia="Arial" w:hAnsi="Arial"/>
                <w:sz w:val="13"/>
                <w:szCs w:val="13"/>
                <w:color w:val="auto"/>
                <w:w w:val="98"/>
              </w:rPr>
              <w:t>/s/ Edward A. Lang, III</w:t>
            </w: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88"/>
              </w:rPr>
              <w:t>Treasurer</w:t>
            </w:r>
          </w:p>
        </w:tc>
      </w:tr>
      <w:tr>
        <w:trPr>
          <w:trHeight w:val="130"/>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jc w:val="center"/>
              <w:ind w:right="854"/>
              <w:spacing w:after="0" w:line="130" w:lineRule="exact"/>
              <w:rPr>
                <w:sz w:val="20"/>
                <w:szCs w:val="20"/>
                <w:color w:val="auto"/>
              </w:rPr>
            </w:pPr>
            <w:r>
              <w:rPr>
                <w:rFonts w:ascii="Arial" w:cs="Arial" w:eastAsia="Arial" w:hAnsi="Arial"/>
                <w:sz w:val="13"/>
                <w:szCs w:val="13"/>
                <w:color w:val="auto"/>
                <w:w w:val="95"/>
              </w:rPr>
              <w:t>Edward A. Lang, III</w:t>
            </w:r>
          </w:p>
        </w:tc>
        <w:tc>
          <w:tcPr>
            <w:tcW w:w="6360" w:type="dxa"/>
            <w:vAlign w:val="bottom"/>
          </w:tcPr>
          <w:p>
            <w:pPr>
              <w:jc w:val="center"/>
              <w:ind w:right="454"/>
              <w:spacing w:after="0" w:line="130" w:lineRule="exact"/>
              <w:rPr>
                <w:sz w:val="20"/>
                <w:szCs w:val="20"/>
                <w:color w:val="auto"/>
              </w:rPr>
            </w:pPr>
            <w:r>
              <w:rPr>
                <w:rFonts w:ascii="Arial" w:cs="Arial" w:eastAsia="Arial" w:hAnsi="Arial"/>
                <w:sz w:val="13"/>
                <w:szCs w:val="13"/>
                <w:color w:val="auto"/>
                <w:w w:val="95"/>
              </w:rPr>
              <w:t>(principal financial officer and</w:t>
            </w: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360" w:type="dxa"/>
            <w:vAlign w:val="bottom"/>
          </w:tcPr>
          <w:p>
            <w:pPr>
              <w:jc w:val="center"/>
              <w:ind w:right="434"/>
              <w:spacing w:after="0"/>
              <w:rPr>
                <w:sz w:val="20"/>
                <w:szCs w:val="20"/>
                <w:color w:val="auto"/>
              </w:rPr>
            </w:pPr>
            <w:r>
              <w:rPr>
                <w:rFonts w:ascii="Arial" w:cs="Arial" w:eastAsia="Arial" w:hAnsi="Arial"/>
                <w:sz w:val="13"/>
                <w:szCs w:val="13"/>
                <w:color w:val="auto"/>
                <w:w w:val="94"/>
              </w:rPr>
              <w:t>principal accounting officer)</w:t>
            </w:r>
          </w:p>
        </w:tc>
      </w:tr>
      <w:tr>
        <w:trPr>
          <w:trHeight w:val="315"/>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Inc.</w:t>
            </w:r>
          </w:p>
        </w:tc>
        <w:tc>
          <w:tcPr>
            <w:tcW w:w="6360" w:type="dxa"/>
            <w:vAlign w:val="bottom"/>
          </w:tcPr>
          <w:p>
            <w:pPr>
              <w:jc w:val="center"/>
              <w:ind w:right="454"/>
              <w:spacing w:after="0"/>
              <w:rPr>
                <w:sz w:val="20"/>
                <w:szCs w:val="20"/>
                <w:color w:val="auto"/>
              </w:rPr>
            </w:pPr>
            <w:r>
              <w:rPr>
                <w:rFonts w:ascii="Arial" w:cs="Arial" w:eastAsia="Arial" w:hAnsi="Arial"/>
                <w:sz w:val="13"/>
                <w:szCs w:val="13"/>
                <w:color w:val="auto"/>
                <w:w w:val="92"/>
              </w:rPr>
              <w:t>Managing Member</w:t>
            </w:r>
          </w:p>
        </w:tc>
      </w:tr>
      <w:tr>
        <w:trPr>
          <w:trHeight w:val="315"/>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E. O’Connor</w:t>
            </w:r>
          </w:p>
        </w:tc>
        <w:tc>
          <w:tcPr>
            <w:tcW w:w="6360" w:type="dxa"/>
            <w:vAlign w:val="bottom"/>
          </w:tcPr>
          <w:p>
            <w:pPr>
              <w:spacing w:after="0"/>
              <w:rPr>
                <w:sz w:val="24"/>
                <w:szCs w:val="24"/>
                <w:color w:val="auto"/>
              </w:rPr>
            </w:pPr>
          </w:p>
        </w:tc>
      </w:tr>
      <w:tr>
        <w:trPr>
          <w:trHeight w:val="140"/>
        </w:trPr>
        <w:tc>
          <w:tcPr>
            <w:tcW w:w="680" w:type="dxa"/>
            <w:vAlign w:val="bottom"/>
          </w:tcPr>
          <w:p>
            <w:pPr>
              <w:spacing w:after="0"/>
              <w:rPr>
                <w:sz w:val="12"/>
                <w:szCs w:val="12"/>
                <w:color w:val="auto"/>
              </w:rPr>
            </w:pPr>
          </w:p>
        </w:tc>
        <w:tc>
          <w:tcPr>
            <w:tcW w:w="9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3500" w:type="dxa"/>
            <w:vAlign w:val="bottom"/>
          </w:tcPr>
          <w:p>
            <w:pPr>
              <w:jc w:val="center"/>
              <w:spacing w:after="0" w:line="140" w:lineRule="exact"/>
              <w:rPr>
                <w:sz w:val="20"/>
                <w:szCs w:val="20"/>
                <w:color w:val="auto"/>
              </w:rPr>
            </w:pPr>
            <w:r>
              <w:rPr>
                <w:rFonts w:ascii="Arial" w:cs="Arial" w:eastAsia="Arial" w:hAnsi="Arial"/>
                <w:sz w:val="13"/>
                <w:szCs w:val="13"/>
                <w:color w:val="auto"/>
                <w:w w:val="89"/>
              </w:rPr>
              <w:t>James E. O’Connor</w:t>
            </w:r>
          </w:p>
        </w:tc>
        <w:tc>
          <w:tcPr>
            <w:tcW w:w="636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jc w:val="center"/>
              <w:spacing w:after="0"/>
              <w:rPr>
                <w:sz w:val="20"/>
                <w:szCs w:val="20"/>
                <w:color w:val="auto"/>
              </w:rPr>
            </w:pPr>
            <w:r>
              <w:rPr>
                <w:rFonts w:ascii="Arial" w:cs="Arial" w:eastAsia="Arial" w:hAnsi="Arial"/>
                <w:sz w:val="13"/>
                <w:szCs w:val="13"/>
                <w:color w:val="auto"/>
                <w:w w:val="93"/>
              </w:rPr>
              <w:t>Chairman of the Board and Chief Executive Officer</w:t>
            </w:r>
          </w:p>
        </w:tc>
        <w:tc>
          <w:tcPr>
            <w:tcW w:w="636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360" w:type="dxa"/>
            <w:vAlign w:val="bottom"/>
          </w:tcPr>
          <w:p>
            <w:pPr>
              <w:ind w:left="420"/>
              <w:spacing w:after="0"/>
              <w:rPr>
                <w:sz w:val="20"/>
                <w:szCs w:val="20"/>
                <w:color w:val="auto"/>
              </w:rPr>
            </w:pPr>
            <w:r>
              <w:rPr>
                <w:rFonts w:ascii="Arial" w:cs="Arial" w:eastAsia="Arial" w:hAnsi="Arial"/>
                <w:sz w:val="13"/>
                <w:szCs w:val="13"/>
                <w:color w:val="auto"/>
              </w:rPr>
              <w:t>II-124</w:t>
            </w: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FFF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Schedule FFF hereto</w:t>
      </w:r>
    </w:p>
    <w:p>
      <w:pPr>
        <w:spacing w:after="0" w:line="16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60" w:type="dxa"/>
            <w:vAlign w:val="bottom"/>
          </w:tcPr>
          <w:p>
            <w:pPr>
              <w:ind w:left="17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1800" w:type="dxa"/>
            <w:vAlign w:val="bottom"/>
          </w:tcPr>
          <w:p>
            <w:pPr>
              <w:spacing w:after="0"/>
              <w:rPr>
                <w:sz w:val="11"/>
                <w:szCs w:val="11"/>
                <w:color w:val="auto"/>
              </w:rPr>
            </w:pPr>
          </w:p>
        </w:tc>
        <w:tc>
          <w:tcPr>
            <w:tcW w:w="4980" w:type="dxa"/>
            <w:vAlign w:val="bottom"/>
          </w:tcPr>
          <w:p>
            <w:pPr>
              <w:ind w:left="26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800" w:type="dxa"/>
            <w:vAlign w:val="bottom"/>
          </w:tcPr>
          <w:p>
            <w:pPr>
              <w:spacing w:after="0"/>
              <w:rPr>
                <w:sz w:val="11"/>
                <w:szCs w:val="11"/>
                <w:color w:val="auto"/>
              </w:rPr>
            </w:pPr>
          </w:p>
        </w:tc>
      </w:tr>
      <w:tr>
        <w:trPr>
          <w:trHeight w:val="480"/>
        </w:trPr>
        <w:tc>
          <w:tcPr>
            <w:tcW w:w="6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center"/>
              <w:ind w:left="996"/>
              <w:spacing w:after="0"/>
              <w:rPr>
                <w:sz w:val="20"/>
                <w:szCs w:val="20"/>
                <w:color w:val="auto"/>
              </w:rPr>
            </w:pPr>
            <w:r>
              <w:rPr>
                <w:rFonts w:ascii="Arial" w:cs="Arial" w:eastAsia="Arial" w:hAnsi="Arial"/>
                <w:sz w:val="13"/>
                <w:szCs w:val="13"/>
                <w:color w:val="auto"/>
                <w:w w:val="95"/>
              </w:rPr>
              <w:t>/s/ Jeff D. Andrews</w:t>
            </w:r>
          </w:p>
        </w:tc>
        <w:tc>
          <w:tcPr>
            <w:tcW w:w="1800" w:type="dxa"/>
            <w:vAlign w:val="bottom"/>
            <w:tcBorders>
              <w:bottom w:val="single" w:sz="8" w:color="auto"/>
            </w:tcBorders>
          </w:tcPr>
          <w:p>
            <w:pPr>
              <w:spacing w:after="0"/>
              <w:rPr>
                <w:sz w:val="24"/>
                <w:szCs w:val="24"/>
                <w:color w:val="auto"/>
              </w:rPr>
            </w:pPr>
          </w:p>
        </w:tc>
        <w:tc>
          <w:tcPr>
            <w:tcW w:w="4980" w:type="dxa"/>
            <w:vAlign w:val="bottom"/>
          </w:tcPr>
          <w:p>
            <w:pPr>
              <w:jc w:val="center"/>
              <w:ind w:left="197"/>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60" w:type="dxa"/>
            <w:vAlign w:val="bottom"/>
          </w:tcPr>
          <w:p>
            <w:pPr>
              <w:jc w:val="center"/>
              <w:ind w:left="1016"/>
              <w:spacing w:after="0"/>
              <w:rPr>
                <w:sz w:val="20"/>
                <w:szCs w:val="20"/>
                <w:color w:val="auto"/>
              </w:rPr>
            </w:pPr>
            <w:r>
              <w:rPr>
                <w:rFonts w:ascii="Arial" w:cs="Arial" w:eastAsia="Arial" w:hAnsi="Arial"/>
                <w:sz w:val="13"/>
                <w:szCs w:val="13"/>
                <w:color w:val="auto"/>
                <w:w w:val="93"/>
              </w:rPr>
              <w:t>Jeff D. Andrews</w:t>
            </w:r>
          </w:p>
        </w:tc>
        <w:tc>
          <w:tcPr>
            <w:tcW w:w="180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5"/>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center"/>
              <w:ind w:left="1016"/>
              <w:spacing w:after="0"/>
              <w:rPr>
                <w:sz w:val="20"/>
                <w:szCs w:val="20"/>
                <w:color w:val="auto"/>
              </w:rPr>
            </w:pPr>
            <w:r>
              <w:rPr>
                <w:rFonts w:ascii="Arial" w:cs="Arial" w:eastAsia="Arial" w:hAnsi="Arial"/>
                <w:sz w:val="13"/>
                <w:szCs w:val="13"/>
                <w:color w:val="auto"/>
                <w:w w:val="98"/>
              </w:rPr>
              <w:t>/s/ Edward A. Lang, III</w:t>
            </w:r>
          </w:p>
        </w:tc>
        <w:tc>
          <w:tcPr>
            <w:tcW w:w="1800" w:type="dxa"/>
            <w:vAlign w:val="bottom"/>
            <w:tcBorders>
              <w:bottom w:val="single" w:sz="8" w:color="auto"/>
            </w:tcBorders>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85"/>
              </w:rPr>
              <w:t>Treasurer</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60" w:type="dxa"/>
            <w:vAlign w:val="bottom"/>
          </w:tcPr>
          <w:p>
            <w:pPr>
              <w:jc w:val="center"/>
              <w:ind w:left="1016"/>
              <w:spacing w:after="0"/>
              <w:rPr>
                <w:sz w:val="20"/>
                <w:szCs w:val="20"/>
                <w:color w:val="auto"/>
              </w:rPr>
            </w:pPr>
            <w:r>
              <w:rPr>
                <w:rFonts w:ascii="Arial" w:cs="Arial" w:eastAsia="Arial" w:hAnsi="Arial"/>
                <w:sz w:val="13"/>
                <w:szCs w:val="13"/>
                <w:color w:val="auto"/>
                <w:w w:val="95"/>
              </w:rPr>
              <w:t>Edward A. Lang, III</w:t>
            </w:r>
          </w:p>
        </w:tc>
        <w:tc>
          <w:tcPr>
            <w:tcW w:w="180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800" w:type="dxa"/>
            <w:vAlign w:val="bottom"/>
          </w:tcPr>
          <w:p>
            <w:pPr>
              <w:spacing w:after="0"/>
              <w:rPr>
                <w:sz w:val="13"/>
                <w:szCs w:val="13"/>
                <w:color w:val="auto"/>
              </w:rPr>
            </w:pPr>
          </w:p>
        </w:tc>
      </w:tr>
      <w:tr>
        <w:trPr>
          <w:trHeight w:val="316"/>
        </w:trPr>
        <w:tc>
          <w:tcPr>
            <w:tcW w:w="68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Holding Company, Inc.</w:t>
            </w:r>
          </w:p>
        </w:tc>
        <w:tc>
          <w:tcPr>
            <w:tcW w:w="6780" w:type="dxa"/>
            <w:vAlign w:val="bottom"/>
            <w:gridSpan w:val="2"/>
          </w:tcPr>
          <w:p>
            <w:pPr>
              <w:ind w:left="80"/>
              <w:spacing w:after="0"/>
              <w:rPr>
                <w:sz w:val="20"/>
                <w:szCs w:val="20"/>
                <w:color w:val="auto"/>
              </w:rPr>
            </w:pPr>
            <w:r>
              <w:rPr>
                <w:rFonts w:ascii="Arial" w:cs="Arial" w:eastAsia="Arial" w:hAnsi="Arial"/>
                <w:sz w:val="13"/>
                <w:szCs w:val="13"/>
                <w:color w:val="auto"/>
              </w:rPr>
              <w:t>Managing Member</w:t>
            </w:r>
          </w:p>
        </w:tc>
        <w:tc>
          <w:tcPr>
            <w:tcW w:w="800" w:type="dxa"/>
            <w:vAlign w:val="bottom"/>
          </w:tcPr>
          <w:p>
            <w:pPr>
              <w:spacing w:after="0"/>
              <w:rPr>
                <w:sz w:val="24"/>
                <w:szCs w:val="24"/>
                <w:color w:val="auto"/>
              </w:rPr>
            </w:pPr>
          </w:p>
        </w:tc>
      </w:tr>
      <w:tr>
        <w:trPr>
          <w:trHeight w:val="325"/>
        </w:trPr>
        <w:tc>
          <w:tcPr>
            <w:tcW w:w="680" w:type="dxa"/>
            <w:vAlign w:val="bottom"/>
          </w:tcPr>
          <w:p>
            <w:pPr>
              <w:spacing w:after="0"/>
              <w:rPr>
                <w:sz w:val="24"/>
                <w:szCs w:val="24"/>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By:  /s/ Edward A. Lang, III</w:t>
            </w:r>
          </w:p>
        </w:tc>
        <w:tc>
          <w:tcPr>
            <w:tcW w:w="18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740" w:type="dxa"/>
            <w:vAlign w:val="bottom"/>
          </w:tcPr>
          <w:p>
            <w:pPr>
              <w:ind w:left="300"/>
              <w:spacing w:after="0" w:line="139" w:lineRule="exact"/>
              <w:rPr>
                <w:sz w:val="20"/>
                <w:szCs w:val="20"/>
                <w:color w:val="auto"/>
              </w:rPr>
            </w:pPr>
            <w:r>
              <w:rPr>
                <w:rFonts w:ascii="Arial" w:cs="Arial" w:eastAsia="Arial" w:hAnsi="Arial"/>
                <w:sz w:val="13"/>
                <w:szCs w:val="13"/>
                <w:color w:val="auto"/>
              </w:rPr>
              <w:t>Name:</w:t>
            </w:r>
          </w:p>
        </w:tc>
        <w:tc>
          <w:tcPr>
            <w:tcW w:w="2460" w:type="dxa"/>
            <w:vAlign w:val="bottom"/>
          </w:tcPr>
          <w:p>
            <w:pPr>
              <w:ind w:left="80"/>
              <w:spacing w:after="0" w:line="139" w:lineRule="exact"/>
              <w:rPr>
                <w:sz w:val="20"/>
                <w:szCs w:val="20"/>
                <w:color w:val="auto"/>
              </w:rPr>
            </w:pPr>
            <w:r>
              <w:rPr>
                <w:rFonts w:ascii="Arial" w:cs="Arial" w:eastAsia="Arial" w:hAnsi="Arial"/>
                <w:sz w:val="13"/>
                <w:szCs w:val="13"/>
                <w:color w:val="auto"/>
              </w:rPr>
              <w:t>Edward A. Lang, III</w:t>
            </w:r>
          </w:p>
        </w:tc>
        <w:tc>
          <w:tcPr>
            <w:tcW w:w="18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Title:</w:t>
            </w:r>
          </w:p>
        </w:tc>
        <w:tc>
          <w:tcPr>
            <w:tcW w:w="2460" w:type="dxa"/>
            <w:vAlign w:val="bottom"/>
          </w:tcPr>
          <w:p>
            <w:pPr>
              <w:ind w:left="260"/>
              <w:spacing w:after="0"/>
              <w:rPr>
                <w:sz w:val="20"/>
                <w:szCs w:val="20"/>
                <w:color w:val="auto"/>
              </w:rPr>
            </w:pPr>
            <w:r>
              <w:rPr>
                <w:rFonts w:ascii="Arial" w:cs="Arial" w:eastAsia="Arial" w:hAnsi="Arial"/>
                <w:sz w:val="13"/>
                <w:szCs w:val="13"/>
                <w:color w:val="auto"/>
              </w:rPr>
              <w:t>Treasurer</w:t>
            </w:r>
          </w:p>
        </w:tc>
        <w:tc>
          <w:tcPr>
            <w:tcW w:w="18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780" w:type="dxa"/>
            <w:vAlign w:val="bottom"/>
            <w:gridSpan w:val="2"/>
          </w:tcPr>
          <w:p>
            <w:pPr>
              <w:ind w:left="1640"/>
              <w:spacing w:after="0"/>
              <w:rPr>
                <w:sz w:val="20"/>
                <w:szCs w:val="20"/>
                <w:color w:val="auto"/>
              </w:rPr>
            </w:pPr>
            <w:r>
              <w:rPr>
                <w:rFonts w:ascii="Arial" w:cs="Arial" w:eastAsia="Arial" w:hAnsi="Arial"/>
                <w:sz w:val="13"/>
                <w:szCs w:val="13"/>
                <w:color w:val="auto"/>
              </w:rPr>
              <w:t>II-125</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180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GGG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Schedule GGG hereto</w:t>
      </w:r>
    </w:p>
    <w:p>
      <w:pPr>
        <w:spacing w:after="0" w:line="16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3160"/>
        <w:spacing w:after="0"/>
        <w:tabs>
          <w:tab w:leader="none" w:pos="82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jc w:val="center"/>
              <w:ind w:left="1074"/>
              <w:spacing w:after="0"/>
              <w:rPr>
                <w:sz w:val="20"/>
                <w:szCs w:val="20"/>
                <w:color w:val="auto"/>
              </w:rPr>
            </w:pPr>
            <w:r>
              <w:rPr>
                <w:rFonts w:ascii="Arial" w:cs="Arial" w:eastAsia="Arial" w:hAnsi="Arial"/>
                <w:sz w:val="13"/>
                <w:szCs w:val="13"/>
                <w:color w:val="auto"/>
                <w:w w:val="95"/>
              </w:rPr>
              <w:t>/s/ Jeff D. Andrews</w:t>
            </w:r>
          </w:p>
        </w:tc>
        <w:tc>
          <w:tcPr>
            <w:tcW w:w="1600" w:type="dxa"/>
            <w:vAlign w:val="bottom"/>
            <w:tcBorders>
              <w:bottom w:val="single" w:sz="8" w:color="auto"/>
            </w:tcBorders>
          </w:tcPr>
          <w:p>
            <w:pPr>
              <w:spacing w:after="0"/>
              <w:rPr>
                <w:sz w:val="14"/>
                <w:szCs w:val="14"/>
                <w:color w:val="auto"/>
              </w:rPr>
            </w:pPr>
          </w:p>
        </w:tc>
        <w:tc>
          <w:tcPr>
            <w:tcW w:w="4980" w:type="dxa"/>
            <w:vAlign w:val="bottom"/>
          </w:tcPr>
          <w:p>
            <w:pPr>
              <w:jc w:val="center"/>
              <w:ind w:left="194"/>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14"/>
                <w:szCs w:val="1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940" w:type="dxa"/>
            <w:vAlign w:val="bottom"/>
          </w:tcPr>
          <w:p>
            <w:pPr>
              <w:jc w:val="center"/>
              <w:ind w:left="1094"/>
              <w:spacing w:after="0"/>
              <w:rPr>
                <w:sz w:val="20"/>
                <w:szCs w:val="20"/>
                <w:color w:val="auto"/>
              </w:rPr>
            </w:pPr>
            <w:r>
              <w:rPr>
                <w:rFonts w:ascii="Arial" w:cs="Arial" w:eastAsia="Arial" w:hAnsi="Arial"/>
                <w:sz w:val="13"/>
                <w:szCs w:val="13"/>
                <w:color w:val="auto"/>
                <w:w w:val="93"/>
              </w:rPr>
              <w:t>Jeff D. Andrews</w:t>
            </w:r>
          </w:p>
        </w:tc>
        <w:tc>
          <w:tcPr>
            <w:tcW w:w="1600" w:type="dxa"/>
            <w:vAlign w:val="bottom"/>
          </w:tcPr>
          <w:p>
            <w:pPr>
              <w:spacing w:after="0"/>
              <w:rPr>
                <w:sz w:val="13"/>
                <w:szCs w:val="13"/>
                <w:color w:val="auto"/>
              </w:rPr>
            </w:pPr>
          </w:p>
        </w:tc>
        <w:tc>
          <w:tcPr>
            <w:tcW w:w="4980" w:type="dxa"/>
            <w:vAlign w:val="bottom"/>
          </w:tcPr>
          <w:p>
            <w:pPr>
              <w:jc w:val="center"/>
              <w:ind w:left="234"/>
              <w:spacing w:after="0" w:line="145" w:lineRule="exact"/>
              <w:rPr>
                <w:sz w:val="20"/>
                <w:szCs w:val="20"/>
                <w:color w:val="auto"/>
              </w:rPr>
            </w:pPr>
            <w:r>
              <w:rPr>
                <w:rFonts w:ascii="Arial" w:cs="Arial" w:eastAsia="Arial" w:hAnsi="Arial"/>
                <w:sz w:val="13"/>
                <w:szCs w:val="13"/>
                <w:color w:val="auto"/>
                <w:w w:val="95"/>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left="1094"/>
              <w:spacing w:after="0"/>
              <w:rPr>
                <w:sz w:val="20"/>
                <w:szCs w:val="20"/>
                <w:color w:val="auto"/>
              </w:rPr>
            </w:pPr>
            <w:r>
              <w:rPr>
                <w:rFonts w:ascii="Arial" w:cs="Arial" w:eastAsia="Arial" w:hAnsi="Arial"/>
                <w:sz w:val="13"/>
                <w:szCs w:val="13"/>
                <w:color w:val="auto"/>
                <w:w w:val="98"/>
              </w:rPr>
              <w:t>/s/ Edward A. Lang, III</w:t>
            </w:r>
          </w:p>
        </w:tc>
        <w:tc>
          <w:tcPr>
            <w:tcW w:w="1600" w:type="dxa"/>
            <w:vAlign w:val="bottom"/>
            <w:tcBorders>
              <w:bottom w:val="single" w:sz="8" w:color="auto"/>
            </w:tcBorders>
          </w:tcPr>
          <w:p>
            <w:pPr>
              <w:spacing w:after="0"/>
              <w:rPr>
                <w:sz w:val="24"/>
                <w:szCs w:val="24"/>
                <w:color w:val="auto"/>
              </w:rPr>
            </w:pPr>
          </w:p>
        </w:tc>
        <w:tc>
          <w:tcPr>
            <w:tcW w:w="4980" w:type="dxa"/>
            <w:vAlign w:val="bottom"/>
          </w:tcPr>
          <w:p>
            <w:pPr>
              <w:jc w:val="center"/>
              <w:ind w:left="234"/>
              <w:spacing w:after="0"/>
              <w:rPr>
                <w:sz w:val="20"/>
                <w:szCs w:val="20"/>
                <w:color w:val="auto"/>
              </w:rPr>
            </w:pPr>
            <w:r>
              <w:rPr>
                <w:rFonts w:ascii="Arial" w:cs="Arial" w:eastAsia="Arial" w:hAnsi="Arial"/>
                <w:sz w:val="13"/>
                <w:szCs w:val="13"/>
                <w:color w:val="auto"/>
                <w:w w:val="85"/>
              </w:rPr>
              <w:t>Treasurer</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940" w:type="dxa"/>
            <w:vAlign w:val="bottom"/>
          </w:tcPr>
          <w:p>
            <w:pPr>
              <w:jc w:val="center"/>
              <w:ind w:left="1094"/>
              <w:spacing w:after="0"/>
              <w:rPr>
                <w:sz w:val="20"/>
                <w:szCs w:val="20"/>
                <w:color w:val="auto"/>
              </w:rPr>
            </w:pPr>
            <w:r>
              <w:rPr>
                <w:rFonts w:ascii="Arial" w:cs="Arial" w:eastAsia="Arial" w:hAnsi="Arial"/>
                <w:sz w:val="13"/>
                <w:szCs w:val="13"/>
                <w:color w:val="auto"/>
                <w:w w:val="95"/>
              </w:rPr>
              <w:t>Edward A. Lang, III</w:t>
            </w:r>
          </w:p>
        </w:tc>
        <w:tc>
          <w:tcPr>
            <w:tcW w:w="1600" w:type="dxa"/>
            <w:vAlign w:val="bottom"/>
          </w:tcPr>
          <w:p>
            <w:pPr>
              <w:spacing w:after="0"/>
              <w:rPr>
                <w:sz w:val="13"/>
                <w:szCs w:val="13"/>
                <w:color w:val="auto"/>
              </w:rPr>
            </w:pPr>
          </w:p>
        </w:tc>
        <w:tc>
          <w:tcPr>
            <w:tcW w:w="4980" w:type="dxa"/>
            <w:vAlign w:val="bottom"/>
          </w:tcPr>
          <w:p>
            <w:pPr>
              <w:jc w:val="center"/>
              <w:ind w:left="234"/>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800" w:type="dxa"/>
            <w:vAlign w:val="bottom"/>
          </w:tcPr>
          <w:p>
            <w:pPr>
              <w:spacing w:after="0"/>
              <w:rPr>
                <w:sz w:val="13"/>
                <w:szCs w:val="13"/>
                <w:color w:val="auto"/>
              </w:rPr>
            </w:pPr>
          </w:p>
        </w:tc>
      </w:tr>
      <w:tr>
        <w:trPr>
          <w:trHeight w:val="304"/>
        </w:trPr>
        <w:tc>
          <w:tcPr>
            <w:tcW w:w="68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of California Holding Company,</w:t>
            </w:r>
          </w:p>
        </w:tc>
        <w:tc>
          <w:tcPr>
            <w:tcW w:w="6580" w:type="dxa"/>
            <w:vAlign w:val="bottom"/>
            <w:gridSpan w:val="2"/>
          </w:tcPr>
          <w:p>
            <w:pPr>
              <w:ind w:left="260"/>
              <w:spacing w:after="0"/>
              <w:rPr>
                <w:sz w:val="20"/>
                <w:szCs w:val="20"/>
                <w:color w:val="auto"/>
              </w:rPr>
            </w:pPr>
            <w:r>
              <w:rPr>
                <w:rFonts w:ascii="Arial" w:cs="Arial" w:eastAsia="Arial" w:hAnsi="Arial"/>
                <w:sz w:val="13"/>
                <w:szCs w:val="13"/>
                <w:color w:val="auto"/>
              </w:rPr>
              <w:t>Managing Member</w:t>
            </w:r>
          </w:p>
        </w:tc>
        <w:tc>
          <w:tcPr>
            <w:tcW w:w="800" w:type="dxa"/>
            <w:vAlign w:val="bottom"/>
          </w:tcPr>
          <w:p>
            <w:pPr>
              <w:spacing w:after="0"/>
              <w:rPr>
                <w:sz w:val="24"/>
                <w:szCs w:val="24"/>
                <w:color w:val="auto"/>
              </w:rPr>
            </w:pPr>
          </w:p>
        </w:tc>
      </w:tr>
      <w:tr>
        <w:trPr>
          <w:trHeight w:val="169"/>
        </w:trPr>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b w:val="1"/>
                <w:bCs w:val="1"/>
                <w:color w:val="auto"/>
              </w:rPr>
              <w:t>Inc.</w:t>
            </w:r>
          </w:p>
        </w:tc>
        <w:tc>
          <w:tcPr>
            <w:tcW w:w="2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25"/>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/s/</w:t>
            </w:r>
          </w:p>
        </w:tc>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Edward A. Lang, III</w:t>
            </w:r>
          </w:p>
        </w:tc>
        <w:tc>
          <w:tcPr>
            <w:tcW w:w="16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6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2940" w:type="dxa"/>
            <w:vAlign w:val="bottom"/>
          </w:tcPr>
          <w:p>
            <w:pPr>
              <w:ind w:left="60"/>
              <w:spacing w:after="0" w:line="139" w:lineRule="exact"/>
              <w:rPr>
                <w:sz w:val="20"/>
                <w:szCs w:val="20"/>
                <w:color w:val="auto"/>
              </w:rPr>
            </w:pPr>
            <w:r>
              <w:rPr>
                <w:rFonts w:ascii="Arial" w:cs="Arial" w:eastAsia="Arial" w:hAnsi="Arial"/>
                <w:sz w:val="13"/>
                <w:szCs w:val="13"/>
                <w:color w:val="auto"/>
              </w:rPr>
              <w:t>Edward A. Lang, III</w:t>
            </w:r>
          </w:p>
        </w:tc>
        <w:tc>
          <w:tcPr>
            <w:tcW w:w="16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2940" w:type="dxa"/>
            <w:vAlign w:val="bottom"/>
          </w:tcPr>
          <w:p>
            <w:pPr>
              <w:ind w:left="260"/>
              <w:spacing w:after="0"/>
              <w:rPr>
                <w:sz w:val="20"/>
                <w:szCs w:val="20"/>
                <w:color w:val="auto"/>
              </w:rPr>
            </w:pPr>
            <w:r>
              <w:rPr>
                <w:rFonts w:ascii="Arial" w:cs="Arial" w:eastAsia="Arial" w:hAnsi="Arial"/>
                <w:sz w:val="13"/>
                <w:szCs w:val="13"/>
                <w:color w:val="auto"/>
              </w:rPr>
              <w:t>Treasurer</w:t>
            </w:r>
          </w:p>
        </w:tc>
        <w:tc>
          <w:tcPr>
            <w:tcW w:w="16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580" w:type="dxa"/>
            <w:vAlign w:val="bottom"/>
            <w:gridSpan w:val="2"/>
          </w:tcPr>
          <w:p>
            <w:pPr>
              <w:ind w:left="1440"/>
              <w:spacing w:after="0"/>
              <w:rPr>
                <w:sz w:val="20"/>
                <w:szCs w:val="20"/>
                <w:color w:val="auto"/>
              </w:rPr>
            </w:pPr>
            <w:r>
              <w:rPr>
                <w:rFonts w:ascii="Arial" w:cs="Arial" w:eastAsia="Arial" w:hAnsi="Arial"/>
                <w:sz w:val="13"/>
                <w:szCs w:val="13"/>
                <w:color w:val="auto"/>
              </w:rPr>
              <w:t>II-126</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HHH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Schedule HHH hereto</w:t>
      </w:r>
    </w:p>
    <w:p>
      <w:pPr>
        <w:spacing w:after="0" w:line="16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340" w:type="dxa"/>
            <w:vAlign w:val="bottom"/>
          </w:tcPr>
          <w:p>
            <w:pPr>
              <w:ind w:left="42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1600" w:type="dxa"/>
            <w:vAlign w:val="bottom"/>
          </w:tcPr>
          <w:p>
            <w:pPr>
              <w:spacing w:after="0"/>
              <w:rPr>
                <w:sz w:val="11"/>
                <w:szCs w:val="11"/>
                <w:color w:val="auto"/>
              </w:rPr>
            </w:pPr>
          </w:p>
        </w:tc>
        <w:tc>
          <w:tcPr>
            <w:tcW w:w="4980" w:type="dxa"/>
            <w:vAlign w:val="bottom"/>
          </w:tcPr>
          <w:p>
            <w:pPr>
              <w:ind w:left="26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800" w:type="dxa"/>
            <w:vAlign w:val="bottom"/>
          </w:tcPr>
          <w:p>
            <w:pPr>
              <w:spacing w:after="0"/>
              <w:rPr>
                <w:sz w:val="11"/>
                <w:szCs w:val="11"/>
                <w:color w:val="auto"/>
              </w:rPr>
            </w:pPr>
          </w:p>
        </w:tc>
      </w:tr>
      <w:tr>
        <w:trPr>
          <w:trHeight w:val="480"/>
        </w:trPr>
        <w:tc>
          <w:tcPr>
            <w:tcW w:w="6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1480"/>
              <w:spacing w:after="0"/>
              <w:rPr>
                <w:sz w:val="20"/>
                <w:szCs w:val="20"/>
                <w:color w:val="auto"/>
              </w:rPr>
            </w:pPr>
            <w:r>
              <w:rPr>
                <w:rFonts w:ascii="Arial" w:cs="Arial" w:eastAsia="Arial" w:hAnsi="Arial"/>
                <w:sz w:val="13"/>
                <w:szCs w:val="13"/>
                <w:color w:val="auto"/>
                <w:w w:val="87"/>
              </w:rPr>
              <w:t>/s/</w:t>
            </w:r>
          </w:p>
        </w:tc>
        <w:tc>
          <w:tcPr>
            <w:tcW w:w="1340" w:type="dxa"/>
            <w:vAlign w:val="bottom"/>
            <w:tcBorders>
              <w:bottom w:val="single" w:sz="8" w:color="auto"/>
            </w:tcBorders>
          </w:tcPr>
          <w:p>
            <w:pPr>
              <w:jc w:val="center"/>
              <w:ind w:right="199"/>
              <w:spacing w:after="0"/>
              <w:rPr>
                <w:sz w:val="20"/>
                <w:szCs w:val="20"/>
                <w:color w:val="auto"/>
              </w:rPr>
            </w:pPr>
            <w:r>
              <w:rPr>
                <w:rFonts w:ascii="Arial" w:cs="Arial" w:eastAsia="Arial" w:hAnsi="Arial"/>
                <w:sz w:val="13"/>
                <w:szCs w:val="13"/>
                <w:color w:val="auto"/>
                <w:w w:val="89"/>
              </w:rPr>
              <w:t>Christopher Synek</w:t>
            </w:r>
          </w:p>
        </w:tc>
        <w:tc>
          <w:tcPr>
            <w:tcW w:w="1600" w:type="dxa"/>
            <w:vAlign w:val="bottom"/>
            <w:tcBorders>
              <w:bottom w:val="single" w:sz="8" w:color="auto"/>
            </w:tcBorders>
          </w:tcPr>
          <w:p>
            <w:pPr>
              <w:spacing w:after="0"/>
              <w:rPr>
                <w:sz w:val="24"/>
                <w:szCs w:val="24"/>
                <w:color w:val="auto"/>
              </w:rPr>
            </w:pPr>
          </w:p>
        </w:tc>
        <w:tc>
          <w:tcPr>
            <w:tcW w:w="4980" w:type="dxa"/>
            <w:vAlign w:val="bottom"/>
          </w:tcPr>
          <w:p>
            <w:pPr>
              <w:jc w:val="center"/>
              <w:ind w:left="197"/>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60" w:type="dxa"/>
            <w:vAlign w:val="bottom"/>
            <w:gridSpan w:val="2"/>
          </w:tcPr>
          <w:p>
            <w:pPr>
              <w:jc w:val="center"/>
              <w:ind w:left="1114"/>
              <w:spacing w:after="0"/>
              <w:rPr>
                <w:sz w:val="20"/>
                <w:szCs w:val="20"/>
                <w:color w:val="auto"/>
              </w:rPr>
            </w:pPr>
            <w:r>
              <w:rPr>
                <w:rFonts w:ascii="Arial" w:cs="Arial" w:eastAsia="Arial" w:hAnsi="Arial"/>
                <w:sz w:val="13"/>
                <w:szCs w:val="13"/>
                <w:color w:val="auto"/>
                <w:w w:val="91"/>
              </w:rPr>
              <w:t>Christopher Synek</w:t>
            </w:r>
          </w:p>
        </w:tc>
        <w:tc>
          <w:tcPr>
            <w:tcW w:w="160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5"/>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1440"/>
              <w:spacing w:after="0"/>
              <w:rPr>
                <w:sz w:val="20"/>
                <w:szCs w:val="20"/>
                <w:color w:val="auto"/>
              </w:rPr>
            </w:pPr>
            <w:r>
              <w:rPr>
                <w:rFonts w:ascii="Arial" w:cs="Arial" w:eastAsia="Arial" w:hAnsi="Arial"/>
                <w:sz w:val="13"/>
                <w:szCs w:val="13"/>
                <w:color w:val="auto"/>
              </w:rPr>
              <w:t>/s/</w:t>
            </w:r>
          </w:p>
        </w:tc>
        <w:tc>
          <w:tcPr>
            <w:tcW w:w="1340" w:type="dxa"/>
            <w:vAlign w:val="bottom"/>
            <w:tcBorders>
              <w:bottom w:val="single" w:sz="8" w:color="auto"/>
            </w:tcBorders>
          </w:tcPr>
          <w:p>
            <w:pPr>
              <w:jc w:val="center"/>
              <w:ind w:right="199"/>
              <w:spacing w:after="0"/>
              <w:rPr>
                <w:sz w:val="20"/>
                <w:szCs w:val="20"/>
                <w:color w:val="auto"/>
              </w:rPr>
            </w:pPr>
            <w:r>
              <w:rPr>
                <w:rFonts w:ascii="Arial" w:cs="Arial" w:eastAsia="Arial" w:hAnsi="Arial"/>
                <w:sz w:val="13"/>
                <w:szCs w:val="13"/>
                <w:color w:val="auto"/>
                <w:w w:val="97"/>
              </w:rPr>
              <w:t>Edward A. Lang, III</w:t>
            </w:r>
          </w:p>
        </w:tc>
        <w:tc>
          <w:tcPr>
            <w:tcW w:w="1600" w:type="dxa"/>
            <w:vAlign w:val="bottom"/>
            <w:tcBorders>
              <w:bottom w:val="single" w:sz="8" w:color="auto"/>
            </w:tcBorders>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85"/>
              </w:rPr>
              <w:t>Treasurer</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60" w:type="dxa"/>
            <w:vAlign w:val="bottom"/>
            <w:gridSpan w:val="2"/>
          </w:tcPr>
          <w:p>
            <w:pPr>
              <w:jc w:val="center"/>
              <w:ind w:left="1114"/>
              <w:spacing w:after="0"/>
              <w:rPr>
                <w:sz w:val="20"/>
                <w:szCs w:val="20"/>
                <w:color w:val="auto"/>
              </w:rPr>
            </w:pPr>
            <w:r>
              <w:rPr>
                <w:rFonts w:ascii="Arial" w:cs="Arial" w:eastAsia="Arial" w:hAnsi="Arial"/>
                <w:sz w:val="13"/>
                <w:szCs w:val="13"/>
                <w:color w:val="auto"/>
                <w:w w:val="95"/>
              </w:rPr>
              <w:t>Edward A. Lang, III</w:t>
            </w:r>
          </w:p>
        </w:tc>
        <w:tc>
          <w:tcPr>
            <w:tcW w:w="160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800" w:type="dxa"/>
            <w:vAlign w:val="bottom"/>
          </w:tcPr>
          <w:p>
            <w:pPr>
              <w:spacing w:after="0"/>
              <w:rPr>
                <w:sz w:val="13"/>
                <w:szCs w:val="13"/>
                <w:color w:val="auto"/>
              </w:rPr>
            </w:pPr>
          </w:p>
        </w:tc>
      </w:tr>
      <w:tr>
        <w:trPr>
          <w:trHeight w:val="316"/>
        </w:trPr>
        <w:tc>
          <w:tcPr>
            <w:tcW w:w="68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Inc.</w:t>
            </w:r>
          </w:p>
        </w:tc>
        <w:tc>
          <w:tcPr>
            <w:tcW w:w="1340" w:type="dxa"/>
            <w:vAlign w:val="bottom"/>
          </w:tcPr>
          <w:p>
            <w:pPr>
              <w:spacing w:after="0"/>
              <w:rPr>
                <w:sz w:val="24"/>
                <w:szCs w:val="24"/>
                <w:color w:val="auto"/>
              </w:rPr>
            </w:pPr>
          </w:p>
        </w:tc>
        <w:tc>
          <w:tcPr>
            <w:tcW w:w="6580" w:type="dxa"/>
            <w:vAlign w:val="bottom"/>
            <w:gridSpan w:val="2"/>
          </w:tcPr>
          <w:p>
            <w:pPr>
              <w:ind w:left="280"/>
              <w:spacing w:after="0"/>
              <w:rPr>
                <w:sz w:val="20"/>
                <w:szCs w:val="20"/>
                <w:color w:val="auto"/>
              </w:rPr>
            </w:pPr>
            <w:r>
              <w:rPr>
                <w:rFonts w:ascii="Arial" w:cs="Arial" w:eastAsia="Arial" w:hAnsi="Arial"/>
                <w:sz w:val="13"/>
                <w:szCs w:val="13"/>
                <w:color w:val="auto"/>
              </w:rPr>
              <w:t>Managing Member</w:t>
            </w:r>
          </w:p>
        </w:tc>
        <w:tc>
          <w:tcPr>
            <w:tcW w:w="800" w:type="dxa"/>
            <w:vAlign w:val="bottom"/>
          </w:tcPr>
          <w:p>
            <w:pPr>
              <w:spacing w:after="0"/>
              <w:rPr>
                <w:sz w:val="24"/>
                <w:szCs w:val="24"/>
                <w:color w:val="auto"/>
              </w:rPr>
            </w:pPr>
          </w:p>
        </w:tc>
      </w:tr>
      <w:tr>
        <w:trPr>
          <w:trHeight w:val="325"/>
        </w:trPr>
        <w:tc>
          <w:tcPr>
            <w:tcW w:w="680" w:type="dxa"/>
            <w:vAlign w:val="bottom"/>
          </w:tcPr>
          <w:p>
            <w:pPr>
              <w:spacing w:after="0"/>
              <w:rPr>
                <w:sz w:val="24"/>
                <w:szCs w:val="24"/>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By:  /s/ James E. O’Connor</w:t>
            </w:r>
          </w:p>
        </w:tc>
        <w:tc>
          <w:tcPr>
            <w:tcW w:w="1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4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1620" w:type="dxa"/>
            <w:vAlign w:val="bottom"/>
          </w:tcPr>
          <w:p>
            <w:pPr>
              <w:ind w:left="80"/>
              <w:spacing w:after="0" w:line="139" w:lineRule="exact"/>
              <w:rPr>
                <w:sz w:val="20"/>
                <w:szCs w:val="20"/>
                <w:color w:val="auto"/>
              </w:rPr>
            </w:pPr>
            <w:r>
              <w:rPr>
                <w:rFonts w:ascii="Arial" w:cs="Arial" w:eastAsia="Arial" w:hAnsi="Arial"/>
                <w:sz w:val="13"/>
                <w:szCs w:val="13"/>
                <w:color w:val="auto"/>
              </w:rPr>
              <w:t>James E. O’Connor</w:t>
            </w:r>
          </w:p>
        </w:tc>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gridSpan w:val="2"/>
          </w:tcPr>
          <w:p>
            <w:pPr>
              <w:ind w:left="280"/>
              <w:spacing w:after="0"/>
              <w:rPr>
                <w:sz w:val="20"/>
                <w:szCs w:val="20"/>
                <w:color w:val="auto"/>
              </w:rPr>
            </w:pPr>
            <w:r>
              <w:rPr>
                <w:rFonts w:ascii="Arial" w:cs="Arial" w:eastAsia="Arial" w:hAnsi="Arial"/>
                <w:sz w:val="13"/>
                <w:szCs w:val="13"/>
                <w:color w:val="auto"/>
              </w:rPr>
              <w:t>Chairman of the Board and</w:t>
            </w:r>
          </w:p>
        </w:tc>
        <w:tc>
          <w:tcPr>
            <w:tcW w:w="16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ind w:left="280"/>
              <w:spacing w:after="0"/>
              <w:rPr>
                <w:sz w:val="20"/>
                <w:szCs w:val="20"/>
                <w:color w:val="auto"/>
              </w:rPr>
            </w:pPr>
            <w:r>
              <w:rPr>
                <w:rFonts w:ascii="Arial" w:cs="Arial" w:eastAsia="Arial" w:hAnsi="Arial"/>
                <w:sz w:val="13"/>
                <w:szCs w:val="13"/>
                <w:color w:val="auto"/>
                <w:w w:val="99"/>
              </w:rPr>
              <w:t>Chief Executive Officer</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580" w:type="dxa"/>
            <w:vAlign w:val="bottom"/>
            <w:gridSpan w:val="2"/>
          </w:tcPr>
          <w:p>
            <w:pPr>
              <w:ind w:left="1440"/>
              <w:spacing w:after="0"/>
              <w:rPr>
                <w:sz w:val="20"/>
                <w:szCs w:val="20"/>
                <w:color w:val="auto"/>
              </w:rPr>
            </w:pPr>
            <w:r>
              <w:rPr>
                <w:rFonts w:ascii="Arial" w:cs="Arial" w:eastAsia="Arial" w:hAnsi="Arial"/>
                <w:sz w:val="13"/>
                <w:szCs w:val="13"/>
                <w:color w:val="auto"/>
              </w:rPr>
              <w:t>II-127</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62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III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Schedule III hereto</w:t>
      </w:r>
    </w:p>
    <w:p>
      <w:pPr>
        <w:spacing w:after="0" w:line="325"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54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1020" w:type="dxa"/>
            <w:vAlign w:val="bottom"/>
          </w:tcPr>
          <w:p>
            <w:pPr>
              <w:spacing w:after="0"/>
              <w:rPr>
                <w:sz w:val="11"/>
                <w:szCs w:val="11"/>
                <w:color w:val="auto"/>
              </w:rPr>
            </w:pPr>
          </w:p>
        </w:tc>
        <w:tc>
          <w:tcPr>
            <w:tcW w:w="4980" w:type="dxa"/>
            <w:vAlign w:val="bottom"/>
          </w:tcPr>
          <w:p>
            <w:pPr>
              <w:ind w:left="26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800" w:type="dxa"/>
            <w:vAlign w:val="bottom"/>
          </w:tcPr>
          <w:p>
            <w:pPr>
              <w:spacing w:after="0"/>
              <w:rPr>
                <w:sz w:val="11"/>
                <w:szCs w:val="11"/>
                <w:color w:val="auto"/>
              </w:rPr>
            </w:pPr>
          </w:p>
        </w:tc>
      </w:tr>
      <w:tr>
        <w:trPr>
          <w:trHeight w:val="480"/>
        </w:trPr>
        <w:tc>
          <w:tcPr>
            <w:tcW w:w="6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left="516"/>
              <w:spacing w:after="0"/>
              <w:rPr>
                <w:sz w:val="20"/>
                <w:szCs w:val="20"/>
                <w:color w:val="auto"/>
              </w:rPr>
            </w:pPr>
            <w:r>
              <w:rPr>
                <w:rFonts w:ascii="Arial" w:cs="Arial" w:eastAsia="Arial" w:hAnsi="Arial"/>
                <w:sz w:val="13"/>
                <w:szCs w:val="13"/>
                <w:color w:val="auto"/>
                <w:w w:val="96"/>
              </w:rPr>
              <w:t>/s/ Kevin Walbridge</w:t>
            </w:r>
          </w:p>
        </w:tc>
        <w:tc>
          <w:tcPr>
            <w:tcW w:w="1020" w:type="dxa"/>
            <w:vAlign w:val="bottom"/>
            <w:tcBorders>
              <w:bottom w:val="single" w:sz="8" w:color="auto"/>
            </w:tcBorders>
          </w:tcPr>
          <w:p>
            <w:pPr>
              <w:spacing w:after="0"/>
              <w:rPr>
                <w:sz w:val="24"/>
                <w:szCs w:val="24"/>
                <w:color w:val="auto"/>
              </w:rPr>
            </w:pPr>
          </w:p>
        </w:tc>
        <w:tc>
          <w:tcPr>
            <w:tcW w:w="4980" w:type="dxa"/>
            <w:vAlign w:val="bottom"/>
          </w:tcPr>
          <w:p>
            <w:pPr>
              <w:jc w:val="center"/>
              <w:ind w:left="197"/>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540" w:type="dxa"/>
            <w:vAlign w:val="bottom"/>
          </w:tcPr>
          <w:p>
            <w:pPr>
              <w:jc w:val="center"/>
              <w:ind w:left="536"/>
              <w:spacing w:after="0"/>
              <w:rPr>
                <w:sz w:val="20"/>
                <w:szCs w:val="20"/>
                <w:color w:val="auto"/>
              </w:rPr>
            </w:pPr>
            <w:r>
              <w:rPr>
                <w:rFonts w:ascii="Arial" w:cs="Arial" w:eastAsia="Arial" w:hAnsi="Arial"/>
                <w:sz w:val="13"/>
                <w:szCs w:val="13"/>
                <w:color w:val="auto"/>
                <w:w w:val="95"/>
              </w:rPr>
              <w:t>Kevin Walbridge</w:t>
            </w:r>
          </w:p>
        </w:tc>
        <w:tc>
          <w:tcPr>
            <w:tcW w:w="102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5"/>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left="536"/>
              <w:spacing w:after="0"/>
              <w:rPr>
                <w:sz w:val="20"/>
                <w:szCs w:val="20"/>
                <w:color w:val="auto"/>
              </w:rPr>
            </w:pPr>
            <w:r>
              <w:rPr>
                <w:rFonts w:ascii="Arial" w:cs="Arial" w:eastAsia="Arial" w:hAnsi="Arial"/>
                <w:sz w:val="13"/>
                <w:szCs w:val="13"/>
                <w:color w:val="auto"/>
                <w:w w:val="98"/>
              </w:rPr>
              <w:t>/s/ Edward A. Lang, III</w:t>
            </w:r>
          </w:p>
        </w:tc>
        <w:tc>
          <w:tcPr>
            <w:tcW w:w="1020" w:type="dxa"/>
            <w:vAlign w:val="bottom"/>
            <w:tcBorders>
              <w:bottom w:val="single" w:sz="8" w:color="auto"/>
            </w:tcBorders>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85"/>
              </w:rPr>
              <w:t>Treasurer</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540" w:type="dxa"/>
            <w:vAlign w:val="bottom"/>
          </w:tcPr>
          <w:p>
            <w:pPr>
              <w:jc w:val="center"/>
              <w:ind w:left="536"/>
              <w:spacing w:after="0"/>
              <w:rPr>
                <w:sz w:val="20"/>
                <w:szCs w:val="20"/>
                <w:color w:val="auto"/>
              </w:rPr>
            </w:pPr>
            <w:r>
              <w:rPr>
                <w:rFonts w:ascii="Arial" w:cs="Arial" w:eastAsia="Arial" w:hAnsi="Arial"/>
                <w:sz w:val="13"/>
                <w:szCs w:val="13"/>
                <w:color w:val="auto"/>
                <w:w w:val="95"/>
              </w:rPr>
              <w:t>Edward A. Lang, III</w:t>
            </w:r>
          </w:p>
        </w:tc>
        <w:tc>
          <w:tcPr>
            <w:tcW w:w="102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800" w:type="dxa"/>
            <w:vAlign w:val="bottom"/>
          </w:tcPr>
          <w:p>
            <w:pPr>
              <w:spacing w:after="0"/>
              <w:rPr>
                <w:sz w:val="13"/>
                <w:szCs w:val="13"/>
                <w:color w:val="auto"/>
              </w:rPr>
            </w:pPr>
          </w:p>
        </w:tc>
      </w:tr>
      <w:tr>
        <w:trPr>
          <w:trHeight w:val="483"/>
        </w:trPr>
        <w:tc>
          <w:tcPr>
            <w:tcW w:w="68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Inc.</w:t>
            </w:r>
          </w:p>
        </w:tc>
        <w:tc>
          <w:tcPr>
            <w:tcW w:w="1020" w:type="dxa"/>
            <w:vAlign w:val="bottom"/>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92"/>
              </w:rPr>
              <w:t>Managing Member</w:t>
            </w:r>
          </w:p>
        </w:tc>
        <w:tc>
          <w:tcPr>
            <w:tcW w:w="800" w:type="dxa"/>
            <w:vAlign w:val="bottom"/>
          </w:tcPr>
          <w:p>
            <w:pPr>
              <w:spacing w:after="0"/>
              <w:rPr>
                <w:sz w:val="24"/>
                <w:szCs w:val="24"/>
                <w:color w:val="auto"/>
              </w:rPr>
            </w:pPr>
          </w:p>
        </w:tc>
      </w:tr>
      <w:tr>
        <w:trPr>
          <w:trHeight w:val="325"/>
        </w:trPr>
        <w:tc>
          <w:tcPr>
            <w:tcW w:w="680" w:type="dxa"/>
            <w:vAlign w:val="bottom"/>
          </w:tcPr>
          <w:p>
            <w:pPr>
              <w:spacing w:after="0"/>
              <w:rPr>
                <w:sz w:val="24"/>
                <w:szCs w:val="24"/>
                <w:color w:val="auto"/>
              </w:rPr>
            </w:pP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By:  /s/ James E. O’Connor</w:t>
            </w:r>
          </w:p>
        </w:tc>
        <w:tc>
          <w:tcPr>
            <w:tcW w:w="10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4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3540" w:type="dxa"/>
            <w:vAlign w:val="bottom"/>
          </w:tcPr>
          <w:p>
            <w:pPr>
              <w:ind w:left="80"/>
              <w:spacing w:after="0" w:line="139" w:lineRule="exact"/>
              <w:rPr>
                <w:sz w:val="20"/>
                <w:szCs w:val="20"/>
                <w:color w:val="auto"/>
              </w:rPr>
            </w:pPr>
            <w:r>
              <w:rPr>
                <w:rFonts w:ascii="Arial" w:cs="Arial" w:eastAsia="Arial" w:hAnsi="Arial"/>
                <w:sz w:val="13"/>
                <w:szCs w:val="13"/>
                <w:color w:val="auto"/>
              </w:rPr>
              <w:t>James E. O’Connor</w:t>
            </w:r>
          </w:p>
        </w:tc>
        <w:tc>
          <w:tcPr>
            <w:tcW w:w="10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Title:</w:t>
            </w:r>
          </w:p>
        </w:tc>
        <w:tc>
          <w:tcPr>
            <w:tcW w:w="3540" w:type="dxa"/>
            <w:vAlign w:val="bottom"/>
          </w:tcPr>
          <w:p>
            <w:pPr>
              <w:ind w:left="280"/>
              <w:spacing w:after="0"/>
              <w:rPr>
                <w:sz w:val="20"/>
                <w:szCs w:val="20"/>
                <w:color w:val="auto"/>
              </w:rPr>
            </w:pPr>
            <w:r>
              <w:rPr>
                <w:rFonts w:ascii="Arial" w:cs="Arial" w:eastAsia="Arial" w:hAnsi="Arial"/>
                <w:sz w:val="13"/>
                <w:szCs w:val="13"/>
                <w:color w:val="auto"/>
              </w:rPr>
              <w:t>Chairman of the Board</w:t>
            </w:r>
          </w:p>
        </w:tc>
        <w:tc>
          <w:tcPr>
            <w:tcW w:w="10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540" w:type="dxa"/>
            <w:vAlign w:val="bottom"/>
          </w:tcPr>
          <w:p>
            <w:pPr>
              <w:ind w:left="260"/>
              <w:spacing w:after="0"/>
              <w:rPr>
                <w:sz w:val="20"/>
                <w:szCs w:val="20"/>
                <w:color w:val="auto"/>
              </w:rPr>
            </w:pPr>
            <w:r>
              <w:rPr>
                <w:rFonts w:ascii="Arial" w:cs="Arial" w:eastAsia="Arial" w:hAnsi="Arial"/>
                <w:sz w:val="13"/>
                <w:szCs w:val="13"/>
                <w:color w:val="auto"/>
              </w:rPr>
              <w:t>and Chief Executive</w:t>
            </w:r>
          </w:p>
        </w:tc>
        <w:tc>
          <w:tcPr>
            <w:tcW w:w="10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ind w:left="260"/>
              <w:spacing w:after="0"/>
              <w:rPr>
                <w:sz w:val="20"/>
                <w:szCs w:val="20"/>
                <w:color w:val="auto"/>
              </w:rPr>
            </w:pPr>
            <w:r>
              <w:rPr>
                <w:rFonts w:ascii="Arial" w:cs="Arial" w:eastAsia="Arial" w:hAnsi="Arial"/>
                <w:sz w:val="13"/>
                <w:szCs w:val="13"/>
                <w:color w:val="auto"/>
              </w:rPr>
              <w:t>Officer</w:t>
            </w:r>
          </w:p>
        </w:tc>
        <w:tc>
          <w:tcPr>
            <w:tcW w:w="10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00" w:type="dxa"/>
            <w:vAlign w:val="bottom"/>
            <w:gridSpan w:val="2"/>
          </w:tcPr>
          <w:p>
            <w:pPr>
              <w:ind w:left="860"/>
              <w:spacing w:after="0"/>
              <w:rPr>
                <w:sz w:val="20"/>
                <w:szCs w:val="20"/>
                <w:color w:val="auto"/>
              </w:rPr>
            </w:pPr>
            <w:r>
              <w:rPr>
                <w:rFonts w:ascii="Arial" w:cs="Arial" w:eastAsia="Arial" w:hAnsi="Arial"/>
                <w:sz w:val="13"/>
                <w:szCs w:val="13"/>
                <w:color w:val="auto"/>
              </w:rPr>
              <w:t>II-128</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JJJ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Schedule JJJ hereto</w:t>
      </w:r>
    </w:p>
    <w:p>
      <w:pPr>
        <w:spacing w:after="0" w:line="325"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3160"/>
        <w:spacing w:after="0"/>
        <w:tabs>
          <w:tab w:leader="none" w:pos="82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jc w:val="center"/>
              <w:ind w:left="494"/>
              <w:spacing w:after="0"/>
              <w:rPr>
                <w:sz w:val="20"/>
                <w:szCs w:val="20"/>
                <w:color w:val="auto"/>
              </w:rPr>
            </w:pPr>
            <w:r>
              <w:rPr>
                <w:rFonts w:ascii="Arial" w:cs="Arial" w:eastAsia="Arial" w:hAnsi="Arial"/>
                <w:sz w:val="13"/>
                <w:szCs w:val="13"/>
                <w:color w:val="auto"/>
                <w:w w:val="96"/>
              </w:rPr>
              <w:t>/s/ Kevin Walbridge</w:t>
            </w:r>
          </w:p>
        </w:tc>
        <w:tc>
          <w:tcPr>
            <w:tcW w:w="1020" w:type="dxa"/>
            <w:vAlign w:val="bottom"/>
            <w:tcBorders>
              <w:bottom w:val="single" w:sz="8" w:color="auto"/>
            </w:tcBorders>
          </w:tcPr>
          <w:p>
            <w:pPr>
              <w:spacing w:after="0"/>
              <w:rPr>
                <w:sz w:val="14"/>
                <w:szCs w:val="14"/>
                <w:color w:val="auto"/>
              </w:rPr>
            </w:pPr>
          </w:p>
        </w:tc>
        <w:tc>
          <w:tcPr>
            <w:tcW w:w="4980" w:type="dxa"/>
            <w:vAlign w:val="bottom"/>
          </w:tcPr>
          <w:p>
            <w:pPr>
              <w:jc w:val="center"/>
              <w:ind w:left="194"/>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14"/>
                <w:szCs w:val="1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20" w:type="dxa"/>
            <w:vAlign w:val="bottom"/>
          </w:tcPr>
          <w:p>
            <w:pPr>
              <w:jc w:val="center"/>
              <w:ind w:left="514"/>
              <w:spacing w:after="0"/>
              <w:rPr>
                <w:sz w:val="20"/>
                <w:szCs w:val="20"/>
                <w:color w:val="auto"/>
              </w:rPr>
            </w:pPr>
            <w:r>
              <w:rPr>
                <w:rFonts w:ascii="Arial" w:cs="Arial" w:eastAsia="Arial" w:hAnsi="Arial"/>
                <w:sz w:val="13"/>
                <w:szCs w:val="13"/>
                <w:color w:val="auto"/>
                <w:w w:val="95"/>
              </w:rPr>
              <w:t>Kevin Walbridge</w:t>
            </w:r>
          </w:p>
        </w:tc>
        <w:tc>
          <w:tcPr>
            <w:tcW w:w="1020" w:type="dxa"/>
            <w:vAlign w:val="bottom"/>
          </w:tcPr>
          <w:p>
            <w:pPr>
              <w:spacing w:after="0"/>
              <w:rPr>
                <w:sz w:val="13"/>
                <w:szCs w:val="13"/>
                <w:color w:val="auto"/>
              </w:rPr>
            </w:pPr>
          </w:p>
        </w:tc>
        <w:tc>
          <w:tcPr>
            <w:tcW w:w="4980" w:type="dxa"/>
            <w:vAlign w:val="bottom"/>
          </w:tcPr>
          <w:p>
            <w:pPr>
              <w:jc w:val="center"/>
              <w:ind w:left="234"/>
              <w:spacing w:after="0" w:line="145" w:lineRule="exact"/>
              <w:rPr>
                <w:sz w:val="20"/>
                <w:szCs w:val="20"/>
                <w:color w:val="auto"/>
              </w:rPr>
            </w:pPr>
            <w:r>
              <w:rPr>
                <w:rFonts w:ascii="Arial" w:cs="Arial" w:eastAsia="Arial" w:hAnsi="Arial"/>
                <w:sz w:val="13"/>
                <w:szCs w:val="13"/>
                <w:color w:val="auto"/>
                <w:w w:val="95"/>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left="514"/>
              <w:spacing w:after="0"/>
              <w:rPr>
                <w:sz w:val="20"/>
                <w:szCs w:val="20"/>
                <w:color w:val="auto"/>
              </w:rPr>
            </w:pPr>
            <w:r>
              <w:rPr>
                <w:rFonts w:ascii="Arial" w:cs="Arial" w:eastAsia="Arial" w:hAnsi="Arial"/>
                <w:sz w:val="13"/>
                <w:szCs w:val="13"/>
                <w:color w:val="auto"/>
                <w:w w:val="98"/>
              </w:rPr>
              <w:t>/s/ Edward A. Lang, III</w:t>
            </w:r>
          </w:p>
        </w:tc>
        <w:tc>
          <w:tcPr>
            <w:tcW w:w="1020" w:type="dxa"/>
            <w:vAlign w:val="bottom"/>
            <w:tcBorders>
              <w:bottom w:val="single" w:sz="8" w:color="auto"/>
            </w:tcBorders>
          </w:tcPr>
          <w:p>
            <w:pPr>
              <w:spacing w:after="0"/>
              <w:rPr>
                <w:sz w:val="24"/>
                <w:szCs w:val="24"/>
                <w:color w:val="auto"/>
              </w:rPr>
            </w:pPr>
          </w:p>
        </w:tc>
        <w:tc>
          <w:tcPr>
            <w:tcW w:w="4980" w:type="dxa"/>
            <w:vAlign w:val="bottom"/>
          </w:tcPr>
          <w:p>
            <w:pPr>
              <w:jc w:val="center"/>
              <w:ind w:left="234"/>
              <w:spacing w:after="0"/>
              <w:rPr>
                <w:sz w:val="20"/>
                <w:szCs w:val="20"/>
                <w:color w:val="auto"/>
              </w:rPr>
            </w:pPr>
            <w:r>
              <w:rPr>
                <w:rFonts w:ascii="Arial" w:cs="Arial" w:eastAsia="Arial" w:hAnsi="Arial"/>
                <w:sz w:val="13"/>
                <w:szCs w:val="13"/>
                <w:color w:val="auto"/>
                <w:w w:val="85"/>
              </w:rPr>
              <w:t>Treasurer</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20" w:type="dxa"/>
            <w:vAlign w:val="bottom"/>
          </w:tcPr>
          <w:p>
            <w:pPr>
              <w:jc w:val="center"/>
              <w:ind w:left="514"/>
              <w:spacing w:after="0"/>
              <w:rPr>
                <w:sz w:val="20"/>
                <w:szCs w:val="20"/>
                <w:color w:val="auto"/>
              </w:rPr>
            </w:pPr>
            <w:r>
              <w:rPr>
                <w:rFonts w:ascii="Arial" w:cs="Arial" w:eastAsia="Arial" w:hAnsi="Arial"/>
                <w:sz w:val="13"/>
                <w:szCs w:val="13"/>
                <w:color w:val="auto"/>
                <w:w w:val="95"/>
              </w:rPr>
              <w:t>Edward A. Lang, III</w:t>
            </w:r>
          </w:p>
        </w:tc>
        <w:tc>
          <w:tcPr>
            <w:tcW w:w="1020" w:type="dxa"/>
            <w:vAlign w:val="bottom"/>
          </w:tcPr>
          <w:p>
            <w:pPr>
              <w:spacing w:after="0"/>
              <w:rPr>
                <w:sz w:val="13"/>
                <w:szCs w:val="13"/>
                <w:color w:val="auto"/>
              </w:rPr>
            </w:pPr>
          </w:p>
        </w:tc>
        <w:tc>
          <w:tcPr>
            <w:tcW w:w="4980" w:type="dxa"/>
            <w:vAlign w:val="bottom"/>
          </w:tcPr>
          <w:p>
            <w:pPr>
              <w:jc w:val="center"/>
              <w:ind w:left="234"/>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800" w:type="dxa"/>
            <w:vAlign w:val="bottom"/>
          </w:tcPr>
          <w:p>
            <w:pPr>
              <w:spacing w:after="0"/>
              <w:rPr>
                <w:sz w:val="13"/>
                <w:szCs w:val="13"/>
                <w:color w:val="auto"/>
              </w:rPr>
            </w:pPr>
          </w:p>
        </w:tc>
      </w:tr>
      <w:tr>
        <w:trPr>
          <w:trHeight w:val="483"/>
        </w:trPr>
        <w:tc>
          <w:tcPr>
            <w:tcW w:w="68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of Michigan Holding Company, Inc.</w:t>
            </w:r>
          </w:p>
        </w:tc>
        <w:tc>
          <w:tcPr>
            <w:tcW w:w="1020" w:type="dxa"/>
            <w:vAlign w:val="bottom"/>
          </w:tcPr>
          <w:p>
            <w:pPr>
              <w:spacing w:after="0"/>
              <w:rPr>
                <w:sz w:val="24"/>
                <w:szCs w:val="24"/>
                <w:color w:val="auto"/>
              </w:rPr>
            </w:pPr>
          </w:p>
        </w:tc>
        <w:tc>
          <w:tcPr>
            <w:tcW w:w="4980" w:type="dxa"/>
            <w:vAlign w:val="bottom"/>
          </w:tcPr>
          <w:p>
            <w:pPr>
              <w:jc w:val="center"/>
              <w:ind w:left="234"/>
              <w:spacing w:after="0"/>
              <w:rPr>
                <w:sz w:val="20"/>
                <w:szCs w:val="20"/>
                <w:color w:val="auto"/>
              </w:rPr>
            </w:pPr>
            <w:r>
              <w:rPr>
                <w:rFonts w:ascii="Arial" w:cs="Arial" w:eastAsia="Arial" w:hAnsi="Arial"/>
                <w:sz w:val="13"/>
                <w:szCs w:val="13"/>
                <w:color w:val="auto"/>
                <w:w w:val="92"/>
              </w:rPr>
              <w:t>Managing Member</w:t>
            </w:r>
          </w:p>
        </w:tc>
        <w:tc>
          <w:tcPr>
            <w:tcW w:w="800" w:type="dxa"/>
            <w:vAlign w:val="bottom"/>
          </w:tcPr>
          <w:p>
            <w:pPr>
              <w:spacing w:after="0"/>
              <w:rPr>
                <w:sz w:val="24"/>
                <w:szCs w:val="24"/>
                <w:color w:val="auto"/>
              </w:rPr>
            </w:pPr>
          </w:p>
        </w:tc>
      </w:tr>
      <w:tr>
        <w:trPr>
          <w:trHeight w:val="325"/>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Edward A. Lang, III</w:t>
            </w:r>
          </w:p>
        </w:tc>
        <w:tc>
          <w:tcPr>
            <w:tcW w:w="10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6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3520" w:type="dxa"/>
            <w:vAlign w:val="bottom"/>
          </w:tcPr>
          <w:p>
            <w:pPr>
              <w:ind w:left="60"/>
              <w:spacing w:after="0" w:line="139" w:lineRule="exact"/>
              <w:rPr>
                <w:sz w:val="20"/>
                <w:szCs w:val="20"/>
                <w:color w:val="auto"/>
              </w:rPr>
            </w:pPr>
            <w:r>
              <w:rPr>
                <w:rFonts w:ascii="Arial" w:cs="Arial" w:eastAsia="Arial" w:hAnsi="Arial"/>
                <w:sz w:val="13"/>
                <w:szCs w:val="13"/>
                <w:color w:val="auto"/>
              </w:rPr>
              <w:t>Edward A. Lang, III</w:t>
            </w:r>
          </w:p>
        </w:tc>
        <w:tc>
          <w:tcPr>
            <w:tcW w:w="10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520" w:type="dxa"/>
            <w:vAlign w:val="bottom"/>
          </w:tcPr>
          <w:p>
            <w:pPr>
              <w:ind w:left="260"/>
              <w:spacing w:after="0"/>
              <w:rPr>
                <w:sz w:val="20"/>
                <w:szCs w:val="20"/>
                <w:color w:val="auto"/>
              </w:rPr>
            </w:pPr>
            <w:r>
              <w:rPr>
                <w:rFonts w:ascii="Arial" w:cs="Arial" w:eastAsia="Arial" w:hAnsi="Arial"/>
                <w:sz w:val="13"/>
                <w:szCs w:val="13"/>
                <w:color w:val="auto"/>
              </w:rPr>
              <w:t>Treasurer</w:t>
            </w:r>
          </w:p>
        </w:tc>
        <w:tc>
          <w:tcPr>
            <w:tcW w:w="10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000" w:type="dxa"/>
            <w:vAlign w:val="bottom"/>
            <w:gridSpan w:val="2"/>
          </w:tcPr>
          <w:p>
            <w:pPr>
              <w:ind w:left="860"/>
              <w:spacing w:after="0"/>
              <w:rPr>
                <w:sz w:val="20"/>
                <w:szCs w:val="20"/>
                <w:color w:val="auto"/>
              </w:rPr>
            </w:pPr>
            <w:r>
              <w:rPr>
                <w:rFonts w:ascii="Arial" w:cs="Arial" w:eastAsia="Arial" w:hAnsi="Arial"/>
                <w:sz w:val="13"/>
                <w:szCs w:val="13"/>
                <w:color w:val="auto"/>
              </w:rPr>
              <w:t>II-129</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5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KKK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Schedule KKK hereto</w:t>
      </w:r>
    </w:p>
    <w:p>
      <w:pPr>
        <w:spacing w:after="0" w:line="325"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500" w:type="dxa"/>
            <w:vAlign w:val="bottom"/>
          </w:tcPr>
          <w:p>
            <w:pPr>
              <w:ind w:left="200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1020" w:type="dxa"/>
            <w:vAlign w:val="bottom"/>
          </w:tcPr>
          <w:p>
            <w:pPr>
              <w:spacing w:after="0"/>
              <w:rPr>
                <w:sz w:val="11"/>
                <w:szCs w:val="11"/>
                <w:color w:val="auto"/>
              </w:rPr>
            </w:pPr>
          </w:p>
        </w:tc>
        <w:tc>
          <w:tcPr>
            <w:tcW w:w="4280" w:type="dxa"/>
            <w:vAlign w:val="bottom"/>
          </w:tcPr>
          <w:p>
            <w:pPr>
              <w:jc w:val="right"/>
              <w:ind w:right="1397"/>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80"/>
        </w:trPr>
        <w:tc>
          <w:tcPr>
            <w:tcW w:w="6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left="496"/>
              <w:spacing w:after="0"/>
              <w:rPr>
                <w:sz w:val="20"/>
                <w:szCs w:val="20"/>
                <w:color w:val="auto"/>
              </w:rPr>
            </w:pPr>
            <w:r>
              <w:rPr>
                <w:rFonts w:ascii="Arial" w:cs="Arial" w:eastAsia="Arial" w:hAnsi="Arial"/>
                <w:sz w:val="13"/>
                <w:szCs w:val="13"/>
                <w:color w:val="auto"/>
                <w:w w:val="97"/>
              </w:rPr>
              <w:t>/s/ Ronald Krall</w:t>
            </w:r>
          </w:p>
        </w:tc>
        <w:tc>
          <w:tcPr>
            <w:tcW w:w="1020" w:type="dxa"/>
            <w:vAlign w:val="bottom"/>
            <w:tcBorders>
              <w:bottom w:val="single" w:sz="8" w:color="auto"/>
            </w:tcBorders>
          </w:tcPr>
          <w:p>
            <w:pPr>
              <w:spacing w:after="0"/>
              <w:rPr>
                <w:sz w:val="24"/>
                <w:szCs w:val="24"/>
                <w:color w:val="auto"/>
              </w:rPr>
            </w:pPr>
          </w:p>
        </w:tc>
        <w:tc>
          <w:tcPr>
            <w:tcW w:w="4280" w:type="dxa"/>
            <w:vAlign w:val="bottom"/>
          </w:tcPr>
          <w:p>
            <w:pPr>
              <w:jc w:val="center"/>
              <w:ind w:left="937"/>
              <w:spacing w:after="0"/>
              <w:rPr>
                <w:sz w:val="20"/>
                <w:szCs w:val="20"/>
                <w:color w:val="auto"/>
              </w:rPr>
            </w:pPr>
            <w:r>
              <w:rPr>
                <w:rFonts w:ascii="Arial" w:cs="Arial" w:eastAsia="Arial" w:hAnsi="Arial"/>
                <w:sz w:val="13"/>
                <w:szCs w:val="13"/>
                <w:color w:val="auto"/>
                <w:w w:val="87"/>
              </w:rPr>
              <w:t>President</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500" w:type="dxa"/>
            <w:vAlign w:val="bottom"/>
          </w:tcPr>
          <w:p>
            <w:pPr>
              <w:jc w:val="center"/>
              <w:ind w:left="476"/>
              <w:spacing w:after="0"/>
              <w:rPr>
                <w:sz w:val="20"/>
                <w:szCs w:val="20"/>
                <w:color w:val="auto"/>
              </w:rPr>
            </w:pPr>
            <w:r>
              <w:rPr>
                <w:rFonts w:ascii="Arial" w:cs="Arial" w:eastAsia="Arial" w:hAnsi="Arial"/>
                <w:sz w:val="13"/>
                <w:szCs w:val="13"/>
                <w:color w:val="auto"/>
                <w:w w:val="95"/>
              </w:rPr>
              <w:t>Ronald Krall</w:t>
            </w:r>
          </w:p>
        </w:tc>
        <w:tc>
          <w:tcPr>
            <w:tcW w:w="1020" w:type="dxa"/>
            <w:vAlign w:val="bottom"/>
          </w:tcPr>
          <w:p>
            <w:pPr>
              <w:spacing w:after="0"/>
              <w:rPr>
                <w:sz w:val="13"/>
                <w:szCs w:val="13"/>
                <w:color w:val="auto"/>
              </w:rPr>
            </w:pPr>
          </w:p>
        </w:tc>
        <w:tc>
          <w:tcPr>
            <w:tcW w:w="4280" w:type="dxa"/>
            <w:vAlign w:val="bottom"/>
          </w:tcPr>
          <w:p>
            <w:pPr>
              <w:jc w:val="center"/>
              <w:ind w:left="937"/>
              <w:spacing w:after="0" w:line="145" w:lineRule="exact"/>
              <w:rPr>
                <w:sz w:val="20"/>
                <w:szCs w:val="20"/>
                <w:color w:val="auto"/>
              </w:rPr>
            </w:pPr>
            <w:r>
              <w:rPr>
                <w:rFonts w:ascii="Arial" w:cs="Arial" w:eastAsia="Arial" w:hAnsi="Arial"/>
                <w:sz w:val="13"/>
                <w:szCs w:val="13"/>
                <w:color w:val="auto"/>
                <w:w w:val="95"/>
              </w:rPr>
              <w:t>(principal executive officer)</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left="496"/>
              <w:spacing w:after="0"/>
              <w:rPr>
                <w:sz w:val="20"/>
                <w:szCs w:val="20"/>
                <w:color w:val="auto"/>
              </w:rPr>
            </w:pPr>
            <w:r>
              <w:rPr>
                <w:rFonts w:ascii="Arial" w:cs="Arial" w:eastAsia="Arial" w:hAnsi="Arial"/>
                <w:sz w:val="13"/>
                <w:szCs w:val="13"/>
                <w:color w:val="auto"/>
                <w:w w:val="98"/>
              </w:rPr>
              <w:t>/s/ Edward A. Lang, III</w:t>
            </w:r>
          </w:p>
        </w:tc>
        <w:tc>
          <w:tcPr>
            <w:tcW w:w="1020" w:type="dxa"/>
            <w:vAlign w:val="bottom"/>
            <w:tcBorders>
              <w:bottom w:val="single" w:sz="8" w:color="auto"/>
            </w:tcBorders>
          </w:tcPr>
          <w:p>
            <w:pPr>
              <w:spacing w:after="0"/>
              <w:rPr>
                <w:sz w:val="24"/>
                <w:szCs w:val="24"/>
                <w:color w:val="auto"/>
              </w:rPr>
            </w:pPr>
          </w:p>
        </w:tc>
        <w:tc>
          <w:tcPr>
            <w:tcW w:w="4280" w:type="dxa"/>
            <w:vAlign w:val="bottom"/>
          </w:tcPr>
          <w:p>
            <w:pPr>
              <w:jc w:val="center"/>
              <w:ind w:left="937"/>
              <w:spacing w:after="0"/>
              <w:rPr>
                <w:sz w:val="20"/>
                <w:szCs w:val="20"/>
                <w:color w:val="auto"/>
              </w:rPr>
            </w:pPr>
            <w:r>
              <w:rPr>
                <w:rFonts w:ascii="Arial" w:cs="Arial" w:eastAsia="Arial" w:hAnsi="Arial"/>
                <w:sz w:val="13"/>
                <w:szCs w:val="13"/>
                <w:color w:val="auto"/>
                <w:w w:val="85"/>
              </w:rPr>
              <w:t>Treasurer</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500" w:type="dxa"/>
            <w:vAlign w:val="bottom"/>
          </w:tcPr>
          <w:p>
            <w:pPr>
              <w:jc w:val="center"/>
              <w:ind w:left="496"/>
              <w:spacing w:after="0"/>
              <w:rPr>
                <w:sz w:val="20"/>
                <w:szCs w:val="20"/>
                <w:color w:val="auto"/>
              </w:rPr>
            </w:pPr>
            <w:r>
              <w:rPr>
                <w:rFonts w:ascii="Arial" w:cs="Arial" w:eastAsia="Arial" w:hAnsi="Arial"/>
                <w:sz w:val="13"/>
                <w:szCs w:val="13"/>
                <w:color w:val="auto"/>
                <w:w w:val="95"/>
              </w:rPr>
              <w:t>Edward A. Lang, III</w:t>
            </w:r>
          </w:p>
        </w:tc>
        <w:tc>
          <w:tcPr>
            <w:tcW w:w="1020" w:type="dxa"/>
            <w:vAlign w:val="bottom"/>
          </w:tcPr>
          <w:p>
            <w:pPr>
              <w:spacing w:after="0"/>
              <w:rPr>
                <w:sz w:val="13"/>
                <w:szCs w:val="13"/>
                <w:color w:val="auto"/>
              </w:rPr>
            </w:pPr>
          </w:p>
        </w:tc>
        <w:tc>
          <w:tcPr>
            <w:tcW w:w="4280" w:type="dxa"/>
            <w:vAlign w:val="bottom"/>
          </w:tcPr>
          <w:p>
            <w:pPr>
              <w:jc w:val="center"/>
              <w:ind w:left="937"/>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8"/>
        </w:trPr>
        <w:tc>
          <w:tcPr>
            <w:tcW w:w="68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Continental Waste Industries, L.L.C.</w:t>
            </w:r>
          </w:p>
        </w:tc>
        <w:tc>
          <w:tcPr>
            <w:tcW w:w="5300" w:type="dxa"/>
            <w:vAlign w:val="bottom"/>
            <w:gridSpan w:val="2"/>
          </w:tcPr>
          <w:p>
            <w:pPr>
              <w:jc w:val="right"/>
              <w:ind w:right="1197"/>
              <w:spacing w:after="0"/>
              <w:rPr>
                <w:sz w:val="20"/>
                <w:szCs w:val="20"/>
                <w:color w:val="auto"/>
              </w:rPr>
            </w:pPr>
            <w:r>
              <w:rPr>
                <w:rFonts w:ascii="Arial" w:cs="Arial" w:eastAsia="Arial" w:hAnsi="Arial"/>
                <w:sz w:val="13"/>
                <w:szCs w:val="13"/>
                <w:color w:val="auto"/>
              </w:rPr>
              <w:t>&amp; #160;</w:t>
            </w:r>
          </w:p>
        </w:tc>
        <w:tc>
          <w:tcPr>
            <w:tcW w:w="700" w:type="dxa"/>
            <w:vAlign w:val="bottom"/>
          </w:tcPr>
          <w:p>
            <w:pPr>
              <w:ind w:left="80"/>
              <w:spacing w:after="0"/>
              <w:rPr>
                <w:sz w:val="20"/>
                <w:szCs w:val="20"/>
                <w:color w:val="auto"/>
              </w:rPr>
            </w:pPr>
            <w:r>
              <w:rPr>
                <w:rFonts w:ascii="Arial" w:cs="Arial" w:eastAsia="Arial" w:hAnsi="Arial"/>
                <w:sz w:val="13"/>
                <w:szCs w:val="13"/>
                <w:color w:val="auto"/>
              </w:rPr>
              <w:t>Managing</w:t>
            </w:r>
          </w:p>
        </w:tc>
        <w:tc>
          <w:tcPr>
            <w:tcW w:w="800" w:type="dxa"/>
            <w:vAlign w:val="bottom"/>
          </w:tcPr>
          <w:p>
            <w:pPr>
              <w:spacing w:after="0"/>
              <w:rPr>
                <w:sz w:val="24"/>
                <w:szCs w:val="24"/>
                <w:color w:val="auto"/>
              </w:rPr>
            </w:pPr>
          </w:p>
        </w:tc>
      </w:tr>
      <w:tr>
        <w:trPr>
          <w:trHeight w:val="165"/>
        </w:trPr>
        <w:tc>
          <w:tcPr>
            <w:tcW w:w="6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3"/>
                <w:szCs w:val="13"/>
                <w:color w:val="auto"/>
                <w:w w:val="96"/>
              </w:rPr>
              <w:t>Member</w:t>
            </w:r>
          </w:p>
        </w:tc>
        <w:tc>
          <w:tcPr>
            <w:tcW w:w="3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25"/>
        </w:trPr>
        <w:tc>
          <w:tcPr>
            <w:tcW w:w="68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/s/</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Edward A. Lang, III</w:t>
            </w:r>
          </w:p>
        </w:tc>
        <w:tc>
          <w:tcPr>
            <w:tcW w:w="10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8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3500" w:type="dxa"/>
            <w:vAlign w:val="bottom"/>
          </w:tcPr>
          <w:p>
            <w:pPr>
              <w:ind w:left="40"/>
              <w:spacing w:after="0" w:line="139" w:lineRule="exact"/>
              <w:rPr>
                <w:sz w:val="20"/>
                <w:szCs w:val="20"/>
                <w:color w:val="auto"/>
              </w:rPr>
            </w:pPr>
            <w:r>
              <w:rPr>
                <w:rFonts w:ascii="Arial" w:cs="Arial" w:eastAsia="Arial" w:hAnsi="Arial"/>
                <w:sz w:val="13"/>
                <w:szCs w:val="13"/>
                <w:color w:val="auto"/>
              </w:rPr>
              <w:t>Edward A. Lang, III</w:t>
            </w:r>
          </w:p>
        </w:tc>
        <w:tc>
          <w:tcPr>
            <w:tcW w:w="10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ind w:left="240"/>
              <w:spacing w:after="0"/>
              <w:rPr>
                <w:sz w:val="20"/>
                <w:szCs w:val="20"/>
                <w:color w:val="auto"/>
              </w:rPr>
            </w:pPr>
            <w:r>
              <w:rPr>
                <w:rFonts w:ascii="Arial" w:cs="Arial" w:eastAsia="Arial" w:hAnsi="Arial"/>
                <w:sz w:val="13"/>
                <w:szCs w:val="13"/>
                <w:color w:val="auto"/>
              </w:rPr>
              <w:t>Treasurer</w:t>
            </w:r>
          </w:p>
        </w:tc>
        <w:tc>
          <w:tcPr>
            <w:tcW w:w="10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00" w:type="dxa"/>
            <w:vAlign w:val="bottom"/>
            <w:gridSpan w:val="2"/>
          </w:tcPr>
          <w:p>
            <w:pPr>
              <w:jc w:val="right"/>
              <w:ind w:right="4057"/>
              <w:spacing w:after="0"/>
              <w:rPr>
                <w:sz w:val="20"/>
                <w:szCs w:val="20"/>
                <w:color w:val="auto"/>
              </w:rPr>
            </w:pPr>
            <w:r>
              <w:rPr>
                <w:rFonts w:ascii="Arial" w:cs="Arial" w:eastAsia="Arial" w:hAnsi="Arial"/>
                <w:sz w:val="13"/>
                <w:szCs w:val="13"/>
                <w:color w:val="auto"/>
              </w:rPr>
              <w:t>II-130</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LLL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Schedule LLL hereto</w:t>
      </w:r>
    </w:p>
    <w:p>
      <w:pPr>
        <w:spacing w:after="0" w:line="325"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500" w:type="dxa"/>
            <w:vAlign w:val="bottom"/>
          </w:tcPr>
          <w:p>
            <w:pPr>
              <w:ind w:left="200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1020" w:type="dxa"/>
            <w:vAlign w:val="bottom"/>
          </w:tcPr>
          <w:p>
            <w:pPr>
              <w:spacing w:after="0"/>
              <w:rPr>
                <w:sz w:val="11"/>
                <w:szCs w:val="11"/>
                <w:color w:val="auto"/>
              </w:rPr>
            </w:pPr>
          </w:p>
        </w:tc>
        <w:tc>
          <w:tcPr>
            <w:tcW w:w="4240" w:type="dxa"/>
            <w:vAlign w:val="bottom"/>
          </w:tcPr>
          <w:p>
            <w:pPr>
              <w:jc w:val="right"/>
              <w:ind w:right="1357"/>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80"/>
        </w:trPr>
        <w:tc>
          <w:tcPr>
            <w:tcW w:w="6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left="476"/>
              <w:spacing w:after="0"/>
              <w:rPr>
                <w:sz w:val="20"/>
                <w:szCs w:val="20"/>
                <w:color w:val="auto"/>
              </w:rPr>
            </w:pPr>
            <w:r>
              <w:rPr>
                <w:rFonts w:ascii="Arial" w:cs="Arial" w:eastAsia="Arial" w:hAnsi="Arial"/>
                <w:sz w:val="13"/>
                <w:szCs w:val="13"/>
                <w:color w:val="auto"/>
                <w:w w:val="93"/>
              </w:rPr>
              <w:t>/s/ Donald W. Slager</w:t>
            </w:r>
          </w:p>
        </w:tc>
        <w:tc>
          <w:tcPr>
            <w:tcW w:w="1020" w:type="dxa"/>
            <w:vAlign w:val="bottom"/>
            <w:tcBorders>
              <w:bottom w:val="single" w:sz="8" w:color="auto"/>
            </w:tcBorders>
          </w:tcPr>
          <w:p>
            <w:pPr>
              <w:spacing w:after="0"/>
              <w:rPr>
                <w:sz w:val="24"/>
                <w:szCs w:val="24"/>
                <w:color w:val="auto"/>
              </w:rPr>
            </w:pPr>
          </w:p>
        </w:tc>
        <w:tc>
          <w:tcPr>
            <w:tcW w:w="4240" w:type="dxa"/>
            <w:vAlign w:val="bottom"/>
          </w:tcPr>
          <w:p>
            <w:pPr>
              <w:jc w:val="center"/>
              <w:ind w:left="937"/>
              <w:spacing w:after="0"/>
              <w:rPr>
                <w:sz w:val="20"/>
                <w:szCs w:val="20"/>
                <w:color w:val="auto"/>
              </w:rPr>
            </w:pPr>
            <w:r>
              <w:rPr>
                <w:rFonts w:ascii="Arial" w:cs="Arial" w:eastAsia="Arial" w:hAnsi="Arial"/>
                <w:sz w:val="13"/>
                <w:szCs w:val="13"/>
                <w:color w:val="auto"/>
                <w:w w:val="87"/>
              </w:rPr>
              <w:t>President</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500" w:type="dxa"/>
            <w:vAlign w:val="bottom"/>
          </w:tcPr>
          <w:p>
            <w:pPr>
              <w:jc w:val="center"/>
              <w:ind w:left="496"/>
              <w:spacing w:after="0"/>
              <w:rPr>
                <w:sz w:val="20"/>
                <w:szCs w:val="20"/>
                <w:color w:val="auto"/>
              </w:rPr>
            </w:pPr>
            <w:r>
              <w:rPr>
                <w:rFonts w:ascii="Arial" w:cs="Arial" w:eastAsia="Arial" w:hAnsi="Arial"/>
                <w:sz w:val="13"/>
                <w:szCs w:val="13"/>
                <w:color w:val="auto"/>
                <w:w w:val="92"/>
              </w:rPr>
              <w:t>Donald W. Slager</w:t>
            </w:r>
          </w:p>
        </w:tc>
        <w:tc>
          <w:tcPr>
            <w:tcW w:w="1020" w:type="dxa"/>
            <w:vAlign w:val="bottom"/>
          </w:tcPr>
          <w:p>
            <w:pPr>
              <w:spacing w:after="0"/>
              <w:rPr>
                <w:sz w:val="13"/>
                <w:szCs w:val="13"/>
                <w:color w:val="auto"/>
              </w:rPr>
            </w:pPr>
          </w:p>
        </w:tc>
        <w:tc>
          <w:tcPr>
            <w:tcW w:w="4240" w:type="dxa"/>
            <w:vAlign w:val="bottom"/>
          </w:tcPr>
          <w:p>
            <w:pPr>
              <w:jc w:val="center"/>
              <w:ind w:left="977"/>
              <w:spacing w:after="0" w:line="145" w:lineRule="exact"/>
              <w:rPr>
                <w:sz w:val="20"/>
                <w:szCs w:val="20"/>
                <w:color w:val="auto"/>
              </w:rPr>
            </w:pPr>
            <w:r>
              <w:rPr>
                <w:rFonts w:ascii="Arial" w:cs="Arial" w:eastAsia="Arial" w:hAnsi="Arial"/>
                <w:sz w:val="13"/>
                <w:szCs w:val="13"/>
                <w:color w:val="auto"/>
                <w:w w:val="95"/>
              </w:rPr>
              <w:t>(principal executive officer)</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left="496"/>
              <w:spacing w:after="0"/>
              <w:rPr>
                <w:sz w:val="20"/>
                <w:szCs w:val="20"/>
                <w:color w:val="auto"/>
              </w:rPr>
            </w:pPr>
            <w:r>
              <w:rPr>
                <w:rFonts w:ascii="Arial" w:cs="Arial" w:eastAsia="Arial" w:hAnsi="Arial"/>
                <w:sz w:val="13"/>
                <w:szCs w:val="13"/>
                <w:color w:val="auto"/>
                <w:w w:val="98"/>
              </w:rPr>
              <w:t>/s/ Edward A. Lang, III</w:t>
            </w:r>
          </w:p>
        </w:tc>
        <w:tc>
          <w:tcPr>
            <w:tcW w:w="1020" w:type="dxa"/>
            <w:vAlign w:val="bottom"/>
            <w:tcBorders>
              <w:bottom w:val="single" w:sz="8" w:color="auto"/>
            </w:tcBorders>
          </w:tcPr>
          <w:p>
            <w:pPr>
              <w:spacing w:after="0"/>
              <w:rPr>
                <w:sz w:val="24"/>
                <w:szCs w:val="24"/>
                <w:color w:val="auto"/>
              </w:rPr>
            </w:pPr>
          </w:p>
        </w:tc>
        <w:tc>
          <w:tcPr>
            <w:tcW w:w="4240" w:type="dxa"/>
            <w:vAlign w:val="bottom"/>
          </w:tcPr>
          <w:p>
            <w:pPr>
              <w:jc w:val="center"/>
              <w:ind w:left="977"/>
              <w:spacing w:after="0"/>
              <w:rPr>
                <w:sz w:val="20"/>
                <w:szCs w:val="20"/>
                <w:color w:val="auto"/>
              </w:rPr>
            </w:pPr>
            <w:r>
              <w:rPr>
                <w:rFonts w:ascii="Arial" w:cs="Arial" w:eastAsia="Arial" w:hAnsi="Arial"/>
                <w:sz w:val="13"/>
                <w:szCs w:val="13"/>
                <w:color w:val="auto"/>
                <w:w w:val="85"/>
              </w:rPr>
              <w:t>Treasurer</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500" w:type="dxa"/>
            <w:vAlign w:val="bottom"/>
          </w:tcPr>
          <w:p>
            <w:pPr>
              <w:jc w:val="center"/>
              <w:ind w:left="496"/>
              <w:spacing w:after="0"/>
              <w:rPr>
                <w:sz w:val="20"/>
                <w:szCs w:val="20"/>
                <w:color w:val="auto"/>
              </w:rPr>
            </w:pPr>
            <w:r>
              <w:rPr>
                <w:rFonts w:ascii="Arial" w:cs="Arial" w:eastAsia="Arial" w:hAnsi="Arial"/>
                <w:sz w:val="13"/>
                <w:szCs w:val="13"/>
                <w:color w:val="auto"/>
                <w:w w:val="95"/>
              </w:rPr>
              <w:t>Edward A. Lang, III</w:t>
            </w:r>
          </w:p>
        </w:tc>
        <w:tc>
          <w:tcPr>
            <w:tcW w:w="1020" w:type="dxa"/>
            <w:vAlign w:val="bottom"/>
          </w:tcPr>
          <w:p>
            <w:pPr>
              <w:spacing w:after="0"/>
              <w:rPr>
                <w:sz w:val="13"/>
                <w:szCs w:val="13"/>
                <w:color w:val="auto"/>
              </w:rPr>
            </w:pPr>
          </w:p>
        </w:tc>
        <w:tc>
          <w:tcPr>
            <w:tcW w:w="4240" w:type="dxa"/>
            <w:vAlign w:val="bottom"/>
          </w:tcPr>
          <w:p>
            <w:pPr>
              <w:jc w:val="center"/>
              <w:ind w:left="977"/>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8"/>
        </w:trPr>
        <w:tc>
          <w:tcPr>
            <w:tcW w:w="68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Holding Company, Inc.</w:t>
            </w:r>
          </w:p>
        </w:tc>
        <w:tc>
          <w:tcPr>
            <w:tcW w:w="5260" w:type="dxa"/>
            <w:vAlign w:val="bottom"/>
            <w:gridSpan w:val="2"/>
          </w:tcPr>
          <w:p>
            <w:pPr>
              <w:jc w:val="right"/>
              <w:ind w:right="1057"/>
              <w:spacing w:after="0"/>
              <w:rPr>
                <w:sz w:val="20"/>
                <w:szCs w:val="20"/>
                <w:color w:val="auto"/>
              </w:rPr>
            </w:pPr>
            <w:r>
              <w:rPr>
                <w:rFonts w:ascii="Arial" w:cs="Arial" w:eastAsia="Arial" w:hAnsi="Arial"/>
                <w:sz w:val="13"/>
                <w:szCs w:val="13"/>
                <w:color w:val="auto"/>
              </w:rPr>
              <w:t>60;</w:t>
            </w:r>
          </w:p>
        </w:tc>
        <w:tc>
          <w:tcPr>
            <w:tcW w:w="740" w:type="dxa"/>
            <w:vAlign w:val="bottom"/>
          </w:tcPr>
          <w:p>
            <w:pPr>
              <w:ind w:left="20"/>
              <w:spacing w:after="0"/>
              <w:rPr>
                <w:sz w:val="20"/>
                <w:szCs w:val="20"/>
                <w:color w:val="auto"/>
              </w:rPr>
            </w:pPr>
            <w:r>
              <w:rPr>
                <w:rFonts w:ascii="Arial" w:cs="Arial" w:eastAsia="Arial" w:hAnsi="Arial"/>
                <w:sz w:val="13"/>
                <w:szCs w:val="13"/>
                <w:color w:val="auto"/>
              </w:rPr>
              <w:t>Managing</w:t>
            </w:r>
          </w:p>
        </w:tc>
        <w:tc>
          <w:tcPr>
            <w:tcW w:w="800" w:type="dxa"/>
            <w:vAlign w:val="bottom"/>
          </w:tcPr>
          <w:p>
            <w:pPr>
              <w:spacing w:after="0"/>
              <w:rPr>
                <w:sz w:val="24"/>
                <w:szCs w:val="24"/>
                <w:color w:val="auto"/>
              </w:rPr>
            </w:pPr>
          </w:p>
        </w:tc>
      </w:tr>
      <w:tr>
        <w:trPr>
          <w:trHeight w:val="165"/>
        </w:trPr>
        <w:tc>
          <w:tcPr>
            <w:tcW w:w="6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3"/>
                <w:szCs w:val="13"/>
                <w:color w:val="auto"/>
                <w:w w:val="96"/>
              </w:rPr>
              <w:t>Member</w:t>
            </w:r>
          </w:p>
        </w:tc>
        <w:tc>
          <w:tcPr>
            <w:tcW w:w="3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25"/>
        </w:trPr>
        <w:tc>
          <w:tcPr>
            <w:tcW w:w="68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/s/</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Edward A. Lang, III</w:t>
            </w:r>
          </w:p>
        </w:tc>
        <w:tc>
          <w:tcPr>
            <w:tcW w:w="10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8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3500" w:type="dxa"/>
            <w:vAlign w:val="bottom"/>
          </w:tcPr>
          <w:p>
            <w:pPr>
              <w:ind w:left="40"/>
              <w:spacing w:after="0" w:line="139" w:lineRule="exact"/>
              <w:rPr>
                <w:sz w:val="20"/>
                <w:szCs w:val="20"/>
                <w:color w:val="auto"/>
              </w:rPr>
            </w:pPr>
            <w:r>
              <w:rPr>
                <w:rFonts w:ascii="Arial" w:cs="Arial" w:eastAsia="Arial" w:hAnsi="Arial"/>
                <w:sz w:val="13"/>
                <w:szCs w:val="13"/>
                <w:color w:val="auto"/>
              </w:rPr>
              <w:t>Edward A. Lang, III</w:t>
            </w:r>
          </w:p>
        </w:tc>
        <w:tc>
          <w:tcPr>
            <w:tcW w:w="10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ind w:left="240"/>
              <w:spacing w:after="0"/>
              <w:rPr>
                <w:sz w:val="20"/>
                <w:szCs w:val="20"/>
                <w:color w:val="auto"/>
              </w:rPr>
            </w:pPr>
            <w:r>
              <w:rPr>
                <w:rFonts w:ascii="Arial" w:cs="Arial" w:eastAsia="Arial" w:hAnsi="Arial"/>
                <w:sz w:val="13"/>
                <w:szCs w:val="13"/>
                <w:color w:val="auto"/>
              </w:rPr>
              <w:t>Treasurer</w:t>
            </w:r>
          </w:p>
        </w:tc>
        <w:tc>
          <w:tcPr>
            <w:tcW w:w="10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260" w:type="dxa"/>
            <w:vAlign w:val="bottom"/>
            <w:gridSpan w:val="2"/>
          </w:tcPr>
          <w:p>
            <w:pPr>
              <w:jc w:val="right"/>
              <w:ind w:right="4017"/>
              <w:spacing w:after="0"/>
              <w:rPr>
                <w:sz w:val="20"/>
                <w:szCs w:val="20"/>
                <w:color w:val="auto"/>
              </w:rPr>
            </w:pPr>
            <w:r>
              <w:rPr>
                <w:rFonts w:ascii="Arial" w:cs="Arial" w:eastAsia="Arial" w:hAnsi="Arial"/>
                <w:sz w:val="13"/>
                <w:szCs w:val="13"/>
                <w:color w:val="auto"/>
              </w:rPr>
              <w:t>II-131</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MMM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MMM hereto</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500" w:type="dxa"/>
            <w:vAlign w:val="bottom"/>
          </w:tcPr>
          <w:p>
            <w:pPr>
              <w:ind w:left="200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1020" w:type="dxa"/>
            <w:vAlign w:val="bottom"/>
          </w:tcPr>
          <w:p>
            <w:pPr>
              <w:spacing w:after="0"/>
              <w:rPr>
                <w:sz w:val="11"/>
                <w:szCs w:val="11"/>
                <w:color w:val="auto"/>
              </w:rPr>
            </w:pPr>
          </w:p>
        </w:tc>
        <w:tc>
          <w:tcPr>
            <w:tcW w:w="4240" w:type="dxa"/>
            <w:vAlign w:val="bottom"/>
          </w:tcPr>
          <w:p>
            <w:pPr>
              <w:jc w:val="right"/>
              <w:ind w:right="1357"/>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80"/>
        </w:trPr>
        <w:tc>
          <w:tcPr>
            <w:tcW w:w="6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left="496"/>
              <w:spacing w:after="0"/>
              <w:rPr>
                <w:sz w:val="20"/>
                <w:szCs w:val="20"/>
                <w:color w:val="auto"/>
              </w:rPr>
            </w:pPr>
            <w:r>
              <w:rPr>
                <w:rFonts w:ascii="Arial" w:cs="Arial" w:eastAsia="Arial" w:hAnsi="Arial"/>
                <w:sz w:val="13"/>
                <w:szCs w:val="13"/>
                <w:color w:val="auto"/>
                <w:w w:val="97"/>
              </w:rPr>
              <w:t>/s/ Ronald Krall</w:t>
            </w:r>
          </w:p>
        </w:tc>
        <w:tc>
          <w:tcPr>
            <w:tcW w:w="1020" w:type="dxa"/>
            <w:vAlign w:val="bottom"/>
            <w:tcBorders>
              <w:bottom w:val="single" w:sz="8" w:color="auto"/>
            </w:tcBorders>
          </w:tcPr>
          <w:p>
            <w:pPr>
              <w:spacing w:after="0"/>
              <w:rPr>
                <w:sz w:val="24"/>
                <w:szCs w:val="24"/>
                <w:color w:val="auto"/>
              </w:rPr>
            </w:pPr>
          </w:p>
        </w:tc>
        <w:tc>
          <w:tcPr>
            <w:tcW w:w="4240" w:type="dxa"/>
            <w:vAlign w:val="bottom"/>
          </w:tcPr>
          <w:p>
            <w:pPr>
              <w:jc w:val="center"/>
              <w:ind w:left="937"/>
              <w:spacing w:after="0"/>
              <w:rPr>
                <w:sz w:val="20"/>
                <w:szCs w:val="20"/>
                <w:color w:val="auto"/>
              </w:rPr>
            </w:pPr>
            <w:r>
              <w:rPr>
                <w:rFonts w:ascii="Arial" w:cs="Arial" w:eastAsia="Arial" w:hAnsi="Arial"/>
                <w:sz w:val="13"/>
                <w:szCs w:val="13"/>
                <w:color w:val="auto"/>
                <w:w w:val="87"/>
              </w:rPr>
              <w:t>President</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500" w:type="dxa"/>
            <w:vAlign w:val="bottom"/>
          </w:tcPr>
          <w:p>
            <w:pPr>
              <w:jc w:val="center"/>
              <w:ind w:left="476"/>
              <w:spacing w:after="0"/>
              <w:rPr>
                <w:sz w:val="20"/>
                <w:szCs w:val="20"/>
                <w:color w:val="auto"/>
              </w:rPr>
            </w:pPr>
            <w:r>
              <w:rPr>
                <w:rFonts w:ascii="Arial" w:cs="Arial" w:eastAsia="Arial" w:hAnsi="Arial"/>
                <w:sz w:val="13"/>
                <w:szCs w:val="13"/>
                <w:color w:val="auto"/>
                <w:w w:val="95"/>
              </w:rPr>
              <w:t>Ronald Krall</w:t>
            </w:r>
          </w:p>
        </w:tc>
        <w:tc>
          <w:tcPr>
            <w:tcW w:w="1020" w:type="dxa"/>
            <w:vAlign w:val="bottom"/>
          </w:tcPr>
          <w:p>
            <w:pPr>
              <w:spacing w:after="0"/>
              <w:rPr>
                <w:sz w:val="13"/>
                <w:szCs w:val="13"/>
                <w:color w:val="auto"/>
              </w:rPr>
            </w:pPr>
          </w:p>
        </w:tc>
        <w:tc>
          <w:tcPr>
            <w:tcW w:w="4240" w:type="dxa"/>
            <w:vAlign w:val="bottom"/>
          </w:tcPr>
          <w:p>
            <w:pPr>
              <w:jc w:val="center"/>
              <w:ind w:left="977"/>
              <w:spacing w:after="0" w:line="145" w:lineRule="exact"/>
              <w:rPr>
                <w:sz w:val="20"/>
                <w:szCs w:val="20"/>
                <w:color w:val="auto"/>
              </w:rPr>
            </w:pPr>
            <w:r>
              <w:rPr>
                <w:rFonts w:ascii="Arial" w:cs="Arial" w:eastAsia="Arial" w:hAnsi="Arial"/>
                <w:sz w:val="13"/>
                <w:szCs w:val="13"/>
                <w:color w:val="auto"/>
                <w:w w:val="95"/>
              </w:rPr>
              <w:t>(principal executive officer)</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left="496"/>
              <w:spacing w:after="0"/>
              <w:rPr>
                <w:sz w:val="20"/>
                <w:szCs w:val="20"/>
                <w:color w:val="auto"/>
              </w:rPr>
            </w:pPr>
            <w:r>
              <w:rPr>
                <w:rFonts w:ascii="Arial" w:cs="Arial" w:eastAsia="Arial" w:hAnsi="Arial"/>
                <w:sz w:val="13"/>
                <w:szCs w:val="13"/>
                <w:color w:val="auto"/>
                <w:w w:val="98"/>
              </w:rPr>
              <w:t>/s/ Edward A. Lang, III</w:t>
            </w:r>
          </w:p>
        </w:tc>
        <w:tc>
          <w:tcPr>
            <w:tcW w:w="1020" w:type="dxa"/>
            <w:vAlign w:val="bottom"/>
            <w:tcBorders>
              <w:bottom w:val="single" w:sz="8" w:color="auto"/>
            </w:tcBorders>
          </w:tcPr>
          <w:p>
            <w:pPr>
              <w:spacing w:after="0"/>
              <w:rPr>
                <w:sz w:val="24"/>
                <w:szCs w:val="24"/>
                <w:color w:val="auto"/>
              </w:rPr>
            </w:pPr>
          </w:p>
        </w:tc>
        <w:tc>
          <w:tcPr>
            <w:tcW w:w="4240" w:type="dxa"/>
            <w:vAlign w:val="bottom"/>
          </w:tcPr>
          <w:p>
            <w:pPr>
              <w:jc w:val="center"/>
              <w:ind w:left="977"/>
              <w:spacing w:after="0"/>
              <w:rPr>
                <w:sz w:val="20"/>
                <w:szCs w:val="20"/>
                <w:color w:val="auto"/>
              </w:rPr>
            </w:pPr>
            <w:r>
              <w:rPr>
                <w:rFonts w:ascii="Arial" w:cs="Arial" w:eastAsia="Arial" w:hAnsi="Arial"/>
                <w:sz w:val="13"/>
                <w:szCs w:val="13"/>
                <w:color w:val="auto"/>
                <w:w w:val="85"/>
              </w:rPr>
              <w:t>Treasurer</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500" w:type="dxa"/>
            <w:vAlign w:val="bottom"/>
          </w:tcPr>
          <w:p>
            <w:pPr>
              <w:jc w:val="center"/>
              <w:ind w:left="496"/>
              <w:spacing w:after="0"/>
              <w:rPr>
                <w:sz w:val="20"/>
                <w:szCs w:val="20"/>
                <w:color w:val="auto"/>
              </w:rPr>
            </w:pPr>
            <w:r>
              <w:rPr>
                <w:rFonts w:ascii="Arial" w:cs="Arial" w:eastAsia="Arial" w:hAnsi="Arial"/>
                <w:sz w:val="13"/>
                <w:szCs w:val="13"/>
                <w:color w:val="auto"/>
                <w:w w:val="95"/>
              </w:rPr>
              <w:t>Edward A. Lang, III</w:t>
            </w:r>
          </w:p>
        </w:tc>
        <w:tc>
          <w:tcPr>
            <w:tcW w:w="1020" w:type="dxa"/>
            <w:vAlign w:val="bottom"/>
          </w:tcPr>
          <w:p>
            <w:pPr>
              <w:spacing w:after="0"/>
              <w:rPr>
                <w:sz w:val="13"/>
                <w:szCs w:val="13"/>
                <w:color w:val="auto"/>
              </w:rPr>
            </w:pPr>
          </w:p>
        </w:tc>
        <w:tc>
          <w:tcPr>
            <w:tcW w:w="4240" w:type="dxa"/>
            <w:vAlign w:val="bottom"/>
          </w:tcPr>
          <w:p>
            <w:pPr>
              <w:jc w:val="center"/>
              <w:ind w:left="977"/>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8"/>
        </w:trPr>
        <w:tc>
          <w:tcPr>
            <w:tcW w:w="68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Holding Company, Inc.</w:t>
            </w:r>
          </w:p>
        </w:tc>
        <w:tc>
          <w:tcPr>
            <w:tcW w:w="5260" w:type="dxa"/>
            <w:vAlign w:val="bottom"/>
            <w:gridSpan w:val="2"/>
          </w:tcPr>
          <w:p>
            <w:pPr>
              <w:jc w:val="right"/>
              <w:ind w:right="1057"/>
              <w:spacing w:after="0"/>
              <w:rPr>
                <w:sz w:val="20"/>
                <w:szCs w:val="20"/>
                <w:color w:val="auto"/>
              </w:rPr>
            </w:pPr>
            <w:r>
              <w:rPr>
                <w:rFonts w:ascii="Arial" w:cs="Arial" w:eastAsia="Arial" w:hAnsi="Arial"/>
                <w:sz w:val="13"/>
                <w:szCs w:val="13"/>
                <w:color w:val="auto"/>
              </w:rPr>
              <w:t>60;</w:t>
            </w:r>
          </w:p>
        </w:tc>
        <w:tc>
          <w:tcPr>
            <w:tcW w:w="740" w:type="dxa"/>
            <w:vAlign w:val="bottom"/>
          </w:tcPr>
          <w:p>
            <w:pPr>
              <w:ind w:left="20"/>
              <w:spacing w:after="0"/>
              <w:rPr>
                <w:sz w:val="20"/>
                <w:szCs w:val="20"/>
                <w:color w:val="auto"/>
              </w:rPr>
            </w:pPr>
            <w:r>
              <w:rPr>
                <w:rFonts w:ascii="Arial" w:cs="Arial" w:eastAsia="Arial" w:hAnsi="Arial"/>
                <w:sz w:val="13"/>
                <w:szCs w:val="13"/>
                <w:color w:val="auto"/>
              </w:rPr>
              <w:t>Managing</w:t>
            </w:r>
          </w:p>
        </w:tc>
        <w:tc>
          <w:tcPr>
            <w:tcW w:w="800" w:type="dxa"/>
            <w:vAlign w:val="bottom"/>
          </w:tcPr>
          <w:p>
            <w:pPr>
              <w:spacing w:after="0"/>
              <w:rPr>
                <w:sz w:val="24"/>
                <w:szCs w:val="24"/>
                <w:color w:val="auto"/>
              </w:rPr>
            </w:pPr>
          </w:p>
        </w:tc>
      </w:tr>
      <w:tr>
        <w:trPr>
          <w:trHeight w:val="165"/>
        </w:trPr>
        <w:tc>
          <w:tcPr>
            <w:tcW w:w="6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3"/>
                <w:szCs w:val="13"/>
                <w:color w:val="auto"/>
                <w:w w:val="96"/>
              </w:rPr>
              <w:t>Member</w:t>
            </w:r>
          </w:p>
        </w:tc>
        <w:tc>
          <w:tcPr>
            <w:tcW w:w="3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25"/>
        </w:trPr>
        <w:tc>
          <w:tcPr>
            <w:tcW w:w="68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/s/</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Edward A. Lang, III</w:t>
            </w:r>
          </w:p>
        </w:tc>
        <w:tc>
          <w:tcPr>
            <w:tcW w:w="10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8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3500" w:type="dxa"/>
            <w:vAlign w:val="bottom"/>
          </w:tcPr>
          <w:p>
            <w:pPr>
              <w:ind w:left="40"/>
              <w:spacing w:after="0" w:line="139" w:lineRule="exact"/>
              <w:rPr>
                <w:sz w:val="20"/>
                <w:szCs w:val="20"/>
                <w:color w:val="auto"/>
              </w:rPr>
            </w:pPr>
            <w:r>
              <w:rPr>
                <w:rFonts w:ascii="Arial" w:cs="Arial" w:eastAsia="Arial" w:hAnsi="Arial"/>
                <w:sz w:val="13"/>
                <w:szCs w:val="13"/>
                <w:color w:val="auto"/>
              </w:rPr>
              <w:t>Edward A. Lang, III</w:t>
            </w:r>
          </w:p>
        </w:tc>
        <w:tc>
          <w:tcPr>
            <w:tcW w:w="10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tcPr>
          <w:p>
            <w:pPr>
              <w:ind w:left="240"/>
              <w:spacing w:after="0"/>
              <w:rPr>
                <w:sz w:val="20"/>
                <w:szCs w:val="20"/>
                <w:color w:val="auto"/>
              </w:rPr>
            </w:pPr>
            <w:r>
              <w:rPr>
                <w:rFonts w:ascii="Arial" w:cs="Arial" w:eastAsia="Arial" w:hAnsi="Arial"/>
                <w:sz w:val="13"/>
                <w:szCs w:val="13"/>
                <w:color w:val="auto"/>
              </w:rPr>
              <w:t>Treasurer</w:t>
            </w:r>
          </w:p>
        </w:tc>
        <w:tc>
          <w:tcPr>
            <w:tcW w:w="10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260" w:type="dxa"/>
            <w:vAlign w:val="bottom"/>
            <w:gridSpan w:val="2"/>
          </w:tcPr>
          <w:p>
            <w:pPr>
              <w:jc w:val="right"/>
              <w:ind w:right="4017"/>
              <w:spacing w:after="0"/>
              <w:rPr>
                <w:sz w:val="20"/>
                <w:szCs w:val="20"/>
                <w:color w:val="auto"/>
              </w:rPr>
            </w:pPr>
            <w:r>
              <w:rPr>
                <w:rFonts w:ascii="Arial" w:cs="Arial" w:eastAsia="Arial" w:hAnsi="Arial"/>
                <w:sz w:val="13"/>
                <w:szCs w:val="13"/>
                <w:color w:val="auto"/>
              </w:rPr>
              <w:t>II-132</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NNN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NNN hereto</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Vice President — Finance and 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3160"/>
        <w:spacing w:after="0"/>
        <w:tabs>
          <w:tab w:leader="none" w:pos="828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jc w:val="center"/>
              <w:ind w:left="1194"/>
              <w:spacing w:after="0"/>
              <w:rPr>
                <w:sz w:val="20"/>
                <w:szCs w:val="20"/>
                <w:color w:val="auto"/>
              </w:rPr>
            </w:pPr>
            <w:r>
              <w:rPr>
                <w:rFonts w:ascii="Arial" w:cs="Arial" w:eastAsia="Arial" w:hAnsi="Arial"/>
                <w:sz w:val="13"/>
                <w:szCs w:val="13"/>
                <w:color w:val="auto"/>
                <w:w w:val="93"/>
              </w:rPr>
              <w:t>/s/ Donald W. Slager</w:t>
            </w:r>
          </w:p>
        </w:tc>
        <w:tc>
          <w:tcPr>
            <w:tcW w:w="1720" w:type="dxa"/>
            <w:vAlign w:val="bottom"/>
            <w:tcBorders>
              <w:bottom w:val="single" w:sz="8" w:color="auto"/>
            </w:tcBorders>
          </w:tcPr>
          <w:p>
            <w:pPr>
              <w:spacing w:after="0"/>
              <w:rPr>
                <w:sz w:val="14"/>
                <w:szCs w:val="14"/>
                <w:color w:val="auto"/>
              </w:rPr>
            </w:pPr>
          </w:p>
        </w:tc>
        <w:tc>
          <w:tcPr>
            <w:tcW w:w="4980" w:type="dxa"/>
            <w:vAlign w:val="bottom"/>
          </w:tcPr>
          <w:p>
            <w:pPr>
              <w:jc w:val="center"/>
              <w:ind w:left="194"/>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14"/>
                <w:szCs w:val="1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20" w:type="dxa"/>
            <w:vAlign w:val="bottom"/>
          </w:tcPr>
          <w:p>
            <w:pPr>
              <w:jc w:val="center"/>
              <w:ind w:left="1214"/>
              <w:spacing w:after="0"/>
              <w:rPr>
                <w:sz w:val="20"/>
                <w:szCs w:val="20"/>
                <w:color w:val="auto"/>
              </w:rPr>
            </w:pPr>
            <w:r>
              <w:rPr>
                <w:rFonts w:ascii="Arial" w:cs="Arial" w:eastAsia="Arial" w:hAnsi="Arial"/>
                <w:sz w:val="13"/>
                <w:szCs w:val="13"/>
                <w:color w:val="auto"/>
                <w:w w:val="92"/>
              </w:rPr>
              <w:t>Donald W. Slager</w:t>
            </w:r>
          </w:p>
        </w:tc>
        <w:tc>
          <w:tcPr>
            <w:tcW w:w="1720" w:type="dxa"/>
            <w:vAlign w:val="bottom"/>
          </w:tcPr>
          <w:p>
            <w:pPr>
              <w:spacing w:after="0"/>
              <w:rPr>
                <w:sz w:val="13"/>
                <w:szCs w:val="13"/>
                <w:color w:val="auto"/>
              </w:rPr>
            </w:pPr>
          </w:p>
        </w:tc>
        <w:tc>
          <w:tcPr>
            <w:tcW w:w="4980" w:type="dxa"/>
            <w:vAlign w:val="bottom"/>
          </w:tcPr>
          <w:p>
            <w:pPr>
              <w:jc w:val="center"/>
              <w:ind w:left="214"/>
              <w:spacing w:after="0" w:line="145" w:lineRule="exact"/>
              <w:rPr>
                <w:sz w:val="20"/>
                <w:szCs w:val="20"/>
                <w:color w:val="auto"/>
              </w:rPr>
            </w:pPr>
            <w:r>
              <w:rPr>
                <w:rFonts w:ascii="Arial" w:cs="Arial" w:eastAsia="Arial" w:hAnsi="Arial"/>
                <w:sz w:val="13"/>
                <w:szCs w:val="13"/>
                <w:color w:val="auto"/>
                <w:w w:val="94"/>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center"/>
              <w:ind w:left="1214"/>
              <w:spacing w:after="0"/>
              <w:rPr>
                <w:sz w:val="20"/>
                <w:szCs w:val="20"/>
                <w:color w:val="auto"/>
              </w:rPr>
            </w:pPr>
            <w:r>
              <w:rPr>
                <w:rFonts w:ascii="Arial" w:cs="Arial" w:eastAsia="Arial" w:hAnsi="Arial"/>
                <w:sz w:val="13"/>
                <w:szCs w:val="13"/>
                <w:color w:val="auto"/>
                <w:w w:val="98"/>
              </w:rPr>
              <w:t>/s/ Edward A. Lang, III</w:t>
            </w:r>
          </w:p>
        </w:tc>
        <w:tc>
          <w:tcPr>
            <w:tcW w:w="1720" w:type="dxa"/>
            <w:vAlign w:val="bottom"/>
            <w:tcBorders>
              <w:bottom w:val="single" w:sz="8" w:color="auto"/>
            </w:tcBorders>
          </w:tcPr>
          <w:p>
            <w:pPr>
              <w:spacing w:after="0"/>
              <w:rPr>
                <w:sz w:val="24"/>
                <w:szCs w:val="24"/>
                <w:color w:val="auto"/>
              </w:rPr>
            </w:pPr>
          </w:p>
        </w:tc>
        <w:tc>
          <w:tcPr>
            <w:tcW w:w="4980" w:type="dxa"/>
            <w:vAlign w:val="bottom"/>
          </w:tcPr>
          <w:p>
            <w:pPr>
              <w:jc w:val="center"/>
              <w:ind w:left="234"/>
              <w:spacing w:after="0"/>
              <w:rPr>
                <w:sz w:val="20"/>
                <w:szCs w:val="20"/>
                <w:color w:val="auto"/>
              </w:rPr>
            </w:pPr>
            <w:r>
              <w:rPr>
                <w:rFonts w:ascii="Arial" w:cs="Arial" w:eastAsia="Arial" w:hAnsi="Arial"/>
                <w:sz w:val="13"/>
                <w:szCs w:val="13"/>
                <w:color w:val="auto"/>
                <w:w w:val="89"/>
              </w:rPr>
              <w:t>Vice President — Finance and Treasurer</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20" w:type="dxa"/>
            <w:vAlign w:val="bottom"/>
          </w:tcPr>
          <w:p>
            <w:pPr>
              <w:jc w:val="center"/>
              <w:ind w:left="1214"/>
              <w:spacing w:after="0"/>
              <w:rPr>
                <w:sz w:val="20"/>
                <w:szCs w:val="20"/>
                <w:color w:val="auto"/>
              </w:rPr>
            </w:pPr>
            <w:r>
              <w:rPr>
                <w:rFonts w:ascii="Arial" w:cs="Arial" w:eastAsia="Arial" w:hAnsi="Arial"/>
                <w:sz w:val="13"/>
                <w:szCs w:val="13"/>
                <w:color w:val="auto"/>
                <w:w w:val="95"/>
              </w:rPr>
              <w:t>Edward A. Lang, III</w:t>
            </w:r>
          </w:p>
        </w:tc>
        <w:tc>
          <w:tcPr>
            <w:tcW w:w="1720" w:type="dxa"/>
            <w:vAlign w:val="bottom"/>
          </w:tcPr>
          <w:p>
            <w:pPr>
              <w:spacing w:after="0"/>
              <w:rPr>
                <w:sz w:val="13"/>
                <w:szCs w:val="13"/>
                <w:color w:val="auto"/>
              </w:rPr>
            </w:pPr>
          </w:p>
        </w:tc>
        <w:tc>
          <w:tcPr>
            <w:tcW w:w="4980" w:type="dxa"/>
            <w:vAlign w:val="bottom"/>
          </w:tcPr>
          <w:p>
            <w:pPr>
              <w:jc w:val="center"/>
              <w:ind w:left="234"/>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800" w:type="dxa"/>
            <w:vAlign w:val="bottom"/>
          </w:tcPr>
          <w:p>
            <w:pPr>
              <w:spacing w:after="0"/>
              <w:rPr>
                <w:sz w:val="13"/>
                <w:szCs w:val="13"/>
                <w:color w:val="auto"/>
              </w:rPr>
            </w:pPr>
          </w:p>
        </w:tc>
      </w:tr>
      <w:tr>
        <w:trPr>
          <w:trHeight w:val="316"/>
        </w:trPr>
        <w:tc>
          <w:tcPr>
            <w:tcW w:w="6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Browning-Ferris Industries of Tennessee, Inc.</w:t>
            </w:r>
          </w:p>
        </w:tc>
        <w:tc>
          <w:tcPr>
            <w:tcW w:w="6700" w:type="dxa"/>
            <w:vAlign w:val="bottom"/>
            <w:gridSpan w:val="2"/>
          </w:tcPr>
          <w:p>
            <w:pPr>
              <w:ind w:left="160"/>
              <w:spacing w:after="0"/>
              <w:rPr>
                <w:sz w:val="20"/>
                <w:szCs w:val="20"/>
                <w:color w:val="auto"/>
              </w:rPr>
            </w:pPr>
            <w:r>
              <w:rPr>
                <w:rFonts w:ascii="Arial" w:cs="Arial" w:eastAsia="Arial" w:hAnsi="Arial"/>
                <w:sz w:val="13"/>
                <w:szCs w:val="13"/>
                <w:color w:val="auto"/>
              </w:rPr>
              <w:t>Managing Member</w:t>
            </w:r>
          </w:p>
        </w:tc>
        <w:tc>
          <w:tcPr>
            <w:tcW w:w="800" w:type="dxa"/>
            <w:vAlign w:val="bottom"/>
          </w:tcPr>
          <w:p>
            <w:pPr>
              <w:spacing w:after="0"/>
              <w:rPr>
                <w:sz w:val="24"/>
                <w:szCs w:val="24"/>
                <w:color w:val="auto"/>
              </w:rPr>
            </w:pPr>
          </w:p>
        </w:tc>
      </w:tr>
      <w:tr>
        <w:trPr>
          <w:trHeight w:val="325"/>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/s/</w:t>
            </w:r>
          </w:p>
        </w:tc>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Edward A. Lang, III</w:t>
            </w:r>
          </w:p>
        </w:tc>
        <w:tc>
          <w:tcPr>
            <w:tcW w:w="17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6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2820" w:type="dxa"/>
            <w:vAlign w:val="bottom"/>
          </w:tcPr>
          <w:p>
            <w:pPr>
              <w:ind w:left="60"/>
              <w:spacing w:after="0" w:line="139" w:lineRule="exact"/>
              <w:rPr>
                <w:sz w:val="20"/>
                <w:szCs w:val="20"/>
                <w:color w:val="auto"/>
              </w:rPr>
            </w:pPr>
            <w:r>
              <w:rPr>
                <w:rFonts w:ascii="Arial" w:cs="Arial" w:eastAsia="Arial" w:hAnsi="Arial"/>
                <w:sz w:val="13"/>
                <w:szCs w:val="13"/>
                <w:color w:val="auto"/>
              </w:rPr>
              <w:t>Edward A. Lang, III</w:t>
            </w:r>
          </w:p>
        </w:tc>
        <w:tc>
          <w:tcPr>
            <w:tcW w:w="17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2820" w:type="dxa"/>
            <w:vAlign w:val="bottom"/>
          </w:tcPr>
          <w:p>
            <w:pPr>
              <w:ind w:left="260"/>
              <w:spacing w:after="0"/>
              <w:rPr>
                <w:sz w:val="20"/>
                <w:szCs w:val="20"/>
                <w:color w:val="auto"/>
              </w:rPr>
            </w:pPr>
            <w:r>
              <w:rPr>
                <w:rFonts w:ascii="Arial" w:cs="Arial" w:eastAsia="Arial" w:hAnsi="Arial"/>
                <w:sz w:val="13"/>
                <w:szCs w:val="13"/>
                <w:color w:val="auto"/>
              </w:rPr>
              <w:t>Vice President — Finance and Treasurer</w:t>
            </w:r>
          </w:p>
        </w:tc>
        <w:tc>
          <w:tcPr>
            <w:tcW w:w="17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700" w:type="dxa"/>
            <w:vAlign w:val="bottom"/>
            <w:gridSpan w:val="2"/>
          </w:tcPr>
          <w:p>
            <w:pPr>
              <w:ind w:left="1560"/>
              <w:spacing w:after="0"/>
              <w:rPr>
                <w:sz w:val="20"/>
                <w:szCs w:val="20"/>
                <w:color w:val="auto"/>
              </w:rPr>
            </w:pPr>
            <w:r>
              <w:rPr>
                <w:rFonts w:ascii="Arial" w:cs="Arial" w:eastAsia="Arial" w:hAnsi="Arial"/>
                <w:sz w:val="13"/>
                <w:szCs w:val="13"/>
                <w:color w:val="auto"/>
              </w:rPr>
              <w:t>II-133</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82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OOO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OOO hereto</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40" w:type="dxa"/>
            <w:vAlign w:val="bottom"/>
          </w:tcPr>
          <w:p>
            <w:pPr>
              <w:ind w:left="202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700" w:type="dxa"/>
            <w:vAlign w:val="bottom"/>
          </w:tcPr>
          <w:p>
            <w:pPr>
              <w:spacing w:after="0"/>
              <w:rPr>
                <w:sz w:val="11"/>
                <w:szCs w:val="11"/>
                <w:color w:val="auto"/>
              </w:rPr>
            </w:pPr>
          </w:p>
        </w:tc>
        <w:tc>
          <w:tcPr>
            <w:tcW w:w="4980" w:type="dxa"/>
            <w:vAlign w:val="bottom"/>
          </w:tcPr>
          <w:p>
            <w:pPr>
              <w:ind w:left="26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800" w:type="dxa"/>
            <w:vAlign w:val="bottom"/>
          </w:tcPr>
          <w:p>
            <w:pPr>
              <w:spacing w:after="0"/>
              <w:rPr>
                <w:sz w:val="11"/>
                <w:szCs w:val="11"/>
                <w:color w:val="auto"/>
              </w:rPr>
            </w:pPr>
          </w:p>
        </w:tc>
      </w:tr>
      <w:tr>
        <w:trPr>
          <w:trHeight w:val="480"/>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left="176"/>
              <w:spacing w:after="0"/>
              <w:rPr>
                <w:sz w:val="20"/>
                <w:szCs w:val="20"/>
                <w:color w:val="auto"/>
              </w:rPr>
            </w:pPr>
            <w:r>
              <w:rPr>
                <w:rFonts w:ascii="Arial" w:cs="Arial" w:eastAsia="Arial" w:hAnsi="Arial"/>
                <w:sz w:val="13"/>
                <w:szCs w:val="13"/>
                <w:color w:val="auto"/>
                <w:w w:val="93"/>
              </w:rPr>
              <w:t>/s/ Donald W. Slager</w:t>
            </w:r>
          </w:p>
        </w:tc>
        <w:tc>
          <w:tcPr>
            <w:tcW w:w="700" w:type="dxa"/>
            <w:vAlign w:val="bottom"/>
            <w:tcBorders>
              <w:bottom w:val="single" w:sz="8" w:color="auto"/>
            </w:tcBorders>
          </w:tcPr>
          <w:p>
            <w:pPr>
              <w:spacing w:after="0"/>
              <w:rPr>
                <w:sz w:val="24"/>
                <w:szCs w:val="24"/>
                <w:color w:val="auto"/>
              </w:rPr>
            </w:pPr>
          </w:p>
        </w:tc>
        <w:tc>
          <w:tcPr>
            <w:tcW w:w="4980" w:type="dxa"/>
            <w:vAlign w:val="bottom"/>
          </w:tcPr>
          <w:p>
            <w:pPr>
              <w:jc w:val="center"/>
              <w:ind w:left="197"/>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40" w:type="dxa"/>
            <w:vAlign w:val="bottom"/>
          </w:tcPr>
          <w:p>
            <w:pPr>
              <w:jc w:val="center"/>
              <w:ind w:left="196"/>
              <w:spacing w:after="0"/>
              <w:rPr>
                <w:sz w:val="20"/>
                <w:szCs w:val="20"/>
                <w:color w:val="auto"/>
              </w:rPr>
            </w:pPr>
            <w:r>
              <w:rPr>
                <w:rFonts w:ascii="Arial" w:cs="Arial" w:eastAsia="Arial" w:hAnsi="Arial"/>
                <w:sz w:val="13"/>
                <w:szCs w:val="13"/>
                <w:color w:val="auto"/>
                <w:w w:val="92"/>
              </w:rPr>
              <w:t>Donald W. Slager</w:t>
            </w:r>
          </w:p>
        </w:tc>
        <w:tc>
          <w:tcPr>
            <w:tcW w:w="70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5"/>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left="196"/>
              <w:spacing w:after="0"/>
              <w:rPr>
                <w:sz w:val="20"/>
                <w:szCs w:val="20"/>
                <w:color w:val="auto"/>
              </w:rPr>
            </w:pPr>
            <w:r>
              <w:rPr>
                <w:rFonts w:ascii="Arial" w:cs="Arial" w:eastAsia="Arial" w:hAnsi="Arial"/>
                <w:sz w:val="13"/>
                <w:szCs w:val="13"/>
                <w:color w:val="auto"/>
                <w:w w:val="98"/>
              </w:rPr>
              <w:t>/s/ Edward A. Lang, III</w:t>
            </w:r>
          </w:p>
        </w:tc>
        <w:tc>
          <w:tcPr>
            <w:tcW w:w="700" w:type="dxa"/>
            <w:vAlign w:val="bottom"/>
            <w:tcBorders>
              <w:bottom w:val="single" w:sz="8" w:color="auto"/>
            </w:tcBorders>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85"/>
              </w:rPr>
              <w:t>Treasurer</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40" w:type="dxa"/>
            <w:vAlign w:val="bottom"/>
          </w:tcPr>
          <w:p>
            <w:pPr>
              <w:jc w:val="center"/>
              <w:ind w:left="196"/>
              <w:spacing w:after="0"/>
              <w:rPr>
                <w:sz w:val="20"/>
                <w:szCs w:val="20"/>
                <w:color w:val="auto"/>
              </w:rPr>
            </w:pPr>
            <w:r>
              <w:rPr>
                <w:rFonts w:ascii="Arial" w:cs="Arial" w:eastAsia="Arial" w:hAnsi="Arial"/>
                <w:sz w:val="13"/>
                <w:szCs w:val="13"/>
                <w:color w:val="auto"/>
                <w:w w:val="95"/>
              </w:rPr>
              <w:t>Edward A. Lang, III</w:t>
            </w:r>
          </w:p>
        </w:tc>
        <w:tc>
          <w:tcPr>
            <w:tcW w:w="70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800" w:type="dxa"/>
            <w:vAlign w:val="bottom"/>
          </w:tcPr>
          <w:p>
            <w:pPr>
              <w:spacing w:after="0"/>
              <w:rPr>
                <w:sz w:val="13"/>
                <w:szCs w:val="13"/>
                <w:color w:val="auto"/>
              </w:rPr>
            </w:pPr>
          </w:p>
        </w:tc>
      </w:tr>
      <w:tr>
        <w:trPr>
          <w:trHeight w:val="453"/>
        </w:trPr>
        <w:tc>
          <w:tcPr>
            <w:tcW w:w="68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3"/>
                <w:szCs w:val="13"/>
                <w:b w:val="1"/>
                <w:bCs w:val="1"/>
                <w:color w:val="auto"/>
              </w:rPr>
              <w:t>Republic Waste, Limited Partnership</w:t>
            </w:r>
          </w:p>
        </w:tc>
        <w:tc>
          <w:tcPr>
            <w:tcW w:w="700" w:type="dxa"/>
            <w:vAlign w:val="bottom"/>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92"/>
              </w:rPr>
              <w:t>Managing Member</w:t>
            </w:r>
          </w:p>
        </w:tc>
        <w:tc>
          <w:tcPr>
            <w:tcW w:w="800" w:type="dxa"/>
            <w:vAlign w:val="bottom"/>
          </w:tcPr>
          <w:p>
            <w:pPr>
              <w:spacing w:after="0"/>
              <w:rPr>
                <w:sz w:val="24"/>
                <w:szCs w:val="24"/>
                <w:color w:val="auto"/>
              </w:rPr>
            </w:pPr>
          </w:p>
        </w:tc>
      </w:tr>
      <w:tr>
        <w:trPr>
          <w:trHeight w:val="324"/>
        </w:trPr>
        <w:tc>
          <w:tcPr>
            <w:tcW w:w="6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840" w:type="dxa"/>
            <w:vAlign w:val="bottom"/>
          </w:tcPr>
          <w:p>
            <w:pPr>
              <w:ind w:left="40"/>
              <w:spacing w:after="0"/>
              <w:rPr>
                <w:sz w:val="20"/>
                <w:szCs w:val="20"/>
                <w:color w:val="auto"/>
              </w:rPr>
            </w:pPr>
            <w:r>
              <w:rPr>
                <w:rFonts w:ascii="Arial" w:cs="Arial" w:eastAsia="Arial" w:hAnsi="Arial"/>
                <w:sz w:val="13"/>
                <w:szCs w:val="13"/>
                <w:color w:val="auto"/>
              </w:rPr>
              <w:t>Republic Waste Services of Texas GP, Inc., as General Partner</w:t>
            </w:r>
          </w:p>
        </w:tc>
        <w:tc>
          <w:tcPr>
            <w:tcW w:w="7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5"/>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/s/</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Edward A. Lang, III</w:t>
            </w:r>
          </w:p>
        </w:tc>
        <w:tc>
          <w:tcPr>
            <w:tcW w:w="7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6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3840" w:type="dxa"/>
            <w:vAlign w:val="bottom"/>
          </w:tcPr>
          <w:p>
            <w:pPr>
              <w:ind w:left="60"/>
              <w:spacing w:after="0" w:line="139" w:lineRule="exact"/>
              <w:rPr>
                <w:sz w:val="20"/>
                <w:szCs w:val="20"/>
                <w:color w:val="auto"/>
              </w:rPr>
            </w:pPr>
            <w:r>
              <w:rPr>
                <w:rFonts w:ascii="Arial" w:cs="Arial" w:eastAsia="Arial" w:hAnsi="Arial"/>
                <w:sz w:val="13"/>
                <w:szCs w:val="13"/>
                <w:color w:val="auto"/>
              </w:rPr>
              <w:t>Edward A. Lang, III</w:t>
            </w:r>
          </w:p>
        </w:tc>
        <w:tc>
          <w:tcPr>
            <w:tcW w:w="7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840" w:type="dxa"/>
            <w:vAlign w:val="bottom"/>
          </w:tcPr>
          <w:p>
            <w:pPr>
              <w:ind w:left="260"/>
              <w:spacing w:after="0"/>
              <w:rPr>
                <w:sz w:val="20"/>
                <w:szCs w:val="20"/>
                <w:color w:val="auto"/>
              </w:rPr>
            </w:pPr>
            <w:r>
              <w:rPr>
                <w:rFonts w:ascii="Arial" w:cs="Arial" w:eastAsia="Arial" w:hAnsi="Arial"/>
                <w:sz w:val="13"/>
                <w:szCs w:val="13"/>
                <w:color w:val="auto"/>
              </w:rPr>
              <w:t>Treasurer</w:t>
            </w:r>
          </w:p>
        </w:tc>
        <w:tc>
          <w:tcPr>
            <w:tcW w:w="7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680" w:type="dxa"/>
            <w:vAlign w:val="bottom"/>
            <w:gridSpan w:val="2"/>
          </w:tcPr>
          <w:p>
            <w:pPr>
              <w:ind w:left="540"/>
              <w:spacing w:after="0"/>
              <w:rPr>
                <w:sz w:val="20"/>
                <w:szCs w:val="20"/>
                <w:color w:val="auto"/>
              </w:rPr>
            </w:pPr>
            <w:r>
              <w:rPr>
                <w:rFonts w:ascii="Arial" w:cs="Arial" w:eastAsia="Arial" w:hAnsi="Arial"/>
                <w:sz w:val="13"/>
                <w:szCs w:val="13"/>
                <w:color w:val="auto"/>
              </w:rPr>
              <w:t>II-134</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PPP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PPP hereto</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Vice President — Finance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0" w:type="dxa"/>
            <w:vAlign w:val="bottom"/>
          </w:tcPr>
          <w:p>
            <w:pPr>
              <w:ind w:left="42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540" w:type="dxa"/>
            <w:vAlign w:val="bottom"/>
          </w:tcPr>
          <w:p>
            <w:pPr>
              <w:spacing w:after="0"/>
              <w:rPr>
                <w:sz w:val="11"/>
                <w:szCs w:val="11"/>
                <w:color w:val="auto"/>
              </w:rPr>
            </w:pPr>
          </w:p>
        </w:tc>
        <w:tc>
          <w:tcPr>
            <w:tcW w:w="4980" w:type="dxa"/>
            <w:vAlign w:val="bottom"/>
          </w:tcPr>
          <w:p>
            <w:pPr>
              <w:ind w:left="26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800" w:type="dxa"/>
            <w:vAlign w:val="bottom"/>
          </w:tcPr>
          <w:p>
            <w:pPr>
              <w:spacing w:after="0"/>
              <w:rPr>
                <w:sz w:val="11"/>
                <w:szCs w:val="11"/>
                <w:color w:val="auto"/>
              </w:rPr>
            </w:pPr>
          </w:p>
        </w:tc>
      </w:tr>
      <w:tr>
        <w:trPr>
          <w:trHeight w:val="480"/>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ind w:left="1460"/>
              <w:spacing w:after="0"/>
              <w:rPr>
                <w:sz w:val="20"/>
                <w:szCs w:val="20"/>
                <w:color w:val="auto"/>
              </w:rPr>
            </w:pPr>
            <w:r>
              <w:rPr>
                <w:rFonts w:ascii="Arial" w:cs="Arial" w:eastAsia="Arial" w:hAnsi="Arial"/>
                <w:sz w:val="13"/>
                <w:szCs w:val="13"/>
                <w:color w:val="auto"/>
                <w:w w:val="87"/>
              </w:rPr>
              <w:t>/s/</w:t>
            </w:r>
          </w:p>
        </w:tc>
        <w:tc>
          <w:tcPr>
            <w:tcW w:w="2400" w:type="dxa"/>
            <w:vAlign w:val="bottom"/>
            <w:tcBorders>
              <w:bottom w:val="single" w:sz="8" w:color="auto"/>
            </w:tcBorders>
          </w:tcPr>
          <w:p>
            <w:pPr>
              <w:jc w:val="center"/>
              <w:ind w:right="1258"/>
              <w:spacing w:after="0"/>
              <w:rPr>
                <w:sz w:val="20"/>
                <w:szCs w:val="20"/>
                <w:color w:val="auto"/>
              </w:rPr>
            </w:pPr>
            <w:r>
              <w:rPr>
                <w:rFonts w:ascii="Arial" w:cs="Arial" w:eastAsia="Arial" w:hAnsi="Arial"/>
                <w:sz w:val="13"/>
                <w:szCs w:val="13"/>
                <w:color w:val="auto"/>
                <w:w w:val="89"/>
              </w:rPr>
              <w:t>Christopher Synek</w:t>
            </w:r>
          </w:p>
        </w:tc>
        <w:tc>
          <w:tcPr>
            <w:tcW w:w="540" w:type="dxa"/>
            <w:vAlign w:val="bottom"/>
            <w:tcBorders>
              <w:bottom w:val="single" w:sz="8" w:color="auto"/>
            </w:tcBorders>
          </w:tcPr>
          <w:p>
            <w:pPr>
              <w:spacing w:after="0"/>
              <w:rPr>
                <w:sz w:val="24"/>
                <w:szCs w:val="24"/>
                <w:color w:val="auto"/>
              </w:rPr>
            </w:pPr>
          </w:p>
        </w:tc>
        <w:tc>
          <w:tcPr>
            <w:tcW w:w="4980" w:type="dxa"/>
            <w:vAlign w:val="bottom"/>
          </w:tcPr>
          <w:p>
            <w:pPr>
              <w:jc w:val="center"/>
              <w:ind w:left="197"/>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0" w:type="dxa"/>
            <w:vAlign w:val="bottom"/>
            <w:gridSpan w:val="2"/>
          </w:tcPr>
          <w:p>
            <w:pPr>
              <w:jc w:val="center"/>
              <w:ind w:left="34"/>
              <w:spacing w:after="0"/>
              <w:rPr>
                <w:sz w:val="20"/>
                <w:szCs w:val="20"/>
                <w:color w:val="auto"/>
              </w:rPr>
            </w:pPr>
            <w:r>
              <w:rPr>
                <w:rFonts w:ascii="Arial" w:cs="Arial" w:eastAsia="Arial" w:hAnsi="Arial"/>
                <w:sz w:val="13"/>
                <w:szCs w:val="13"/>
                <w:color w:val="auto"/>
                <w:w w:val="91"/>
              </w:rPr>
              <w:t>Christopher Synek</w:t>
            </w:r>
          </w:p>
        </w:tc>
        <w:tc>
          <w:tcPr>
            <w:tcW w:w="54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5"/>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ind w:left="1420"/>
              <w:spacing w:after="0"/>
              <w:rPr>
                <w:sz w:val="20"/>
                <w:szCs w:val="20"/>
                <w:color w:val="auto"/>
              </w:rPr>
            </w:pPr>
            <w:r>
              <w:rPr>
                <w:rFonts w:ascii="Arial" w:cs="Arial" w:eastAsia="Arial" w:hAnsi="Arial"/>
                <w:sz w:val="13"/>
                <w:szCs w:val="13"/>
                <w:color w:val="auto"/>
              </w:rPr>
              <w:t>/s/</w:t>
            </w:r>
          </w:p>
        </w:tc>
        <w:tc>
          <w:tcPr>
            <w:tcW w:w="2400" w:type="dxa"/>
            <w:vAlign w:val="bottom"/>
            <w:tcBorders>
              <w:bottom w:val="single" w:sz="8" w:color="auto"/>
            </w:tcBorders>
          </w:tcPr>
          <w:p>
            <w:pPr>
              <w:jc w:val="center"/>
              <w:ind w:right="1258"/>
              <w:spacing w:after="0"/>
              <w:rPr>
                <w:sz w:val="20"/>
                <w:szCs w:val="20"/>
                <w:color w:val="auto"/>
              </w:rPr>
            </w:pPr>
            <w:r>
              <w:rPr>
                <w:rFonts w:ascii="Arial" w:cs="Arial" w:eastAsia="Arial" w:hAnsi="Arial"/>
                <w:sz w:val="13"/>
                <w:szCs w:val="13"/>
                <w:color w:val="auto"/>
                <w:w w:val="97"/>
              </w:rPr>
              <w:t>Edward A. Lang, III</w:t>
            </w:r>
          </w:p>
        </w:tc>
        <w:tc>
          <w:tcPr>
            <w:tcW w:w="540" w:type="dxa"/>
            <w:vAlign w:val="bottom"/>
            <w:tcBorders>
              <w:bottom w:val="single" w:sz="8" w:color="auto"/>
            </w:tcBorders>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89"/>
              </w:rPr>
              <w:t>Vice President — Finance and Treasurer</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0" w:type="dxa"/>
            <w:vAlign w:val="bottom"/>
            <w:gridSpan w:val="2"/>
          </w:tcPr>
          <w:p>
            <w:pPr>
              <w:jc w:val="center"/>
              <w:ind w:left="34"/>
              <w:spacing w:after="0"/>
              <w:rPr>
                <w:sz w:val="20"/>
                <w:szCs w:val="20"/>
                <w:color w:val="auto"/>
              </w:rPr>
            </w:pPr>
            <w:r>
              <w:rPr>
                <w:rFonts w:ascii="Arial" w:cs="Arial" w:eastAsia="Arial" w:hAnsi="Arial"/>
                <w:sz w:val="13"/>
                <w:szCs w:val="13"/>
                <w:color w:val="auto"/>
                <w:w w:val="95"/>
              </w:rPr>
              <w:t>Edward A. Lang, III</w:t>
            </w:r>
          </w:p>
        </w:tc>
        <w:tc>
          <w:tcPr>
            <w:tcW w:w="54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800" w:type="dxa"/>
            <w:vAlign w:val="bottom"/>
          </w:tcPr>
          <w:p>
            <w:pPr>
              <w:spacing w:after="0"/>
              <w:rPr>
                <w:sz w:val="13"/>
                <w:szCs w:val="13"/>
                <w:color w:val="auto"/>
              </w:rPr>
            </w:pPr>
          </w:p>
        </w:tc>
      </w:tr>
      <w:tr>
        <w:trPr>
          <w:trHeight w:val="237"/>
        </w:trPr>
        <w:tc>
          <w:tcPr>
            <w:tcW w:w="68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3"/>
                <w:szCs w:val="13"/>
                <w:b w:val="1"/>
                <w:bCs w:val="1"/>
                <w:color w:val="auto"/>
              </w:rPr>
              <w:t>Brenham Total Roll-Offs, LP</w:t>
            </w:r>
          </w:p>
        </w:tc>
        <w:tc>
          <w:tcPr>
            <w:tcW w:w="2400" w:type="dxa"/>
            <w:vAlign w:val="bottom"/>
          </w:tcPr>
          <w:p>
            <w:pPr>
              <w:ind w:left="1000"/>
              <w:spacing w:after="0"/>
              <w:rPr>
                <w:sz w:val="20"/>
                <w:szCs w:val="20"/>
                <w:color w:val="auto"/>
              </w:rPr>
            </w:pPr>
            <w:r>
              <w:rPr>
                <w:rFonts w:ascii="Arial" w:cs="Arial" w:eastAsia="Arial" w:hAnsi="Arial"/>
                <w:sz w:val="13"/>
                <w:szCs w:val="13"/>
                <w:color w:val="auto"/>
              </w:rPr>
              <w:t>Managing Member</w:t>
            </w:r>
          </w:p>
        </w:tc>
        <w:tc>
          <w:tcPr>
            <w:tcW w:w="5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24"/>
        </w:trPr>
        <w:tc>
          <w:tcPr>
            <w:tcW w:w="6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gridSpan w:val="2"/>
          </w:tcPr>
          <w:p>
            <w:pPr>
              <w:ind w:left="40"/>
              <w:spacing w:after="0"/>
              <w:rPr>
                <w:sz w:val="20"/>
                <w:szCs w:val="20"/>
                <w:color w:val="auto"/>
              </w:rPr>
            </w:pPr>
            <w:r>
              <w:rPr>
                <w:rFonts w:ascii="Arial" w:cs="Arial" w:eastAsia="Arial" w:hAnsi="Arial"/>
                <w:sz w:val="13"/>
                <w:szCs w:val="13"/>
                <w:color w:val="auto"/>
              </w:rPr>
              <w:t>Allied Waste Landfill Holdings, Inc., as General Partner</w:t>
            </w:r>
          </w:p>
        </w:tc>
        <w:tc>
          <w:tcPr>
            <w:tcW w:w="5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5"/>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/s/</w:t>
            </w:r>
          </w:p>
        </w:tc>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Edward A. Lang, III</w:t>
            </w:r>
          </w:p>
        </w:tc>
        <w:tc>
          <w:tcPr>
            <w:tcW w:w="2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6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1600" w:type="dxa"/>
            <w:vAlign w:val="bottom"/>
          </w:tcPr>
          <w:p>
            <w:pPr>
              <w:ind w:left="60"/>
              <w:spacing w:after="0" w:line="139" w:lineRule="exact"/>
              <w:rPr>
                <w:sz w:val="20"/>
                <w:szCs w:val="20"/>
                <w:color w:val="auto"/>
              </w:rPr>
            </w:pPr>
            <w:r>
              <w:rPr>
                <w:rFonts w:ascii="Arial" w:cs="Arial" w:eastAsia="Arial" w:hAnsi="Arial"/>
                <w:sz w:val="13"/>
                <w:szCs w:val="13"/>
                <w:color w:val="auto"/>
              </w:rPr>
              <w:t>Edward A. Lang, III</w:t>
            </w:r>
          </w:p>
        </w:tc>
        <w:tc>
          <w:tcPr>
            <w:tcW w:w="2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gridSpan w:val="2"/>
          </w:tcPr>
          <w:p>
            <w:pPr>
              <w:ind w:left="260"/>
              <w:spacing w:after="0"/>
              <w:rPr>
                <w:sz w:val="20"/>
                <w:szCs w:val="20"/>
                <w:color w:val="auto"/>
              </w:rPr>
            </w:pPr>
            <w:r>
              <w:rPr>
                <w:rFonts w:ascii="Arial" w:cs="Arial" w:eastAsia="Arial" w:hAnsi="Arial"/>
                <w:sz w:val="13"/>
                <w:szCs w:val="13"/>
                <w:color w:val="auto"/>
              </w:rPr>
              <w:t>Vice President — Finance and Treasurer</w:t>
            </w:r>
          </w:p>
        </w:tc>
        <w:tc>
          <w:tcPr>
            <w:tcW w:w="5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520" w:type="dxa"/>
            <w:vAlign w:val="bottom"/>
            <w:gridSpan w:val="2"/>
          </w:tcPr>
          <w:p>
            <w:pPr>
              <w:ind w:left="380"/>
              <w:spacing w:after="0"/>
              <w:rPr>
                <w:sz w:val="20"/>
                <w:szCs w:val="20"/>
                <w:color w:val="auto"/>
              </w:rPr>
            </w:pPr>
            <w:r>
              <w:rPr>
                <w:rFonts w:ascii="Arial" w:cs="Arial" w:eastAsia="Arial" w:hAnsi="Arial"/>
                <w:sz w:val="13"/>
                <w:szCs w:val="13"/>
                <w:color w:val="auto"/>
              </w:rPr>
              <w:t>II-135</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QQQ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QQQ hereto</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520" w:type="dxa"/>
            <w:vAlign w:val="bottom"/>
          </w:tcPr>
          <w:p>
            <w:pPr>
              <w:ind w:left="202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1020" w:type="dxa"/>
            <w:vAlign w:val="bottom"/>
          </w:tcPr>
          <w:p>
            <w:pPr>
              <w:spacing w:after="0"/>
              <w:rPr>
                <w:sz w:val="11"/>
                <w:szCs w:val="11"/>
                <w:color w:val="auto"/>
              </w:rPr>
            </w:pPr>
          </w:p>
        </w:tc>
        <w:tc>
          <w:tcPr>
            <w:tcW w:w="4980" w:type="dxa"/>
            <w:vAlign w:val="bottom"/>
          </w:tcPr>
          <w:p>
            <w:pPr>
              <w:ind w:left="26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800" w:type="dxa"/>
            <w:vAlign w:val="bottom"/>
          </w:tcPr>
          <w:p>
            <w:pPr>
              <w:spacing w:after="0"/>
              <w:rPr>
                <w:sz w:val="11"/>
                <w:szCs w:val="11"/>
                <w:color w:val="auto"/>
              </w:rPr>
            </w:pPr>
          </w:p>
        </w:tc>
      </w:tr>
      <w:tr>
        <w:trPr>
          <w:trHeight w:val="480"/>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left="496"/>
              <w:spacing w:after="0"/>
              <w:rPr>
                <w:sz w:val="20"/>
                <w:szCs w:val="20"/>
                <w:color w:val="auto"/>
              </w:rPr>
            </w:pPr>
            <w:r>
              <w:rPr>
                <w:rFonts w:ascii="Arial" w:cs="Arial" w:eastAsia="Arial" w:hAnsi="Arial"/>
                <w:sz w:val="13"/>
                <w:szCs w:val="13"/>
                <w:color w:val="auto"/>
                <w:w w:val="93"/>
              </w:rPr>
              <w:t>/s/ Donald W. Slager</w:t>
            </w:r>
          </w:p>
        </w:tc>
        <w:tc>
          <w:tcPr>
            <w:tcW w:w="1020" w:type="dxa"/>
            <w:vAlign w:val="bottom"/>
            <w:tcBorders>
              <w:bottom w:val="single" w:sz="8" w:color="auto"/>
            </w:tcBorders>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20" w:type="dxa"/>
            <w:vAlign w:val="bottom"/>
          </w:tcPr>
          <w:p>
            <w:pPr>
              <w:jc w:val="center"/>
              <w:ind w:left="516"/>
              <w:spacing w:after="0"/>
              <w:rPr>
                <w:sz w:val="20"/>
                <w:szCs w:val="20"/>
                <w:color w:val="auto"/>
              </w:rPr>
            </w:pPr>
            <w:r>
              <w:rPr>
                <w:rFonts w:ascii="Arial" w:cs="Arial" w:eastAsia="Arial" w:hAnsi="Arial"/>
                <w:sz w:val="13"/>
                <w:szCs w:val="13"/>
                <w:color w:val="auto"/>
                <w:w w:val="92"/>
              </w:rPr>
              <w:t>Donald W. Slager</w:t>
            </w:r>
          </w:p>
        </w:tc>
        <w:tc>
          <w:tcPr>
            <w:tcW w:w="102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5"/>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left="516"/>
              <w:spacing w:after="0"/>
              <w:rPr>
                <w:sz w:val="20"/>
                <w:szCs w:val="20"/>
                <w:color w:val="auto"/>
              </w:rPr>
            </w:pPr>
            <w:r>
              <w:rPr>
                <w:rFonts w:ascii="Arial" w:cs="Arial" w:eastAsia="Arial" w:hAnsi="Arial"/>
                <w:sz w:val="13"/>
                <w:szCs w:val="13"/>
                <w:color w:val="auto"/>
                <w:w w:val="98"/>
              </w:rPr>
              <w:t>/s/ Edward A. Lang, III</w:t>
            </w:r>
          </w:p>
        </w:tc>
        <w:tc>
          <w:tcPr>
            <w:tcW w:w="1020" w:type="dxa"/>
            <w:vAlign w:val="bottom"/>
            <w:tcBorders>
              <w:bottom w:val="single" w:sz="8" w:color="auto"/>
            </w:tcBorders>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85"/>
              </w:rPr>
              <w:t>Treasurer</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20" w:type="dxa"/>
            <w:vAlign w:val="bottom"/>
          </w:tcPr>
          <w:p>
            <w:pPr>
              <w:jc w:val="center"/>
              <w:ind w:left="516"/>
              <w:spacing w:after="0"/>
              <w:rPr>
                <w:sz w:val="20"/>
                <w:szCs w:val="20"/>
                <w:color w:val="auto"/>
              </w:rPr>
            </w:pPr>
            <w:r>
              <w:rPr>
                <w:rFonts w:ascii="Arial" w:cs="Arial" w:eastAsia="Arial" w:hAnsi="Arial"/>
                <w:sz w:val="13"/>
                <w:szCs w:val="13"/>
                <w:color w:val="auto"/>
                <w:w w:val="95"/>
              </w:rPr>
              <w:t>Edward A. Lang, III</w:t>
            </w:r>
          </w:p>
        </w:tc>
        <w:tc>
          <w:tcPr>
            <w:tcW w:w="102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800" w:type="dxa"/>
            <w:vAlign w:val="bottom"/>
          </w:tcPr>
          <w:p>
            <w:pPr>
              <w:spacing w:after="0"/>
              <w:rPr>
                <w:sz w:val="13"/>
                <w:szCs w:val="13"/>
                <w:color w:val="auto"/>
              </w:rPr>
            </w:pPr>
          </w:p>
        </w:tc>
      </w:tr>
      <w:tr>
        <w:trPr>
          <w:trHeight w:val="453"/>
        </w:trPr>
        <w:tc>
          <w:tcPr>
            <w:tcW w:w="68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Central Virginia Properties, LLC</w:t>
            </w:r>
          </w:p>
        </w:tc>
        <w:tc>
          <w:tcPr>
            <w:tcW w:w="1020" w:type="dxa"/>
            <w:vAlign w:val="bottom"/>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92"/>
              </w:rPr>
              <w:t>Managing Member</w:t>
            </w:r>
          </w:p>
        </w:tc>
        <w:tc>
          <w:tcPr>
            <w:tcW w:w="800" w:type="dxa"/>
            <w:vAlign w:val="bottom"/>
          </w:tcPr>
          <w:p>
            <w:pPr>
              <w:spacing w:after="0"/>
              <w:rPr>
                <w:sz w:val="24"/>
                <w:szCs w:val="24"/>
                <w:color w:val="auto"/>
              </w:rPr>
            </w:pPr>
          </w:p>
        </w:tc>
      </w:tr>
      <w:tr>
        <w:trPr>
          <w:trHeight w:val="325"/>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Edward A. Lang, III</w:t>
            </w:r>
          </w:p>
        </w:tc>
        <w:tc>
          <w:tcPr>
            <w:tcW w:w="10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6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3520" w:type="dxa"/>
            <w:vAlign w:val="bottom"/>
          </w:tcPr>
          <w:p>
            <w:pPr>
              <w:ind w:left="60"/>
              <w:spacing w:after="0" w:line="139" w:lineRule="exact"/>
              <w:rPr>
                <w:sz w:val="20"/>
                <w:szCs w:val="20"/>
                <w:color w:val="auto"/>
              </w:rPr>
            </w:pPr>
            <w:r>
              <w:rPr>
                <w:rFonts w:ascii="Arial" w:cs="Arial" w:eastAsia="Arial" w:hAnsi="Arial"/>
                <w:sz w:val="13"/>
                <w:szCs w:val="13"/>
                <w:color w:val="auto"/>
              </w:rPr>
              <w:t>Edward A. Lang, III</w:t>
            </w:r>
          </w:p>
        </w:tc>
        <w:tc>
          <w:tcPr>
            <w:tcW w:w="10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520" w:type="dxa"/>
            <w:vAlign w:val="bottom"/>
          </w:tcPr>
          <w:p>
            <w:pPr>
              <w:ind w:left="260"/>
              <w:spacing w:after="0"/>
              <w:rPr>
                <w:sz w:val="20"/>
                <w:szCs w:val="20"/>
                <w:color w:val="auto"/>
              </w:rPr>
            </w:pPr>
            <w:r>
              <w:rPr>
                <w:rFonts w:ascii="Arial" w:cs="Arial" w:eastAsia="Arial" w:hAnsi="Arial"/>
                <w:sz w:val="13"/>
                <w:szCs w:val="13"/>
                <w:color w:val="auto"/>
              </w:rPr>
              <w:t>Treasurer</w:t>
            </w:r>
          </w:p>
        </w:tc>
        <w:tc>
          <w:tcPr>
            <w:tcW w:w="10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000" w:type="dxa"/>
            <w:vAlign w:val="bottom"/>
            <w:gridSpan w:val="2"/>
          </w:tcPr>
          <w:p>
            <w:pPr>
              <w:ind w:left="860"/>
              <w:spacing w:after="0"/>
              <w:rPr>
                <w:sz w:val="20"/>
                <w:szCs w:val="20"/>
                <w:color w:val="auto"/>
              </w:rPr>
            </w:pPr>
            <w:r>
              <w:rPr>
                <w:rFonts w:ascii="Arial" w:cs="Arial" w:eastAsia="Arial" w:hAnsi="Arial"/>
                <w:sz w:val="13"/>
                <w:szCs w:val="13"/>
                <w:color w:val="auto"/>
              </w:rPr>
              <w:t>II-136</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5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0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RRR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RRR hereto</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Vice President — Finance and Treasurer</w:t>
      </w:r>
    </w:p>
    <w:p>
      <w:pPr>
        <w:spacing w:after="0" w:line="89" w:lineRule="exact"/>
        <w:rPr>
          <w:sz w:val="20"/>
          <w:szCs w:val="20"/>
          <w:color w:val="auto"/>
        </w:rPr>
      </w:pPr>
    </w:p>
    <w:p>
      <w:pPr>
        <w:ind w:left="980" w:right="820" w:firstLine="387"/>
        <w:spacing w:after="0" w:line="312" w:lineRule="auto"/>
        <w:rPr>
          <w:sz w:val="20"/>
          <w:szCs w:val="20"/>
          <w:color w:val="auto"/>
        </w:rPr>
      </w:pPr>
      <w:r>
        <w:rPr>
          <w:rFonts w:ascii="Arial" w:cs="Arial" w:eastAsia="Arial" w:hAnsi="Arial"/>
          <w:sz w:val="11"/>
          <w:szCs w:val="11"/>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4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520" w:type="dxa"/>
            <w:vAlign w:val="bottom"/>
          </w:tcPr>
          <w:p>
            <w:pPr>
              <w:ind w:left="202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1020" w:type="dxa"/>
            <w:vAlign w:val="bottom"/>
          </w:tcPr>
          <w:p>
            <w:pPr>
              <w:spacing w:after="0"/>
              <w:rPr>
                <w:sz w:val="11"/>
                <w:szCs w:val="11"/>
                <w:color w:val="auto"/>
              </w:rPr>
            </w:pPr>
          </w:p>
        </w:tc>
        <w:tc>
          <w:tcPr>
            <w:tcW w:w="4980" w:type="dxa"/>
            <w:vAlign w:val="bottom"/>
          </w:tcPr>
          <w:p>
            <w:pPr>
              <w:ind w:left="26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800" w:type="dxa"/>
            <w:vAlign w:val="bottom"/>
          </w:tcPr>
          <w:p>
            <w:pPr>
              <w:spacing w:after="0"/>
              <w:rPr>
                <w:sz w:val="11"/>
                <w:szCs w:val="11"/>
                <w:color w:val="auto"/>
              </w:rPr>
            </w:pPr>
          </w:p>
        </w:tc>
      </w:tr>
      <w:tr>
        <w:trPr>
          <w:trHeight w:val="480"/>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left="496"/>
              <w:spacing w:after="0"/>
              <w:rPr>
                <w:sz w:val="20"/>
                <w:szCs w:val="20"/>
                <w:color w:val="auto"/>
              </w:rPr>
            </w:pPr>
            <w:r>
              <w:rPr>
                <w:rFonts w:ascii="Arial" w:cs="Arial" w:eastAsia="Arial" w:hAnsi="Arial"/>
                <w:sz w:val="13"/>
                <w:szCs w:val="13"/>
                <w:color w:val="auto"/>
                <w:w w:val="93"/>
              </w:rPr>
              <w:t>/s/ Christopher Synek</w:t>
            </w:r>
          </w:p>
        </w:tc>
        <w:tc>
          <w:tcPr>
            <w:tcW w:w="1020" w:type="dxa"/>
            <w:vAlign w:val="bottom"/>
            <w:tcBorders>
              <w:bottom w:val="single" w:sz="8" w:color="auto"/>
            </w:tcBorders>
          </w:tcPr>
          <w:p>
            <w:pPr>
              <w:spacing w:after="0"/>
              <w:rPr>
                <w:sz w:val="24"/>
                <w:szCs w:val="24"/>
                <w:color w:val="auto"/>
              </w:rPr>
            </w:pPr>
          </w:p>
        </w:tc>
        <w:tc>
          <w:tcPr>
            <w:tcW w:w="4980" w:type="dxa"/>
            <w:vAlign w:val="bottom"/>
          </w:tcPr>
          <w:p>
            <w:pPr>
              <w:jc w:val="center"/>
              <w:ind w:left="197"/>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20" w:type="dxa"/>
            <w:vAlign w:val="bottom"/>
          </w:tcPr>
          <w:p>
            <w:pPr>
              <w:jc w:val="center"/>
              <w:ind w:left="516"/>
              <w:spacing w:after="0"/>
              <w:rPr>
                <w:sz w:val="20"/>
                <w:szCs w:val="20"/>
                <w:color w:val="auto"/>
              </w:rPr>
            </w:pPr>
            <w:r>
              <w:rPr>
                <w:rFonts w:ascii="Arial" w:cs="Arial" w:eastAsia="Arial" w:hAnsi="Arial"/>
                <w:sz w:val="13"/>
                <w:szCs w:val="13"/>
                <w:color w:val="auto"/>
                <w:w w:val="91"/>
              </w:rPr>
              <w:t>Christopher Synek</w:t>
            </w:r>
          </w:p>
        </w:tc>
        <w:tc>
          <w:tcPr>
            <w:tcW w:w="102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5"/>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left="516"/>
              <w:spacing w:after="0"/>
              <w:rPr>
                <w:sz w:val="20"/>
                <w:szCs w:val="20"/>
                <w:color w:val="auto"/>
              </w:rPr>
            </w:pPr>
            <w:r>
              <w:rPr>
                <w:rFonts w:ascii="Arial" w:cs="Arial" w:eastAsia="Arial" w:hAnsi="Arial"/>
                <w:sz w:val="13"/>
                <w:szCs w:val="13"/>
                <w:color w:val="auto"/>
                <w:w w:val="98"/>
              </w:rPr>
              <w:t>/s/ Edward A. Lang, III</w:t>
            </w:r>
          </w:p>
        </w:tc>
        <w:tc>
          <w:tcPr>
            <w:tcW w:w="1020" w:type="dxa"/>
            <w:vAlign w:val="bottom"/>
            <w:tcBorders>
              <w:bottom w:val="single" w:sz="8" w:color="auto"/>
            </w:tcBorders>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89"/>
              </w:rPr>
              <w:t>Vice President — Finance and Treasurer</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20" w:type="dxa"/>
            <w:vAlign w:val="bottom"/>
          </w:tcPr>
          <w:p>
            <w:pPr>
              <w:jc w:val="center"/>
              <w:ind w:left="516"/>
              <w:spacing w:after="0"/>
              <w:rPr>
                <w:sz w:val="20"/>
                <w:szCs w:val="20"/>
                <w:color w:val="auto"/>
              </w:rPr>
            </w:pPr>
            <w:r>
              <w:rPr>
                <w:rFonts w:ascii="Arial" w:cs="Arial" w:eastAsia="Arial" w:hAnsi="Arial"/>
                <w:sz w:val="13"/>
                <w:szCs w:val="13"/>
                <w:color w:val="auto"/>
                <w:w w:val="95"/>
              </w:rPr>
              <w:t>Edward A. Lang, III</w:t>
            </w:r>
          </w:p>
        </w:tc>
        <w:tc>
          <w:tcPr>
            <w:tcW w:w="1020" w:type="dxa"/>
            <w:vAlign w:val="bottom"/>
          </w:tcPr>
          <w:p>
            <w:pPr>
              <w:spacing w:after="0"/>
              <w:rPr>
                <w:sz w:val="13"/>
                <w:szCs w:val="13"/>
                <w:color w:val="auto"/>
              </w:rPr>
            </w:pPr>
          </w:p>
        </w:tc>
        <w:tc>
          <w:tcPr>
            <w:tcW w:w="4980" w:type="dxa"/>
            <w:vAlign w:val="bottom"/>
          </w:tcPr>
          <w:p>
            <w:pPr>
              <w:jc w:val="center"/>
              <w:ind w:left="237"/>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800" w:type="dxa"/>
            <w:vAlign w:val="bottom"/>
          </w:tcPr>
          <w:p>
            <w:pPr>
              <w:spacing w:after="0"/>
              <w:rPr>
                <w:sz w:val="13"/>
                <w:szCs w:val="13"/>
                <w:color w:val="auto"/>
              </w:rPr>
            </w:pPr>
          </w:p>
        </w:tc>
      </w:tr>
      <w:tr>
        <w:trPr>
          <w:trHeight w:val="453"/>
        </w:trPr>
        <w:tc>
          <w:tcPr>
            <w:tcW w:w="68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BFI Waste Systems of North America, LLC</w:t>
            </w:r>
          </w:p>
        </w:tc>
        <w:tc>
          <w:tcPr>
            <w:tcW w:w="1020" w:type="dxa"/>
            <w:vAlign w:val="bottom"/>
          </w:tcPr>
          <w:p>
            <w:pPr>
              <w:spacing w:after="0"/>
              <w:rPr>
                <w:sz w:val="24"/>
                <w:szCs w:val="24"/>
                <w:color w:val="auto"/>
              </w:rPr>
            </w:pPr>
          </w:p>
        </w:tc>
        <w:tc>
          <w:tcPr>
            <w:tcW w:w="4980" w:type="dxa"/>
            <w:vAlign w:val="bottom"/>
          </w:tcPr>
          <w:p>
            <w:pPr>
              <w:jc w:val="center"/>
              <w:ind w:left="237"/>
              <w:spacing w:after="0"/>
              <w:rPr>
                <w:sz w:val="20"/>
                <w:szCs w:val="20"/>
                <w:color w:val="auto"/>
              </w:rPr>
            </w:pPr>
            <w:r>
              <w:rPr>
                <w:rFonts w:ascii="Arial" w:cs="Arial" w:eastAsia="Arial" w:hAnsi="Arial"/>
                <w:sz w:val="13"/>
                <w:szCs w:val="13"/>
                <w:color w:val="auto"/>
                <w:w w:val="92"/>
              </w:rPr>
              <w:t>Managing Member</w:t>
            </w:r>
          </w:p>
        </w:tc>
        <w:tc>
          <w:tcPr>
            <w:tcW w:w="800" w:type="dxa"/>
            <w:vAlign w:val="bottom"/>
          </w:tcPr>
          <w:p>
            <w:pPr>
              <w:spacing w:after="0"/>
              <w:rPr>
                <w:sz w:val="24"/>
                <w:szCs w:val="24"/>
                <w:color w:val="auto"/>
              </w:rPr>
            </w:pPr>
          </w:p>
        </w:tc>
      </w:tr>
      <w:tr>
        <w:trPr>
          <w:trHeight w:val="325"/>
        </w:trPr>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Edward A. Lang, III</w:t>
            </w:r>
          </w:p>
        </w:tc>
        <w:tc>
          <w:tcPr>
            <w:tcW w:w="10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46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3520" w:type="dxa"/>
            <w:vAlign w:val="bottom"/>
          </w:tcPr>
          <w:p>
            <w:pPr>
              <w:ind w:left="60"/>
              <w:spacing w:after="0" w:line="139" w:lineRule="exact"/>
              <w:rPr>
                <w:sz w:val="20"/>
                <w:szCs w:val="20"/>
                <w:color w:val="auto"/>
              </w:rPr>
            </w:pPr>
            <w:r>
              <w:rPr>
                <w:rFonts w:ascii="Arial" w:cs="Arial" w:eastAsia="Arial" w:hAnsi="Arial"/>
                <w:sz w:val="13"/>
                <w:szCs w:val="13"/>
                <w:color w:val="auto"/>
              </w:rPr>
              <w:t>Edward A. Lang, III</w:t>
            </w:r>
          </w:p>
        </w:tc>
        <w:tc>
          <w:tcPr>
            <w:tcW w:w="10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520" w:type="dxa"/>
            <w:vAlign w:val="bottom"/>
          </w:tcPr>
          <w:p>
            <w:pPr>
              <w:ind w:left="260"/>
              <w:spacing w:after="0"/>
              <w:rPr>
                <w:sz w:val="20"/>
                <w:szCs w:val="20"/>
                <w:color w:val="auto"/>
              </w:rPr>
            </w:pPr>
            <w:r>
              <w:rPr>
                <w:rFonts w:ascii="Arial" w:cs="Arial" w:eastAsia="Arial" w:hAnsi="Arial"/>
                <w:sz w:val="13"/>
                <w:szCs w:val="13"/>
                <w:color w:val="auto"/>
              </w:rPr>
              <w:t>Vice President — Finance and Treasurer</w:t>
            </w:r>
          </w:p>
        </w:tc>
        <w:tc>
          <w:tcPr>
            <w:tcW w:w="10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000" w:type="dxa"/>
            <w:vAlign w:val="bottom"/>
            <w:gridSpan w:val="2"/>
          </w:tcPr>
          <w:p>
            <w:pPr>
              <w:ind w:left="860"/>
              <w:spacing w:after="0"/>
              <w:rPr>
                <w:sz w:val="20"/>
                <w:szCs w:val="20"/>
                <w:color w:val="auto"/>
              </w:rPr>
            </w:pPr>
            <w:r>
              <w:rPr>
                <w:rFonts w:ascii="Arial" w:cs="Arial" w:eastAsia="Arial" w:hAnsi="Arial"/>
                <w:sz w:val="13"/>
                <w:szCs w:val="13"/>
                <w:color w:val="auto"/>
              </w:rPr>
              <w:t>II-137</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5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6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of the Subsidiary Guarantors listed on Schedule SSS hereto certifies that it has reasonable grounds to believe that it meets all of the requirements for filing on Form S-3 and has duly caused this registration statement to be signed on its behalf by the undersigned, thereunto duly authorized, in the City of Phoenix, State of Arizona on May 3, 2010.</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On behalf of each Subsidiary Guarantor listed on Schedule SSS hereto</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Edward A. Lang, III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Treasurer</w:t>
      </w:r>
    </w:p>
    <w:p>
      <w:pPr>
        <w:spacing w:after="0" w:line="89"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James E. O’Connor, Tod C. Holmes and Edward A. Lang, III and each of them, his true and lawful attorneys-in-fact and agents, with full power of substitution and resubstitution, for him and in his name, place and stead, in any and all capacities, to sign any and all amendments (including post-effective amendments) to this Form S-3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said attorneys-in-fact and agents, and each of them, or the substitute or substitutes of any of them, may lawfully do or cause to be done by virtue 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indicated on May 3, 2010.</w:t>
      </w:r>
    </w:p>
    <w:p>
      <w:pPr>
        <w:spacing w:after="0" w:line="98" w:lineRule="exact"/>
        <w:rPr>
          <w:sz w:val="20"/>
          <w:szCs w:val="20"/>
          <w:color w:val="auto"/>
        </w:rPr>
      </w:pPr>
    </w:p>
    <w:p>
      <w:pPr>
        <w:ind w:left="3220"/>
        <w:spacing w:after="0"/>
        <w:tabs>
          <w:tab w:leader="none" w:pos="83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tcPr>
          <w:p>
            <w:pPr>
              <w:jc w:val="center"/>
              <w:ind w:left="294"/>
              <w:spacing w:after="0"/>
              <w:rPr>
                <w:sz w:val="20"/>
                <w:szCs w:val="20"/>
                <w:color w:val="auto"/>
              </w:rPr>
            </w:pPr>
            <w:r>
              <w:rPr>
                <w:rFonts w:ascii="Arial" w:cs="Arial" w:eastAsia="Arial" w:hAnsi="Arial"/>
                <w:sz w:val="13"/>
                <w:szCs w:val="13"/>
                <w:color w:val="auto"/>
                <w:w w:val="96"/>
              </w:rPr>
              <w:t>/s/ Kevin Walbridge</w:t>
            </w:r>
          </w:p>
        </w:tc>
        <w:tc>
          <w:tcPr>
            <w:tcW w:w="720" w:type="dxa"/>
            <w:vAlign w:val="bottom"/>
            <w:tcBorders>
              <w:bottom w:val="single" w:sz="8" w:color="auto"/>
            </w:tcBorders>
          </w:tcPr>
          <w:p>
            <w:pPr>
              <w:spacing w:after="0"/>
              <w:rPr>
                <w:sz w:val="14"/>
                <w:szCs w:val="14"/>
                <w:color w:val="auto"/>
              </w:rPr>
            </w:pPr>
          </w:p>
        </w:tc>
        <w:tc>
          <w:tcPr>
            <w:tcW w:w="4880" w:type="dxa"/>
            <w:vAlign w:val="bottom"/>
          </w:tcPr>
          <w:p>
            <w:pPr>
              <w:jc w:val="center"/>
              <w:ind w:left="254"/>
              <w:spacing w:after="0"/>
              <w:rPr>
                <w:sz w:val="20"/>
                <w:szCs w:val="20"/>
                <w:color w:val="auto"/>
              </w:rPr>
            </w:pPr>
            <w:r>
              <w:rPr>
                <w:rFonts w:ascii="Arial" w:cs="Arial" w:eastAsia="Arial" w:hAnsi="Arial"/>
                <w:sz w:val="13"/>
                <w:szCs w:val="13"/>
                <w:color w:val="auto"/>
                <w:w w:val="87"/>
              </w:rPr>
              <w:t>President</w:t>
            </w:r>
          </w:p>
        </w:tc>
        <w:tc>
          <w:tcPr>
            <w:tcW w:w="800" w:type="dxa"/>
            <w:vAlign w:val="bottom"/>
          </w:tcPr>
          <w:p>
            <w:pPr>
              <w:spacing w:after="0"/>
              <w:rPr>
                <w:sz w:val="14"/>
                <w:szCs w:val="14"/>
                <w:color w:val="auto"/>
              </w:rPr>
            </w:pPr>
          </w:p>
        </w:tc>
      </w:tr>
      <w:tr>
        <w:trPr>
          <w:trHeight w:val="156"/>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0" w:type="dxa"/>
            <w:vAlign w:val="bottom"/>
          </w:tcPr>
          <w:p>
            <w:pPr>
              <w:jc w:val="center"/>
              <w:ind w:left="294"/>
              <w:spacing w:after="0"/>
              <w:rPr>
                <w:sz w:val="20"/>
                <w:szCs w:val="20"/>
                <w:color w:val="auto"/>
              </w:rPr>
            </w:pPr>
            <w:r>
              <w:rPr>
                <w:rFonts w:ascii="Arial" w:cs="Arial" w:eastAsia="Arial" w:hAnsi="Arial"/>
                <w:sz w:val="13"/>
                <w:szCs w:val="13"/>
                <w:color w:val="auto"/>
                <w:w w:val="92"/>
              </w:rPr>
              <w:t>Kevin Walbridge</w:t>
            </w:r>
          </w:p>
        </w:tc>
        <w:tc>
          <w:tcPr>
            <w:tcW w:w="720" w:type="dxa"/>
            <w:vAlign w:val="bottom"/>
          </w:tcPr>
          <w:p>
            <w:pPr>
              <w:spacing w:after="0"/>
              <w:rPr>
                <w:sz w:val="13"/>
                <w:szCs w:val="13"/>
                <w:color w:val="auto"/>
              </w:rPr>
            </w:pPr>
          </w:p>
        </w:tc>
        <w:tc>
          <w:tcPr>
            <w:tcW w:w="4880" w:type="dxa"/>
            <w:vAlign w:val="bottom"/>
          </w:tcPr>
          <w:p>
            <w:pPr>
              <w:jc w:val="center"/>
              <w:ind w:left="234"/>
              <w:spacing w:after="0" w:line="145" w:lineRule="exact"/>
              <w:rPr>
                <w:sz w:val="20"/>
                <w:szCs w:val="20"/>
                <w:color w:val="auto"/>
              </w:rPr>
            </w:pPr>
            <w:r>
              <w:rPr>
                <w:rFonts w:ascii="Arial" w:cs="Arial" w:eastAsia="Arial" w:hAnsi="Arial"/>
                <w:sz w:val="13"/>
                <w:szCs w:val="13"/>
                <w:color w:val="auto"/>
                <w:w w:val="94"/>
              </w:rPr>
              <w:t>(principal executive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left="294"/>
              <w:spacing w:after="0"/>
              <w:rPr>
                <w:sz w:val="20"/>
                <w:szCs w:val="20"/>
                <w:color w:val="auto"/>
              </w:rPr>
            </w:pPr>
            <w:r>
              <w:rPr>
                <w:rFonts w:ascii="Arial" w:cs="Arial" w:eastAsia="Arial" w:hAnsi="Arial"/>
                <w:sz w:val="13"/>
                <w:szCs w:val="13"/>
                <w:color w:val="auto"/>
                <w:w w:val="96"/>
              </w:rPr>
              <w:t>/s/ Edward A. Lang, III</w:t>
            </w:r>
          </w:p>
        </w:tc>
        <w:tc>
          <w:tcPr>
            <w:tcW w:w="720" w:type="dxa"/>
            <w:vAlign w:val="bottom"/>
            <w:tcBorders>
              <w:bottom w:val="single" w:sz="8" w:color="auto"/>
            </w:tcBorders>
          </w:tcPr>
          <w:p>
            <w:pPr>
              <w:spacing w:after="0"/>
              <w:rPr>
                <w:sz w:val="24"/>
                <w:szCs w:val="24"/>
                <w:color w:val="auto"/>
              </w:rPr>
            </w:pPr>
          </w:p>
        </w:tc>
        <w:tc>
          <w:tcPr>
            <w:tcW w:w="4880" w:type="dxa"/>
            <w:vAlign w:val="bottom"/>
          </w:tcPr>
          <w:p>
            <w:pPr>
              <w:jc w:val="center"/>
              <w:ind w:left="234"/>
              <w:spacing w:after="0"/>
              <w:rPr>
                <w:sz w:val="20"/>
                <w:szCs w:val="20"/>
                <w:color w:val="auto"/>
              </w:rPr>
            </w:pPr>
            <w:r>
              <w:rPr>
                <w:rFonts w:ascii="Arial" w:cs="Arial" w:eastAsia="Arial" w:hAnsi="Arial"/>
                <w:sz w:val="13"/>
                <w:szCs w:val="13"/>
                <w:color w:val="auto"/>
                <w:w w:val="93"/>
              </w:rPr>
              <w:t>Treasurer (principal financial officer and</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0" w:type="dxa"/>
            <w:vAlign w:val="bottom"/>
          </w:tcPr>
          <w:p>
            <w:pPr>
              <w:jc w:val="center"/>
              <w:ind w:left="294"/>
              <w:spacing w:after="0"/>
              <w:rPr>
                <w:sz w:val="20"/>
                <w:szCs w:val="20"/>
                <w:color w:val="auto"/>
              </w:rPr>
            </w:pPr>
            <w:r>
              <w:rPr>
                <w:rFonts w:ascii="Arial" w:cs="Arial" w:eastAsia="Arial" w:hAnsi="Arial"/>
                <w:sz w:val="13"/>
                <w:szCs w:val="13"/>
                <w:color w:val="auto"/>
                <w:w w:val="97"/>
              </w:rPr>
              <w:t>Edward A. Lang, III</w:t>
            </w:r>
          </w:p>
        </w:tc>
        <w:tc>
          <w:tcPr>
            <w:tcW w:w="720" w:type="dxa"/>
            <w:vAlign w:val="bottom"/>
          </w:tcPr>
          <w:p>
            <w:pPr>
              <w:spacing w:after="0"/>
              <w:rPr>
                <w:sz w:val="13"/>
                <w:szCs w:val="13"/>
                <w:color w:val="auto"/>
              </w:rPr>
            </w:pPr>
          </w:p>
        </w:tc>
        <w:tc>
          <w:tcPr>
            <w:tcW w:w="4880" w:type="dxa"/>
            <w:vAlign w:val="bottom"/>
          </w:tcPr>
          <w:p>
            <w:pPr>
              <w:jc w:val="center"/>
              <w:ind w:left="234"/>
              <w:spacing w:after="0" w:line="145" w:lineRule="exact"/>
              <w:rPr>
                <w:sz w:val="20"/>
                <w:szCs w:val="20"/>
                <w:color w:val="auto"/>
              </w:rPr>
            </w:pPr>
            <w:r>
              <w:rPr>
                <w:rFonts w:ascii="Arial" w:cs="Arial" w:eastAsia="Arial" w:hAnsi="Arial"/>
                <w:sz w:val="13"/>
                <w:szCs w:val="13"/>
                <w:color w:val="auto"/>
                <w:w w:val="94"/>
              </w:rPr>
              <w:t>principal accounting officer)</w:t>
            </w: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3"/>
                <w:szCs w:val="13"/>
                <w:b w:val="1"/>
                <w:bCs w:val="1"/>
                <w:color w:val="auto"/>
              </w:rPr>
              <w:t>Republic Services of Indiana, Limited Partnership</w:t>
            </w:r>
          </w:p>
        </w:tc>
        <w:tc>
          <w:tcPr>
            <w:tcW w:w="720" w:type="dxa"/>
            <w:vAlign w:val="bottom"/>
          </w:tcPr>
          <w:p>
            <w:pPr>
              <w:spacing w:after="0"/>
              <w:rPr>
                <w:sz w:val="24"/>
                <w:szCs w:val="24"/>
                <w:color w:val="auto"/>
              </w:rPr>
            </w:pPr>
          </w:p>
        </w:tc>
        <w:tc>
          <w:tcPr>
            <w:tcW w:w="4880" w:type="dxa"/>
            <w:vAlign w:val="bottom"/>
          </w:tcPr>
          <w:p>
            <w:pPr>
              <w:jc w:val="center"/>
              <w:ind w:left="254"/>
              <w:spacing w:after="0"/>
              <w:rPr>
                <w:sz w:val="20"/>
                <w:szCs w:val="20"/>
                <w:color w:val="auto"/>
              </w:rPr>
            </w:pPr>
            <w:r>
              <w:rPr>
                <w:rFonts w:ascii="Arial" w:cs="Arial" w:eastAsia="Arial" w:hAnsi="Arial"/>
                <w:sz w:val="13"/>
                <w:szCs w:val="13"/>
                <w:color w:val="auto"/>
                <w:w w:val="92"/>
              </w:rPr>
              <w:t>Managing Member</w:t>
            </w:r>
          </w:p>
        </w:tc>
        <w:tc>
          <w:tcPr>
            <w:tcW w:w="800" w:type="dxa"/>
            <w:vAlign w:val="bottom"/>
          </w:tcPr>
          <w:p>
            <w:pPr>
              <w:spacing w:after="0"/>
              <w:rPr>
                <w:sz w:val="24"/>
                <w:szCs w:val="24"/>
                <w:color w:val="auto"/>
              </w:rPr>
            </w:pPr>
          </w:p>
        </w:tc>
      </w:tr>
      <w:tr>
        <w:trPr>
          <w:trHeight w:val="315"/>
        </w:trPr>
        <w:tc>
          <w:tcPr>
            <w:tcW w:w="6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By:</w:t>
            </w:r>
          </w:p>
        </w:tc>
        <w:tc>
          <w:tcPr>
            <w:tcW w:w="4000" w:type="dxa"/>
            <w:vAlign w:val="bottom"/>
          </w:tcPr>
          <w:p>
            <w:pPr>
              <w:ind w:left="1320"/>
              <w:spacing w:after="0"/>
              <w:rPr>
                <w:sz w:val="20"/>
                <w:szCs w:val="20"/>
                <w:color w:val="auto"/>
              </w:rPr>
            </w:pPr>
            <w:r>
              <w:rPr>
                <w:rFonts w:ascii="Arial" w:cs="Arial" w:eastAsia="Arial" w:hAnsi="Arial"/>
                <w:sz w:val="13"/>
                <w:szCs w:val="13"/>
                <w:color w:val="auto"/>
              </w:rPr>
              <w:t>Republic Services, Inc., as General Partner</w:t>
            </w:r>
          </w:p>
        </w:tc>
        <w:tc>
          <w:tcPr>
            <w:tcW w:w="7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5"/>
        </w:trPr>
        <w:tc>
          <w:tcPr>
            <w:tcW w:w="68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James E. O’Connor</w:t>
            </w:r>
          </w:p>
        </w:tc>
        <w:tc>
          <w:tcPr>
            <w:tcW w:w="7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680" w:type="dxa"/>
            <w:vAlign w:val="bottom"/>
          </w:tcPr>
          <w:p>
            <w:pPr>
              <w:spacing w:after="0"/>
              <w:rPr>
                <w:sz w:val="12"/>
                <w:szCs w:val="12"/>
                <w:color w:val="auto"/>
              </w:rPr>
            </w:pPr>
          </w:p>
        </w:tc>
        <w:tc>
          <w:tcPr>
            <w:tcW w:w="380" w:type="dxa"/>
            <w:vAlign w:val="bottom"/>
          </w:tcPr>
          <w:p>
            <w:pPr>
              <w:spacing w:after="0" w:line="139" w:lineRule="exact"/>
              <w:rPr>
                <w:sz w:val="20"/>
                <w:szCs w:val="20"/>
                <w:color w:val="auto"/>
              </w:rPr>
            </w:pPr>
            <w:r>
              <w:rPr>
                <w:rFonts w:ascii="Arial" w:cs="Arial" w:eastAsia="Arial" w:hAnsi="Arial"/>
                <w:sz w:val="13"/>
                <w:szCs w:val="13"/>
                <w:color w:val="auto"/>
                <w:w w:val="93"/>
              </w:rPr>
              <w:t>Name:</w:t>
            </w:r>
          </w:p>
        </w:tc>
        <w:tc>
          <w:tcPr>
            <w:tcW w:w="4000" w:type="dxa"/>
            <w:vAlign w:val="bottom"/>
          </w:tcPr>
          <w:p>
            <w:pPr>
              <w:ind w:left="140"/>
              <w:spacing w:after="0" w:line="139" w:lineRule="exact"/>
              <w:rPr>
                <w:sz w:val="20"/>
                <w:szCs w:val="20"/>
                <w:color w:val="auto"/>
              </w:rPr>
            </w:pPr>
            <w:r>
              <w:rPr>
                <w:rFonts w:ascii="Arial" w:cs="Arial" w:eastAsia="Arial" w:hAnsi="Arial"/>
                <w:sz w:val="13"/>
                <w:szCs w:val="13"/>
                <w:color w:val="auto"/>
              </w:rPr>
              <w:t>James E. O’Connor</w:t>
            </w:r>
          </w:p>
        </w:tc>
        <w:tc>
          <w:tcPr>
            <w:tcW w:w="7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ind w:left="340"/>
              <w:spacing w:after="0"/>
              <w:rPr>
                <w:sz w:val="20"/>
                <w:szCs w:val="20"/>
                <w:color w:val="auto"/>
              </w:rPr>
            </w:pPr>
            <w:r>
              <w:rPr>
                <w:rFonts w:ascii="Arial" w:cs="Arial" w:eastAsia="Arial" w:hAnsi="Arial"/>
                <w:sz w:val="13"/>
                <w:szCs w:val="13"/>
                <w:color w:val="auto"/>
              </w:rPr>
              <w:t>Chairman of the Board and Chief Executive Officer</w:t>
            </w:r>
          </w:p>
        </w:tc>
        <w:tc>
          <w:tcPr>
            <w:tcW w:w="7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0" w:type="dxa"/>
            <w:vAlign w:val="bottom"/>
            <w:gridSpan w:val="2"/>
          </w:tcPr>
          <w:p>
            <w:pPr>
              <w:ind w:left="460"/>
              <w:spacing w:after="0"/>
              <w:rPr>
                <w:sz w:val="20"/>
                <w:szCs w:val="20"/>
                <w:color w:val="auto"/>
              </w:rPr>
            </w:pPr>
            <w:r>
              <w:rPr>
                <w:rFonts w:ascii="Arial" w:cs="Arial" w:eastAsia="Arial" w:hAnsi="Arial"/>
                <w:sz w:val="13"/>
                <w:szCs w:val="13"/>
                <w:color w:val="auto"/>
              </w:rPr>
              <w:t>II-138</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8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A</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Action Disposal,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Ada County Development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ADS of Illinois,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Alabama Recycling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Acquisition Pennsylvania,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Acquisition Two,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Enviroengineering,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Green Power,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Nova Scotia,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Alabama,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Hauling of Georgia,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Holdings (Canada) Ltd.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Industries (New Mexico),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Industries of Georgia,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Industries of Northwest Indiana,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Industries (Southwest),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Landfill Holdings,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of California,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of Long Island,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of New Jersey,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Rural Sanitation,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Services of Colorado,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Systems Holdings,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Systems,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Transportation,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Disposal Services of New Jersey,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Disposal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Disposal Transfer Services of Illinois,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Materials Recycling Corp.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Sanitation,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Transfer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Area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Atlantic Waste Holding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Attwoods of North America,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Autoshred,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AWIN Leasing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AWIN Management,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BBCO,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Atlantic,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Energy Systems of Albany,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Energy Systems of Delaware County,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Energy Systems of Essex County,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Energy Systems of Hempstead,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Energy Systems of Niagara II,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Energy Systems of Niagara,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Energy Systems of SEMASS,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Energy Systems of Southeastern Connecticut,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International, Inc.</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REF-FUEL,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Trans River (GP),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Borrow Pit Corp.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Financial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Industries Chemical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Industries of Florida,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Industries of Illinois,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Industries of New Jersey,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Industries of New York,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Industries of Tennessee,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Bunting Trash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CECOS International,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Charter Evaporation Resource Recovery Systems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County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Delta Dade Recycling Corp.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Delta Paper Stock, Co.</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Delta Site Development Corp.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Delta Waste Corp.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Eagle Industries Leasing,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ECDC Environmental of Humboldt County,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ECDC Holdings,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Evergreen Scavenger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 Van Dyken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General Refuse Rolloff Corp.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Georgia Recycling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Golden Waste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Great Lakes Disposal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Gulfcoast Waste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Illinois Recycling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Ingrum Waste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Island Waste Services Ltd.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Jetter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La Cañada Disposal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Liberty Waste Holdings,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Louis Pinto &amp; Son, Inc., Sanitation Contractors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Lucas County Land Development,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Manumit of Florida,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Midway Development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Mississippi Waste Paper Company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Mountain Home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NationsWaste Catawba Regional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NationsWaste,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Ncorp,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Pinal County Landfill Corp.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Portable Storage Co.</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Preble County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Price &amp; Sons Recycling Company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R.C. Miller Enterprises,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Resource Recovery,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Risk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Rock Road Industries,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Ross Bros. Waste &amp; Recycling Co.</w:t>
      </w:r>
    </w:p>
    <w:p>
      <w:pPr>
        <w:spacing w:after="0" w:line="295"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II-140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2" w:name="page183"/>
    <w:bookmarkEnd w:id="18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Royal Holdings,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&amp; S Recycling,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Marcos NCRRF,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Sanitary Disposal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Shred — All Recycling Systems,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Standard Disposal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Standard Waste,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Suburban Transfer,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Summit Waste Systems,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Tate’s Transfer Systems,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Taylor Ridge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Tennessee Union County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Ecology Group,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Solid Waste Recyclers,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Tri-State Recycling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Tri-State Refuse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Vining Disposal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Waste Control Systems,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Wastehaul,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Wayne County Landfill IL, Inc.</w:t>
      </w:r>
    </w:p>
    <w:p>
      <w:pPr>
        <w:spacing w:after="0" w:line="12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B</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Adrian Landfill,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Industries of Illinois,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Services of Stillwater,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Disposal Services of Kansas,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Disposal Services of Illinois,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Belleville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Bond County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Brickyard Disposal &amp; Recycling,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CC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Central Sanitary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Citizens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City-Star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Clarkston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Dempsey Waste Systems II,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DTC Management,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East Chicago Compost Facility,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Environmental Development Corp. (DE)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Environmental Reclamation Company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Environtech,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Fred Barbara Trucking Co.,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Harland’s Sanitary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Illinois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Illinois Valley Recycling,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Kankakee Quarry,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LandComp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Lee County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Loop Recycling,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Loop Transfer, Incorporated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Northlake Transfer,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Oakland Heights Development, Inc.</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183" w:name="page184"/>
    <w:bookmarkEnd w:id="18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Oscar’s Collection System of Fremont,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Ottawa County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Pittsburg County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RCS,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Roxana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Saline County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Sangamon Valley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Sauk Trail Development,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Standard Environmental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Streator Area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Suburban Warehouse,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Sunset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Thomas Disposal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Upper Rock Island County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Williams County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Woodlake Sanitary Service, Inc.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C</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Agri-Tech, Inc. of Oregon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Albany-Lebanon Sanitation,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Industries (Arizona),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Services of Page,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Transfer Services of Utah,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Apache Junction Landfill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Bio-Med of Oregon,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Borrego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Industries of California,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Capitol Recycling and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Central Arizona Transfer,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Cocopah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Copper Mountain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Corvallis Disposal Co.</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Dallas Disposal Co.</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Delta Container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Denver RL North,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Elder Creek Transfer &amp; Recovery,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Forward,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Grants Pass Sanitation,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Imperial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Independent Trucking Company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International Disposal Corp. of California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Keller Canyon Landfill Company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Keller Drop Box,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Lathrop Sunrise Sanitation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McInnis Waste Systems,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Mesa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Otay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Palomar Transfer Station,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Peltier Real Estate Company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Rabanco Recycling,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Rabanco, Ltd.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Ramona Landfill, Inc.</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Rossman Sanitary Service,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Source Recycling,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Sunrise Sanitation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Sunset Disposal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Sycamore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United Disposal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Valley Landfills,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Wasatch Regional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WDTR,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Willamette Resources,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WJR Environmental, Inc.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Disposal Services of Missouri,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Disposal Services of West Virginia,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Automated Modular Systems,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Transfer Systems of New Jersey,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Industries,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Industries of Ohio,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Celina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Cherokee Run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County Disposal (Ohio),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 P. McNamara Rubbish Removal,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Lake Norman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Newco Waste Systems of New Jersey,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Morgan Landfill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Noble Road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Port Clinton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R.C. Miller Refuse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Tom Luciano’s Disposal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Tricil (N.Y.), Inc.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E</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Industries of Tennessee,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Delta Resources Corp.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GEK, Inc.</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F</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D A J Corporation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Atlas Transport,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Bay Collection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Bay Environmental Management,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Bay Landfills,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Bay Leasing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McCusker Recycling,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Ohio Republic Contracts, II,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Ohio Republic Contracts,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Perdomo &amp; Sons,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Aviation,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Holding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Florida LP,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California Holding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Indiana LP,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Michigan Holding Company,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Real Estate Holding,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Waste Services of Texas LP,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RI/Alameda Corp.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Sandy Hollow Landfill Corp.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Zakaroff Services</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G</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Berkeley Sanitary Service,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BLT Enterprises of Oxnard,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Crockett Sanitary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Golden Bear Transfer Services,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Dumpco,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Environmental Technologies,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Silver State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Richmond Sanitary Service,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Solano Garbage Company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West Contra Costa Energy Recovery Company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West Contra Costa Sanitary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West County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West County Resource Recovery, Inc.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H</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623 Landfill,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Calvert Trash Systems, Incorporated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Honeygo Run Reclamation Center, Inc.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I</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Arc Disposal Company,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Barker Brothers Waste, Incorporated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Compactor Rental Systems of Delaware,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CWI of Illinois, Inc.</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CWI of Missouri,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Northwest Tennessee Disposal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Reliable Disposal,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Southern Illinois Regional Landfill,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Tay-Ban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Tri-County Refuse Service, Inc.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J</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Envirocycle,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Florida GP,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Waste Services of Texas GP,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Schofield Corporation of Orlando</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K</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Industries,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North America, Inc.</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L</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Financial LP, Inc.</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M</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Dinverno, Inc.</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N</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New Jersey,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Waste Services of New York, Inc.</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O</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Abilene Landfill TX, 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Transfer Systems of Texas,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Services of Indiana,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Services of Texas,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Indiana,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Blue Ridge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Brenham Total Roll-Offs,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Camelot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Cefe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Crow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Desarrollo del Rancho La Gloria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El Centro Landfill,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Ellis County Landfill TX, LP</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Fort Worth Landfill TX, 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Frontier Waste Services,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Galveston County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Giles Road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Golden Triangle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Greenwood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Gulf West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Itasca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Kerrville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Lewisville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Mars Road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McCarty Road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Mesquite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Mexia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Panama Road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Pine Hill Farms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Pleasant Oaks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Rio Grande Valley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Royal Oaks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South Central Texas Land Co.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Southwest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Tessman Road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Turkey Creek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Victoria Landfill TX, LP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Whispering Pines Landfill TX, LP</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Benton County Development Company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Clinton County Landfill Partnership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County Line Landfill Partnership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Illiana Disposal Partnership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Jasper County Development Company Partnership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Key Waste Indiana Partnership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Lake County C &amp; D Development Partnership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Newton County Landfill Partnership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Springfield Environmental General Partnership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Tippecanoe County Waste Services Partnership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Warrick County Development Company</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Q</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Benson Valley Landfill General Partnership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Blue Ridge Landfill General Partnership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Green Valley Landfill General Partnership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Morehead Landfill General Partnership</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Waste Services of Texas, Ltd.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RWS Transport, L.P.</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8" w:name="page189"/>
    <w:bookmarkEnd w:id="188"/>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S</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Energy Systems of Southeastern Connecticut, Limited Partnership</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T</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Oceanside Waste &amp; Recycling Services</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U</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Rabanco Companies</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V</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Financial, Limited Partnership</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W</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Florida, Limited Partnership</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X</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Georgia, Limited Partnership</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Y</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Indiana, Limited Partnership</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Z</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Wisconsin, Limited Partnership</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AA</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Agricultural Acquisitions, LLC</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BB</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Gas Recovery Systems,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Transfer Systems of New Jersey,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Systems of New Jersey,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Transfer Services of Lima,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Anson County Landfill NC,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AWIN Leasing II,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Services,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Bridgeton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Browning-Ferris Industries,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Cumberland County Development Company,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 Leasing Company,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Flint Hill Road,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 Leasing Company,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Harrison County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 County Landfill, LLC</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189" w:name="page190"/>
    <w:bookmarkEnd w:id="189"/>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Jefferson Parish Development Company,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Little Creek Landing,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Missouri City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 Leasing Company,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Waste Services,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Obscurity Land Development,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Polk County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Prince George’s County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Leasing Company,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Diego Landfill Systems,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 Bernard Parish Development Company,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 Joseph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Wayne County Land Development, LLC</w:t>
      </w:r>
    </w:p>
    <w:p>
      <w:pPr>
        <w:spacing w:after="0" w:line="12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CC</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Services,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DD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Environmental Management Group,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 &amp; C Expanded Sanitary Landfill, LLC</w:t>
      </w:r>
    </w:p>
    <w:p>
      <w:pPr>
        <w:spacing w:after="0" w:line="12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EE</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Niagara Falls Landfill,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Recycling Services of New Hampshire,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Systems of Michigan,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Systems of Pennsylvania,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Transfer Services of New York,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Transfer Services of North Carolina,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Transfer Services of Rhode Island,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Transfer Systems of Pennsylvania,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FF</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of New Jersey-New York,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Services of Massachusetts,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Sycamore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Transfer Systems of Maryland,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Transfer Systems of Massachusetts,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Transfer Systems of Virginia,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Services of Pennsylvania,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Virginia,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Brunswick Waste Management Facility,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Greenridge Reclamation,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Greenridge Waste Services,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Lee County Landfill SC,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Menands Environmental Solutions,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Northeast Landfill, LLC</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90" w:name="page191"/>
    <w:bookmarkEnd w:id="190"/>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GG</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Services of North America,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Systems of Indiana,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Systems of North Carolina,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North America,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Crescent Acres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Sand Valley Holdings,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HH</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Systems of Arizona,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Systems of Colorado,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Systems of Montana,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Transfer Services of California,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Transfer Services of Oregon,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II</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Transfer Services of Arizona,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Cactus Waste Systems,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JJ</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Transfer Services of Florida,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KK</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Allied Waste Transfer Services of Iowa,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Missouri,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Oklahoma,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Butler County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Courtney Ridge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Ellis Scott Landfill MO,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Forest View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Great Plains Landfill OK,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Jefferson City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Lemons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Pinecrest Landfill OK,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Show-Me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Southeast Landfill,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LL</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Ariana,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MM</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Autauga County Landfill,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Transfer Systems of Alabama,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Transfer Systems of Georgia,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Transfer Systems of Mississippi, LLC</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91" w:name="page192"/>
    <w:bookmarkEnd w:id="191"/>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Alabama,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Arkansas,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Georgia,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Louisiana,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Mississippi,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Tennessee,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Chilton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Gateway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Hancock County Development Company,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Madison County Development,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Willow Ridge Landfill,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NN</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BFGSI,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OO</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Transfer Systems of DC,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Kentucky,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Massachusetts,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North Carolina,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Systems of South Carolina,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General Refuse Service of Ohio,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Local Sanitation of Rowan County,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PP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Bridgeton Transfer Station, LLC</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QQ</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Carbon Limestone Landfill,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County Land Development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Lorain County Landfill,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Lucas County Landfill,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RR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Central Virginia Properties,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SS</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Consolidated Disposal Service,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Waste Services of Southern California,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Rubbish Control,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TT</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Continental Waste Industries,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North Carolina,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Pennsylvania, LLC</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192" w:name="page193"/>
    <w:bookmarkEnd w:id="192"/>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Virginia,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UU</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County Environmental Landfill,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VV</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 &amp; L Disposal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Envotech-Illinois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Liberty Waste Services of McCook,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WW</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ECDC Environmental, 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XX</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Evergreen Scavenger Service,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Packerton Land Company,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YY</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Frontier Waste Services (Colorado),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Frontier Waste Services (Utah),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Frontier Waste Services of Louisiana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ZZ</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Kandel Enterprises,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AAA</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Liberty Waste Services Limited,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BBB</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Liberty Waste Services of Illinois,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CCC</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Oklahoma City Landfill,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DDD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Ohio Contracts,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EEE</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Group,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Georgia LP,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South Carolina,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Southern California, LLC</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93" w:name="page194"/>
    <w:bookmarkEnd w:id="193"/>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Wisconsin LP,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FFF</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Arizona Hauling,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Colorado Hauling,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Colorado I, LLC</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GGG</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California II,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Vasco Road,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HHH</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Georgia GP,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III</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Kentucky,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Wisconsin GP,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JJJ</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Michigan Hauling,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Michigan I,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Michigan II,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Michigan III,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Michigan IV,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Michigan V,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KKK</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New Jersey,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LLL</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Ohio Hauling, LLC</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MMM</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Ohio I,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Ohio II,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Ohio III,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Ohio IV, LLC</w:t>
      </w:r>
    </w:p>
    <w:p>
      <w:pPr>
        <w:spacing w:after="0" w:line="8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NNN</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BFI Waste Services of Tennessee, LLC</w:t>
      </w:r>
    </w:p>
    <w:p>
      <w:pPr>
        <w:spacing w:after="0" w:line="35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194" w:name="page195"/>
    <w:bookmarkEnd w:id="194"/>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OOO</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RITM, LLC</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PPP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Roll-Offs, L.L.C.</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QQQ</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Wayne Developers, LLC</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RRR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Webster Parish Landfill, L.L.C.</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SCHEDULE SSS</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SUBSIDIARY GUARANTORS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of Indiana Transportation, LLC</w:t>
      </w:r>
    </w:p>
    <w:p>
      <w:pPr>
        <w:spacing w:after="0" w:line="303"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195" w:name="page196"/>
    <w:bookmarkEnd w:id="195"/>
    <w:p>
      <w:pPr>
        <w:spacing w:after="0"/>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880" w:type="dxa"/>
        <w:tblCellMar>
          <w:top w:w="0" w:type="dxa"/>
          <w:left w:w="0" w:type="dxa"/>
          <w:bottom w:w="0" w:type="dxa"/>
          <w:right w:w="0" w:type="dxa"/>
        </w:tblCellMar>
      </w:tblPr>
      <w:tr>
        <w:trPr>
          <w:trHeight w:val="169"/>
        </w:trPr>
        <w:tc>
          <w:tcPr>
            <w:tcW w:w="640" w:type="dxa"/>
            <w:vAlign w:val="bottom"/>
          </w:tcPr>
          <w:p>
            <w:pPr>
              <w:spacing w:after="0"/>
              <w:rPr>
                <w:sz w:val="14"/>
                <w:szCs w:val="14"/>
                <w:color w:val="auto"/>
              </w:rPr>
            </w:pPr>
          </w:p>
        </w:tc>
        <w:tc>
          <w:tcPr>
            <w:tcW w:w="9020" w:type="dxa"/>
            <w:vAlign w:val="bottom"/>
            <w:gridSpan w:val="3"/>
          </w:tcPr>
          <w:p>
            <w:pPr>
              <w:ind w:left="3500"/>
              <w:spacing w:after="0"/>
              <w:rPr>
                <w:sz w:val="20"/>
                <w:szCs w:val="20"/>
                <w:color w:val="auto"/>
              </w:rPr>
            </w:pPr>
            <w:r>
              <w:rPr>
                <w:rFonts w:ascii="Arial" w:cs="Arial" w:eastAsia="Arial" w:hAnsi="Arial"/>
                <w:sz w:val="13"/>
                <w:szCs w:val="13"/>
                <w:b w:val="1"/>
                <w:bCs w:val="1"/>
                <w:color w:val="auto"/>
              </w:rPr>
              <w:t>INDEX TO EXHIBITS</w:t>
            </w:r>
          </w:p>
        </w:tc>
        <w:tc>
          <w:tcPr>
            <w:tcW w:w="0" w:type="dxa"/>
            <w:vAlign w:val="bottom"/>
          </w:tcPr>
          <w:p>
            <w:pPr>
              <w:spacing w:after="0"/>
              <w:rPr>
                <w:sz w:val="1"/>
                <w:szCs w:val="1"/>
                <w:color w:val="auto"/>
              </w:rPr>
            </w:pPr>
          </w:p>
        </w:tc>
      </w:tr>
      <w:tr>
        <w:trPr>
          <w:trHeight w:val="191"/>
        </w:trPr>
        <w:tc>
          <w:tcPr>
            <w:tcW w:w="640" w:type="dxa"/>
            <w:vAlign w:val="bottom"/>
          </w:tcPr>
          <w:p>
            <w:pPr>
              <w:jc w:val="right"/>
              <w:ind w:right="235"/>
              <w:spacing w:after="0"/>
              <w:rPr>
                <w:sz w:val="20"/>
                <w:szCs w:val="20"/>
                <w:color w:val="auto"/>
              </w:rPr>
            </w:pPr>
            <w:r>
              <w:rPr>
                <w:rFonts w:ascii="Arial" w:cs="Arial" w:eastAsia="Arial" w:hAnsi="Arial"/>
                <w:sz w:val="10"/>
                <w:szCs w:val="10"/>
                <w:b w:val="1"/>
                <w:bCs w:val="1"/>
                <w:color w:val="auto"/>
                <w:w w:val="95"/>
              </w:rPr>
              <w:t>Exhibit</w:t>
            </w:r>
          </w:p>
        </w:tc>
        <w:tc>
          <w:tcPr>
            <w:tcW w:w="4580" w:type="dxa"/>
            <w:vAlign w:val="bottom"/>
          </w:tcPr>
          <w:p>
            <w:pPr>
              <w:spacing w:after="0"/>
              <w:rPr>
                <w:sz w:val="16"/>
                <w:szCs w:val="16"/>
                <w:color w:val="auto"/>
              </w:rPr>
            </w:pPr>
          </w:p>
        </w:tc>
        <w:tc>
          <w:tcPr>
            <w:tcW w:w="44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640" w:type="dxa"/>
            <w:vAlign w:val="bottom"/>
          </w:tcPr>
          <w:p>
            <w:pPr>
              <w:jc w:val="right"/>
              <w:ind w:right="35"/>
              <w:spacing w:after="0"/>
              <w:rPr>
                <w:sz w:val="20"/>
                <w:szCs w:val="20"/>
                <w:color w:val="auto"/>
              </w:rPr>
            </w:pPr>
            <w:r>
              <w:rPr>
                <w:rFonts w:ascii="Arial" w:cs="Arial" w:eastAsia="Arial" w:hAnsi="Arial"/>
                <w:sz w:val="10"/>
                <w:szCs w:val="10"/>
                <w:b w:val="1"/>
                <w:bCs w:val="1"/>
                <w:color w:val="auto"/>
              </w:rPr>
              <w:t>Number</w:t>
            </w:r>
          </w:p>
        </w:tc>
        <w:tc>
          <w:tcPr>
            <w:tcW w:w="4580" w:type="dxa"/>
            <w:vAlign w:val="bottom"/>
          </w:tcPr>
          <w:p>
            <w:pPr>
              <w:spacing w:after="0"/>
              <w:rPr>
                <w:sz w:val="11"/>
                <w:szCs w:val="11"/>
                <w:color w:val="auto"/>
              </w:rPr>
            </w:pPr>
          </w:p>
        </w:tc>
        <w:tc>
          <w:tcPr>
            <w:tcW w:w="4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1.1</w:t>
            </w:r>
          </w:p>
        </w:tc>
        <w:tc>
          <w:tcPr>
            <w:tcW w:w="4580" w:type="dxa"/>
            <w:vAlign w:val="bottom"/>
          </w:tcPr>
          <w:p>
            <w:pPr>
              <w:ind w:left="100"/>
              <w:spacing w:after="0"/>
              <w:rPr>
                <w:sz w:val="20"/>
                <w:szCs w:val="20"/>
                <w:color w:val="auto"/>
              </w:rPr>
            </w:pPr>
            <w:r>
              <w:rPr>
                <w:rFonts w:ascii="Arial" w:cs="Arial" w:eastAsia="Arial" w:hAnsi="Arial"/>
                <w:sz w:val="13"/>
                <w:szCs w:val="13"/>
                <w:color w:val="auto"/>
              </w:rPr>
              <w:t>Form of Underwriting Agreement (Debt Securities).</w:t>
            </w:r>
          </w:p>
        </w:tc>
        <w:tc>
          <w:tcPr>
            <w:tcW w:w="80" w:type="dxa"/>
            <w:vAlign w:val="bottom"/>
            <w:tcBorders>
              <w:top w:val="single" w:sz="8" w:color="auto"/>
            </w:tcBorders>
          </w:tcPr>
          <w:p>
            <w:pPr>
              <w:spacing w:after="0"/>
              <w:rPr>
                <w:sz w:val="15"/>
                <w:szCs w:val="15"/>
                <w:color w:val="auto"/>
              </w:rPr>
            </w:pPr>
          </w:p>
        </w:tc>
        <w:tc>
          <w:tcPr>
            <w:tcW w:w="4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*1.2</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of Underwriting Agreement (Common Stock).</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*1.3</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of Underwriting Agreement (Preferred Stock).</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*1.4</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of Underwriting Agreement (Warrants).</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*1.5</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of Underwriting Agreement (Stock Purchase Contracts).</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*1.6</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of Underwriting Agreement (Stock Purchase Units).</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*1.7</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of Underwriting Agreement (Subscription Rights).</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4.1</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w w:val="92"/>
              </w:rPr>
              <w:t>Amended and Restated Certificate of Incorporation of Republic Services, Inc. (incorporated by reference to Exhibit 3.1 to Republic’s Quarterly Report on Form 10-Q for</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the period ended June 30, 1998).</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4.2</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w w:val="96"/>
              </w:rPr>
              <w:t>Certificate of Amendment to Amended and Restated Certificate of Incorporation of Republic Services, Inc. (incorporated by reference to Exhibit 4.2 to Republic’s</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Registration Statement on Form S-8, Registration No. 333-81801, filed with the Commission on June 29, 1999).</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4.3</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w w:val="91"/>
              </w:rPr>
              <w:t>Amended and Restated Bylaws of Republic Services, Inc. (incorporated by reference to Exhibit 3.1 to Republic’s Current Report on Form 8-K filed on October 30, 2009).</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4.4</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w w:val="98"/>
              </w:rPr>
              <w:t>Common Stock Certificate of Republic Services, Inc. (incorporated by reference to Exhibit 4.4 to Republic’s Registration Statement on Form S-8, Registration</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No. 333-81801, filed with the Commission on June 29, 1999).</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*4.5</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Specimen Certificate of Preferred Stock.</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*4.6</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Certificate of Designation of Preferred Stock.</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4.7</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w w:val="91"/>
              </w:rPr>
              <w:t>Indenture, dated as of September 8, 2009, by and between Republic Services, Inc. and The Bank of New York Mellon Trust Company, N.A., as trustee, including form of</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Debt Security (incorporated by reference to Exhibit 4.1 to Republic’s Current Report on Form 8-K filed on September 9, 2009).</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4.8</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w w:val="95"/>
              </w:rPr>
              <w:t>Indenture, dated as of November 25, 2009, by and between Republic Services, Inc. and U.S. Bank National Association, as trustee, including form of Debt Security</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(incorporated by reference to Exhibit 4.1 to Republic’s Current Report on Form 8-K filed on November 25, 2009).</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*4.9</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of Warrant Agreement, including form of Warrant Certificate.</w:t>
            </w:r>
          </w:p>
        </w:tc>
        <w:tc>
          <w:tcPr>
            <w:tcW w:w="0" w:type="dxa"/>
            <w:vAlign w:val="bottom"/>
          </w:tcPr>
          <w:p>
            <w:pPr>
              <w:spacing w:after="0"/>
              <w:rPr>
                <w:sz w:val="1"/>
                <w:szCs w:val="1"/>
                <w:color w:val="auto"/>
              </w:rPr>
            </w:pPr>
          </w:p>
        </w:tc>
      </w:tr>
      <w:tr>
        <w:trPr>
          <w:trHeight w:val="157"/>
        </w:trPr>
        <w:tc>
          <w:tcPr>
            <w:tcW w:w="640" w:type="dxa"/>
            <w:vAlign w:val="bottom"/>
          </w:tcPr>
          <w:p>
            <w:pPr>
              <w:jc w:val="right"/>
              <w:ind w:right="175"/>
              <w:spacing w:after="0"/>
              <w:rPr>
                <w:sz w:val="20"/>
                <w:szCs w:val="20"/>
                <w:color w:val="auto"/>
              </w:rPr>
            </w:pPr>
            <w:r>
              <w:rPr>
                <w:rFonts w:ascii="Arial" w:cs="Arial" w:eastAsia="Arial" w:hAnsi="Arial"/>
                <w:sz w:val="13"/>
                <w:szCs w:val="13"/>
                <w:color w:val="auto"/>
              </w:rPr>
              <w:t>*4.10</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of Stock Purchase Contract Agreement, including form of Security Certificate.</w:t>
            </w:r>
          </w:p>
        </w:tc>
        <w:tc>
          <w:tcPr>
            <w:tcW w:w="0" w:type="dxa"/>
            <w:vAlign w:val="bottom"/>
          </w:tcPr>
          <w:p>
            <w:pPr>
              <w:spacing w:after="0"/>
              <w:rPr>
                <w:sz w:val="1"/>
                <w:szCs w:val="1"/>
                <w:color w:val="auto"/>
              </w:rPr>
            </w:pPr>
          </w:p>
        </w:tc>
      </w:tr>
      <w:tr>
        <w:trPr>
          <w:trHeight w:val="157"/>
        </w:trPr>
        <w:tc>
          <w:tcPr>
            <w:tcW w:w="640" w:type="dxa"/>
            <w:vAlign w:val="bottom"/>
          </w:tcPr>
          <w:p>
            <w:pPr>
              <w:jc w:val="right"/>
              <w:ind w:right="175"/>
              <w:spacing w:after="0"/>
              <w:rPr>
                <w:sz w:val="20"/>
                <w:szCs w:val="20"/>
                <w:color w:val="auto"/>
              </w:rPr>
            </w:pPr>
            <w:r>
              <w:rPr>
                <w:rFonts w:ascii="Arial" w:cs="Arial" w:eastAsia="Arial" w:hAnsi="Arial"/>
                <w:sz w:val="13"/>
                <w:szCs w:val="13"/>
                <w:color w:val="auto"/>
              </w:rPr>
              <w:t>*4.11</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of Stock Purchase Unit Agreement, including form of Unit Certificate.</w:t>
            </w:r>
          </w:p>
        </w:tc>
        <w:tc>
          <w:tcPr>
            <w:tcW w:w="0" w:type="dxa"/>
            <w:vAlign w:val="bottom"/>
          </w:tcPr>
          <w:p>
            <w:pPr>
              <w:spacing w:after="0"/>
              <w:rPr>
                <w:sz w:val="1"/>
                <w:szCs w:val="1"/>
                <w:color w:val="auto"/>
              </w:rPr>
            </w:pPr>
          </w:p>
        </w:tc>
      </w:tr>
      <w:tr>
        <w:trPr>
          <w:trHeight w:val="157"/>
        </w:trPr>
        <w:tc>
          <w:tcPr>
            <w:tcW w:w="640" w:type="dxa"/>
            <w:vAlign w:val="bottom"/>
          </w:tcPr>
          <w:p>
            <w:pPr>
              <w:jc w:val="right"/>
              <w:ind w:right="175"/>
              <w:spacing w:after="0"/>
              <w:rPr>
                <w:sz w:val="20"/>
                <w:szCs w:val="20"/>
                <w:color w:val="auto"/>
              </w:rPr>
            </w:pPr>
            <w:r>
              <w:rPr>
                <w:rFonts w:ascii="Arial" w:cs="Arial" w:eastAsia="Arial" w:hAnsi="Arial"/>
                <w:sz w:val="13"/>
                <w:szCs w:val="13"/>
                <w:color w:val="auto"/>
              </w:rPr>
              <w:t>*4.12</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of Subscription Rights Agreement, including form of Rights Certificate.</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5.1</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Opinion of Mayer Brown LLP as to the legality of the securities being registered.</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12.1</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Statement of computation of ratios of earnings to fixed charges.</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23.1</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Consent of Ernst &amp; Young LLP.</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23.2</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Consent of Mayer Brown LLP (contained in Exhibit 5).</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24.1</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Powers of attorney (included in signature pages of the Registration Statement).</w:t>
            </w:r>
          </w:p>
        </w:tc>
        <w:tc>
          <w:tcPr>
            <w:tcW w:w="0" w:type="dxa"/>
            <w:vAlign w:val="bottom"/>
          </w:tcPr>
          <w:p>
            <w:pPr>
              <w:spacing w:after="0"/>
              <w:rPr>
                <w:sz w:val="1"/>
                <w:szCs w:val="1"/>
                <w:color w:val="auto"/>
              </w:rPr>
            </w:pPr>
          </w:p>
        </w:tc>
      </w:tr>
      <w:tr>
        <w:trPr>
          <w:trHeight w:val="157"/>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25.1</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T-1 Statement of Eligibility under the Trust Indenture Act of 1939 of The Bank of New York Mellon Trust Company, N.A.</w:t>
            </w:r>
          </w:p>
        </w:tc>
        <w:tc>
          <w:tcPr>
            <w:tcW w:w="0" w:type="dxa"/>
            <w:vAlign w:val="bottom"/>
          </w:tcPr>
          <w:p>
            <w:pPr>
              <w:spacing w:after="0"/>
              <w:rPr>
                <w:sz w:val="1"/>
                <w:szCs w:val="1"/>
                <w:color w:val="auto"/>
              </w:rPr>
            </w:pPr>
          </w:p>
        </w:tc>
      </w:tr>
      <w:tr>
        <w:trPr>
          <w:trHeight w:val="165"/>
        </w:trPr>
        <w:tc>
          <w:tcPr>
            <w:tcW w:w="640" w:type="dxa"/>
            <w:vAlign w:val="bottom"/>
          </w:tcPr>
          <w:p>
            <w:pPr>
              <w:jc w:val="right"/>
              <w:ind w:right="235"/>
              <w:spacing w:after="0"/>
              <w:rPr>
                <w:sz w:val="20"/>
                <w:szCs w:val="20"/>
                <w:color w:val="auto"/>
              </w:rPr>
            </w:pPr>
            <w:r>
              <w:rPr>
                <w:rFonts w:ascii="Arial" w:cs="Arial" w:eastAsia="Arial" w:hAnsi="Arial"/>
                <w:sz w:val="13"/>
                <w:szCs w:val="13"/>
                <w:color w:val="auto"/>
              </w:rPr>
              <w:t>25.2</w:t>
            </w:r>
          </w:p>
        </w:tc>
        <w:tc>
          <w:tcPr>
            <w:tcW w:w="9020" w:type="dxa"/>
            <w:vAlign w:val="bottom"/>
            <w:gridSpan w:val="3"/>
          </w:tcPr>
          <w:p>
            <w:pPr>
              <w:ind w:left="100"/>
              <w:spacing w:after="0"/>
              <w:rPr>
                <w:sz w:val="20"/>
                <w:szCs w:val="20"/>
                <w:color w:val="auto"/>
              </w:rPr>
            </w:pPr>
            <w:r>
              <w:rPr>
                <w:rFonts w:ascii="Arial" w:cs="Arial" w:eastAsia="Arial" w:hAnsi="Arial"/>
                <w:sz w:val="13"/>
                <w:szCs w:val="13"/>
                <w:color w:val="auto"/>
              </w:rPr>
              <w:t>Form T-1 Statement of Eligibility under the Trust Indenture Act of 1939 of U.S. Bank National Association.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-3125470</wp:posOffset>
            </wp:positionV>
            <wp:extent cx="635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00" w:hanging="213"/>
        <w:spacing w:after="0"/>
        <w:tabs>
          <w:tab w:leader="none" w:pos="9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To be filed by amendment or incorporated by reference in connection with the offering of securities registered hereby, as appropriate.</w:t>
      </w:r>
    </w:p>
    <w:p>
      <w:pPr>
        <w:sectPr>
          <w:pgSz w:w="11900" w:h="16838" w:orient="portrait"/>
          <w:cols w:equalWidth="0" w:num="1">
            <w:col w:w="10540"/>
          </w:cols>
          <w:pgMar w:left="220" w:top="343" w:right="11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3"/>
          <w:szCs w:val="13"/>
          <w:b w:val="1"/>
          <w:bCs w:val="1"/>
          <w:color w:val="auto"/>
        </w:rPr>
        <w:t>Exhibit 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REPUBLIC SERVICES, INC.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DEBT UNDERWRITING AGREEMENT</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-7620</wp:posOffset>
            </wp:positionV>
            <wp:extent cx="83185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[NAME OF REPRESENTATIVE]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[NAME OF REPRESENTATIVE]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As Representatives of the several Underwriters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Named in Schedule A hereto</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c/o [Name of Representative]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c/o [Name of Representative]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 xml:space="preserve">Introductory. </w:t>
      </w:r>
      <w:r>
        <w:rPr>
          <w:rFonts w:ascii="Arial" w:cs="Arial" w:eastAsia="Arial" w:hAnsi="Arial"/>
          <w:sz w:val="12"/>
          <w:szCs w:val="12"/>
          <w:color w:val="auto"/>
        </w:rPr>
        <w:t>Republic Services,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proposes to issue and sell to the several Underwriters named in Schedule A (the “</w:t>
      </w:r>
      <w:r>
        <w:rPr>
          <w:rFonts w:ascii="Arial" w:cs="Arial" w:eastAsia="Arial" w:hAnsi="Arial"/>
          <w:sz w:val="12"/>
          <w:szCs w:val="12"/>
          <w:u w:val="single" w:color="auto"/>
          <w:color w:val="auto"/>
        </w:rPr>
        <w:t>Underwriters</w:t>
      </w:r>
      <w:r>
        <w:rPr>
          <w:rFonts w:ascii="Arial" w:cs="Arial" w:eastAsia="Arial" w:hAnsi="Arial"/>
          <w:sz w:val="12"/>
          <w:szCs w:val="12"/>
          <w:color w:val="auto"/>
        </w:rPr>
        <w:t>”), acting severally and not jointly, the</w:t>
      </w:r>
    </w:p>
    <w:p>
      <w:pPr>
        <w:spacing w:after="0" w:line="27"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respective amounts set forth in such Schedule A of $ aggregate principal amount of the Company’s ___% Notes due ___(the “</w:t>
      </w:r>
      <w:r>
        <w:rPr>
          <w:rFonts w:ascii="Arial" w:cs="Arial" w:eastAsia="Arial" w:hAnsi="Arial"/>
          <w:sz w:val="13"/>
          <w:szCs w:val="13"/>
          <w:u w:val="single" w:color="auto"/>
          <w:color w:val="auto"/>
        </w:rPr>
        <w:t>Notes</w:t>
      </w:r>
      <w:r>
        <w:rPr>
          <w:rFonts w:ascii="Arial" w:cs="Arial" w:eastAsia="Arial" w:hAnsi="Arial"/>
          <w:sz w:val="13"/>
          <w:szCs w:val="13"/>
          <w:color w:val="auto"/>
        </w:rPr>
        <w:t>”). have agreed to act as representatives of the several Underwriters (in such capacity, the “</w:t>
      </w:r>
      <w:r>
        <w:rPr>
          <w:rFonts w:ascii="Arial" w:cs="Arial" w:eastAsia="Arial" w:hAnsi="Arial"/>
          <w:sz w:val="13"/>
          <w:szCs w:val="13"/>
          <w:u w:val="single" w:color="auto"/>
          <w:color w:val="auto"/>
        </w:rPr>
        <w:t>Representatives</w:t>
      </w:r>
      <w:r>
        <w:rPr>
          <w:rFonts w:ascii="Arial" w:cs="Arial" w:eastAsia="Arial" w:hAnsi="Arial"/>
          <w:sz w:val="13"/>
          <w:szCs w:val="13"/>
          <w:color w:val="auto"/>
        </w:rPr>
        <w:t>”) in connection with the offering and sale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-126365</wp:posOffset>
            </wp:positionV>
            <wp:extent cx="41592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15925" cy="635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-126365</wp:posOffset>
            </wp:positionV>
            <wp:extent cx="83185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line="37" w:lineRule="exact"/>
        <w:rPr>
          <w:sz w:val="20"/>
          <w:szCs w:val="20"/>
          <w:color w:val="auto"/>
        </w:rPr>
      </w:pPr>
    </w:p>
    <w:p>
      <w:pPr>
        <w:ind w:left="160"/>
        <w:spacing w:after="0"/>
        <w:tabs>
          <w:tab w:leader="none" w:pos="5940" w:val="left"/>
          <w:tab w:leader="none" w:pos="10860" w:val="left"/>
        </w:tabs>
        <w:rPr>
          <w:sz w:val="20"/>
          <w:szCs w:val="20"/>
          <w:color w:val="auto"/>
        </w:rPr>
      </w:pPr>
      <w:r>
        <w:rPr>
          <w:rFonts w:ascii="Arial" w:cs="Arial" w:eastAsia="Arial" w:hAnsi="Arial"/>
          <w:sz w:val="13"/>
          <w:szCs w:val="13"/>
          <w:color w:val="auto"/>
        </w:rPr>
        <w:t>The Notes will be issued pursuant to an indenture (the “</w:t>
      </w:r>
      <w:r>
        <w:rPr>
          <w:rFonts w:ascii="Arial" w:cs="Arial" w:eastAsia="Arial" w:hAnsi="Arial"/>
          <w:sz w:val="13"/>
          <w:szCs w:val="13"/>
          <w:u w:val="single" w:color="auto"/>
          <w:color w:val="auto"/>
        </w:rPr>
        <w:t>Base Indenture</w:t>
      </w:r>
      <w:r>
        <w:rPr>
          <w:rFonts w:ascii="Arial" w:cs="Arial" w:eastAsia="Arial" w:hAnsi="Arial"/>
          <w:sz w:val="13"/>
          <w:szCs w:val="13"/>
          <w:color w:val="auto"/>
        </w:rPr>
        <w:t>”), dated as of</w:t>
      </w:r>
      <w:r>
        <w:rPr>
          <w:sz w:val="20"/>
          <w:szCs w:val="20"/>
          <w:color w:val="auto"/>
        </w:rPr>
        <w:tab/>
      </w:r>
      <w:r>
        <w:rPr>
          <w:rFonts w:ascii="Arial" w:cs="Arial" w:eastAsia="Arial" w:hAnsi="Arial"/>
          <w:sz w:val="13"/>
          <w:szCs w:val="13"/>
          <w:color w:val="auto"/>
        </w:rPr>
        <w:t>, 2009, among the Company, the Guarantors (as defined below) and</w:t>
      </w:r>
      <w:r>
        <w:rPr>
          <w:sz w:val="20"/>
          <w:szCs w:val="20"/>
          <w:color w:val="auto"/>
        </w:rPr>
        <w:tab/>
      </w:r>
      <w:r>
        <w:rPr>
          <w:rFonts w:ascii="Arial" w:cs="Arial" w:eastAsia="Arial" w:hAnsi="Arial"/>
          <w:sz w:val="10"/>
          <w:szCs w:val="10"/>
          <w:color w:val="auto"/>
        </w:rPr>
        <w: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-7620</wp:posOffset>
            </wp:positionV>
            <wp:extent cx="83185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-7620</wp:posOffset>
            </wp:positionV>
            <wp:extent cx="852805"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52805" cy="6350"/>
                    </a:xfrm>
                    <a:prstGeom prst="rect">
                      <a:avLst/>
                    </a:prstGeom>
                    <a:noFill/>
                  </pic:spPr>
                </pic:pic>
              </a:graphicData>
            </a:graphic>
          </wp:anchor>
        </w:drawing>
      </w:r>
    </w:p>
    <w:p>
      <w:pPr>
        <w:jc w:val="both"/>
        <w:ind w:right="100"/>
        <w:spacing w:after="0" w:line="258" w:lineRule="auto"/>
        <w:rPr>
          <w:sz w:val="20"/>
          <w:szCs w:val="20"/>
          <w:color w:val="auto"/>
        </w:rPr>
      </w:pPr>
      <w:r>
        <w:rPr>
          <w:rFonts w:ascii="Arial" w:cs="Arial" w:eastAsia="Arial" w:hAnsi="Arial"/>
          <w:sz w:val="13"/>
          <w:szCs w:val="13"/>
          <w:color w:val="auto"/>
        </w:rPr>
        <w:t>(the “</w:t>
      </w:r>
      <w:r>
        <w:rPr>
          <w:rFonts w:ascii="Arial" w:cs="Arial" w:eastAsia="Arial" w:hAnsi="Arial"/>
          <w:sz w:val="13"/>
          <w:szCs w:val="13"/>
          <w:u w:val="single" w:color="auto"/>
          <w:color w:val="auto"/>
        </w:rPr>
        <w:t>Trustee</w:t>
      </w:r>
      <w:r>
        <w:rPr>
          <w:rFonts w:ascii="Arial" w:cs="Arial" w:eastAsia="Arial" w:hAnsi="Arial"/>
          <w:sz w:val="13"/>
          <w:szCs w:val="13"/>
          <w:color w:val="auto"/>
        </w:rPr>
        <w:t>”). Certain terms of the Notes will be established pursuant to a supplemental indenture to be dated as of the Closing Date (as defined in Section 2 below) (the “</w:t>
      </w:r>
      <w:r>
        <w:rPr>
          <w:rFonts w:ascii="Arial" w:cs="Arial" w:eastAsia="Arial" w:hAnsi="Arial"/>
          <w:sz w:val="13"/>
          <w:szCs w:val="13"/>
          <w:u w:val="single" w:color="auto"/>
          <w:color w:val="auto"/>
        </w:rPr>
        <w:t>Supplemental Indenture</w:t>
      </w:r>
      <w:r>
        <w:rPr>
          <w:rFonts w:ascii="Arial" w:cs="Arial" w:eastAsia="Arial" w:hAnsi="Arial"/>
          <w:sz w:val="13"/>
          <w:szCs w:val="13"/>
          <w:color w:val="auto"/>
        </w:rPr>
        <w:t>” and, together with the Base Indenture, the “</w:t>
      </w:r>
      <w:r>
        <w:rPr>
          <w:rFonts w:ascii="Arial" w:cs="Arial" w:eastAsia="Arial" w:hAnsi="Arial"/>
          <w:sz w:val="13"/>
          <w:szCs w:val="13"/>
          <w:u w:val="single" w:color="auto"/>
          <w:color w:val="auto"/>
        </w:rPr>
        <w:t>Indenture</w:t>
      </w:r>
      <w:r>
        <w:rPr>
          <w:rFonts w:ascii="Arial" w:cs="Arial" w:eastAsia="Arial" w:hAnsi="Arial"/>
          <w:sz w:val="13"/>
          <w:szCs w:val="13"/>
          <w:color w:val="auto"/>
        </w:rPr>
        <w:t>”). The Notes will be issued in book-entry form in the name of Cede &amp; Co., as nominee of The Depository Trust Company (the “</w:t>
      </w:r>
      <w:r>
        <w:rPr>
          <w:rFonts w:ascii="Arial" w:cs="Arial" w:eastAsia="Arial" w:hAnsi="Arial"/>
          <w:sz w:val="13"/>
          <w:szCs w:val="13"/>
          <w:u w:val="single" w:color="auto"/>
          <w:color w:val="auto"/>
        </w:rPr>
        <w:t>Depositary</w:t>
      </w:r>
      <w:r>
        <w:rPr>
          <w:rFonts w:ascii="Arial" w:cs="Arial" w:eastAsia="Arial" w:hAnsi="Arial"/>
          <w:sz w:val="13"/>
          <w:szCs w:val="13"/>
          <w:color w:val="auto"/>
        </w:rPr>
        <w:t>”), pursuant to a Letter of Representations, to be dated on or before the Closing Date (the “</w:t>
      </w:r>
      <w:r>
        <w:rPr>
          <w:rFonts w:ascii="Arial" w:cs="Arial" w:eastAsia="Arial" w:hAnsi="Arial"/>
          <w:sz w:val="13"/>
          <w:szCs w:val="13"/>
          <w:u w:val="single" w:color="auto"/>
          <w:color w:val="auto"/>
        </w:rPr>
        <w:t>DTC Agreement</w:t>
      </w:r>
      <w:r>
        <w:rPr>
          <w:rFonts w:ascii="Arial" w:cs="Arial" w:eastAsia="Arial" w:hAnsi="Arial"/>
          <w:sz w:val="13"/>
          <w:szCs w:val="13"/>
          <w:color w:val="auto"/>
        </w:rPr>
        <w:t>”), among the Company, the Trustee and the Depositary.</w:t>
      </w:r>
    </w:p>
    <w:p>
      <w:pPr>
        <w:spacing w:after="0" w:line="61" w:lineRule="exact"/>
        <w:rPr>
          <w:sz w:val="20"/>
          <w:szCs w:val="20"/>
          <w:color w:val="auto"/>
        </w:rPr>
      </w:pPr>
    </w:p>
    <w:p>
      <w:pPr>
        <w:ind w:right="200" w:firstLine="161"/>
        <w:spacing w:after="0" w:line="276" w:lineRule="auto"/>
        <w:rPr>
          <w:sz w:val="20"/>
          <w:szCs w:val="20"/>
          <w:color w:val="auto"/>
        </w:rPr>
      </w:pPr>
      <w:r>
        <w:rPr>
          <w:rFonts w:ascii="Arial" w:cs="Arial" w:eastAsia="Arial" w:hAnsi="Arial"/>
          <w:sz w:val="13"/>
          <w:szCs w:val="13"/>
          <w:color w:val="auto"/>
        </w:rPr>
        <w:t>The payment of principal, premium and interest on the Notes will be fully and unconditionally guaranteed on a senior unsecured basis, jointly and severally, by the subsidiaries of the Company listed on Exhibit D hereto and any subsidiary of the Company formed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97" w:name="page198"/>
    <w:bookmarkEnd w:id="197"/>
    <w:p>
      <w:pPr>
        <w:spacing w:after="0" w:line="303" w:lineRule="auto"/>
        <w:rPr>
          <w:sz w:val="20"/>
          <w:szCs w:val="20"/>
          <w:color w:val="auto"/>
        </w:rPr>
      </w:pPr>
      <w:r>
        <w:rPr>
          <w:rFonts w:ascii="Arial" w:cs="Arial" w:eastAsia="Arial" w:hAnsi="Arial"/>
          <w:sz w:val="11"/>
          <w:szCs w:val="11"/>
          <w:color w:val="auto"/>
        </w:rPr>
        <w:t>acquired after the Closing Date that executes an additional guarantee in accordance with the terms of the Indenture and, to the extent provided by the Indenture, their respective successors and assigns (collectively the “</w:t>
      </w:r>
      <w:r>
        <w:rPr>
          <w:rFonts w:ascii="Arial" w:cs="Arial" w:eastAsia="Arial" w:hAnsi="Arial"/>
          <w:sz w:val="11"/>
          <w:szCs w:val="11"/>
          <w:u w:val="single" w:color="auto"/>
          <w:color w:val="auto"/>
        </w:rPr>
        <w:t>Guarantors</w:t>
      </w:r>
      <w:r>
        <w:rPr>
          <w:rFonts w:ascii="Arial" w:cs="Arial" w:eastAsia="Arial" w:hAnsi="Arial"/>
          <w:sz w:val="11"/>
          <w:szCs w:val="11"/>
          <w:color w:val="auto"/>
        </w:rPr>
        <w:t>”), pursuant to their guarantees (the “</w:t>
      </w:r>
      <w:r>
        <w:rPr>
          <w:rFonts w:ascii="Arial" w:cs="Arial" w:eastAsia="Arial" w:hAnsi="Arial"/>
          <w:sz w:val="11"/>
          <w:szCs w:val="11"/>
          <w:u w:val="single" w:color="auto"/>
          <w:color w:val="auto"/>
        </w:rPr>
        <w:t>Guarantees</w:t>
      </w:r>
      <w:r>
        <w:rPr>
          <w:rFonts w:ascii="Arial" w:cs="Arial" w:eastAsia="Arial" w:hAnsi="Arial"/>
          <w:sz w:val="11"/>
          <w:szCs w:val="11"/>
          <w:color w:val="auto"/>
        </w:rPr>
        <w:t>”). The Notes and the Guarantees attached thereto are herein collectively referred to as the “</w:t>
      </w:r>
      <w:r>
        <w:rPr>
          <w:rFonts w:ascii="Arial" w:cs="Arial" w:eastAsia="Arial" w:hAnsi="Arial"/>
          <w:sz w:val="11"/>
          <w:szCs w:val="11"/>
          <w:u w:val="single" w:color="auto"/>
          <w:color w:val="auto"/>
        </w:rPr>
        <w:t>Securities</w:t>
      </w:r>
      <w:r>
        <w:rPr>
          <w:rFonts w:ascii="Arial" w:cs="Arial" w:eastAsia="Arial" w:hAnsi="Arial"/>
          <w:sz w:val="11"/>
          <w:szCs w:val="11"/>
          <w:color w:val="auto"/>
        </w:rPr>
        <w:t>.“The Company has prepared and filed with the Securities and Exchange Commission (the “</w:t>
      </w:r>
      <w:r>
        <w:rPr>
          <w:rFonts w:ascii="Arial" w:cs="Arial" w:eastAsia="Arial" w:hAnsi="Arial"/>
          <w:sz w:val="11"/>
          <w:szCs w:val="11"/>
          <w:u w:val="single" w:color="auto"/>
          <w:color w:val="auto"/>
        </w:rPr>
        <w:t>Commission</w:t>
      </w:r>
      <w:r>
        <w:rPr>
          <w:rFonts w:ascii="Arial" w:cs="Arial" w:eastAsia="Arial" w:hAnsi="Arial"/>
          <w:sz w:val="11"/>
          <w:szCs w:val="11"/>
          <w:color w:val="auto"/>
        </w:rPr>
        <w:t>”) under the Securities Act of 1933, as amended, and the rules and regulations promulgated thereunder (collectively, the “</w:t>
      </w:r>
      <w:r>
        <w:rPr>
          <w:rFonts w:ascii="Arial" w:cs="Arial" w:eastAsia="Arial" w:hAnsi="Arial"/>
          <w:sz w:val="11"/>
          <w:szCs w:val="11"/>
          <w:u w:val="single" w:color="auto"/>
          <w:color w:val="auto"/>
        </w:rPr>
        <w:t>Securities Act</w:t>
      </w:r>
      <w:r>
        <w:rPr>
          <w:rFonts w:ascii="Arial" w:cs="Arial" w:eastAsia="Arial" w:hAnsi="Arial"/>
          <w:sz w:val="11"/>
          <w:szCs w:val="11"/>
          <w:color w:val="auto"/>
        </w:rPr>
        <w:t>”), a registration statement</w:t>
      </w:r>
    </w:p>
    <w:p>
      <w:pPr>
        <w:spacing w:after="0"/>
        <w:tabs>
          <w:tab w:leader="none" w:pos="1840" w:val="left"/>
        </w:tabs>
        <w:rPr>
          <w:sz w:val="20"/>
          <w:szCs w:val="20"/>
          <w:color w:val="auto"/>
        </w:rPr>
      </w:pPr>
      <w:r>
        <w:rPr>
          <w:rFonts w:ascii="Arial" w:cs="Arial" w:eastAsia="Arial" w:hAnsi="Arial"/>
          <w:sz w:val="13"/>
          <w:szCs w:val="13"/>
          <w:color w:val="auto"/>
        </w:rPr>
        <w:t>on Form S-3 (File No.</w:t>
      </w:r>
      <w:r>
        <w:rPr>
          <w:sz w:val="20"/>
          <w:szCs w:val="20"/>
          <w:color w:val="auto"/>
        </w:rPr>
        <w:tab/>
      </w:r>
      <w:r>
        <w:rPr>
          <w:rFonts w:ascii="Arial" w:cs="Arial" w:eastAsia="Arial" w:hAnsi="Arial"/>
          <w:sz w:val="11"/>
          <w:szCs w:val="11"/>
          <w:color w:val="auto"/>
        </w:rPr>
        <w:t>), including a prospectus, relating to the Securities. Such registration statement, including the information, if any, deemed pursuant to Rule 430A, 430B or 430C under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-12065</wp:posOffset>
            </wp:positionV>
            <wp:extent cx="415925"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Act to be part of the registration statement (“</w:t>
      </w:r>
      <w:r>
        <w:rPr>
          <w:rFonts w:ascii="Arial" w:cs="Arial" w:eastAsia="Arial" w:hAnsi="Arial"/>
          <w:sz w:val="12"/>
          <w:szCs w:val="12"/>
          <w:u w:val="single" w:color="auto"/>
          <w:color w:val="auto"/>
        </w:rPr>
        <w:t>Rule 430 Information</w:t>
      </w:r>
      <w:r>
        <w:rPr>
          <w:rFonts w:ascii="Arial" w:cs="Arial" w:eastAsia="Arial" w:hAnsi="Arial"/>
          <w:sz w:val="12"/>
          <w:szCs w:val="12"/>
          <w:color w:val="auto"/>
        </w:rPr>
        <w:t>”), is referred to herein as the “Registration Statement”; and as used herein, the term “Preliminary Prospectus” means the preliminary prospectus</w:t>
      </w:r>
    </w:p>
    <w:tbl>
      <w:tblPr>
        <w:tblLayout w:type="fixed"/>
        <w:tblInd w:w="0" w:type="dxa"/>
        <w:tblCellMar>
          <w:top w:w="0" w:type="dxa"/>
          <w:left w:w="0" w:type="dxa"/>
          <w:bottom w:w="0" w:type="dxa"/>
          <w:right w:w="0" w:type="dxa"/>
        </w:tblCellMar>
      </w:tblPr>
      <w:tr>
        <w:trPr>
          <w:trHeight w:val="148"/>
        </w:trPr>
        <w:tc>
          <w:tcPr>
            <w:tcW w:w="980" w:type="dxa"/>
            <w:vAlign w:val="bottom"/>
          </w:tcPr>
          <w:p>
            <w:pPr>
              <w:spacing w:after="0" w:line="149" w:lineRule="exact"/>
              <w:rPr>
                <w:sz w:val="20"/>
                <w:szCs w:val="20"/>
                <w:color w:val="auto"/>
              </w:rPr>
            </w:pPr>
            <w:r>
              <w:rPr>
                <w:rFonts w:ascii="Arial" w:cs="Arial" w:eastAsia="Arial" w:hAnsi="Arial"/>
                <w:sz w:val="13"/>
                <w:szCs w:val="13"/>
                <w:color w:val="auto"/>
                <w:w w:val="89"/>
              </w:rPr>
              <w:t>supplement, dated</w:t>
            </w:r>
          </w:p>
        </w:tc>
        <w:tc>
          <w:tcPr>
            <w:tcW w:w="1320" w:type="dxa"/>
            <w:vAlign w:val="bottom"/>
            <w:gridSpan w:val="2"/>
          </w:tcPr>
          <w:p>
            <w:pPr>
              <w:spacing w:after="0"/>
              <w:rPr>
                <w:sz w:val="12"/>
                <w:szCs w:val="12"/>
                <w:color w:val="auto"/>
              </w:rPr>
            </w:pPr>
          </w:p>
        </w:tc>
        <w:tc>
          <w:tcPr>
            <w:tcW w:w="3240" w:type="dxa"/>
            <w:vAlign w:val="bottom"/>
            <w:gridSpan w:val="5"/>
          </w:tcPr>
          <w:p>
            <w:pPr>
              <w:spacing w:after="0" w:line="149" w:lineRule="exact"/>
              <w:rPr>
                <w:sz w:val="20"/>
                <w:szCs w:val="20"/>
                <w:color w:val="auto"/>
              </w:rPr>
            </w:pPr>
            <w:r>
              <w:rPr>
                <w:rFonts w:ascii="Arial" w:cs="Arial" w:eastAsia="Arial" w:hAnsi="Arial"/>
                <w:sz w:val="13"/>
                <w:szCs w:val="13"/>
                <w:color w:val="auto"/>
                <w:w w:val="92"/>
              </w:rPr>
              <w:t>,   , together with the base prospectus included therein dated</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20" w:type="dxa"/>
            <w:vAlign w:val="bottom"/>
            <w:gridSpan w:val="5"/>
          </w:tcPr>
          <w:p>
            <w:pPr>
              <w:spacing w:after="0" w:line="149" w:lineRule="exact"/>
              <w:rPr>
                <w:sz w:val="20"/>
                <w:szCs w:val="20"/>
                <w:color w:val="auto"/>
              </w:rPr>
            </w:pPr>
            <w:r>
              <w:rPr>
                <w:rFonts w:ascii="Arial" w:cs="Arial" w:eastAsia="Arial" w:hAnsi="Arial"/>
                <w:sz w:val="13"/>
                <w:szCs w:val="13"/>
                <w:color w:val="auto"/>
                <w:w w:val="90"/>
              </w:rPr>
              <w:t>, and the term “Prospectus” means the prospectus in the form first used (or made available upon</w:t>
            </w: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9200" w:type="dxa"/>
            <w:vAlign w:val="bottom"/>
            <w:gridSpan w:val="12"/>
          </w:tcPr>
          <w:p>
            <w:pPr>
              <w:spacing w:after="0" w:line="138" w:lineRule="exact"/>
              <w:rPr>
                <w:sz w:val="20"/>
                <w:szCs w:val="20"/>
                <w:color w:val="auto"/>
              </w:rPr>
            </w:pPr>
            <w:r>
              <w:rPr>
                <w:rFonts w:ascii="Arial" w:cs="Arial" w:eastAsia="Arial" w:hAnsi="Arial"/>
                <w:sz w:val="13"/>
                <w:szCs w:val="13"/>
                <w:color w:val="auto"/>
                <w:w w:val="91"/>
              </w:rPr>
              <w:t>request of purchasers pursuant to Rule 173 under the Securities Act) in connection with confirmation of sales of the Securities, which is the final prospectus supplement, dated</w:t>
            </w:r>
          </w:p>
        </w:tc>
        <w:tc>
          <w:tcPr>
            <w:tcW w:w="640" w:type="dxa"/>
            <w:vAlign w:val="bottom"/>
          </w:tcPr>
          <w:p>
            <w:pPr>
              <w:spacing w:after="0"/>
              <w:rPr>
                <w:sz w:val="11"/>
                <w:szCs w:val="11"/>
                <w:color w:val="auto"/>
              </w:rPr>
            </w:pPr>
          </w:p>
        </w:tc>
        <w:tc>
          <w:tcPr>
            <w:tcW w:w="1600" w:type="dxa"/>
            <w:vAlign w:val="bottom"/>
            <w:gridSpan w:val="3"/>
          </w:tcPr>
          <w:p>
            <w:pPr>
              <w:spacing w:after="0" w:line="138" w:lineRule="exact"/>
              <w:rPr>
                <w:sz w:val="20"/>
                <w:szCs w:val="20"/>
                <w:color w:val="auto"/>
              </w:rPr>
            </w:pPr>
            <w:r>
              <w:rPr>
                <w:rFonts w:ascii="Arial" w:cs="Arial" w:eastAsia="Arial" w:hAnsi="Arial"/>
                <w:sz w:val="13"/>
                <w:szCs w:val="13"/>
                <w:color w:val="auto"/>
              </w:rPr>
              <w:t>,   , together with the base</w:t>
            </w:r>
          </w:p>
        </w:tc>
      </w:tr>
      <w:tr>
        <w:trPr>
          <w:trHeight w:val="20"/>
        </w:trPr>
        <w:tc>
          <w:tcPr>
            <w:tcW w:w="1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560" w:type="dxa"/>
            <w:vAlign w:val="bottom"/>
            <w:gridSpan w:val="5"/>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1780" w:type="dxa"/>
            <w:vAlign w:val="bottom"/>
            <w:gridSpan w:val="2"/>
          </w:tcPr>
          <w:p>
            <w:pPr>
              <w:spacing w:after="0" w:line="138" w:lineRule="exact"/>
              <w:rPr>
                <w:sz w:val="20"/>
                <w:szCs w:val="20"/>
                <w:color w:val="auto"/>
              </w:rPr>
            </w:pPr>
            <w:r>
              <w:rPr>
                <w:rFonts w:ascii="Arial" w:cs="Arial" w:eastAsia="Arial" w:hAnsi="Arial"/>
                <w:sz w:val="13"/>
                <w:szCs w:val="13"/>
                <w:color w:val="auto"/>
                <w:w w:val="90"/>
              </w:rPr>
              <w:t>prospectus included therein dated</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0" w:type="dxa"/>
            <w:vAlign w:val="bottom"/>
            <w:gridSpan w:val="11"/>
          </w:tcPr>
          <w:p>
            <w:pPr>
              <w:spacing w:after="0" w:line="138" w:lineRule="exact"/>
              <w:rPr>
                <w:sz w:val="20"/>
                <w:szCs w:val="20"/>
                <w:color w:val="auto"/>
              </w:rPr>
            </w:pPr>
            <w:r>
              <w:rPr>
                <w:rFonts w:ascii="Arial" w:cs="Arial" w:eastAsia="Arial" w:hAnsi="Arial"/>
                <w:sz w:val="13"/>
                <w:szCs w:val="13"/>
                <w:color w:val="auto"/>
                <w:w w:val="94"/>
              </w:rPr>
              <w:t>,   . If the Company has filed an abbreviated registration statement pursuant to Rule 462(b) under the Securities Act (the “Rule 462 Registration Statement”), then any</w:t>
            </w:r>
          </w:p>
        </w:tc>
      </w:tr>
      <w:tr>
        <w:trPr>
          <w:trHeight w:val="20"/>
        </w:trPr>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1" w:lineRule="exact"/>
        <w:rPr>
          <w:sz w:val="20"/>
          <w:szCs w:val="20"/>
          <w:color w:val="auto"/>
        </w:rPr>
      </w:pPr>
    </w:p>
    <w:p>
      <w:pPr>
        <w:ind w:right="40"/>
        <w:spacing w:after="0" w:line="257" w:lineRule="auto"/>
        <w:rPr>
          <w:sz w:val="20"/>
          <w:szCs w:val="20"/>
          <w:color w:val="auto"/>
        </w:rPr>
      </w:pPr>
      <w:r>
        <w:rPr>
          <w:rFonts w:ascii="Arial" w:cs="Arial" w:eastAsia="Arial" w:hAnsi="Arial"/>
          <w:sz w:val="13"/>
          <w:szCs w:val="13"/>
          <w:color w:val="auto"/>
        </w:rPr>
        <w:t>reference herein to the term “Registration Statement” shall be deemed to include such Rule 462 Registration Statement. Any reference in this Agreement to the Registration Statement, any Preliminary Prospectus or the Prospectus shall be deemed to refer to and include the documents that are or are deemed to be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promulgated thereunder (collectively, the “</w:t>
      </w:r>
      <w:r>
        <w:rPr>
          <w:rFonts w:ascii="Arial" w:cs="Arial" w:eastAsia="Arial" w:hAnsi="Arial"/>
          <w:sz w:val="13"/>
          <w:szCs w:val="13"/>
          <w:u w:val="single" w:color="auto"/>
          <w:color w:val="auto"/>
        </w:rPr>
        <w:t>Exchange Act</w:t>
      </w:r>
      <w:r>
        <w:rPr>
          <w:rFonts w:ascii="Arial" w:cs="Arial" w:eastAsia="Arial" w:hAnsi="Arial"/>
          <w:sz w:val="13"/>
          <w:szCs w:val="13"/>
          <w:color w:val="auto"/>
        </w:rPr>
        <w:t>”) that are or are deemed to be incorporated by reference therein. Capitalized terms used but not defined herein shall have the meanings given to such terms in the Registration Statement and the Prospectus.</w:t>
      </w:r>
    </w:p>
    <w:p>
      <w:pPr>
        <w:spacing w:after="0" w:line="62" w:lineRule="exact"/>
        <w:rPr>
          <w:sz w:val="20"/>
          <w:szCs w:val="20"/>
          <w:color w:val="auto"/>
        </w:rPr>
      </w:pPr>
    </w:p>
    <w:p>
      <w:pPr>
        <w:ind w:firstLine="157"/>
        <w:spacing w:after="0" w:line="276" w:lineRule="auto"/>
        <w:rPr>
          <w:sz w:val="20"/>
          <w:szCs w:val="20"/>
          <w:color w:val="auto"/>
        </w:rPr>
      </w:pPr>
      <w:r>
        <w:rPr>
          <w:rFonts w:ascii="Arial" w:cs="Arial" w:eastAsia="Arial" w:hAnsi="Arial"/>
          <w:sz w:val="13"/>
          <w:szCs w:val="13"/>
          <w:color w:val="auto"/>
        </w:rPr>
        <w:t>At or prior to the time when sales of the Securities were first made (the “</w:t>
      </w:r>
      <w:r>
        <w:rPr>
          <w:rFonts w:ascii="Arial" w:cs="Arial" w:eastAsia="Arial" w:hAnsi="Arial"/>
          <w:sz w:val="13"/>
          <w:szCs w:val="13"/>
          <w:u w:val="single" w:color="auto"/>
          <w:color w:val="auto"/>
        </w:rPr>
        <w:t>Time of Sale</w:t>
      </w:r>
      <w:r>
        <w:rPr>
          <w:rFonts w:ascii="Arial" w:cs="Arial" w:eastAsia="Arial" w:hAnsi="Arial"/>
          <w:sz w:val="13"/>
          <w:szCs w:val="13"/>
          <w:color w:val="auto"/>
        </w:rPr>
        <w:t>”), the Company prepared the following information (collectively, the “</w:t>
      </w:r>
      <w:r>
        <w:rPr>
          <w:rFonts w:ascii="Arial" w:cs="Arial" w:eastAsia="Arial" w:hAnsi="Arial"/>
          <w:sz w:val="13"/>
          <w:szCs w:val="13"/>
          <w:u w:val="single" w:color="auto"/>
          <w:color w:val="auto"/>
        </w:rPr>
        <w:t>Time of Sale Information</w:t>
      </w:r>
      <w:r>
        <w:rPr>
          <w:rFonts w:ascii="Arial" w:cs="Arial" w:eastAsia="Arial" w:hAnsi="Arial"/>
          <w:sz w:val="13"/>
          <w:szCs w:val="13"/>
          <w:color w:val="auto"/>
        </w:rPr>
        <w:t>”): (i) the Preliminary Prospectus and (ii) each “free-writing prospectus” (as defined pursuant to Rule 405 under the Securities Act) listed on Exhibit C hereto as constituting part of the Time of Sale Information.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Each of the Company and the Guarantors hereby confirms its agreements with the Underwriters as follows: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 </w:t>
      </w:r>
      <w:r>
        <w:rPr>
          <w:rFonts w:ascii="Arial" w:cs="Arial" w:eastAsia="Arial" w:hAnsi="Arial"/>
          <w:sz w:val="13"/>
          <w:szCs w:val="13"/>
          <w:i w:val="1"/>
          <w:iCs w:val="1"/>
          <w:color w:val="auto"/>
        </w:rPr>
        <w:t>Representations and Warranties of the Company and the Guarantors.</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Each of the Company and the Guarantors, jointly and severally, hereby represents, warrants and covenants to each Underwriter as of the date hereof, as of the Time of Sale and as of the Closing Date (in each case, a “</w:t>
      </w:r>
      <w:r>
        <w:rPr>
          <w:rFonts w:ascii="Arial" w:cs="Arial" w:eastAsia="Arial" w:hAnsi="Arial"/>
          <w:sz w:val="13"/>
          <w:szCs w:val="13"/>
          <w:u w:val="single" w:color="auto"/>
          <w:color w:val="auto"/>
        </w:rPr>
        <w:t>Representation Date</w:t>
      </w:r>
      <w:r>
        <w:rPr>
          <w:rFonts w:ascii="Arial" w:cs="Arial" w:eastAsia="Arial" w:hAnsi="Arial"/>
          <w:sz w:val="13"/>
          <w:szCs w:val="13"/>
          <w:color w:val="auto"/>
        </w:rPr>
        <w:t>”), as follows: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8" w:name="page199"/>
    <w:bookmarkEnd w:id="198"/>
    <w:p>
      <w:pPr>
        <w:ind w:left="-20" w:firstLine="162"/>
        <w:spacing w:after="0" w:line="278" w:lineRule="auto"/>
        <w:tabs>
          <w:tab w:leader="none" w:pos="278" w:val="left"/>
        </w:tabs>
        <w:numPr>
          <w:ilvl w:val="0"/>
          <w:numId w:val="77"/>
        </w:numPr>
        <w:rPr>
          <w:rFonts w:ascii="Arial" w:cs="Arial" w:eastAsia="Arial" w:hAnsi="Arial"/>
          <w:sz w:val="12"/>
          <w:szCs w:val="12"/>
          <w:color w:val="auto"/>
        </w:rPr>
      </w:pPr>
      <w:r>
        <w:rPr>
          <w:rFonts w:ascii="Arial" w:cs="Arial" w:eastAsia="Arial" w:hAnsi="Arial"/>
          <w:sz w:val="12"/>
          <w:szCs w:val="12"/>
          <w:i w:val="1"/>
          <w:iCs w:val="1"/>
          <w:color w:val="auto"/>
        </w:rPr>
        <w:t>Registration Statement and Prospectus</w:t>
      </w:r>
      <w:r>
        <w:rPr>
          <w:rFonts w:ascii="Arial" w:cs="Arial" w:eastAsia="Arial" w:hAnsi="Arial"/>
          <w:sz w:val="12"/>
          <w:szCs w:val="12"/>
          <w:color w:val="auto"/>
        </w:rPr>
        <w:t>. The Registration Statement is an “automatic shelf registration statement” as defined under Rule 405 of the Securities Act that has been filed with the Commission not earlier</w:t>
      </w:r>
      <w:r>
        <w:rPr>
          <w:rFonts w:ascii="Arial" w:cs="Arial" w:eastAsia="Arial" w:hAnsi="Arial"/>
          <w:sz w:val="12"/>
          <w:szCs w:val="12"/>
          <w:i w:val="1"/>
          <w:iCs w:val="1"/>
          <w:color w:val="auto"/>
        </w:rPr>
        <w:t xml:space="preserve"> </w:t>
      </w:r>
      <w:r>
        <w:rPr>
          <w:rFonts w:ascii="Arial" w:cs="Arial" w:eastAsia="Arial" w:hAnsi="Arial"/>
          <w:sz w:val="12"/>
          <w:szCs w:val="12"/>
          <w:color w:val="auto"/>
        </w:rPr>
        <w:t>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promulgated thereunder (collectively, the “</w:t>
      </w:r>
      <w:r>
        <w:rPr>
          <w:rFonts w:ascii="Arial" w:cs="Arial" w:eastAsia="Arial" w:hAnsi="Arial"/>
          <w:sz w:val="12"/>
          <w:szCs w:val="12"/>
          <w:u w:val="single" w:color="auto"/>
          <w:color w:val="auto"/>
        </w:rPr>
        <w:t>Trust Indenture Act</w:t>
      </w:r>
      <w:r>
        <w:rPr>
          <w:rFonts w:ascii="Arial" w:cs="Arial" w:eastAsia="Arial" w:hAnsi="Arial"/>
          <w:sz w:val="12"/>
          <w:szCs w:val="12"/>
          <w:color w:val="auto"/>
        </w:rPr>
        <w: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comply in all material respects with the Securities Act and will not contain any untrue statement of a material fact or omit to state a material fact required to be stated therein or necessary in order to make the statements therein, in the light of the circumstances under which they were made, not misleading; provided that the Company and the Guarantors make no representation and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w:t>
      </w:r>
    </w:p>
    <w:p>
      <w:pPr>
        <w:spacing w:after="0" w:line="50" w:lineRule="exact"/>
        <w:rPr>
          <w:rFonts w:ascii="Arial" w:cs="Arial" w:eastAsia="Arial" w:hAnsi="Arial"/>
          <w:sz w:val="12"/>
          <w:szCs w:val="12"/>
          <w:color w:val="auto"/>
        </w:rPr>
      </w:pPr>
    </w:p>
    <w:p>
      <w:pPr>
        <w:ind w:left="-20" w:right="120" w:firstLine="162"/>
        <w:spacing w:after="0" w:line="260" w:lineRule="auto"/>
        <w:tabs>
          <w:tab w:leader="none" w:pos="286" w:val="left"/>
        </w:tabs>
        <w:numPr>
          <w:ilvl w:val="0"/>
          <w:numId w:val="77"/>
        </w:numPr>
        <w:rPr>
          <w:rFonts w:ascii="Arial" w:cs="Arial" w:eastAsia="Arial" w:hAnsi="Arial"/>
          <w:sz w:val="13"/>
          <w:szCs w:val="13"/>
          <w:color w:val="auto"/>
        </w:rPr>
      </w:pPr>
      <w:r>
        <w:rPr>
          <w:rFonts w:ascii="Arial" w:cs="Arial" w:eastAsia="Arial" w:hAnsi="Arial"/>
          <w:sz w:val="13"/>
          <w:szCs w:val="13"/>
          <w:i w:val="1"/>
          <w:iCs w:val="1"/>
          <w:color w:val="auto"/>
        </w:rPr>
        <w:t>Time of Sale Information</w:t>
      </w:r>
      <w:r>
        <w:rPr>
          <w:rFonts w:ascii="Arial" w:cs="Arial" w:eastAsia="Arial" w:hAnsi="Arial"/>
          <w:sz w:val="13"/>
          <w:szCs w:val="13"/>
          <w:color w:val="auto"/>
        </w:rPr>
        <w:t>. The Time of Sale Information, at the Time of Sale did not, and at the Closing Date will not, contain any untrue statement of a material fact or omit to state a material fact necessary in</w:t>
      </w:r>
      <w:r>
        <w:rPr>
          <w:rFonts w:ascii="Arial" w:cs="Arial" w:eastAsia="Arial" w:hAnsi="Arial"/>
          <w:sz w:val="13"/>
          <w:szCs w:val="13"/>
          <w:i w:val="1"/>
          <w:iCs w:val="1"/>
          <w:color w:val="auto"/>
        </w:rPr>
        <w:t xml:space="preserve"> </w:t>
      </w:r>
      <w:r>
        <w:rPr>
          <w:rFonts w:ascii="Arial" w:cs="Arial" w:eastAsia="Arial" w:hAnsi="Arial"/>
          <w:sz w:val="13"/>
          <w:szCs w:val="13"/>
          <w:color w:val="auto"/>
        </w:rPr>
        <w:t>order to make the statements therein, in the light of the circumstances under which they were made, not misleading; provided that the Company and the Guarantors make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w:t>
      </w:r>
    </w:p>
    <w:p>
      <w:pPr>
        <w:spacing w:after="0" w:line="59" w:lineRule="exact"/>
        <w:rPr>
          <w:rFonts w:ascii="Arial" w:cs="Arial" w:eastAsia="Arial" w:hAnsi="Arial"/>
          <w:sz w:val="13"/>
          <w:szCs w:val="13"/>
          <w:color w:val="auto"/>
        </w:rPr>
      </w:pPr>
    </w:p>
    <w:p>
      <w:pPr>
        <w:ind w:left="-20" w:right="40" w:firstLine="162"/>
        <w:spacing w:after="0" w:line="257" w:lineRule="auto"/>
        <w:tabs>
          <w:tab w:leader="none" w:pos="278" w:val="left"/>
        </w:tabs>
        <w:numPr>
          <w:ilvl w:val="0"/>
          <w:numId w:val="77"/>
        </w:numPr>
        <w:rPr>
          <w:rFonts w:ascii="Arial" w:cs="Arial" w:eastAsia="Arial" w:hAnsi="Arial"/>
          <w:sz w:val="13"/>
          <w:szCs w:val="13"/>
          <w:color w:val="auto"/>
        </w:rPr>
      </w:pPr>
      <w:r>
        <w:rPr>
          <w:rFonts w:ascii="Arial" w:cs="Arial" w:eastAsia="Arial" w:hAnsi="Arial"/>
          <w:sz w:val="13"/>
          <w:szCs w:val="13"/>
          <w:i w:val="1"/>
          <w:iCs w:val="1"/>
          <w:color w:val="auto"/>
        </w:rPr>
        <w:t>Issuer Free Writing Prospectus</w:t>
      </w:r>
      <w:r>
        <w:rPr>
          <w:rFonts w:ascii="Arial" w:cs="Arial" w:eastAsia="Arial" w:hAnsi="Arial"/>
          <w:sz w:val="13"/>
          <w:szCs w:val="13"/>
          <w:color w:val="auto"/>
        </w:rPr>
        <w:t>. The Company and the Guarantors (including their agents and representatives, other than the Underwriters in their capacity as such) have not prepared, made, used, authorized,</w:t>
      </w:r>
      <w:r>
        <w:rPr>
          <w:rFonts w:ascii="Arial" w:cs="Arial" w:eastAsia="Arial" w:hAnsi="Arial"/>
          <w:sz w:val="13"/>
          <w:szCs w:val="13"/>
          <w:i w:val="1"/>
          <w:iCs w:val="1"/>
          <w:color w:val="auto"/>
        </w:rPr>
        <w:t xml:space="preserve"> </w:t>
      </w:r>
      <w:r>
        <w:rPr>
          <w:rFonts w:ascii="Arial" w:cs="Arial" w:eastAsia="Arial" w:hAnsi="Arial"/>
          <w:sz w:val="13"/>
          <w:szCs w:val="13"/>
          <w:color w:val="auto"/>
        </w:rPr>
        <w:t>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the Guarantors or their agents and representatives (other than a communication referred to in clauses (i) (ii) and (iii) below) an “</w:t>
      </w:r>
      <w:r>
        <w:rPr>
          <w:rFonts w:ascii="Arial" w:cs="Arial" w:eastAsia="Arial" w:hAnsi="Arial"/>
          <w:sz w:val="13"/>
          <w:szCs w:val="13"/>
          <w:u w:val="single" w:color="auto"/>
          <w:color w:val="auto"/>
        </w:rPr>
        <w:t>Issuer Free</w:t>
      </w:r>
      <w:r>
        <w:rPr>
          <w:rFonts w:ascii="Arial" w:cs="Arial" w:eastAsia="Arial" w:hAnsi="Arial"/>
          <w:sz w:val="13"/>
          <w:szCs w:val="13"/>
          <w:color w:val="auto"/>
        </w:rPr>
        <w:t xml:space="preserve"> </w:t>
      </w:r>
      <w:r>
        <w:rPr>
          <w:rFonts w:ascii="Arial" w:cs="Arial" w:eastAsia="Arial" w:hAnsi="Arial"/>
          <w:sz w:val="13"/>
          <w:szCs w:val="13"/>
          <w:u w:val="single" w:color="auto"/>
          <w:color w:val="auto"/>
        </w:rPr>
        <w:t>Writing Prospectus</w:t>
      </w:r>
      <w:r>
        <w:rPr>
          <w:rFonts w:ascii="Arial" w:cs="Arial" w:eastAsia="Arial" w:hAnsi="Arial"/>
          <w:sz w:val="13"/>
          <w:szCs w:val="13"/>
          <w:color w:val="auto"/>
        </w:rPr>
        <w:t>”) other than (i) any document not constituting a prospectus pursuant to Section 2(a)(10)(a) of the Securities Act or Rule 134 under the Securities Act, (ii) the Preliminary Prospectus, (iii) the Prospectus, (iv) each “free-writing prospectus” listed on Exhibit C hereto as constituting part of the Time of Sale Information and (v) any electronic road show or other written communications, in each case approved in writing in advance by the Representatives.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1" w:right="219" w:bottom="1440" w:gutter="0" w:footer="0" w:header="0"/>
        </w:sectPr>
      </w:pPr>
    </w:p>
    <w:bookmarkStart w:id="199" w:name="page200"/>
    <w:bookmarkEnd w:id="199"/>
    <w:p>
      <w:pPr>
        <w:spacing w:after="0" w:line="285" w:lineRule="auto"/>
        <w:rPr>
          <w:sz w:val="20"/>
          <w:szCs w:val="20"/>
          <w:color w:val="auto"/>
        </w:rPr>
      </w:pPr>
      <w:r>
        <w:rPr>
          <w:rFonts w:ascii="Arial" w:cs="Arial" w:eastAsia="Arial" w:hAnsi="Arial"/>
          <w:sz w:val="12"/>
          <w:szCs w:val="12"/>
          <w:color w:val="auto"/>
        </w:rPr>
        <w:t>Each such Issuer Free Writing Prospectus complied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and the Guarantors make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46" w:lineRule="exact"/>
        <w:rPr>
          <w:sz w:val="20"/>
          <w:szCs w:val="20"/>
          <w:color w:val="auto"/>
        </w:rPr>
      </w:pPr>
    </w:p>
    <w:p>
      <w:pPr>
        <w:ind w:right="20" w:firstLine="162"/>
        <w:spacing w:after="0" w:line="260" w:lineRule="auto"/>
        <w:tabs>
          <w:tab w:leader="none" w:pos="306" w:val="left"/>
        </w:tabs>
        <w:numPr>
          <w:ilvl w:val="0"/>
          <w:numId w:val="78"/>
        </w:numPr>
        <w:rPr>
          <w:rFonts w:ascii="Arial" w:cs="Arial" w:eastAsia="Arial" w:hAnsi="Arial"/>
          <w:sz w:val="13"/>
          <w:szCs w:val="13"/>
          <w:color w:val="auto"/>
        </w:rPr>
      </w:pPr>
      <w:r>
        <w:rPr>
          <w:rFonts w:ascii="Arial" w:cs="Arial" w:eastAsia="Arial" w:hAnsi="Arial"/>
          <w:sz w:val="13"/>
          <w:szCs w:val="13"/>
          <w:i w:val="1"/>
          <w:iCs w:val="1"/>
          <w:color w:val="auto"/>
        </w:rPr>
        <w:t>Incorporated Documents</w:t>
      </w:r>
      <w:r>
        <w:rPr>
          <w:rFonts w:ascii="Arial" w:cs="Arial" w:eastAsia="Arial" w:hAnsi="Arial"/>
          <w:sz w:val="13"/>
          <w:szCs w:val="13"/>
          <w:color w:val="auto"/>
        </w:rPr>
        <w:t>. The documents incorporated or deemed to be incorporated by reference in the Registration Statement, the Prospectus and the Time of Sale Information (i) at the time they were or</w:t>
      </w:r>
      <w:r>
        <w:rPr>
          <w:rFonts w:ascii="Arial" w:cs="Arial" w:eastAsia="Arial" w:hAnsi="Arial"/>
          <w:sz w:val="13"/>
          <w:szCs w:val="13"/>
          <w:i w:val="1"/>
          <w:iCs w:val="1"/>
          <w:color w:val="auto"/>
        </w:rPr>
        <w:t xml:space="preserve"> </w:t>
      </w:r>
      <w:r>
        <w:rPr>
          <w:rFonts w:ascii="Arial" w:cs="Arial" w:eastAsia="Arial" w:hAnsi="Arial"/>
          <w:sz w:val="13"/>
          <w:szCs w:val="13"/>
          <w:color w:val="auto"/>
        </w:rPr>
        <w:t>hereafter are filed with the Commission, complied or will comply in all material respects with the requirements of the Exchange Act and (ii) when read together with the other Time of Sale Information, at the Time of Sale, and when read together with the other information in the Prospectus, at the date of the Prospectus and at the Closing Date, did not or will not include an untrue statement of a material fact or omit to state a material fact necessary in order to make the statements therein, in the light of the circumstances under which they were made, not misleading.</w:t>
      </w:r>
    </w:p>
    <w:p>
      <w:pPr>
        <w:spacing w:after="0" w:line="59" w:lineRule="exact"/>
        <w:rPr>
          <w:rFonts w:ascii="Arial" w:cs="Arial" w:eastAsia="Arial" w:hAnsi="Arial"/>
          <w:sz w:val="13"/>
          <w:szCs w:val="13"/>
          <w:color w:val="auto"/>
        </w:rPr>
      </w:pPr>
    </w:p>
    <w:p>
      <w:pPr>
        <w:ind w:right="200" w:firstLine="162"/>
        <w:spacing w:after="0" w:line="276" w:lineRule="auto"/>
        <w:tabs>
          <w:tab w:leader="none" w:pos="298" w:val="left"/>
        </w:tabs>
        <w:numPr>
          <w:ilvl w:val="0"/>
          <w:numId w:val="78"/>
        </w:numPr>
        <w:rPr>
          <w:rFonts w:ascii="Arial" w:cs="Arial" w:eastAsia="Arial" w:hAnsi="Arial"/>
          <w:sz w:val="13"/>
          <w:szCs w:val="13"/>
          <w:color w:val="auto"/>
        </w:rPr>
      </w:pPr>
      <w:r>
        <w:rPr>
          <w:rFonts w:ascii="Arial" w:cs="Arial" w:eastAsia="Arial" w:hAnsi="Arial"/>
          <w:sz w:val="13"/>
          <w:szCs w:val="13"/>
          <w:i w:val="1"/>
          <w:iCs w:val="1"/>
          <w:color w:val="auto"/>
        </w:rPr>
        <w:t>Status under the Securities Act</w:t>
      </w:r>
      <w:r>
        <w:rPr>
          <w:rFonts w:ascii="Arial" w:cs="Arial" w:eastAsia="Arial" w:hAnsi="Arial"/>
          <w:sz w:val="13"/>
          <w:szCs w:val="13"/>
          <w:color w:val="auto"/>
        </w:rPr>
        <w:t>. The Company is not an ineligible issuer and is a well-known seasoned issuer, in each case as defined under the Securities Act, in each case at the times specified in the Securities</w:t>
      </w:r>
      <w:r>
        <w:rPr>
          <w:rFonts w:ascii="Arial" w:cs="Arial" w:eastAsia="Arial" w:hAnsi="Arial"/>
          <w:sz w:val="13"/>
          <w:szCs w:val="13"/>
          <w:i w:val="1"/>
          <w:iCs w:val="1"/>
          <w:color w:val="auto"/>
        </w:rPr>
        <w:t xml:space="preserve"> </w:t>
      </w:r>
      <w:r>
        <w:rPr>
          <w:rFonts w:ascii="Arial" w:cs="Arial" w:eastAsia="Arial" w:hAnsi="Arial"/>
          <w:sz w:val="13"/>
          <w:szCs w:val="13"/>
          <w:color w:val="auto"/>
        </w:rPr>
        <w:t>Act in connection with the offering of the Securities.</w:t>
      </w:r>
    </w:p>
    <w:p>
      <w:pPr>
        <w:spacing w:after="0" w:line="49" w:lineRule="exact"/>
        <w:rPr>
          <w:rFonts w:ascii="Arial" w:cs="Arial" w:eastAsia="Arial" w:hAnsi="Arial"/>
          <w:sz w:val="13"/>
          <w:szCs w:val="13"/>
          <w:color w:val="auto"/>
        </w:rPr>
      </w:pPr>
    </w:p>
    <w:p>
      <w:pPr>
        <w:ind w:left="280" w:hanging="118"/>
        <w:spacing w:after="0"/>
        <w:tabs>
          <w:tab w:leader="none" w:pos="280" w:val="left"/>
        </w:tabs>
        <w:numPr>
          <w:ilvl w:val="0"/>
          <w:numId w:val="78"/>
        </w:numPr>
        <w:rPr>
          <w:rFonts w:ascii="Arial" w:cs="Arial" w:eastAsia="Arial" w:hAnsi="Arial"/>
          <w:sz w:val="13"/>
          <w:szCs w:val="13"/>
          <w:color w:val="auto"/>
        </w:rPr>
      </w:pPr>
      <w:r>
        <w:rPr>
          <w:rFonts w:ascii="Arial" w:cs="Arial" w:eastAsia="Arial" w:hAnsi="Arial"/>
          <w:sz w:val="13"/>
          <w:szCs w:val="13"/>
          <w:i w:val="1"/>
          <w:iCs w:val="1"/>
          <w:color w:val="auto"/>
        </w:rPr>
        <w:t>The Underwriting Agreement</w:t>
      </w:r>
      <w:r>
        <w:rPr>
          <w:rFonts w:ascii="Arial" w:cs="Arial" w:eastAsia="Arial" w:hAnsi="Arial"/>
          <w:sz w:val="13"/>
          <w:szCs w:val="13"/>
          <w:color w:val="auto"/>
        </w:rPr>
        <w:t>. This Agreement has been duly authorized, executed and delivered by the Company and each of the Guarantors.</w:t>
      </w:r>
    </w:p>
    <w:p>
      <w:pPr>
        <w:spacing w:after="0" w:line="86" w:lineRule="exact"/>
        <w:rPr>
          <w:rFonts w:ascii="Arial" w:cs="Arial" w:eastAsia="Arial" w:hAnsi="Arial"/>
          <w:sz w:val="13"/>
          <w:szCs w:val="13"/>
          <w:color w:val="auto"/>
        </w:rPr>
      </w:pPr>
    </w:p>
    <w:p>
      <w:pPr>
        <w:ind w:right="20" w:firstLine="162"/>
        <w:spacing w:after="0" w:line="280" w:lineRule="auto"/>
        <w:tabs>
          <w:tab w:leader="none" w:pos="306" w:val="left"/>
        </w:tabs>
        <w:numPr>
          <w:ilvl w:val="0"/>
          <w:numId w:val="78"/>
        </w:numPr>
        <w:rPr>
          <w:rFonts w:ascii="Arial" w:cs="Arial" w:eastAsia="Arial" w:hAnsi="Arial"/>
          <w:sz w:val="12"/>
          <w:szCs w:val="12"/>
          <w:color w:val="auto"/>
        </w:rPr>
      </w:pPr>
      <w:r>
        <w:rPr>
          <w:rFonts w:ascii="Arial" w:cs="Arial" w:eastAsia="Arial" w:hAnsi="Arial"/>
          <w:sz w:val="12"/>
          <w:szCs w:val="12"/>
          <w:i w:val="1"/>
          <w:iCs w:val="1"/>
          <w:color w:val="auto"/>
        </w:rPr>
        <w:t>The Indenture and the DTC Agreement</w:t>
      </w:r>
      <w:r>
        <w:rPr>
          <w:rFonts w:ascii="Arial" w:cs="Arial" w:eastAsia="Arial" w:hAnsi="Arial"/>
          <w:sz w:val="12"/>
          <w:szCs w:val="12"/>
          <w:color w:val="auto"/>
        </w:rPr>
        <w:t>. The Base Indenture has been duly authorized, executed and delivered by the Company and each of the Guarantors and constitutes a valid and binding agreement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and each of the Guarantors, enforceable against the Company and each of the Guarantors in accordance with its terms, except as the enforcement thereof may be limited by bankruptcy, insolvency, fraudulent transfer, reorganization, moratorium or other similar laws relating to or affecting the rights and remedies of creditors or by general equitable principles. The Supplemental Indenture has been duly authorized and, on the Closing Date, will have been duly executed and delivered by, and will constitute a valid and binding agreement of, the Company and each of the Guarantors, enforceable against the Company and each of the Guarantors in accordance with its terms, except as the enforcement thereof may be limited by bankruptcy, insolvency, fraudulent transfer, reorganization, moratorium or other similar laws relating to or affecting the rights and remedies of creditors or by general equitable principles. The Indenture has been duly qualified under the Trust Indenture Act. The DTC Agreement has been duly authorized, exected and delivered by, and constitutes a valid and binding agreement of, the Company, enforceable in accordance with its terms, except as the enforcement thereof may be limited by bankruptcy, insolvency, fraudulent transfer, reorganization, moratorium or other similar laws relating to or affecting the rights and remedies of creditors or by general equitable principles.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0" w:name="page201"/>
    <w:bookmarkEnd w:id="200"/>
    <w:p>
      <w:pPr>
        <w:ind w:left="-40" w:firstLine="162"/>
        <w:spacing w:after="0" w:line="280" w:lineRule="auto"/>
        <w:tabs>
          <w:tab w:leader="none" w:pos="266" w:val="left"/>
        </w:tabs>
        <w:numPr>
          <w:ilvl w:val="0"/>
          <w:numId w:val="79"/>
        </w:numPr>
        <w:rPr>
          <w:rFonts w:ascii="Arial" w:cs="Arial" w:eastAsia="Arial" w:hAnsi="Arial"/>
          <w:sz w:val="12"/>
          <w:szCs w:val="12"/>
          <w:color w:val="auto"/>
        </w:rPr>
      </w:pPr>
      <w:r>
        <w:rPr>
          <w:rFonts w:ascii="Arial" w:cs="Arial" w:eastAsia="Arial" w:hAnsi="Arial"/>
          <w:sz w:val="12"/>
          <w:szCs w:val="12"/>
          <w:i w:val="1"/>
          <w:iCs w:val="1"/>
          <w:color w:val="auto"/>
        </w:rPr>
        <w:t>Authorization of the Notes and the Guarantees</w:t>
      </w:r>
      <w:r>
        <w:rPr>
          <w:rFonts w:ascii="Arial" w:cs="Arial" w:eastAsia="Arial" w:hAnsi="Arial"/>
          <w:sz w:val="12"/>
          <w:szCs w:val="12"/>
          <w:color w:val="auto"/>
        </w:rPr>
        <w:t>. (i) The Notes to be purchased by the Underwriters from the Company are in the form contemplated by the Indenture, have been duly authorized by the Company for</w:t>
      </w:r>
      <w:r>
        <w:rPr>
          <w:rFonts w:ascii="Arial" w:cs="Arial" w:eastAsia="Arial" w:hAnsi="Arial"/>
          <w:sz w:val="12"/>
          <w:szCs w:val="12"/>
          <w:i w:val="1"/>
          <w:iCs w:val="1"/>
          <w:color w:val="auto"/>
        </w:rPr>
        <w:t xml:space="preserve"> </w:t>
      </w:r>
      <w:r>
        <w:rPr>
          <w:rFonts w:ascii="Arial" w:cs="Arial" w:eastAsia="Arial" w:hAnsi="Arial"/>
          <w:sz w:val="12"/>
          <w:szCs w:val="12"/>
          <w:color w:val="auto"/>
        </w:rPr>
        <w:t>issuance and sale pursuant to this Agreement and the Indenture and, at the Closing Date, will have been duly executed by the Company and, when authenticated in the manner provided for in the Indenture and delivered against payment of the purchase price therefor, will constitute valid and binding obligations of the Company, enforceable in accordance with their terms, except as the enforcement thereof may be limited by bankruptcy, insolvency, fraudulent transfer, reorganization, moratorium or other similar laws relating to or affecting the rights and remedies of creditors or by general equitable principles, and will be entitled to the benefits of the Indenture. (ii) The Guarantees of the Notes are in the form contemplated by the Indenture, have been duly authorized for issuance and sale pursuant to this Agreement and the Indenture and, at the Closing Date, will have been duly executed by each of the Guarantors, and, when the Notes have been authenticated in the manner provided for in the Indenture and delivered against payment of the purchase price therefor, will constitute valid and binding obligations of each of the Guarantors, enforceable in accordance with their terms, except as the enforcement thereof may be limited by bankruptcy, insolvency, fraudulent transfer, reorganization, moratorium or other similar laws relating to or affecting the rights and remedies of creditors or by general equitable principles, and will be entitled to the benefits of the Indenture.</w:t>
      </w:r>
    </w:p>
    <w:p>
      <w:pPr>
        <w:spacing w:after="0" w:line="48" w:lineRule="exact"/>
        <w:rPr>
          <w:rFonts w:ascii="Arial" w:cs="Arial" w:eastAsia="Arial" w:hAnsi="Arial"/>
          <w:sz w:val="12"/>
          <w:szCs w:val="12"/>
          <w:color w:val="auto"/>
        </w:rPr>
      </w:pPr>
    </w:p>
    <w:p>
      <w:pPr>
        <w:ind w:left="-40" w:right="260" w:firstLine="162"/>
        <w:spacing w:after="0" w:line="276" w:lineRule="auto"/>
        <w:tabs>
          <w:tab w:leader="none" w:pos="236" w:val="left"/>
        </w:tabs>
        <w:numPr>
          <w:ilvl w:val="0"/>
          <w:numId w:val="79"/>
        </w:numPr>
        <w:rPr>
          <w:rFonts w:ascii="Arial" w:cs="Arial" w:eastAsia="Arial" w:hAnsi="Arial"/>
          <w:sz w:val="13"/>
          <w:szCs w:val="13"/>
          <w:color w:val="auto"/>
        </w:rPr>
      </w:pPr>
      <w:r>
        <w:rPr>
          <w:rFonts w:ascii="Arial" w:cs="Arial" w:eastAsia="Arial" w:hAnsi="Arial"/>
          <w:sz w:val="13"/>
          <w:szCs w:val="13"/>
          <w:i w:val="1"/>
          <w:iCs w:val="1"/>
          <w:color w:val="auto"/>
        </w:rPr>
        <w:t>Description of the Securities and the Indenture</w:t>
      </w:r>
      <w:r>
        <w:rPr>
          <w:rFonts w:ascii="Arial" w:cs="Arial" w:eastAsia="Arial" w:hAnsi="Arial"/>
          <w:sz w:val="13"/>
          <w:szCs w:val="13"/>
          <w:color w:val="auto"/>
        </w:rPr>
        <w:t>. The Securities and the Indenture conform in all material respects to the respective descriptions thereof contained in the Registration Statement, the Time of Sale</w:t>
      </w:r>
      <w:r>
        <w:rPr>
          <w:rFonts w:ascii="Arial" w:cs="Arial" w:eastAsia="Arial" w:hAnsi="Arial"/>
          <w:sz w:val="13"/>
          <w:szCs w:val="13"/>
          <w:i w:val="1"/>
          <w:iCs w:val="1"/>
          <w:color w:val="auto"/>
        </w:rPr>
        <w:t xml:space="preserve"> </w:t>
      </w:r>
      <w:r>
        <w:rPr>
          <w:rFonts w:ascii="Arial" w:cs="Arial" w:eastAsia="Arial" w:hAnsi="Arial"/>
          <w:sz w:val="13"/>
          <w:szCs w:val="13"/>
          <w:color w:val="auto"/>
        </w:rPr>
        <w:t>Information and the Prospectus.</w:t>
      </w:r>
    </w:p>
    <w:p>
      <w:pPr>
        <w:spacing w:after="0" w:line="49" w:lineRule="exact"/>
        <w:rPr>
          <w:rFonts w:ascii="Arial" w:cs="Arial" w:eastAsia="Arial" w:hAnsi="Arial"/>
          <w:sz w:val="13"/>
          <w:szCs w:val="13"/>
          <w:color w:val="auto"/>
        </w:rPr>
      </w:pPr>
    </w:p>
    <w:p>
      <w:pPr>
        <w:ind w:left="-40" w:firstLine="162"/>
        <w:spacing w:after="0" w:line="264" w:lineRule="auto"/>
        <w:tabs>
          <w:tab w:leader="none" w:pos="236" w:val="left"/>
        </w:tabs>
        <w:numPr>
          <w:ilvl w:val="0"/>
          <w:numId w:val="79"/>
        </w:numPr>
        <w:rPr>
          <w:rFonts w:ascii="Arial" w:cs="Arial" w:eastAsia="Arial" w:hAnsi="Arial"/>
          <w:sz w:val="13"/>
          <w:szCs w:val="13"/>
          <w:color w:val="auto"/>
        </w:rPr>
      </w:pPr>
      <w:r>
        <w:rPr>
          <w:rFonts w:ascii="Arial" w:cs="Arial" w:eastAsia="Arial" w:hAnsi="Arial"/>
          <w:sz w:val="13"/>
          <w:szCs w:val="13"/>
          <w:i w:val="1"/>
          <w:iCs w:val="1"/>
          <w:color w:val="auto"/>
        </w:rPr>
        <w:t>Accuracy of Statements</w:t>
      </w:r>
      <w:r>
        <w:rPr>
          <w:rFonts w:ascii="Arial" w:cs="Arial" w:eastAsia="Arial" w:hAnsi="Arial"/>
          <w:sz w:val="13"/>
          <w:szCs w:val="13"/>
          <w:color w:val="auto"/>
        </w:rPr>
        <w:t>. The statements in each of the Registration Statement, the Time of Sale Information and the Prospectus under the captions “Description of Notes” and “Material United States Federal</w:t>
      </w:r>
      <w:r>
        <w:rPr>
          <w:rFonts w:ascii="Arial" w:cs="Arial" w:eastAsia="Arial" w:hAnsi="Arial"/>
          <w:sz w:val="13"/>
          <w:szCs w:val="13"/>
          <w:i w:val="1"/>
          <w:iCs w:val="1"/>
          <w:color w:val="auto"/>
        </w:rPr>
        <w:t xml:space="preserve"> </w:t>
      </w:r>
      <w:r>
        <w:rPr>
          <w:rFonts w:ascii="Arial" w:cs="Arial" w:eastAsia="Arial" w:hAnsi="Arial"/>
          <w:sz w:val="13"/>
          <w:szCs w:val="13"/>
          <w:color w:val="auto"/>
        </w:rPr>
        <w:t>Income Tax Considerations,” in each case insofar as such statements constitute a summary of the legal matters or documents referred to therein, fairly present and summarize, in all material respects, the matters referred to therein.</w:t>
      </w:r>
    </w:p>
    <w:p>
      <w:pPr>
        <w:spacing w:after="0" w:line="57" w:lineRule="exact"/>
        <w:rPr>
          <w:rFonts w:ascii="Arial" w:cs="Arial" w:eastAsia="Arial" w:hAnsi="Arial"/>
          <w:sz w:val="13"/>
          <w:szCs w:val="13"/>
          <w:color w:val="auto"/>
        </w:rPr>
      </w:pPr>
    </w:p>
    <w:p>
      <w:pPr>
        <w:ind w:left="-40" w:right="80" w:firstLine="162"/>
        <w:spacing w:after="0" w:line="285" w:lineRule="auto"/>
        <w:tabs>
          <w:tab w:leader="none" w:pos="266" w:val="left"/>
        </w:tabs>
        <w:numPr>
          <w:ilvl w:val="0"/>
          <w:numId w:val="79"/>
        </w:numPr>
        <w:rPr>
          <w:rFonts w:ascii="Arial" w:cs="Arial" w:eastAsia="Arial" w:hAnsi="Arial"/>
          <w:sz w:val="12"/>
          <w:szCs w:val="12"/>
          <w:color w:val="auto"/>
        </w:rPr>
      </w:pPr>
      <w:r>
        <w:rPr>
          <w:rFonts w:ascii="Arial" w:cs="Arial" w:eastAsia="Arial" w:hAnsi="Arial"/>
          <w:sz w:val="12"/>
          <w:szCs w:val="12"/>
          <w:i w:val="1"/>
          <w:iCs w:val="1"/>
          <w:color w:val="auto"/>
        </w:rPr>
        <w:t>No Material Adverse Change</w:t>
      </w:r>
      <w:r>
        <w:rPr>
          <w:rFonts w:ascii="Arial" w:cs="Arial" w:eastAsia="Arial" w:hAnsi="Arial"/>
          <w:sz w:val="12"/>
          <w:szCs w:val="12"/>
          <w:color w:val="auto"/>
        </w:rPr>
        <w:t>. Except as otherwise disclosed in the Time of Sale Information, subsequent to the respective dates as of which information is given in the Time of Sale Information, (i) neither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the Guarantors nor any of their respective subsidiaries has sustained any material loss or interference with their respective businesses from fire, explosion, flood or other calamity, whether or not covered by insurance, or from any labor dispute or court or governmental action, order or decree and (ii) there has been no material adverse change, or any development that would reasonably be expected to result in a material adverse change, in the condition, financial or otherwise, or in the business, properties, results of operations or prospects, whether or not arising from transactions in the ordinary course of business, of the Company, the Guarantors and their respective subsidiaries, considered as one entity (any such change is called a “</w:t>
      </w:r>
      <w:r>
        <w:rPr>
          <w:rFonts w:ascii="Arial" w:cs="Arial" w:eastAsia="Arial" w:hAnsi="Arial"/>
          <w:sz w:val="12"/>
          <w:szCs w:val="12"/>
          <w:u w:val="single" w:color="auto"/>
          <w:color w:val="auto"/>
        </w:rPr>
        <w:t>Material Adverse Change</w:t>
      </w:r>
      <w:r>
        <w:rPr>
          <w:rFonts w:ascii="Arial" w:cs="Arial" w:eastAsia="Arial" w:hAnsi="Arial"/>
          <w:sz w:val="12"/>
          <w:szCs w:val="12"/>
          <w:color w:val="auto"/>
        </w:rPr>
        <w:t>”).</w:t>
      </w:r>
    </w:p>
    <w:p>
      <w:pPr>
        <w:spacing w:after="0" w:line="45" w:lineRule="exact"/>
        <w:rPr>
          <w:rFonts w:ascii="Arial" w:cs="Arial" w:eastAsia="Arial" w:hAnsi="Arial"/>
          <w:sz w:val="12"/>
          <w:szCs w:val="12"/>
          <w:color w:val="auto"/>
        </w:rPr>
      </w:pPr>
    </w:p>
    <w:p>
      <w:pPr>
        <w:ind w:left="-40" w:right="60" w:firstLine="162"/>
        <w:spacing w:after="0" w:line="276" w:lineRule="auto"/>
        <w:tabs>
          <w:tab w:leader="none" w:pos="236" w:val="left"/>
        </w:tabs>
        <w:numPr>
          <w:ilvl w:val="0"/>
          <w:numId w:val="79"/>
        </w:numPr>
        <w:rPr>
          <w:rFonts w:ascii="Arial" w:cs="Arial" w:eastAsia="Arial" w:hAnsi="Arial"/>
          <w:sz w:val="13"/>
          <w:szCs w:val="13"/>
          <w:color w:val="auto"/>
        </w:rPr>
      </w:pPr>
      <w:r>
        <w:rPr>
          <w:rFonts w:ascii="Arial" w:cs="Arial" w:eastAsia="Arial" w:hAnsi="Arial"/>
          <w:sz w:val="13"/>
          <w:szCs w:val="13"/>
          <w:i w:val="1"/>
          <w:iCs w:val="1"/>
          <w:color w:val="auto"/>
        </w:rPr>
        <w:t>Independent Accountants</w:t>
      </w:r>
      <w:r>
        <w:rPr>
          <w:rFonts w:ascii="Arial" w:cs="Arial" w:eastAsia="Arial" w:hAnsi="Arial"/>
          <w:sz w:val="13"/>
          <w:szCs w:val="13"/>
          <w:color w:val="auto"/>
        </w:rPr>
        <w:t>. The Company’s independent registered public accounting firm, who have expressed their opinion with respect to the Company’s audited financial statements included or incorporated by</w:t>
      </w:r>
      <w:r>
        <w:rPr>
          <w:rFonts w:ascii="Arial" w:cs="Arial" w:eastAsia="Arial" w:hAnsi="Arial"/>
          <w:sz w:val="13"/>
          <w:szCs w:val="13"/>
          <w:i w:val="1"/>
          <w:iCs w:val="1"/>
          <w:color w:val="auto"/>
        </w:rPr>
        <w:t xml:space="preserve"> </w:t>
      </w:r>
      <w:r>
        <w:rPr>
          <w:rFonts w:ascii="Arial" w:cs="Arial" w:eastAsia="Arial" w:hAnsi="Arial"/>
          <w:sz w:val="13"/>
          <w:szCs w:val="13"/>
          <w:color w:val="auto"/>
        </w:rPr>
        <w:t>reference in the Registration Statement, the Time of Sale Information and the Prospectus, are independent public accountants with respect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201" w:name="page202"/>
    <w:bookmarkEnd w:id="201"/>
    <w:p>
      <w:pPr>
        <w:spacing w:after="0"/>
        <w:rPr>
          <w:sz w:val="20"/>
          <w:szCs w:val="20"/>
          <w:color w:val="auto"/>
        </w:rPr>
      </w:pPr>
      <w:r>
        <w:rPr>
          <w:rFonts w:ascii="Arial" w:cs="Arial" w:eastAsia="Arial" w:hAnsi="Arial"/>
          <w:sz w:val="13"/>
          <w:szCs w:val="13"/>
          <w:color w:val="auto"/>
        </w:rPr>
        <w:t>the Company as required by the Securities Act and the Exchange Act and are an independent registered public accounting firm with the Public Company Accounting Oversight Board.</w:t>
      </w:r>
    </w:p>
    <w:p>
      <w:pPr>
        <w:spacing w:after="0" w:line="86" w:lineRule="exact"/>
        <w:rPr>
          <w:sz w:val="20"/>
          <w:szCs w:val="20"/>
          <w:color w:val="auto"/>
        </w:rPr>
      </w:pPr>
    </w:p>
    <w:p>
      <w:pPr>
        <w:ind w:right="20" w:firstLine="162"/>
        <w:spacing w:after="0" w:line="307" w:lineRule="auto"/>
        <w:tabs>
          <w:tab w:leader="none" w:pos="342" w:val="left"/>
        </w:tabs>
        <w:numPr>
          <w:ilvl w:val="0"/>
          <w:numId w:val="80"/>
        </w:numPr>
        <w:rPr>
          <w:rFonts w:ascii="Arial" w:cs="Arial" w:eastAsia="Arial" w:hAnsi="Arial"/>
          <w:sz w:val="11"/>
          <w:szCs w:val="11"/>
          <w:color w:val="auto"/>
        </w:rPr>
      </w:pPr>
      <w:r>
        <w:rPr>
          <w:rFonts w:ascii="Arial" w:cs="Arial" w:eastAsia="Arial" w:hAnsi="Arial"/>
          <w:sz w:val="11"/>
          <w:szCs w:val="11"/>
          <w:i w:val="1"/>
          <w:iCs w:val="1"/>
          <w:color w:val="auto"/>
        </w:rPr>
        <w:t>Preparation of the Financial Statements</w:t>
      </w:r>
      <w:r>
        <w:rPr>
          <w:rFonts w:ascii="Arial" w:cs="Arial" w:eastAsia="Arial" w:hAnsi="Arial"/>
          <w:sz w:val="11"/>
          <w:szCs w:val="11"/>
          <w:color w:val="auto"/>
        </w:rPr>
        <w:t>. The financial statements together with the related notes thereto included or incorporated by reference in the Registration Statement, the Time of Sale Information and the</w:t>
      </w:r>
      <w:r>
        <w:rPr>
          <w:rFonts w:ascii="Arial" w:cs="Arial" w:eastAsia="Arial" w:hAnsi="Arial"/>
          <w:sz w:val="11"/>
          <w:szCs w:val="11"/>
          <w:i w:val="1"/>
          <w:iCs w:val="1"/>
          <w:color w:val="auto"/>
        </w:rPr>
        <w:t xml:space="preserve"> </w:t>
      </w:r>
      <w:r>
        <w:rPr>
          <w:rFonts w:ascii="Arial" w:cs="Arial" w:eastAsia="Arial" w:hAnsi="Arial"/>
          <w:sz w:val="11"/>
          <w:szCs w:val="11"/>
          <w:color w:val="auto"/>
        </w:rPr>
        <w:t>Prospectus present fairly the consolidated financial position of the Company and its subsidiaries as of and at the dates indicated and the results of their operations and cash flows for the periods specified; said financial statements have been prepared in conformity with generally accepted accounting principles (“</w:t>
      </w:r>
      <w:r>
        <w:rPr>
          <w:rFonts w:ascii="Arial" w:cs="Arial" w:eastAsia="Arial" w:hAnsi="Arial"/>
          <w:sz w:val="11"/>
          <w:szCs w:val="11"/>
          <w:u w:val="single" w:color="auto"/>
          <w:color w:val="auto"/>
        </w:rPr>
        <w:t>GAAP</w:t>
      </w:r>
      <w:r>
        <w:rPr>
          <w:rFonts w:ascii="Arial" w:cs="Arial" w:eastAsia="Arial" w:hAnsi="Arial"/>
          <w:sz w:val="11"/>
          <w:szCs w:val="11"/>
          <w:color w:val="auto"/>
        </w:rPr>
        <w:t>”) as applied in the United States applied on a consistent basis throughout the periods involved, except as may be expressly stated in the related notes thereto. The summary historical consolidated financial data included in the Registration Statement, the Time of Sale Information and the Prospectus present fairly the information shown therein and have been compiled on a basis consistent with that of the audited financial statements incorporated by reference in the Registration Statement, the Time of Sale Information and the Prospectus. There are no financial statements that are required to be included in the Registration Statement, the Time of Sale Information or the Prospectus that are not included or incorporated by reference as required. In addition, any pro forma financial statements of the Company and its subsidiaries and the related notes thereto included or incorporated by reference in the Registration Statement, the Time of Sale Information and the Prospectus present fairly the information shown therein, have been prepared in accordance with the Commission’s rules and guidelines with respect to pro forma financial information and have been properly compiled on the bases described therein, and the assumptions used in the preparation thereof are reasonable and the adjustments used therein are appropriate to give effect to the transactions and circumstances referred to therein.</w:t>
      </w:r>
    </w:p>
    <w:p>
      <w:pPr>
        <w:spacing w:after="0" w:line="37" w:lineRule="exact"/>
        <w:rPr>
          <w:rFonts w:ascii="Arial" w:cs="Arial" w:eastAsia="Arial" w:hAnsi="Arial"/>
          <w:sz w:val="11"/>
          <w:szCs w:val="11"/>
          <w:color w:val="auto"/>
        </w:rPr>
      </w:pPr>
    </w:p>
    <w:p>
      <w:pPr>
        <w:ind w:firstLine="162"/>
        <w:spacing w:after="0" w:line="278" w:lineRule="auto"/>
        <w:tabs>
          <w:tab w:leader="none" w:pos="306" w:val="left"/>
        </w:tabs>
        <w:numPr>
          <w:ilvl w:val="0"/>
          <w:numId w:val="80"/>
        </w:numPr>
        <w:rPr>
          <w:rFonts w:ascii="Arial" w:cs="Arial" w:eastAsia="Arial" w:hAnsi="Arial"/>
          <w:sz w:val="12"/>
          <w:szCs w:val="12"/>
          <w:color w:val="auto"/>
        </w:rPr>
      </w:pPr>
      <w:r>
        <w:rPr>
          <w:rFonts w:ascii="Arial" w:cs="Arial" w:eastAsia="Arial" w:hAnsi="Arial"/>
          <w:sz w:val="12"/>
          <w:szCs w:val="12"/>
          <w:i w:val="1"/>
          <w:iCs w:val="1"/>
          <w:color w:val="auto"/>
        </w:rPr>
        <w:t>Incorporation and Good Standing of the Company and its Subsidiaries</w:t>
      </w:r>
      <w:r>
        <w:rPr>
          <w:rFonts w:ascii="Arial" w:cs="Arial" w:eastAsia="Arial" w:hAnsi="Arial"/>
          <w:sz w:val="12"/>
          <w:szCs w:val="12"/>
          <w:color w:val="auto"/>
        </w:rPr>
        <w:t>. Each of the Company, the Guarantors and their significant subsidiaries (as defined in Rule 1-02(10) of Regulation S-X, the “</w:t>
      </w:r>
      <w:r>
        <w:rPr>
          <w:rFonts w:ascii="Arial" w:cs="Arial" w:eastAsia="Arial" w:hAnsi="Arial"/>
          <w:sz w:val="12"/>
          <w:szCs w:val="12"/>
          <w:u w:val="single" w:color="auto"/>
          <w:color w:val="auto"/>
        </w:rPr>
        <w:t>Significant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Subsidiaries</w:t>
      </w:r>
      <w:r>
        <w:rPr>
          <w:rFonts w:ascii="Arial" w:cs="Arial" w:eastAsia="Arial" w:hAnsi="Arial"/>
          <w:sz w:val="12"/>
          <w:szCs w:val="12"/>
          <w:color w:val="auto"/>
        </w:rPr>
        <w:t>”) has been duly incorporated or formed and is validly existing as a corporation, limited liability company, partnership or other legal entity, as the case may be, in good standing under the laws of the jurisdiction of its incorporation or formation, and each has corporate, limited liability company, partnership or other power and authority to own or lease, as the case may be, and operate its properties and to conduct its business as described in the Registration Statement, the Time of Sale Information and the Prospectus and, in the case of the Company and the Guarantors, to enter into and perform its obligations under this Agreement. Each of the Company, the Guarantors and each Significant Subsidiary is duly qualified as a foreign corporation, limited liability company, partnership or other legal entity to transact business and is in good standing or equivalent status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reasonably be expected to result in a Material Adverse Change. All of the issued and outstanding shares of capital stock of each subsidiary of the Company have been duly authorized and validly issued, are fully paid and nonassessable and, except in the case of subsidiaries set forth on Exhibit E hereto, are owned by the Company or a Guarantor, directly or through their respective subsidiaries, free and clear of any security interest, mortgage, pledge, lien, encumbrance or claim. The Company does not have any subsidiary not listed on Exhibit 21.1 to the Company’s most recent Annual Report on Form 10-K which is required to be so listed.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2" w:name="page203"/>
    <w:bookmarkEnd w:id="202"/>
    <w:p>
      <w:pPr>
        <w:ind w:left="1" w:right="60" w:firstLine="162"/>
        <w:spacing w:after="0" w:line="264" w:lineRule="auto"/>
        <w:tabs>
          <w:tab w:leader="none" w:pos="307" w:val="left"/>
        </w:tabs>
        <w:numPr>
          <w:ilvl w:val="1"/>
          <w:numId w:val="81"/>
        </w:numPr>
        <w:rPr>
          <w:rFonts w:ascii="Arial" w:cs="Arial" w:eastAsia="Arial" w:hAnsi="Arial"/>
          <w:sz w:val="13"/>
          <w:szCs w:val="13"/>
          <w:color w:val="auto"/>
        </w:rPr>
      </w:pPr>
      <w:r>
        <w:rPr>
          <w:rFonts w:ascii="Arial" w:cs="Arial" w:eastAsia="Arial" w:hAnsi="Arial"/>
          <w:sz w:val="13"/>
          <w:szCs w:val="13"/>
          <w:i w:val="1"/>
          <w:iCs w:val="1"/>
          <w:color w:val="auto"/>
        </w:rPr>
        <w:t>Capitalization and Other Capital Stock Matters</w:t>
      </w:r>
      <w:r>
        <w:rPr>
          <w:rFonts w:ascii="Arial" w:cs="Arial" w:eastAsia="Arial" w:hAnsi="Arial"/>
          <w:sz w:val="13"/>
          <w:szCs w:val="13"/>
          <w:color w:val="auto"/>
        </w:rPr>
        <w:t>. The authorized, issued and outstanding capital stock of the Company is as set forth in the Registration Statement, the Time of Sale Information and the Prospectus</w:t>
      </w:r>
      <w:r>
        <w:rPr>
          <w:rFonts w:ascii="Arial" w:cs="Arial" w:eastAsia="Arial" w:hAnsi="Arial"/>
          <w:sz w:val="13"/>
          <w:szCs w:val="13"/>
          <w:i w:val="1"/>
          <w:iCs w:val="1"/>
          <w:color w:val="auto"/>
        </w:rPr>
        <w:t xml:space="preserve"> </w:t>
      </w:r>
      <w:r>
        <w:rPr>
          <w:rFonts w:ascii="Arial" w:cs="Arial" w:eastAsia="Arial" w:hAnsi="Arial"/>
          <w:sz w:val="13"/>
          <w:szCs w:val="13"/>
          <w:color w:val="auto"/>
        </w:rPr>
        <w:t>under the caption “Capitalization” (other than for subsequent issuances, if any, pursuant to employee benefit plans or upon exercise of outstanding options, in each case, described in the documents incorporated by reference in the Registration Statement, the Time of Sale Information and the Prospectus, as the case may be).</w:t>
      </w:r>
    </w:p>
    <w:p>
      <w:pPr>
        <w:spacing w:after="0" w:line="57" w:lineRule="exact"/>
        <w:rPr>
          <w:rFonts w:ascii="Arial" w:cs="Arial" w:eastAsia="Arial" w:hAnsi="Arial"/>
          <w:sz w:val="13"/>
          <w:szCs w:val="13"/>
          <w:color w:val="auto"/>
        </w:rPr>
      </w:pPr>
    </w:p>
    <w:p>
      <w:pPr>
        <w:ind w:left="1" w:firstLine="162"/>
        <w:spacing w:after="0" w:line="280" w:lineRule="auto"/>
        <w:tabs>
          <w:tab w:leader="none" w:pos="307" w:val="left"/>
        </w:tabs>
        <w:numPr>
          <w:ilvl w:val="1"/>
          <w:numId w:val="81"/>
        </w:numPr>
        <w:rPr>
          <w:rFonts w:ascii="Arial" w:cs="Arial" w:eastAsia="Arial" w:hAnsi="Arial"/>
          <w:sz w:val="12"/>
          <w:szCs w:val="12"/>
          <w:color w:val="auto"/>
        </w:rPr>
      </w:pPr>
      <w:r>
        <w:rPr>
          <w:rFonts w:ascii="Arial" w:cs="Arial" w:eastAsia="Arial" w:hAnsi="Arial"/>
          <w:sz w:val="12"/>
          <w:szCs w:val="12"/>
          <w:i w:val="1"/>
          <w:iCs w:val="1"/>
          <w:color w:val="auto"/>
        </w:rPr>
        <w:t>Non-Contravention of Existing Instruments; No Further Authorizations or Approvals Required</w:t>
      </w:r>
      <w:r>
        <w:rPr>
          <w:rFonts w:ascii="Arial" w:cs="Arial" w:eastAsia="Arial" w:hAnsi="Arial"/>
          <w:sz w:val="12"/>
          <w:szCs w:val="12"/>
          <w:color w:val="auto"/>
        </w:rPr>
        <w:t>. None of the Company, the Guarantors nor any of their respective subsidiaries is (i) in violation of or in default under</w:t>
      </w:r>
      <w:r>
        <w:rPr>
          <w:rFonts w:ascii="Arial" w:cs="Arial" w:eastAsia="Arial" w:hAnsi="Arial"/>
          <w:sz w:val="12"/>
          <w:szCs w:val="12"/>
          <w:i w:val="1"/>
          <w:iCs w:val="1"/>
          <w:color w:val="auto"/>
        </w:rPr>
        <w:t xml:space="preserve"> </w:t>
      </w:r>
      <w:r>
        <w:rPr>
          <w:rFonts w:ascii="Arial" w:cs="Arial" w:eastAsia="Arial" w:hAnsi="Arial"/>
          <w:sz w:val="12"/>
          <w:szCs w:val="12"/>
          <w:color w:val="auto"/>
        </w:rPr>
        <w:t>(or, with the giving of notice or lapse of time or both, would be in default) (“</w:t>
      </w:r>
      <w:r>
        <w:rPr>
          <w:rFonts w:ascii="Arial" w:cs="Arial" w:eastAsia="Arial" w:hAnsi="Arial"/>
          <w:sz w:val="12"/>
          <w:szCs w:val="12"/>
          <w:u w:val="single" w:color="auto"/>
          <w:color w:val="auto"/>
        </w:rPr>
        <w:t>Default</w:t>
      </w:r>
      <w:r>
        <w:rPr>
          <w:rFonts w:ascii="Arial" w:cs="Arial" w:eastAsia="Arial" w:hAnsi="Arial"/>
          <w:sz w:val="12"/>
          <w:szCs w:val="12"/>
          <w:color w:val="auto"/>
        </w:rPr>
        <w:t>”) its articles of incorporation, charter, by-laws, limited liability company agreement or limited partnership agreement, as applicable,</w:t>
      </w:r>
    </w:p>
    <w:p>
      <w:pPr>
        <w:ind w:left="1" w:hanging="1"/>
        <w:spacing w:after="0" w:line="298" w:lineRule="auto"/>
        <w:tabs>
          <w:tab w:leader="none" w:pos="194" w:val="left"/>
        </w:tabs>
        <w:numPr>
          <w:ilvl w:val="0"/>
          <w:numId w:val="82"/>
        </w:numPr>
        <w:rPr>
          <w:rFonts w:ascii="Arial" w:cs="Arial" w:eastAsia="Arial" w:hAnsi="Arial"/>
          <w:sz w:val="11"/>
          <w:szCs w:val="11"/>
          <w:color w:val="auto"/>
        </w:rPr>
      </w:pPr>
      <w:r>
        <w:rPr>
          <w:rFonts w:ascii="Arial" w:cs="Arial" w:eastAsia="Arial" w:hAnsi="Arial"/>
          <w:sz w:val="11"/>
          <w:szCs w:val="11"/>
          <w:color w:val="auto"/>
        </w:rPr>
        <w:t>in Default under any indenture, mortgage, loan or credit agreement, deed of trust, note, contract, franchise, lease or other agreement, obligation, condition, covenant or instrument to which it or any of its subsidiaries is a party or by which it or any of them may be bound or to which any of the property or assets of it or any of its subsidiaries is subject (each, an “</w:t>
      </w:r>
      <w:r>
        <w:rPr>
          <w:rFonts w:ascii="Arial" w:cs="Arial" w:eastAsia="Arial" w:hAnsi="Arial"/>
          <w:sz w:val="11"/>
          <w:szCs w:val="11"/>
          <w:u w:val="single" w:color="auto"/>
          <w:color w:val="auto"/>
        </w:rPr>
        <w:t>Existing Instrument</w:t>
      </w:r>
      <w:r>
        <w:rPr>
          <w:rFonts w:ascii="Arial" w:cs="Arial" w:eastAsia="Arial" w:hAnsi="Arial"/>
          <w:sz w:val="11"/>
          <w:szCs w:val="11"/>
          <w:color w:val="auto"/>
        </w:rPr>
        <w:t>”) or (iii) in violation of any statute, law, rule, regulation, judgment, order or decree of any court, regulatory body, administrative agency, governmental body, arbitrator or other authority having jurisdiction over the Company, any of the Guarantors or any of their respective subsidiaries or any of their properties, as applicable, except, with respect to clauses (ii) and (iii) only, for such Defaults or violations as would not, individually or in the aggregate, reasonably be expected to result in a Material Adverse Change. The execution, delivery and performance by the Company and the Guarantors of this Agreement and the Indenture and consummation of the transactions contemplated hereby and thereby and by the Registration Statement, the Time of Sale Information and the Prospectus (i) have been duly authorized by all necessary corporate, limited liability company or limited partnership action by the Company and the Guarantors and will not result in any Default under the articles of incorporation, charter, bylaws, limited liability company or limited partnership agreement of the Company, any of the Guarantors or any of their respective subsidiaries, (ii) will not conflict with or constitute a breach of, or Default or a Debt Repayment Triggering Event (as defined below) under, or result in the creation or imposition of any lien, charge or encumbrance upon any property or assets of the Company, any of the Guarantors or any of their respective subsidiaries pursuant to, or require the consent of any other party to, any Existing Instrument, and</w:t>
      </w:r>
    </w:p>
    <w:p>
      <w:pPr>
        <w:spacing w:after="0" w:line="1" w:lineRule="exact"/>
        <w:rPr>
          <w:rFonts w:ascii="Arial" w:cs="Arial" w:eastAsia="Arial" w:hAnsi="Arial"/>
          <w:sz w:val="11"/>
          <w:szCs w:val="11"/>
          <w:color w:val="auto"/>
        </w:rPr>
      </w:pPr>
    </w:p>
    <w:p>
      <w:pPr>
        <w:ind w:left="1" w:right="20" w:hanging="1"/>
        <w:spacing w:after="0" w:line="254" w:lineRule="auto"/>
        <w:tabs>
          <w:tab w:leader="none" w:pos="231" w:val="left"/>
        </w:tabs>
        <w:numPr>
          <w:ilvl w:val="0"/>
          <w:numId w:val="82"/>
        </w:numPr>
        <w:rPr>
          <w:rFonts w:ascii="Arial" w:cs="Arial" w:eastAsia="Arial" w:hAnsi="Arial"/>
          <w:sz w:val="13"/>
          <w:szCs w:val="13"/>
          <w:color w:val="auto"/>
        </w:rPr>
      </w:pPr>
      <w:r>
        <w:rPr>
          <w:rFonts w:ascii="Arial" w:cs="Arial" w:eastAsia="Arial" w:hAnsi="Arial"/>
          <w:sz w:val="13"/>
          <w:szCs w:val="13"/>
          <w:color w:val="auto"/>
        </w:rPr>
        <w:t>will not result in any violation of any statute, law, rule, regulation, judgment, order or decree applicable to the Company, any of the Guarantors or any of their respective subsidiaries of any court, regulatory body, administrative agency, governmental body, arbitrator or other authority having jurisdiction over the Company, any of the Guarantors or any of their respective subsidiaries or any of their respective properties except, with respect to clauses (ii) and (iii) only, for such conflicts, Defaults, Debt Repayment Triggering Events or violations as would not, individually or in the aggregate, reasonably be expected to result in a Material Adverse Change or adversely affect the consummation of the transactions contemplated by this Agreement. No consent, approval, authorization or other order of, or registration or filing with, any court or other governmental or regulatory authority or agency is required for the execution, delivery and performance by the Company and the Guarantors of this Agreement or the issuance and sale of the Securities or consummation of the transactions contemplated hereby or thereby or by the Registration Statement, the Time of Sale Information and the Prospectus, except such as have been obtained or made by the Company or the Guarantors and are in full force and effect under the Securities Act, applicable state securities</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03" w:name="page204"/>
    <w:bookmarkEnd w:id="203"/>
    <w:p>
      <w:pPr>
        <w:jc w:val="both"/>
        <w:ind w:right="120"/>
        <w:spacing w:after="0" w:line="264" w:lineRule="auto"/>
        <w:rPr>
          <w:sz w:val="20"/>
          <w:szCs w:val="20"/>
          <w:color w:val="auto"/>
        </w:rPr>
      </w:pPr>
      <w:r>
        <w:rPr>
          <w:rFonts w:ascii="Arial" w:cs="Arial" w:eastAsia="Arial" w:hAnsi="Arial"/>
          <w:sz w:val="13"/>
          <w:szCs w:val="13"/>
          <w:color w:val="auto"/>
        </w:rPr>
        <w:t>or blue sky laws or foreign securities laws. As used herein, a “</w:t>
      </w:r>
      <w:r>
        <w:rPr>
          <w:rFonts w:ascii="Arial" w:cs="Arial" w:eastAsia="Arial" w:hAnsi="Arial"/>
          <w:sz w:val="13"/>
          <w:szCs w:val="13"/>
          <w:u w:val="single" w:color="auto"/>
          <w:color w:val="auto"/>
        </w:rPr>
        <w:t>Debt Repayment Triggering Event</w:t>
      </w:r>
      <w:r>
        <w:rPr>
          <w:rFonts w:ascii="Arial" w:cs="Arial" w:eastAsia="Arial" w:hAnsi="Arial"/>
          <w:sz w:val="13"/>
          <w:szCs w:val="13"/>
          <w:color w:val="auto"/>
        </w:rPr>
        <w:t>” means any event or condition which gives, or with the giving of notice or lapse of time or both would give, the holder of any note, debenture or other evidence of indebtedness (or any person acting on such holder’s behalf) issued by the Company or any of its subsidiaries, the right to require the repurchase, redemption or repayment of all or a portion of such indebtedness by the Company or any of its subsidiaries.</w:t>
      </w:r>
    </w:p>
    <w:p>
      <w:pPr>
        <w:spacing w:after="0" w:line="57" w:lineRule="exact"/>
        <w:rPr>
          <w:sz w:val="20"/>
          <w:szCs w:val="20"/>
          <w:color w:val="auto"/>
        </w:rPr>
      </w:pPr>
    </w:p>
    <w:p>
      <w:pPr>
        <w:ind w:firstLine="162"/>
        <w:spacing w:after="0" w:line="258" w:lineRule="auto"/>
        <w:tabs>
          <w:tab w:leader="none" w:pos="306" w:val="left"/>
        </w:tabs>
        <w:numPr>
          <w:ilvl w:val="0"/>
          <w:numId w:val="83"/>
        </w:numPr>
        <w:rPr>
          <w:rFonts w:ascii="Arial" w:cs="Arial" w:eastAsia="Arial" w:hAnsi="Arial"/>
          <w:sz w:val="13"/>
          <w:szCs w:val="13"/>
          <w:color w:val="auto"/>
        </w:rPr>
      </w:pPr>
      <w:r>
        <w:rPr>
          <w:rFonts w:ascii="Arial" w:cs="Arial" w:eastAsia="Arial" w:hAnsi="Arial"/>
          <w:sz w:val="13"/>
          <w:szCs w:val="13"/>
          <w:i w:val="1"/>
          <w:iCs w:val="1"/>
          <w:color w:val="auto"/>
        </w:rPr>
        <w:t>No Material Actions or Proceedings</w:t>
      </w:r>
      <w:r>
        <w:rPr>
          <w:rFonts w:ascii="Arial" w:cs="Arial" w:eastAsia="Arial" w:hAnsi="Arial"/>
          <w:sz w:val="13"/>
          <w:szCs w:val="13"/>
          <w:color w:val="auto"/>
        </w:rPr>
        <w:t>. Except as disclosed in the Registration Statement, the Time of Sale Information and the Prospectus, there are no legal or governmental actions, suits or proceedings pending or,</w:t>
      </w:r>
      <w:r>
        <w:rPr>
          <w:rFonts w:ascii="Arial" w:cs="Arial" w:eastAsia="Arial" w:hAnsi="Arial"/>
          <w:sz w:val="13"/>
          <w:szCs w:val="13"/>
          <w:i w:val="1"/>
          <w:iCs w:val="1"/>
          <w:color w:val="auto"/>
        </w:rPr>
        <w:t xml:space="preserve"> </w:t>
      </w:r>
      <w:r>
        <w:rPr>
          <w:rFonts w:ascii="Arial" w:cs="Arial" w:eastAsia="Arial" w:hAnsi="Arial"/>
          <w:sz w:val="13"/>
          <w:szCs w:val="13"/>
          <w:color w:val="auto"/>
        </w:rPr>
        <w:t>to the best of the Company’s knowledge, threatened (i) against or affecting the Company, any of the Guarantors or any of their respective subsidiaries, (ii) which has as the subject thereof any officer or director of, or property owned or leased by, the Company, any of the Guarantors or any of their respective subsidiaries or (iii) relating to environmental or discrimination matters related to the Company, any of the Guarantors or any of their respective subsidiaries, where any such action, suit or proceeding, if determined adversely, would, individually or in the aggregate, reasonably be expected to result in a Material Adverse Change or adversely affect the consummation of the transactions contemplated by this Agreement.</w:t>
      </w:r>
    </w:p>
    <w:p>
      <w:pPr>
        <w:spacing w:after="0" w:line="61" w:lineRule="exact"/>
        <w:rPr>
          <w:rFonts w:ascii="Arial" w:cs="Arial" w:eastAsia="Arial" w:hAnsi="Arial"/>
          <w:sz w:val="13"/>
          <w:szCs w:val="13"/>
          <w:color w:val="auto"/>
        </w:rPr>
      </w:pPr>
    </w:p>
    <w:p>
      <w:pPr>
        <w:jc w:val="both"/>
        <w:ind w:right="400" w:firstLine="162"/>
        <w:spacing w:after="0" w:line="264" w:lineRule="auto"/>
        <w:tabs>
          <w:tab w:leader="none" w:pos="284" w:val="left"/>
        </w:tabs>
        <w:numPr>
          <w:ilvl w:val="0"/>
          <w:numId w:val="83"/>
        </w:numPr>
        <w:rPr>
          <w:rFonts w:ascii="Arial" w:cs="Arial" w:eastAsia="Arial" w:hAnsi="Arial"/>
          <w:sz w:val="13"/>
          <w:szCs w:val="13"/>
          <w:color w:val="auto"/>
        </w:rPr>
      </w:pPr>
      <w:r>
        <w:rPr>
          <w:rFonts w:ascii="Arial" w:cs="Arial" w:eastAsia="Arial" w:hAnsi="Arial"/>
          <w:sz w:val="13"/>
          <w:szCs w:val="13"/>
          <w:i w:val="1"/>
          <w:iCs w:val="1"/>
          <w:color w:val="auto"/>
        </w:rPr>
        <w:t>Labor Matters</w:t>
      </w:r>
      <w:r>
        <w:rPr>
          <w:rFonts w:ascii="Arial" w:cs="Arial" w:eastAsia="Arial" w:hAnsi="Arial"/>
          <w:sz w:val="13"/>
          <w:szCs w:val="13"/>
          <w:color w:val="auto"/>
        </w:rPr>
        <w:t>. No material dispute with the employees of the Company, any of the Guarantors or any of their respective subsidiaries exists, and the Company is not aware of any existing or imminent labor</w:t>
      </w:r>
      <w:r>
        <w:rPr>
          <w:rFonts w:ascii="Arial" w:cs="Arial" w:eastAsia="Arial" w:hAnsi="Arial"/>
          <w:sz w:val="13"/>
          <w:szCs w:val="13"/>
          <w:i w:val="1"/>
          <w:iCs w:val="1"/>
          <w:color w:val="auto"/>
        </w:rPr>
        <w:t xml:space="preserve"> </w:t>
      </w:r>
      <w:r>
        <w:rPr>
          <w:rFonts w:ascii="Arial" w:cs="Arial" w:eastAsia="Arial" w:hAnsi="Arial"/>
          <w:sz w:val="13"/>
          <w:szCs w:val="13"/>
          <w:color w:val="auto"/>
        </w:rPr>
        <w:t>disturbance by the employees of any of its or its subsidiaries’ principal suppliers, contractors or customers, that in either case would, individually or in the aggregate, reasonably be expected to result in a Material Adverse Change.</w:t>
      </w:r>
    </w:p>
    <w:p>
      <w:pPr>
        <w:spacing w:after="0" w:line="57" w:lineRule="exact"/>
        <w:rPr>
          <w:rFonts w:ascii="Arial" w:cs="Arial" w:eastAsia="Arial" w:hAnsi="Arial"/>
          <w:sz w:val="13"/>
          <w:szCs w:val="13"/>
          <w:color w:val="auto"/>
        </w:rPr>
      </w:pPr>
    </w:p>
    <w:p>
      <w:pPr>
        <w:jc w:val="both"/>
        <w:ind w:right="60" w:firstLine="162"/>
        <w:spacing w:after="0" w:line="260" w:lineRule="auto"/>
        <w:tabs>
          <w:tab w:leader="none" w:pos="291" w:val="left"/>
        </w:tabs>
        <w:numPr>
          <w:ilvl w:val="0"/>
          <w:numId w:val="83"/>
        </w:numPr>
        <w:rPr>
          <w:rFonts w:ascii="Arial" w:cs="Arial" w:eastAsia="Arial" w:hAnsi="Arial"/>
          <w:sz w:val="13"/>
          <w:szCs w:val="13"/>
          <w:color w:val="auto"/>
        </w:rPr>
      </w:pPr>
      <w:r>
        <w:rPr>
          <w:rFonts w:ascii="Arial" w:cs="Arial" w:eastAsia="Arial" w:hAnsi="Arial"/>
          <w:sz w:val="13"/>
          <w:szCs w:val="13"/>
          <w:i w:val="1"/>
          <w:iCs w:val="1"/>
          <w:color w:val="auto"/>
        </w:rPr>
        <w:t>All Necessary Permits, etc</w:t>
      </w:r>
      <w:r>
        <w:rPr>
          <w:rFonts w:ascii="Arial" w:cs="Arial" w:eastAsia="Arial" w:hAnsi="Arial"/>
          <w:sz w:val="13"/>
          <w:szCs w:val="13"/>
          <w:color w:val="auto"/>
        </w:rPr>
        <w:t>. The Company, the Guarantors and each of their subsidiaries possess such valid and current certificates, authorizations, permits, licenses, approvals, consents and other authorizations</w:t>
      </w:r>
      <w:r>
        <w:rPr>
          <w:rFonts w:ascii="Arial" w:cs="Arial" w:eastAsia="Arial" w:hAnsi="Arial"/>
          <w:sz w:val="13"/>
          <w:szCs w:val="13"/>
          <w:i w:val="1"/>
          <w:iCs w:val="1"/>
          <w:color w:val="auto"/>
        </w:rPr>
        <w:t xml:space="preserve"> </w:t>
      </w:r>
      <w:r>
        <w:rPr>
          <w:rFonts w:ascii="Arial" w:cs="Arial" w:eastAsia="Arial" w:hAnsi="Arial"/>
          <w:sz w:val="13"/>
          <w:szCs w:val="13"/>
          <w:color w:val="auto"/>
        </w:rPr>
        <w:t>issued by the appropriate state, federal or foreign regulatory agencies or bodies necessary to conduct their respective businesses, and none of the Company, the Guarantors or any of their subsidiaries has received any notice of proceedings relating to the revocation or modification of, or non-compliance with, any such certificate, authorization, permit, license, approval, consent or other authorization which, singly or in the aggregate, if the subject of an unfavorable decision, ruling or finding, would reasonably be expected to result in a Material Adverse Change.</w:t>
      </w:r>
    </w:p>
    <w:p>
      <w:pPr>
        <w:spacing w:after="0" w:line="59" w:lineRule="exact"/>
        <w:rPr>
          <w:rFonts w:ascii="Arial" w:cs="Arial" w:eastAsia="Arial" w:hAnsi="Arial"/>
          <w:sz w:val="13"/>
          <w:szCs w:val="13"/>
          <w:color w:val="auto"/>
        </w:rPr>
      </w:pPr>
    </w:p>
    <w:p>
      <w:pPr>
        <w:ind w:firstLine="162"/>
        <w:spacing w:after="0" w:line="257" w:lineRule="auto"/>
        <w:tabs>
          <w:tab w:leader="none" w:pos="276" w:val="left"/>
        </w:tabs>
        <w:numPr>
          <w:ilvl w:val="0"/>
          <w:numId w:val="83"/>
        </w:numPr>
        <w:rPr>
          <w:rFonts w:ascii="Arial" w:cs="Arial" w:eastAsia="Arial" w:hAnsi="Arial"/>
          <w:sz w:val="13"/>
          <w:szCs w:val="13"/>
          <w:color w:val="auto"/>
        </w:rPr>
      </w:pPr>
      <w:r>
        <w:rPr>
          <w:rFonts w:ascii="Arial" w:cs="Arial" w:eastAsia="Arial" w:hAnsi="Arial"/>
          <w:sz w:val="13"/>
          <w:szCs w:val="13"/>
          <w:i w:val="1"/>
          <w:iCs w:val="1"/>
          <w:color w:val="auto"/>
        </w:rPr>
        <w:t>Title to Properties</w:t>
      </w:r>
      <w:r>
        <w:rPr>
          <w:rFonts w:ascii="Arial" w:cs="Arial" w:eastAsia="Arial" w:hAnsi="Arial"/>
          <w:sz w:val="13"/>
          <w:szCs w:val="13"/>
          <w:color w:val="auto"/>
        </w:rPr>
        <w:t>. Except as otherwise disclosed in the Registration Statement, the Time of Sale Information and the Prospectus, the Company, the Guarantors and each of their respective subsidiaries has good and</w:t>
      </w:r>
      <w:r>
        <w:rPr>
          <w:rFonts w:ascii="Arial" w:cs="Arial" w:eastAsia="Arial" w:hAnsi="Arial"/>
          <w:sz w:val="13"/>
          <w:szCs w:val="13"/>
          <w:i w:val="1"/>
          <w:iCs w:val="1"/>
          <w:color w:val="auto"/>
        </w:rPr>
        <w:t xml:space="preserve"> </w:t>
      </w:r>
      <w:r>
        <w:rPr>
          <w:rFonts w:ascii="Arial" w:cs="Arial" w:eastAsia="Arial" w:hAnsi="Arial"/>
          <w:sz w:val="13"/>
          <w:szCs w:val="13"/>
          <w:color w:val="auto"/>
        </w:rPr>
        <w:t>marketable title to all the properties and assets reflected as owned in the financial statements referred to in Section 1(m) above (or elsewhere in the Registration Statement, the Time of Sale Information and the Prospectus), in each case free and clear of any security interests, mortgages, liens, encumbrances, equities, claims and other defects, except such as do not materially and adversely affect the value of such property and do not materially interfere with the use made or proposed to be made of such property by the Company, the Guarantors or such subsidiary. The real property, improvements, equipment and personal property held under lease by the Company, any of the Guarantors and any of their respective subsidiaries are held under valid and enforceable leases, with such exceptions as are not material and do not materially interfere with the use made or proposed to be made of such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4" w:name="page205"/>
    <w:bookmarkEnd w:id="204"/>
    <w:p>
      <w:pPr>
        <w:spacing w:after="0"/>
        <w:rPr>
          <w:sz w:val="20"/>
          <w:szCs w:val="20"/>
          <w:color w:val="auto"/>
        </w:rPr>
      </w:pPr>
      <w:r>
        <w:rPr>
          <w:rFonts w:ascii="Arial" w:cs="Arial" w:eastAsia="Arial" w:hAnsi="Arial"/>
          <w:sz w:val="13"/>
          <w:szCs w:val="13"/>
          <w:color w:val="auto"/>
        </w:rPr>
        <w:t>real property, improvements, equipment or personal property by the Company, the Guarantors or any of their respective subsidiaries, as the case may be.</w:t>
      </w:r>
    </w:p>
    <w:p>
      <w:pPr>
        <w:spacing w:after="0" w:line="86" w:lineRule="exact"/>
        <w:rPr>
          <w:sz w:val="20"/>
          <w:szCs w:val="20"/>
          <w:color w:val="auto"/>
        </w:rPr>
      </w:pPr>
    </w:p>
    <w:p>
      <w:pPr>
        <w:ind w:right="20" w:firstLine="162"/>
        <w:spacing w:after="0" w:line="285" w:lineRule="auto"/>
        <w:tabs>
          <w:tab w:leader="none" w:pos="306" w:val="left"/>
        </w:tabs>
        <w:numPr>
          <w:ilvl w:val="0"/>
          <w:numId w:val="84"/>
        </w:numPr>
        <w:rPr>
          <w:rFonts w:ascii="Arial" w:cs="Arial" w:eastAsia="Arial" w:hAnsi="Arial"/>
          <w:sz w:val="12"/>
          <w:szCs w:val="12"/>
          <w:color w:val="auto"/>
        </w:rPr>
      </w:pPr>
      <w:r>
        <w:rPr>
          <w:rFonts w:ascii="Arial" w:cs="Arial" w:eastAsia="Arial" w:hAnsi="Arial"/>
          <w:sz w:val="12"/>
          <w:szCs w:val="12"/>
          <w:i w:val="1"/>
          <w:iCs w:val="1"/>
          <w:color w:val="auto"/>
        </w:rPr>
        <w:t>Tax Law Compliance</w:t>
      </w:r>
      <w:r>
        <w:rPr>
          <w:rFonts w:ascii="Arial" w:cs="Arial" w:eastAsia="Arial" w:hAnsi="Arial"/>
          <w:sz w:val="12"/>
          <w:szCs w:val="12"/>
          <w:color w:val="auto"/>
        </w:rPr>
        <w:t>. The Company, the Guarantors and their respective subsidiaries have filed all necessary federal, state, local and foreign income and franchise tax returns in a timely manner and have paid all</w:t>
      </w:r>
      <w:r>
        <w:rPr>
          <w:rFonts w:ascii="Arial" w:cs="Arial" w:eastAsia="Arial" w:hAnsi="Arial"/>
          <w:sz w:val="12"/>
          <w:szCs w:val="12"/>
          <w:i w:val="1"/>
          <w:iCs w:val="1"/>
          <w:color w:val="auto"/>
        </w:rPr>
        <w:t xml:space="preserve"> </w:t>
      </w:r>
      <w:r>
        <w:rPr>
          <w:rFonts w:ascii="Arial" w:cs="Arial" w:eastAsia="Arial" w:hAnsi="Arial"/>
          <w:sz w:val="12"/>
          <w:szCs w:val="12"/>
          <w:color w:val="auto"/>
        </w:rPr>
        <w:t>taxes required to be paid by any of them and, if due and payable, any related or similar assessment, fine or penalty levied against any of them, except for any taxes, assessments, fines or penalties as may be being contested in good faith and by appropriate proceedings, except where a default to make such filings or payments would not reasonably be expected to result in a Material Adverse Change. The Company, the Guarantors and their respective subsidiaries have made appropriate provisions in the applicable financial statements referred to in Section 1(m) above in respect of all federal, state, local and foreign income and franchise taxes for all current or prior periods as to which the tax liability of the Company, the Guarantors or any of their respective subsidiaries has not been finally determined.</w:t>
      </w:r>
    </w:p>
    <w:p>
      <w:pPr>
        <w:spacing w:after="0" w:line="45" w:lineRule="exact"/>
        <w:rPr>
          <w:rFonts w:ascii="Arial" w:cs="Arial" w:eastAsia="Arial" w:hAnsi="Arial"/>
          <w:sz w:val="12"/>
          <w:szCs w:val="12"/>
          <w:color w:val="auto"/>
        </w:rPr>
      </w:pPr>
    </w:p>
    <w:p>
      <w:pPr>
        <w:ind w:right="100" w:firstLine="162"/>
        <w:spacing w:after="0" w:line="264" w:lineRule="auto"/>
        <w:tabs>
          <w:tab w:leader="none" w:pos="306" w:val="left"/>
        </w:tabs>
        <w:numPr>
          <w:ilvl w:val="0"/>
          <w:numId w:val="84"/>
        </w:numPr>
        <w:rPr>
          <w:rFonts w:ascii="Arial" w:cs="Arial" w:eastAsia="Arial" w:hAnsi="Arial"/>
          <w:sz w:val="13"/>
          <w:szCs w:val="13"/>
          <w:color w:val="auto"/>
        </w:rPr>
      </w:pPr>
      <w:r>
        <w:rPr>
          <w:rFonts w:ascii="Arial" w:cs="Arial" w:eastAsia="Arial" w:hAnsi="Arial"/>
          <w:sz w:val="13"/>
          <w:szCs w:val="13"/>
          <w:i w:val="1"/>
          <w:iCs w:val="1"/>
          <w:color w:val="auto"/>
        </w:rPr>
        <w:t>Not an Investment Company</w:t>
      </w:r>
      <w:r>
        <w:rPr>
          <w:rFonts w:ascii="Arial" w:cs="Arial" w:eastAsia="Arial" w:hAnsi="Arial"/>
          <w:sz w:val="13"/>
          <w:szCs w:val="13"/>
          <w:color w:val="auto"/>
        </w:rPr>
        <w:t>. Each of the Company and the Guarantors is not, and after receipt of payment for the Securities and the application of the proceeds thereof as contemplated under the caption “Use of</w:t>
      </w:r>
      <w:r>
        <w:rPr>
          <w:rFonts w:ascii="Arial" w:cs="Arial" w:eastAsia="Arial" w:hAnsi="Arial"/>
          <w:sz w:val="13"/>
          <w:szCs w:val="13"/>
          <w:i w:val="1"/>
          <w:iCs w:val="1"/>
          <w:color w:val="auto"/>
        </w:rPr>
        <w:t xml:space="preserve"> </w:t>
      </w:r>
      <w:r>
        <w:rPr>
          <w:rFonts w:ascii="Arial" w:cs="Arial" w:eastAsia="Arial" w:hAnsi="Arial"/>
          <w:sz w:val="13"/>
          <w:szCs w:val="13"/>
          <w:color w:val="auto"/>
        </w:rPr>
        <w:t>Proceeds” in the Registration Statement, the Time of Sale Information and the Prospectus will not be, required to register as an “investment company” within the meaning of the Investment Company Act of 1940, as amended.</w:t>
      </w:r>
    </w:p>
    <w:p>
      <w:pPr>
        <w:spacing w:after="0" w:line="57" w:lineRule="exact"/>
        <w:rPr>
          <w:rFonts w:ascii="Arial" w:cs="Arial" w:eastAsia="Arial" w:hAnsi="Arial"/>
          <w:sz w:val="13"/>
          <w:szCs w:val="13"/>
          <w:color w:val="auto"/>
        </w:rPr>
      </w:pPr>
    </w:p>
    <w:p>
      <w:pPr>
        <w:ind w:right="120" w:firstLine="162"/>
        <w:spacing w:after="0" w:line="264" w:lineRule="auto"/>
        <w:tabs>
          <w:tab w:leader="none" w:pos="335" w:val="left"/>
        </w:tabs>
        <w:numPr>
          <w:ilvl w:val="0"/>
          <w:numId w:val="84"/>
        </w:numPr>
        <w:rPr>
          <w:rFonts w:ascii="Arial" w:cs="Arial" w:eastAsia="Arial" w:hAnsi="Arial"/>
          <w:sz w:val="13"/>
          <w:szCs w:val="13"/>
          <w:color w:val="auto"/>
        </w:rPr>
      </w:pPr>
      <w:r>
        <w:rPr>
          <w:rFonts w:ascii="Arial" w:cs="Arial" w:eastAsia="Arial" w:hAnsi="Arial"/>
          <w:sz w:val="13"/>
          <w:szCs w:val="13"/>
          <w:i w:val="1"/>
          <w:iCs w:val="1"/>
          <w:color w:val="auto"/>
        </w:rPr>
        <w:t>Insurance</w:t>
      </w:r>
      <w:r>
        <w:rPr>
          <w:rFonts w:ascii="Arial" w:cs="Arial" w:eastAsia="Arial" w:hAnsi="Arial"/>
          <w:sz w:val="13"/>
          <w:szCs w:val="13"/>
          <w:color w:val="auto"/>
        </w:rPr>
        <w:t>. The Company, the Guarantors and each of their respective subsidiaries are insured by recognized, financially sound and reputable institutions with policies in such amounts and with such deductibles</w:t>
      </w:r>
      <w:r>
        <w:rPr>
          <w:rFonts w:ascii="Arial" w:cs="Arial" w:eastAsia="Arial" w:hAnsi="Arial"/>
          <w:sz w:val="13"/>
          <w:szCs w:val="13"/>
          <w:i w:val="1"/>
          <w:iCs w:val="1"/>
          <w:color w:val="auto"/>
        </w:rPr>
        <w:t xml:space="preserve"> </w:t>
      </w:r>
      <w:r>
        <w:rPr>
          <w:rFonts w:ascii="Arial" w:cs="Arial" w:eastAsia="Arial" w:hAnsi="Arial"/>
          <w:sz w:val="13"/>
          <w:szCs w:val="13"/>
          <w:color w:val="auto"/>
        </w:rPr>
        <w:t>and covering such risks as are generally deemed adequate and customary for their businesses. All policies of insurance insuring the Company, the Guarantors or any of their respective subsidiaries or their respective businesses, assets, employees, officers and directors are in full force and effect.</w:t>
      </w:r>
    </w:p>
    <w:p>
      <w:pPr>
        <w:spacing w:after="0" w:line="57" w:lineRule="exact"/>
        <w:rPr>
          <w:rFonts w:ascii="Arial" w:cs="Arial" w:eastAsia="Arial" w:hAnsi="Arial"/>
          <w:sz w:val="13"/>
          <w:szCs w:val="13"/>
          <w:color w:val="auto"/>
        </w:rPr>
      </w:pPr>
    </w:p>
    <w:p>
      <w:pPr>
        <w:ind w:right="200" w:firstLine="162"/>
        <w:spacing w:after="0" w:line="276" w:lineRule="auto"/>
        <w:tabs>
          <w:tab w:leader="none" w:pos="306" w:val="left"/>
        </w:tabs>
        <w:numPr>
          <w:ilvl w:val="0"/>
          <w:numId w:val="84"/>
        </w:numPr>
        <w:rPr>
          <w:rFonts w:ascii="Arial" w:cs="Arial" w:eastAsia="Arial" w:hAnsi="Arial"/>
          <w:sz w:val="13"/>
          <w:szCs w:val="13"/>
          <w:color w:val="auto"/>
        </w:rPr>
      </w:pPr>
      <w:r>
        <w:rPr>
          <w:rFonts w:ascii="Arial" w:cs="Arial" w:eastAsia="Arial" w:hAnsi="Arial"/>
          <w:sz w:val="13"/>
          <w:szCs w:val="13"/>
          <w:i w:val="1"/>
          <w:iCs w:val="1"/>
          <w:color w:val="auto"/>
        </w:rPr>
        <w:t>No Price Stabilization or Manipulation</w:t>
      </w:r>
      <w:r>
        <w:rPr>
          <w:rFonts w:ascii="Arial" w:cs="Arial" w:eastAsia="Arial" w:hAnsi="Arial"/>
          <w:sz w:val="13"/>
          <w:szCs w:val="13"/>
          <w:color w:val="auto"/>
        </w:rPr>
        <w:t>. None of Company, the Guarantors or any of their respective subsidiaries has taken or will take, directly or indirectly, any action designed to or that would be reasonably</w:t>
      </w:r>
      <w:r>
        <w:rPr>
          <w:rFonts w:ascii="Arial" w:cs="Arial" w:eastAsia="Arial" w:hAnsi="Arial"/>
          <w:sz w:val="13"/>
          <w:szCs w:val="13"/>
          <w:i w:val="1"/>
          <w:iCs w:val="1"/>
          <w:color w:val="auto"/>
        </w:rPr>
        <w:t xml:space="preserve"> </w:t>
      </w:r>
      <w:r>
        <w:rPr>
          <w:rFonts w:ascii="Arial" w:cs="Arial" w:eastAsia="Arial" w:hAnsi="Arial"/>
          <w:sz w:val="13"/>
          <w:szCs w:val="13"/>
          <w:color w:val="auto"/>
        </w:rPr>
        <w:t>expected to cause or result in stabilization or manipulation of the price of any security of the Company to facilitate the sale or resale of the Securities.</w:t>
      </w:r>
    </w:p>
    <w:p>
      <w:pPr>
        <w:spacing w:after="0" w:line="49" w:lineRule="exact"/>
        <w:rPr>
          <w:rFonts w:ascii="Arial" w:cs="Arial" w:eastAsia="Arial" w:hAnsi="Arial"/>
          <w:sz w:val="13"/>
          <w:szCs w:val="13"/>
          <w:color w:val="auto"/>
        </w:rPr>
      </w:pPr>
    </w:p>
    <w:p>
      <w:pPr>
        <w:ind w:right="380" w:firstLine="162"/>
        <w:spacing w:after="0" w:line="276" w:lineRule="auto"/>
        <w:tabs>
          <w:tab w:leader="none" w:pos="306" w:val="left"/>
        </w:tabs>
        <w:numPr>
          <w:ilvl w:val="0"/>
          <w:numId w:val="84"/>
        </w:numPr>
        <w:rPr>
          <w:rFonts w:ascii="Arial" w:cs="Arial" w:eastAsia="Arial" w:hAnsi="Arial"/>
          <w:sz w:val="13"/>
          <w:szCs w:val="13"/>
          <w:color w:val="auto"/>
        </w:rPr>
      </w:pPr>
      <w:r>
        <w:rPr>
          <w:rFonts w:ascii="Arial" w:cs="Arial" w:eastAsia="Arial" w:hAnsi="Arial"/>
          <w:sz w:val="13"/>
          <w:szCs w:val="13"/>
          <w:i w:val="1"/>
          <w:iCs w:val="1"/>
          <w:color w:val="auto"/>
        </w:rPr>
        <w:t>Related Party Transactions</w:t>
      </w:r>
      <w:r>
        <w:rPr>
          <w:rFonts w:ascii="Arial" w:cs="Arial" w:eastAsia="Arial" w:hAnsi="Arial"/>
          <w:sz w:val="13"/>
          <w:szCs w:val="13"/>
          <w:color w:val="auto"/>
        </w:rPr>
        <w:t>. There are no business relationships or related-party transactions involving the Company, the Guarantors or any of their respective subsidiaries or any other person required to be</w:t>
      </w:r>
      <w:r>
        <w:rPr>
          <w:rFonts w:ascii="Arial" w:cs="Arial" w:eastAsia="Arial" w:hAnsi="Arial"/>
          <w:sz w:val="13"/>
          <w:szCs w:val="13"/>
          <w:i w:val="1"/>
          <w:iCs w:val="1"/>
          <w:color w:val="auto"/>
        </w:rPr>
        <w:t xml:space="preserve"> </w:t>
      </w:r>
      <w:r>
        <w:rPr>
          <w:rFonts w:ascii="Arial" w:cs="Arial" w:eastAsia="Arial" w:hAnsi="Arial"/>
          <w:sz w:val="13"/>
          <w:szCs w:val="13"/>
          <w:color w:val="auto"/>
        </w:rPr>
        <w:t>described in the Registration Statement, the Time of Sale Information and the Prospectus that have not been described as required.</w:t>
      </w:r>
    </w:p>
    <w:p>
      <w:pPr>
        <w:spacing w:after="0" w:line="49" w:lineRule="exact"/>
        <w:rPr>
          <w:rFonts w:ascii="Arial" w:cs="Arial" w:eastAsia="Arial" w:hAnsi="Arial"/>
          <w:sz w:val="13"/>
          <w:szCs w:val="13"/>
          <w:color w:val="auto"/>
        </w:rPr>
      </w:pPr>
    </w:p>
    <w:p>
      <w:pPr>
        <w:ind w:right="20" w:firstLine="162"/>
        <w:spacing w:after="0" w:line="276" w:lineRule="auto"/>
        <w:tabs>
          <w:tab w:leader="none" w:pos="298" w:val="left"/>
        </w:tabs>
        <w:numPr>
          <w:ilvl w:val="0"/>
          <w:numId w:val="84"/>
        </w:numPr>
        <w:rPr>
          <w:rFonts w:ascii="Arial" w:cs="Arial" w:eastAsia="Arial" w:hAnsi="Arial"/>
          <w:sz w:val="13"/>
          <w:szCs w:val="13"/>
          <w:color w:val="auto"/>
        </w:rPr>
      </w:pPr>
      <w:r>
        <w:rPr>
          <w:rFonts w:ascii="Arial" w:cs="Arial" w:eastAsia="Arial" w:hAnsi="Arial"/>
          <w:sz w:val="13"/>
          <w:szCs w:val="13"/>
          <w:i w:val="1"/>
          <w:iCs w:val="1"/>
          <w:color w:val="auto"/>
        </w:rPr>
        <w:t>No Registration Rights</w:t>
      </w:r>
      <w:r>
        <w:rPr>
          <w:rFonts w:ascii="Arial" w:cs="Arial" w:eastAsia="Arial" w:hAnsi="Arial"/>
          <w:sz w:val="13"/>
          <w:szCs w:val="13"/>
          <w:color w:val="auto"/>
        </w:rPr>
        <w:t>. No person has the right to require the Company or any of its subsidiaries to register any securities for sale under the Securities Act by reason of the filing of the Registration Statement with</w:t>
      </w:r>
      <w:r>
        <w:rPr>
          <w:rFonts w:ascii="Arial" w:cs="Arial" w:eastAsia="Arial" w:hAnsi="Arial"/>
          <w:sz w:val="13"/>
          <w:szCs w:val="13"/>
          <w:i w:val="1"/>
          <w:iCs w:val="1"/>
          <w:color w:val="auto"/>
        </w:rPr>
        <w:t xml:space="preserve"> </w:t>
      </w:r>
      <w:r>
        <w:rPr>
          <w:rFonts w:ascii="Arial" w:cs="Arial" w:eastAsia="Arial" w:hAnsi="Arial"/>
          <w:sz w:val="13"/>
          <w:szCs w:val="13"/>
          <w:color w:val="auto"/>
        </w:rPr>
        <w:t>the Commission or the issuance and sale of the Securities.</w:t>
      </w:r>
    </w:p>
    <w:p>
      <w:pPr>
        <w:spacing w:after="0" w:line="49" w:lineRule="exact"/>
        <w:rPr>
          <w:sz w:val="20"/>
          <w:szCs w:val="20"/>
          <w:color w:val="auto"/>
        </w:rPr>
      </w:pPr>
    </w:p>
    <w:p>
      <w:pPr>
        <w:ind w:firstLine="162"/>
        <w:spacing w:after="0" w:line="276" w:lineRule="auto"/>
        <w:tabs>
          <w:tab w:leader="none" w:pos="356" w:val="left"/>
        </w:tabs>
        <w:numPr>
          <w:ilvl w:val="0"/>
          <w:numId w:val="85"/>
        </w:numPr>
        <w:rPr>
          <w:rFonts w:ascii="Arial" w:cs="Arial" w:eastAsia="Arial" w:hAnsi="Arial"/>
          <w:sz w:val="13"/>
          <w:szCs w:val="13"/>
          <w:color w:val="auto"/>
        </w:rPr>
      </w:pPr>
      <w:r>
        <w:rPr>
          <w:rFonts w:ascii="Arial" w:cs="Arial" w:eastAsia="Arial" w:hAnsi="Arial"/>
          <w:sz w:val="13"/>
          <w:szCs w:val="13"/>
          <w:i w:val="1"/>
          <w:iCs w:val="1"/>
          <w:color w:val="auto"/>
        </w:rPr>
        <w:t>No Unlawful Contributions or Other Payments</w:t>
      </w:r>
      <w:r>
        <w:rPr>
          <w:rFonts w:ascii="Arial" w:cs="Arial" w:eastAsia="Arial" w:hAnsi="Arial"/>
          <w:sz w:val="13"/>
          <w:szCs w:val="13"/>
          <w:color w:val="auto"/>
        </w:rPr>
        <w:t>. None of the Company, the Guarantors, any of their respective subsidiaries or, to the best of the Company’s and Guarantors’ knowledge, any director, officer, agent,</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 or affiliate of the Company, any of the Guarantors or any of their respective subsidiaries is aware of or has taken any action, directly or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5" w:name="page206"/>
    <w:bookmarkEnd w:id="205"/>
    <w:p>
      <w:pPr>
        <w:jc w:val="both"/>
        <w:spacing w:after="0" w:line="258" w:lineRule="auto"/>
        <w:rPr>
          <w:sz w:val="20"/>
          <w:szCs w:val="20"/>
          <w:color w:val="auto"/>
        </w:rPr>
      </w:pPr>
      <w:r>
        <w:rPr>
          <w:rFonts w:ascii="Arial" w:cs="Arial" w:eastAsia="Arial" w:hAnsi="Arial"/>
          <w:sz w:val="13"/>
          <w:szCs w:val="13"/>
          <w:color w:val="auto"/>
        </w:rPr>
        <w:t>indirectly, that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Guarantors and their respective subsidiaries and, to the best of the Company’s and the Guarantors’ knowledge, their affiliates have conducted their businesses in compliance with the FCPA and have, to the extent necessary, instituted and maintained policies and procedures designed to ensure, and which are reasonably expected to continue to ensure, continued compliance therewith.</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FCPA</w:t>
      </w:r>
      <w:r>
        <w:rPr>
          <w:rFonts w:ascii="Arial" w:cs="Arial" w:eastAsia="Arial" w:hAnsi="Arial"/>
          <w:sz w:val="13"/>
          <w:szCs w:val="13"/>
          <w:color w:val="auto"/>
        </w:rPr>
        <w:t>” means Foreign Corrupt Practices Act of 1977, as amended, and the rules and regulations thereunder.</w:t>
      </w:r>
    </w:p>
    <w:p>
      <w:pPr>
        <w:spacing w:after="0" w:line="86" w:lineRule="exact"/>
        <w:rPr>
          <w:sz w:val="20"/>
          <w:szCs w:val="20"/>
          <w:color w:val="auto"/>
        </w:rPr>
      </w:pPr>
    </w:p>
    <w:p>
      <w:pPr>
        <w:ind w:right="60" w:firstLine="162"/>
        <w:spacing w:after="0" w:line="258" w:lineRule="auto"/>
        <w:tabs>
          <w:tab w:leader="none" w:pos="371" w:val="left"/>
        </w:tabs>
        <w:numPr>
          <w:ilvl w:val="0"/>
          <w:numId w:val="86"/>
        </w:numPr>
        <w:rPr>
          <w:rFonts w:ascii="Arial" w:cs="Arial" w:eastAsia="Arial" w:hAnsi="Arial"/>
          <w:sz w:val="13"/>
          <w:szCs w:val="13"/>
          <w:color w:val="auto"/>
        </w:rPr>
      </w:pPr>
      <w:r>
        <w:rPr>
          <w:rFonts w:ascii="Arial" w:cs="Arial" w:eastAsia="Arial" w:hAnsi="Arial"/>
          <w:sz w:val="13"/>
          <w:szCs w:val="13"/>
          <w:i w:val="1"/>
          <w:iCs w:val="1"/>
          <w:color w:val="auto"/>
        </w:rPr>
        <w:t xml:space="preserve">No Conflict with Money Laundering Laws. </w:t>
      </w:r>
      <w:r>
        <w:rPr>
          <w:rFonts w:ascii="Arial" w:cs="Arial" w:eastAsia="Arial" w:hAnsi="Arial"/>
          <w:sz w:val="13"/>
          <w:szCs w:val="13"/>
          <w:color w:val="auto"/>
        </w:rPr>
        <w:t>The operations of the Company, the Guarantors and their respective subsidiaries are and have been conducted at all times in compliance in all material respects with</w:t>
      </w:r>
      <w:r>
        <w:rPr>
          <w:rFonts w:ascii="Arial" w:cs="Arial" w:eastAsia="Arial" w:hAnsi="Arial"/>
          <w:sz w:val="13"/>
          <w:szCs w:val="13"/>
          <w:i w:val="1"/>
          <w:iCs w:val="1"/>
          <w:color w:val="auto"/>
        </w:rPr>
        <w:t xml:space="preserve"> </w:t>
      </w:r>
      <w:r>
        <w:rPr>
          <w:rFonts w:ascii="Arial" w:cs="Arial" w:eastAsia="Arial" w:hAnsi="Arial"/>
          <w:sz w:val="13"/>
          <w:szCs w:val="13"/>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13"/>
          <w:szCs w:val="13"/>
          <w:u w:val="single" w:color="auto"/>
          <w:color w:val="auto"/>
        </w:rPr>
        <w:t>Money Laundering Laws</w:t>
      </w:r>
      <w:r>
        <w:rPr>
          <w:rFonts w:ascii="Arial" w:cs="Arial" w:eastAsia="Arial" w:hAnsi="Arial"/>
          <w:sz w:val="13"/>
          <w:szCs w:val="13"/>
          <w:color w:val="auto"/>
        </w:rPr>
        <w:t>”) and no action, suit or proceeding by or before any court or governmental agency, authority or body or any arbitrator involving the Company, the Guarantors or any of their respective subsidiaries with respect to the Money Laundering Laws is pending or, to the best knowledge of the Company and the Guarantors, threatened.</w:t>
      </w:r>
    </w:p>
    <w:p>
      <w:pPr>
        <w:spacing w:after="0" w:line="61" w:lineRule="exact"/>
        <w:rPr>
          <w:rFonts w:ascii="Arial" w:cs="Arial" w:eastAsia="Arial" w:hAnsi="Arial"/>
          <w:sz w:val="13"/>
          <w:szCs w:val="13"/>
          <w:color w:val="auto"/>
        </w:rPr>
      </w:pPr>
    </w:p>
    <w:p>
      <w:pPr>
        <w:ind w:right="20" w:firstLine="162"/>
        <w:spacing w:after="0" w:line="260" w:lineRule="auto"/>
        <w:tabs>
          <w:tab w:leader="none" w:pos="356" w:val="left"/>
        </w:tabs>
        <w:numPr>
          <w:ilvl w:val="0"/>
          <w:numId w:val="86"/>
        </w:numPr>
        <w:rPr>
          <w:rFonts w:ascii="Arial" w:cs="Arial" w:eastAsia="Arial" w:hAnsi="Arial"/>
          <w:sz w:val="13"/>
          <w:szCs w:val="13"/>
          <w:color w:val="auto"/>
        </w:rPr>
      </w:pPr>
      <w:r>
        <w:rPr>
          <w:rFonts w:ascii="Arial" w:cs="Arial" w:eastAsia="Arial" w:hAnsi="Arial"/>
          <w:sz w:val="13"/>
          <w:szCs w:val="13"/>
          <w:i w:val="1"/>
          <w:iCs w:val="1"/>
          <w:color w:val="auto"/>
        </w:rPr>
        <w:t xml:space="preserve">No Conflict with OFAC Laws. </w:t>
      </w:r>
      <w:r>
        <w:rPr>
          <w:rFonts w:ascii="Arial" w:cs="Arial" w:eastAsia="Arial" w:hAnsi="Arial"/>
          <w:sz w:val="13"/>
          <w:szCs w:val="13"/>
          <w:color w:val="auto"/>
        </w:rPr>
        <w:t>None of the Company, the Guarantors or any of their respective subsidiaries nor, to the best knowledge of the Company and the Guarantors, any director, officer, agent, employee or</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 of the Company or the Guarantors or any of their respective subsidiaries is currently subject to any U.S. sanctions administered by the Office of Foreign Assets Control of the U.S. Treasury Department (“</w:t>
      </w:r>
      <w:r>
        <w:rPr>
          <w:rFonts w:ascii="Arial" w:cs="Arial" w:eastAsia="Arial" w:hAnsi="Arial"/>
          <w:sz w:val="13"/>
          <w:szCs w:val="13"/>
          <w:u w:val="single" w:color="auto"/>
          <w:color w:val="auto"/>
        </w:rPr>
        <w:t>OFAC</w:t>
      </w:r>
      <w:r>
        <w:rPr>
          <w:rFonts w:ascii="Arial" w:cs="Arial" w:eastAsia="Arial" w:hAnsi="Arial"/>
          <w:sz w:val="13"/>
          <w:szCs w:val="13"/>
          <w:color w:val="auto"/>
        </w:rPr>
        <w:t>”); and the Company and the Guarantors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59" w:lineRule="exact"/>
        <w:rPr>
          <w:rFonts w:ascii="Arial" w:cs="Arial" w:eastAsia="Arial" w:hAnsi="Arial"/>
          <w:sz w:val="13"/>
          <w:szCs w:val="13"/>
          <w:color w:val="auto"/>
        </w:rPr>
      </w:pPr>
    </w:p>
    <w:p>
      <w:pPr>
        <w:ind w:right="160" w:firstLine="162"/>
        <w:spacing w:after="0" w:line="258" w:lineRule="auto"/>
        <w:tabs>
          <w:tab w:leader="none" w:pos="371" w:val="left"/>
        </w:tabs>
        <w:numPr>
          <w:ilvl w:val="0"/>
          <w:numId w:val="86"/>
        </w:numPr>
        <w:rPr>
          <w:rFonts w:ascii="Arial" w:cs="Arial" w:eastAsia="Arial" w:hAnsi="Arial"/>
          <w:sz w:val="13"/>
          <w:szCs w:val="13"/>
          <w:color w:val="auto"/>
        </w:rPr>
      </w:pPr>
      <w:r>
        <w:rPr>
          <w:rFonts w:ascii="Arial" w:cs="Arial" w:eastAsia="Arial" w:hAnsi="Arial"/>
          <w:sz w:val="13"/>
          <w:szCs w:val="13"/>
          <w:i w:val="1"/>
          <w:iCs w:val="1"/>
          <w:color w:val="auto"/>
        </w:rPr>
        <w:t xml:space="preserve">Compliance with Environmental Laws. </w:t>
      </w:r>
      <w:r>
        <w:rPr>
          <w:rFonts w:ascii="Arial" w:cs="Arial" w:eastAsia="Arial" w:hAnsi="Arial"/>
          <w:sz w:val="13"/>
          <w:szCs w:val="13"/>
          <w:color w:val="auto"/>
        </w:rPr>
        <w:t>Except as otherwise disclosed in the Registration Statement, the Time of Sale Information and the Prospectus, (i) none of the Company, the Guarantors or any of their</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 subsidiaries is in violation of any federal, state, local or foreign law, regulation, order, permit or other requirement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Arial" w:cs="Arial" w:eastAsia="Arial" w:hAnsi="Arial"/>
          <w:sz w:val="13"/>
          <w:szCs w:val="13"/>
          <w:u w:val="single" w:color="auto"/>
          <w:color w:val="auto"/>
        </w:rPr>
        <w:t>Materials of Environmental Concern</w:t>
      </w:r>
      <w:r>
        <w:rPr>
          <w:rFonts w:ascii="Arial" w:cs="Arial" w:eastAsia="Arial" w:hAnsi="Arial"/>
          <w:sz w:val="13"/>
          <w:szCs w:val="13"/>
          <w:color w:val="auto"/>
        </w:rPr>
        <w:t>”), or otherwise relating to the manufacture, processing, distribution, use, treatment, storage, disposal,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06" w:name="page207"/>
    <w:bookmarkEnd w:id="206"/>
    <w:p>
      <w:pPr>
        <w:spacing w:after="0" w:line="305" w:lineRule="auto"/>
        <w:rPr>
          <w:sz w:val="20"/>
          <w:szCs w:val="20"/>
          <w:color w:val="auto"/>
        </w:rPr>
      </w:pPr>
      <w:r>
        <w:rPr>
          <w:rFonts w:ascii="Arial" w:cs="Arial" w:eastAsia="Arial" w:hAnsi="Arial"/>
          <w:sz w:val="11"/>
          <w:szCs w:val="11"/>
          <w:color w:val="auto"/>
        </w:rPr>
        <w:t>transport or handling of Materials of Environment Concern (collectively, “</w:t>
      </w:r>
      <w:r>
        <w:rPr>
          <w:rFonts w:ascii="Arial" w:cs="Arial" w:eastAsia="Arial" w:hAnsi="Arial"/>
          <w:sz w:val="11"/>
          <w:szCs w:val="11"/>
          <w:u w:val="single" w:color="auto"/>
          <w:color w:val="auto"/>
        </w:rPr>
        <w:t>Environmental Laws</w:t>
      </w:r>
      <w:r>
        <w:rPr>
          <w:rFonts w:ascii="Arial" w:cs="Arial" w:eastAsia="Arial" w:hAnsi="Arial"/>
          <w:sz w:val="11"/>
          <w:szCs w:val="11"/>
          <w:color w:val="auto"/>
        </w:rPr>
        <w:t>”), which violation includes, but is not limited to, noncompliance with any permits or other governmental authorizations required for the operation of the business of the Company, the Guarantors and their respective subsidiaries under applicable Environmental Laws, or noncompliance with the terms and conditions thereof, nor have the Company, any of the Guarantors or any of their respective subsidiaries received any written communication that alleges that the Company, any of the Guarantors or any of their respective subsidiaries is in violation of any Environmental Law, except in each case as would not, individually or in the aggregate, reasonably be expected to result in Material Adverse Change; (ii) there is no claim, action or cause of action filed with a court or governmental authority, no investigation with respect to which the Company or any of the Guarantors has received written notice, and no written notice by any person or entity to the Company, the Guarantors or any of their respective subsidiaries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any of the Guarantors or any of their subsidiaries, now or in the past (collectively, “</w:t>
      </w:r>
      <w:r>
        <w:rPr>
          <w:rFonts w:ascii="Arial" w:cs="Arial" w:eastAsia="Arial" w:hAnsi="Arial"/>
          <w:sz w:val="11"/>
          <w:szCs w:val="11"/>
          <w:u w:val="single" w:color="auto"/>
          <w:color w:val="auto"/>
        </w:rPr>
        <w:t>Environmental Claims</w:t>
      </w:r>
      <w:r>
        <w:rPr>
          <w:rFonts w:ascii="Arial" w:cs="Arial" w:eastAsia="Arial" w:hAnsi="Arial"/>
          <w:sz w:val="11"/>
          <w:szCs w:val="11"/>
          <w:color w:val="auto"/>
        </w:rPr>
        <w:t>”), pending or, to the best knowledge of the Company and the Guarantors, threatened against the Company, any of the Guarantors or any of their subsidiaries, except as would not, individually or in the aggregate, reasonably be expected to result in a Material Adverse Change; and (iii) to the best knowledge of the Company and the Guarantors, there are no past, present or anticipated future actions, activities, circumstances, conditions, events or incidents, including, without limitation, the release, emission, discharge, presence or disposal of any Material of Environmental Concern, that reasonably would be expected to result in a violation of any Environmental Law, require expenditures to be incurred pursuant to Environmental Law, or form the basis of a potential Environmental Claim against the Company, any of the Guarantors or any of their respective subsidiaries, except as would not, individually or in the aggregate, reasonably be expect to result in a Material Adverse Change.</w:t>
      </w:r>
    </w:p>
    <w:p>
      <w:pPr>
        <w:spacing w:after="0" w:line="37" w:lineRule="exact"/>
        <w:rPr>
          <w:sz w:val="20"/>
          <w:szCs w:val="20"/>
          <w:color w:val="auto"/>
        </w:rPr>
      </w:pPr>
    </w:p>
    <w:p>
      <w:pPr>
        <w:ind w:right="120" w:firstLine="162"/>
        <w:spacing w:after="0" w:line="264" w:lineRule="auto"/>
        <w:tabs>
          <w:tab w:leader="none" w:pos="356" w:val="left"/>
        </w:tabs>
        <w:numPr>
          <w:ilvl w:val="0"/>
          <w:numId w:val="87"/>
        </w:numPr>
        <w:rPr>
          <w:rFonts w:ascii="Arial" w:cs="Arial" w:eastAsia="Arial" w:hAnsi="Arial"/>
          <w:sz w:val="13"/>
          <w:szCs w:val="13"/>
          <w:color w:val="auto"/>
        </w:rPr>
      </w:pPr>
      <w:r>
        <w:rPr>
          <w:rFonts w:ascii="Arial" w:cs="Arial" w:eastAsia="Arial" w:hAnsi="Arial"/>
          <w:sz w:val="13"/>
          <w:szCs w:val="13"/>
          <w:i w:val="1"/>
          <w:iCs w:val="1"/>
          <w:color w:val="auto"/>
        </w:rPr>
        <w:t>Sarbanes-Oxley Compliance</w:t>
      </w:r>
      <w:r>
        <w:rPr>
          <w:rFonts w:ascii="Arial" w:cs="Arial" w:eastAsia="Arial" w:hAnsi="Arial"/>
          <w:sz w:val="13"/>
          <w:szCs w:val="13"/>
          <w:color w:val="auto"/>
        </w:rPr>
        <w:t>. There is and has been no failure on the part of the Company and any of the Company’s directors or officers, in their capacities as such, to comply in any material respect with any</w:t>
      </w:r>
      <w:r>
        <w:rPr>
          <w:rFonts w:ascii="Arial" w:cs="Arial" w:eastAsia="Arial" w:hAnsi="Arial"/>
          <w:sz w:val="13"/>
          <w:szCs w:val="13"/>
          <w:i w:val="1"/>
          <w:iCs w:val="1"/>
          <w:color w:val="auto"/>
        </w:rPr>
        <w:t xml:space="preserve"> </w:t>
      </w:r>
      <w:r>
        <w:rPr>
          <w:rFonts w:ascii="Arial" w:cs="Arial" w:eastAsia="Arial" w:hAnsi="Arial"/>
          <w:sz w:val="13"/>
          <w:szCs w:val="13"/>
          <w:color w:val="auto"/>
        </w:rPr>
        <w:t>applicable provision of the Sarbanes-Oxley Act of 2002 and the rules and regulations promulgated in connection therewith (the “</w:t>
      </w:r>
      <w:r>
        <w:rPr>
          <w:rFonts w:ascii="Arial" w:cs="Arial" w:eastAsia="Arial" w:hAnsi="Arial"/>
          <w:sz w:val="13"/>
          <w:szCs w:val="13"/>
          <w:u w:val="single" w:color="auto"/>
          <w:color w:val="auto"/>
        </w:rPr>
        <w:t>Sarbanes-Oxley Act</w:t>
      </w:r>
      <w:r>
        <w:rPr>
          <w:rFonts w:ascii="Arial" w:cs="Arial" w:eastAsia="Arial" w:hAnsi="Arial"/>
          <w:sz w:val="13"/>
          <w:szCs w:val="13"/>
          <w:color w:val="auto"/>
        </w:rPr>
        <w:t>”), including Section 402 related to loans and Sections 302 and 906 related to certifications.</w:t>
      </w:r>
    </w:p>
    <w:p>
      <w:pPr>
        <w:spacing w:after="0" w:line="57" w:lineRule="exact"/>
        <w:rPr>
          <w:rFonts w:ascii="Arial" w:cs="Arial" w:eastAsia="Arial" w:hAnsi="Arial"/>
          <w:sz w:val="13"/>
          <w:szCs w:val="13"/>
          <w:color w:val="auto"/>
        </w:rPr>
      </w:pPr>
    </w:p>
    <w:p>
      <w:pPr>
        <w:ind w:left="320" w:hanging="158"/>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i w:val="1"/>
          <w:iCs w:val="1"/>
          <w:color w:val="auto"/>
        </w:rPr>
        <w:t xml:space="preserve">Company’s Accounting System. </w:t>
      </w:r>
      <w:r>
        <w:rPr>
          <w:rFonts w:ascii="Arial" w:cs="Arial" w:eastAsia="Arial" w:hAnsi="Arial"/>
          <w:sz w:val="13"/>
          <w:szCs w:val="13"/>
          <w:color w:val="auto"/>
        </w:rPr>
        <w:t>The Company and its subsidiaries maintain effective internal control over financial reporting, as such term is defined in Rule 13a-15(f) under the Exchange Act.</w:t>
      </w:r>
    </w:p>
    <w:p>
      <w:pPr>
        <w:spacing w:after="0" w:line="86" w:lineRule="exact"/>
        <w:rPr>
          <w:rFonts w:ascii="Arial" w:cs="Arial" w:eastAsia="Arial" w:hAnsi="Arial"/>
          <w:sz w:val="13"/>
          <w:szCs w:val="13"/>
          <w:color w:val="auto"/>
        </w:rPr>
      </w:pPr>
    </w:p>
    <w:p>
      <w:pPr>
        <w:ind w:right="20" w:firstLine="162"/>
        <w:spacing w:after="0" w:line="260" w:lineRule="auto"/>
        <w:tabs>
          <w:tab w:leader="none" w:pos="371" w:val="left"/>
        </w:tabs>
        <w:numPr>
          <w:ilvl w:val="0"/>
          <w:numId w:val="87"/>
        </w:numPr>
        <w:rPr>
          <w:rFonts w:ascii="Arial" w:cs="Arial" w:eastAsia="Arial" w:hAnsi="Arial"/>
          <w:sz w:val="13"/>
          <w:szCs w:val="13"/>
          <w:color w:val="auto"/>
        </w:rPr>
      </w:pPr>
      <w:r>
        <w:rPr>
          <w:rFonts w:ascii="Arial" w:cs="Arial" w:eastAsia="Arial" w:hAnsi="Arial"/>
          <w:sz w:val="13"/>
          <w:szCs w:val="13"/>
          <w:i w:val="1"/>
          <w:iCs w:val="1"/>
          <w:color w:val="auto"/>
        </w:rPr>
        <w:t xml:space="preserve">Internal Controls and Procedures. </w:t>
      </w:r>
      <w:r>
        <w:rPr>
          <w:rFonts w:ascii="Arial" w:cs="Arial" w:eastAsia="Arial" w:hAnsi="Arial"/>
          <w:sz w:val="13"/>
          <w:szCs w:val="13"/>
          <w:color w:val="auto"/>
        </w:rPr>
        <w:t>The Company maintains a system of internal accounting controls sufficient to provide reasonable assurance that (A) transactions are executed in accordance with management’s</w:t>
      </w:r>
      <w:r>
        <w:rPr>
          <w:rFonts w:ascii="Arial" w:cs="Arial" w:eastAsia="Arial" w:hAnsi="Arial"/>
          <w:sz w:val="13"/>
          <w:szCs w:val="13"/>
          <w:i w:val="1"/>
          <w:iCs w:val="1"/>
          <w:color w:val="auto"/>
        </w:rPr>
        <w:t xml:space="preserve"> </w:t>
      </w:r>
      <w:r>
        <w:rPr>
          <w:rFonts w:ascii="Arial" w:cs="Arial" w:eastAsia="Arial" w:hAnsi="Arial"/>
          <w:sz w:val="13"/>
          <w:szCs w:val="13"/>
          <w:color w:val="auto"/>
        </w:rPr>
        <w:t>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7" w:name="page208"/>
    <w:bookmarkEnd w:id="207"/>
    <w:p>
      <w:pPr>
        <w:ind w:right="160" w:firstLine="162"/>
        <w:spacing w:after="0" w:line="264" w:lineRule="auto"/>
        <w:tabs>
          <w:tab w:leader="none" w:pos="371" w:val="left"/>
        </w:tabs>
        <w:numPr>
          <w:ilvl w:val="0"/>
          <w:numId w:val="88"/>
        </w:numPr>
        <w:rPr>
          <w:rFonts w:ascii="Arial" w:cs="Arial" w:eastAsia="Arial" w:hAnsi="Arial"/>
          <w:sz w:val="13"/>
          <w:szCs w:val="13"/>
          <w:color w:val="auto"/>
        </w:rPr>
      </w:pPr>
      <w:r>
        <w:rPr>
          <w:rFonts w:ascii="Arial" w:cs="Arial" w:eastAsia="Arial" w:hAnsi="Arial"/>
          <w:sz w:val="13"/>
          <w:szCs w:val="13"/>
          <w:i w:val="1"/>
          <w:iCs w:val="1"/>
          <w:color w:val="auto"/>
        </w:rPr>
        <w:t xml:space="preserve">No Material Weakness in Internal Controls. </w:t>
      </w:r>
      <w:r>
        <w:rPr>
          <w:rFonts w:ascii="Arial" w:cs="Arial" w:eastAsia="Arial" w:hAnsi="Arial"/>
          <w:sz w:val="13"/>
          <w:szCs w:val="13"/>
          <w:color w:val="auto"/>
        </w:rPr>
        <w:t>Except as disclosed in the Registration Statement, the Time of Sale Information and the Prospectus, since the end of the Company’s most recent audited fiscal year,</w:t>
      </w:r>
      <w:r>
        <w:rPr>
          <w:rFonts w:ascii="Arial" w:cs="Arial" w:eastAsia="Arial" w:hAnsi="Arial"/>
          <w:sz w:val="13"/>
          <w:szCs w:val="13"/>
          <w:i w:val="1"/>
          <w:iCs w:val="1"/>
          <w:color w:val="auto"/>
        </w:rPr>
        <w:t xml:space="preserve"> </w:t>
      </w:r>
      <w:r>
        <w:rPr>
          <w:rFonts w:ascii="Arial" w:cs="Arial" w:eastAsia="Arial" w:hAnsi="Arial"/>
          <w:sz w:val="13"/>
          <w:szCs w:val="13"/>
          <w:color w:val="auto"/>
        </w:rPr>
        <w:t>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57" w:lineRule="exact"/>
        <w:rPr>
          <w:rFonts w:ascii="Arial" w:cs="Arial" w:eastAsia="Arial" w:hAnsi="Arial"/>
          <w:sz w:val="13"/>
          <w:szCs w:val="13"/>
          <w:color w:val="auto"/>
        </w:rPr>
      </w:pPr>
    </w:p>
    <w:p>
      <w:pPr>
        <w:ind w:right="360" w:firstLine="162"/>
        <w:spacing w:after="0" w:line="276" w:lineRule="auto"/>
        <w:tabs>
          <w:tab w:leader="none" w:pos="313" w:val="left"/>
        </w:tabs>
        <w:numPr>
          <w:ilvl w:val="0"/>
          <w:numId w:val="88"/>
        </w:numPr>
        <w:rPr>
          <w:rFonts w:ascii="Arial" w:cs="Arial" w:eastAsia="Arial" w:hAnsi="Arial"/>
          <w:sz w:val="13"/>
          <w:szCs w:val="13"/>
          <w:color w:val="auto"/>
        </w:rPr>
      </w:pPr>
      <w:r>
        <w:rPr>
          <w:rFonts w:ascii="Arial" w:cs="Arial" w:eastAsia="Arial" w:hAnsi="Arial"/>
          <w:sz w:val="13"/>
          <w:szCs w:val="13"/>
          <w:i w:val="1"/>
          <w:iCs w:val="1"/>
          <w:color w:val="auto"/>
        </w:rPr>
        <w:t>Disclosure Controls and Procedures</w:t>
      </w:r>
      <w:r>
        <w:rPr>
          <w:rFonts w:ascii="Arial" w:cs="Arial" w:eastAsia="Arial" w:hAnsi="Arial"/>
          <w:sz w:val="13"/>
          <w:szCs w:val="13"/>
          <w:color w:val="auto"/>
        </w:rPr>
        <w:t>. The Company maintains an effective system of “disclosure controls and procedures” (as defined in Rule 13a-15(e) of the Exchange Act). The Company has carried out</w:t>
      </w:r>
      <w:r>
        <w:rPr>
          <w:rFonts w:ascii="Arial" w:cs="Arial" w:eastAsia="Arial" w:hAnsi="Arial"/>
          <w:sz w:val="13"/>
          <w:szCs w:val="13"/>
          <w:i w:val="1"/>
          <w:iCs w:val="1"/>
          <w:color w:val="auto"/>
        </w:rPr>
        <w:t xml:space="preserve"> </w:t>
      </w:r>
      <w:r>
        <w:rPr>
          <w:rFonts w:ascii="Arial" w:cs="Arial" w:eastAsia="Arial" w:hAnsi="Arial"/>
          <w:sz w:val="13"/>
          <w:szCs w:val="13"/>
          <w:color w:val="auto"/>
        </w:rPr>
        <w:t>evaluations of the effectiveness of its disclosure controls and procedures as required by Rule 13a-15 of the Exchange Act.</w:t>
      </w:r>
    </w:p>
    <w:p>
      <w:pPr>
        <w:spacing w:after="0" w:line="49" w:lineRule="exact"/>
        <w:rPr>
          <w:sz w:val="20"/>
          <w:szCs w:val="20"/>
          <w:color w:val="auto"/>
        </w:rPr>
      </w:pPr>
    </w:p>
    <w:p>
      <w:pPr>
        <w:ind w:right="60" w:firstLine="157"/>
        <w:spacing w:after="0" w:line="276" w:lineRule="auto"/>
        <w:rPr>
          <w:sz w:val="20"/>
          <w:szCs w:val="20"/>
          <w:color w:val="auto"/>
        </w:rPr>
      </w:pPr>
      <w:r>
        <w:rPr>
          <w:rFonts w:ascii="Arial" w:cs="Arial" w:eastAsia="Arial" w:hAnsi="Arial"/>
          <w:sz w:val="13"/>
          <w:szCs w:val="13"/>
          <w:color w:val="auto"/>
        </w:rPr>
        <w:t>Any certificate signed by an officer of the Company and delivered to the Representatives or to counsel for the Underwriters shall be deemed to be a representation and warranty by the Company to each Underwriter as to the matters set forth therein.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 </w:t>
      </w:r>
      <w:r>
        <w:rPr>
          <w:rFonts w:ascii="Arial" w:cs="Arial" w:eastAsia="Arial" w:hAnsi="Arial"/>
          <w:sz w:val="13"/>
          <w:szCs w:val="13"/>
          <w:i w:val="1"/>
          <w:iCs w:val="1"/>
          <w:color w:val="auto"/>
        </w:rPr>
        <w:t>Purchase, Sale and Delivery of the Securities.</w:t>
      </w:r>
    </w:p>
    <w:p>
      <w:pPr>
        <w:spacing w:after="0" w:line="86" w:lineRule="exact"/>
        <w:rPr>
          <w:sz w:val="20"/>
          <w:szCs w:val="20"/>
          <w:color w:val="auto"/>
        </w:rPr>
      </w:pPr>
    </w:p>
    <w:p>
      <w:pPr>
        <w:jc w:val="both"/>
        <w:ind w:right="120" w:firstLine="326"/>
        <w:spacing w:after="0" w:line="289" w:lineRule="auto"/>
        <w:tabs>
          <w:tab w:leader="none" w:pos="462" w:val="left"/>
        </w:tabs>
        <w:numPr>
          <w:ilvl w:val="0"/>
          <w:numId w:val="89"/>
        </w:numPr>
        <w:rPr>
          <w:rFonts w:ascii="Arial" w:cs="Arial" w:eastAsia="Arial" w:hAnsi="Arial"/>
          <w:sz w:val="12"/>
          <w:szCs w:val="12"/>
          <w:color w:val="auto"/>
        </w:rPr>
      </w:pPr>
      <w:r>
        <w:rPr>
          <w:rFonts w:ascii="Arial" w:cs="Arial" w:eastAsia="Arial" w:hAnsi="Arial"/>
          <w:sz w:val="12"/>
          <w:szCs w:val="12"/>
          <w:i w:val="1"/>
          <w:iCs w:val="1"/>
          <w:color w:val="auto"/>
        </w:rPr>
        <w:t xml:space="preserve">The Securities. </w:t>
      </w:r>
      <w:r>
        <w:rPr>
          <w:rFonts w:ascii="Arial" w:cs="Arial" w:eastAsia="Arial" w:hAnsi="Arial"/>
          <w:sz w:val="12"/>
          <w:szCs w:val="12"/>
          <w:color w:val="auto"/>
        </w:rPr>
        <w:t>Each of the Company and the Guarantors agrees to issue and sell to the several Underwriters, severally and not jointly, all of the Securities upon the terms herein set forth. On the basis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representations, warranties and agreements herein contained, and upon the terms but subject to the conditions herein set forth, the Underwriters agree, severally and not jointly, to purchase from the Company and the Guarantors the aggregate principal amount of Securities set forth opposite their names on Schedule A at a purchase price of ___% of the principal amount of the Securities, payable on the Closing Date. The Company and the Guarantors will not be obligated to deliver any of the Securities except upon payment for all the Securities to be purchased as provided herein.</w:t>
      </w:r>
    </w:p>
    <w:p>
      <w:pPr>
        <w:spacing w:after="0" w:line="43" w:lineRule="exact"/>
        <w:rPr>
          <w:rFonts w:ascii="Arial" w:cs="Arial" w:eastAsia="Arial" w:hAnsi="Arial"/>
          <w:sz w:val="12"/>
          <w:szCs w:val="12"/>
          <w:color w:val="auto"/>
        </w:rPr>
      </w:pPr>
    </w:p>
    <w:p>
      <w:pPr>
        <w:ind w:left="460" w:hanging="134"/>
        <w:spacing w:after="0"/>
        <w:tabs>
          <w:tab w:leader="none" w:pos="460" w:val="left"/>
        </w:tabs>
        <w:numPr>
          <w:ilvl w:val="0"/>
          <w:numId w:val="89"/>
        </w:numPr>
        <w:rPr>
          <w:rFonts w:ascii="Arial" w:cs="Arial" w:eastAsia="Arial" w:hAnsi="Arial"/>
          <w:sz w:val="12"/>
          <w:szCs w:val="12"/>
          <w:color w:val="auto"/>
        </w:rPr>
      </w:pPr>
      <w:r>
        <w:rPr>
          <w:rFonts w:ascii="Arial" w:cs="Arial" w:eastAsia="Arial" w:hAnsi="Arial"/>
          <w:sz w:val="12"/>
          <w:szCs w:val="12"/>
          <w:i w:val="1"/>
          <w:iCs w:val="1"/>
          <w:color w:val="auto"/>
        </w:rPr>
        <w:t xml:space="preserve">The Closing Date. </w:t>
      </w:r>
      <w:r>
        <w:rPr>
          <w:rFonts w:ascii="Arial" w:cs="Arial" w:eastAsia="Arial" w:hAnsi="Arial"/>
          <w:sz w:val="12"/>
          <w:szCs w:val="12"/>
          <w:color w:val="auto"/>
        </w:rPr>
        <w:t>Delivery of certificates for the Securities in global form to be purchased by the Underwriters and payment therefor shall be made at the offices of counsel for the Representatives (or such</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gridSpan w:val="3"/>
          </w:tcPr>
          <w:p>
            <w:pPr>
              <w:spacing w:after="0"/>
              <w:rPr>
                <w:sz w:val="20"/>
                <w:szCs w:val="20"/>
                <w:color w:val="auto"/>
              </w:rPr>
            </w:pPr>
            <w:r>
              <w:rPr>
                <w:rFonts w:ascii="Arial" w:cs="Arial" w:eastAsia="Arial" w:hAnsi="Arial"/>
                <w:sz w:val="13"/>
                <w:szCs w:val="13"/>
                <w:color w:val="auto"/>
                <w:w w:val="90"/>
              </w:rPr>
              <w:t>other place as may be agreed to by the Company and the Representatives) at 9:00 a.m., New York City time, on</w:t>
            </w:r>
          </w:p>
        </w:tc>
        <w:tc>
          <w:tcPr>
            <w:tcW w:w="1300" w:type="dxa"/>
            <w:vAlign w:val="bottom"/>
            <w:tcBorders>
              <w:bottom w:val="single" w:sz="8" w:color="auto"/>
            </w:tcBorders>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w w:val="89"/>
              </w:rPr>
              <w:t>, 20___, or such other time and date as the Representatives and the Company</w:t>
            </w:r>
          </w:p>
        </w:tc>
      </w:tr>
      <w:tr>
        <w:trPr>
          <w:trHeight w:val="137"/>
        </w:trPr>
        <w:tc>
          <w:tcPr>
            <w:tcW w:w="5880" w:type="dxa"/>
            <w:vAlign w:val="bottom"/>
            <w:gridSpan w:val="3"/>
          </w:tcPr>
          <w:p>
            <w:pPr>
              <w:spacing w:after="0" w:line="138" w:lineRule="exact"/>
              <w:rPr>
                <w:sz w:val="20"/>
                <w:szCs w:val="20"/>
                <w:color w:val="auto"/>
              </w:rPr>
            </w:pPr>
            <w:r>
              <w:rPr>
                <w:rFonts w:ascii="Arial" w:cs="Arial" w:eastAsia="Arial" w:hAnsi="Arial"/>
                <w:sz w:val="13"/>
                <w:szCs w:val="13"/>
                <w:color w:val="auto"/>
              </w:rPr>
              <w:t>shall mutually agree (the time and date of such closing are called the “Closing Date”).</w:t>
            </w:r>
          </w:p>
        </w:tc>
        <w:tc>
          <w:tcPr>
            <w:tcW w:w="1300" w:type="dxa"/>
            <w:vAlign w:val="bottom"/>
          </w:tcPr>
          <w:p>
            <w:pPr>
              <w:spacing w:after="0"/>
              <w:rPr>
                <w:sz w:val="11"/>
                <w:szCs w:val="11"/>
                <w:color w:val="auto"/>
              </w:rPr>
            </w:pPr>
          </w:p>
        </w:tc>
        <w:tc>
          <w:tcPr>
            <w:tcW w:w="4040" w:type="dxa"/>
            <w:vAlign w:val="bottom"/>
          </w:tcPr>
          <w:p>
            <w:pPr>
              <w:spacing w:after="0"/>
              <w:rPr>
                <w:sz w:val="11"/>
                <w:szCs w:val="11"/>
                <w:color w:val="auto"/>
              </w:rPr>
            </w:pPr>
          </w:p>
        </w:tc>
      </w:tr>
      <w:tr>
        <w:trPr>
          <w:trHeight w:val="20"/>
        </w:trPr>
        <w:tc>
          <w:tcPr>
            <w:tcW w:w="3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26"/>
        <w:spacing w:after="0" w:line="264" w:lineRule="auto"/>
        <w:tabs>
          <w:tab w:leader="none" w:pos="462" w:val="left"/>
        </w:tabs>
        <w:numPr>
          <w:ilvl w:val="0"/>
          <w:numId w:val="90"/>
        </w:numPr>
        <w:rPr>
          <w:rFonts w:ascii="Arial" w:cs="Arial" w:eastAsia="Arial" w:hAnsi="Arial"/>
          <w:sz w:val="13"/>
          <w:szCs w:val="13"/>
          <w:color w:val="auto"/>
        </w:rPr>
      </w:pPr>
      <w:r>
        <w:rPr>
          <w:rFonts w:ascii="Arial" w:cs="Arial" w:eastAsia="Arial" w:hAnsi="Arial"/>
          <w:sz w:val="13"/>
          <w:szCs w:val="13"/>
          <w:i w:val="1"/>
          <w:iCs w:val="1"/>
          <w:color w:val="auto"/>
        </w:rPr>
        <w:t xml:space="preserve">Offering of the Securities. </w:t>
      </w:r>
      <w:r>
        <w:rPr>
          <w:rFonts w:ascii="Arial" w:cs="Arial" w:eastAsia="Arial" w:hAnsi="Arial"/>
          <w:sz w:val="13"/>
          <w:szCs w:val="13"/>
          <w:color w:val="auto"/>
        </w:rPr>
        <w:t>The Representatives hereby advise the Company and the Guarantors that the Underwriters intend to offer for sale, in the manner described in the Registration Statement, the Time of</w:t>
      </w:r>
      <w:r>
        <w:rPr>
          <w:rFonts w:ascii="Arial" w:cs="Arial" w:eastAsia="Arial" w:hAnsi="Arial"/>
          <w:sz w:val="13"/>
          <w:szCs w:val="13"/>
          <w:i w:val="1"/>
          <w:iCs w:val="1"/>
          <w:color w:val="auto"/>
        </w:rPr>
        <w:t xml:space="preserve"> </w:t>
      </w:r>
      <w:r>
        <w:rPr>
          <w:rFonts w:ascii="Arial" w:cs="Arial" w:eastAsia="Arial" w:hAnsi="Arial"/>
          <w:sz w:val="13"/>
          <w:szCs w:val="13"/>
          <w:color w:val="auto"/>
        </w:rPr>
        <w:t>Sale Information and the Prospectus, their respective portions of the Securities as soon after the execution and delivery of this Agreement as the Representatives, in their sole judgment, have determined is advisable and practicable.</w:t>
      </w:r>
    </w:p>
    <w:p>
      <w:pPr>
        <w:spacing w:after="0" w:line="57" w:lineRule="exact"/>
        <w:rPr>
          <w:rFonts w:ascii="Arial" w:cs="Arial" w:eastAsia="Arial" w:hAnsi="Arial"/>
          <w:sz w:val="13"/>
          <w:szCs w:val="13"/>
          <w:color w:val="auto"/>
        </w:rPr>
      </w:pPr>
    </w:p>
    <w:p>
      <w:pPr>
        <w:ind w:left="460" w:hanging="134"/>
        <w:spacing w:after="0"/>
        <w:tabs>
          <w:tab w:leader="none" w:pos="460" w:val="left"/>
        </w:tabs>
        <w:numPr>
          <w:ilvl w:val="0"/>
          <w:numId w:val="90"/>
        </w:numPr>
        <w:rPr>
          <w:rFonts w:ascii="Arial" w:cs="Arial" w:eastAsia="Arial" w:hAnsi="Arial"/>
          <w:sz w:val="13"/>
          <w:szCs w:val="13"/>
          <w:color w:val="auto"/>
        </w:rPr>
      </w:pPr>
      <w:r>
        <w:rPr>
          <w:rFonts w:ascii="Arial" w:cs="Arial" w:eastAsia="Arial" w:hAnsi="Arial"/>
          <w:sz w:val="13"/>
          <w:szCs w:val="13"/>
          <w:i w:val="1"/>
          <w:iCs w:val="1"/>
          <w:color w:val="auto"/>
        </w:rPr>
        <w:t xml:space="preserve">Payment for the Securities. </w:t>
      </w:r>
      <w:r>
        <w:rPr>
          <w:rFonts w:ascii="Arial" w:cs="Arial" w:eastAsia="Arial" w:hAnsi="Arial"/>
          <w:sz w:val="13"/>
          <w:szCs w:val="13"/>
          <w:color w:val="auto"/>
        </w:rPr>
        <w:t>Payment for the Securities shall be made on the Closing Date by wire transfer of immediately available funds to the order of the Company.</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It is understood that the Representatives have been authorized, for their own accounts and for the accounts of the several Underwriters, to accept delivery of and receipt for, and make payment of the purchase price for, the Securities that the Underwriters have agreed to purchase. The Representatives may (but shall not be obligated to) make payment for any Securities to be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08" w:name="page209"/>
    <w:bookmarkEnd w:id="208"/>
    <w:p>
      <w:pPr>
        <w:ind w:left="1" w:right="120"/>
        <w:spacing w:after="0" w:line="276" w:lineRule="auto"/>
        <w:rPr>
          <w:sz w:val="20"/>
          <w:szCs w:val="20"/>
          <w:color w:val="auto"/>
        </w:rPr>
      </w:pPr>
      <w:r>
        <w:rPr>
          <w:rFonts w:ascii="Arial" w:cs="Arial" w:eastAsia="Arial" w:hAnsi="Arial"/>
          <w:sz w:val="13"/>
          <w:szCs w:val="13"/>
          <w:color w:val="auto"/>
        </w:rPr>
        <w:t>purchased by any Underwriter whose funds shall not have been received by the Representatives by the Closing Date for the account of such Underwriter, but any such payment shall not relieve such Underwriter from any of its obligations under this Agreement.</w:t>
      </w:r>
    </w:p>
    <w:p>
      <w:pPr>
        <w:spacing w:after="0" w:line="49" w:lineRule="exact"/>
        <w:rPr>
          <w:sz w:val="20"/>
          <w:szCs w:val="20"/>
          <w:color w:val="auto"/>
        </w:rPr>
      </w:pPr>
    </w:p>
    <w:p>
      <w:pPr>
        <w:ind w:left="1" w:firstLine="326"/>
        <w:spacing w:after="0" w:line="322" w:lineRule="auto"/>
        <w:tabs>
          <w:tab w:leader="none" w:pos="463" w:val="left"/>
        </w:tabs>
        <w:numPr>
          <w:ilvl w:val="0"/>
          <w:numId w:val="91"/>
        </w:numPr>
        <w:rPr>
          <w:rFonts w:ascii="Arial" w:cs="Arial" w:eastAsia="Arial" w:hAnsi="Arial"/>
          <w:sz w:val="11"/>
          <w:szCs w:val="11"/>
          <w:color w:val="auto"/>
        </w:rPr>
      </w:pPr>
      <w:r>
        <w:rPr>
          <w:rFonts w:ascii="Arial" w:cs="Arial" w:eastAsia="Arial" w:hAnsi="Arial"/>
          <w:sz w:val="11"/>
          <w:szCs w:val="11"/>
          <w:i w:val="1"/>
          <w:iCs w:val="1"/>
          <w:color w:val="auto"/>
        </w:rPr>
        <w:t xml:space="preserve">Delivery of the Securities. </w:t>
      </w:r>
      <w:r>
        <w:rPr>
          <w:rFonts w:ascii="Arial" w:cs="Arial" w:eastAsia="Arial" w:hAnsi="Arial"/>
          <w:sz w:val="11"/>
          <w:szCs w:val="11"/>
          <w:color w:val="auto"/>
        </w:rPr>
        <w:t>The Company shall deliver, or cause to be delivered, to the Representatives for the accounts of the several Underwriters certificates for the Securities on the Closing Date, against the</w:t>
      </w:r>
      <w:r>
        <w:rPr>
          <w:rFonts w:ascii="Arial" w:cs="Arial" w:eastAsia="Arial" w:hAnsi="Arial"/>
          <w:sz w:val="11"/>
          <w:szCs w:val="11"/>
          <w:i w:val="1"/>
          <w:iCs w:val="1"/>
          <w:color w:val="auto"/>
        </w:rPr>
        <w:t xml:space="preserve"> </w:t>
      </w:r>
      <w:r>
        <w:rPr>
          <w:rFonts w:ascii="Arial" w:cs="Arial" w:eastAsia="Arial" w:hAnsi="Arial"/>
          <w:sz w:val="11"/>
          <w:szCs w:val="11"/>
          <w:color w:val="auto"/>
        </w:rPr>
        <w:t>irrevocable release of a wire transfer of immediately available funds for the amount of the purchase price therefor. The certificates for the Securities shall be in such denominations and registered in such names and denominations as the Representatives shall have requested at least two full business days prior to the Closing Date and shall be made available for inspection on the business day preceding the Closing Date at a location in New York City, as the Representatives may designate. Time shall be of the essence, and delivery at the time and place specified in this Agreement is a further condition to the obligations of the Underwriters.</w:t>
      </w:r>
    </w:p>
    <w:p>
      <w:pPr>
        <w:spacing w:after="0" w:line="2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 </w:t>
      </w:r>
      <w:r>
        <w:rPr>
          <w:rFonts w:ascii="Arial" w:cs="Arial" w:eastAsia="Arial" w:hAnsi="Arial"/>
          <w:sz w:val="13"/>
          <w:szCs w:val="13"/>
          <w:i w:val="1"/>
          <w:iCs w:val="1"/>
          <w:color w:val="auto"/>
        </w:rPr>
        <w:t>Covenants of the Company and the Guarantors.</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Each of the Company and the Guarantors covenants and agrees with each Underwriter as follows:</w:t>
      </w:r>
    </w:p>
    <w:p>
      <w:pPr>
        <w:spacing w:after="0" w:line="86" w:lineRule="exact"/>
        <w:rPr>
          <w:sz w:val="20"/>
          <w:szCs w:val="20"/>
          <w:color w:val="auto"/>
        </w:rPr>
      </w:pPr>
    </w:p>
    <w:p>
      <w:pPr>
        <w:ind w:left="1" w:right="20" w:firstLine="326"/>
        <w:spacing w:after="0" w:line="299" w:lineRule="auto"/>
        <w:tabs>
          <w:tab w:leader="none" w:pos="463" w:val="left"/>
        </w:tabs>
        <w:numPr>
          <w:ilvl w:val="1"/>
          <w:numId w:val="92"/>
        </w:numPr>
        <w:rPr>
          <w:rFonts w:ascii="Arial" w:cs="Arial" w:eastAsia="Arial" w:hAnsi="Arial"/>
          <w:sz w:val="11"/>
          <w:szCs w:val="11"/>
          <w:color w:val="auto"/>
        </w:rPr>
      </w:pPr>
      <w:r>
        <w:rPr>
          <w:rFonts w:ascii="Arial" w:cs="Arial" w:eastAsia="Arial" w:hAnsi="Arial"/>
          <w:sz w:val="11"/>
          <w:szCs w:val="11"/>
          <w:i w:val="1"/>
          <w:iCs w:val="1"/>
          <w:color w:val="auto"/>
        </w:rPr>
        <w:t xml:space="preserve">Preparation of Final Prospectus; Underwriters’ Review of Proposed Amendments and Supplements. </w:t>
      </w:r>
      <w:r>
        <w:rPr>
          <w:rFonts w:ascii="Arial" w:cs="Arial" w:eastAsia="Arial" w:hAnsi="Arial"/>
          <w:sz w:val="11"/>
          <w:szCs w:val="11"/>
          <w:color w:val="auto"/>
        </w:rPr>
        <w:t>The Company will file the final Prospectus with the Commission within the time periods specified by Rule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424(b) and Rule 430A, 430B or 430C under the Securities Act, will file any Issuer Free Writing Prospectus (including the Pricing Term Sheet in the form of Exhibit B hereto)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 Before using, authorizing, approving, referring to or filing any Issuer Free Writing Prospectus, and before filing any amendment or supplement to the Registration Statement or the Prospectus, the Company will furnish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have reasonably and promptly objected;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nothing herein shall prohibit the Company or any Guarantor from filing any document pursuant to the Exchange Act so long as the Underwriters have been</w:t>
      </w:r>
    </w:p>
    <w:p>
      <w:pPr>
        <w:spacing w:after="0" w:line="4" w:lineRule="exact"/>
        <w:rPr>
          <w:rFonts w:ascii="Arial" w:cs="Arial" w:eastAsia="Arial" w:hAnsi="Arial"/>
          <w:sz w:val="11"/>
          <w:szCs w:val="11"/>
          <w:color w:val="auto"/>
        </w:rPr>
      </w:pPr>
    </w:p>
    <w:p>
      <w:pPr>
        <w:ind w:left="1" w:right="560" w:hanging="1"/>
        <w:spacing w:after="0" w:line="264" w:lineRule="auto"/>
        <w:tabs>
          <w:tab w:leader="none" w:pos="187" w:val="left"/>
        </w:tabs>
        <w:numPr>
          <w:ilvl w:val="0"/>
          <w:numId w:val="93"/>
        </w:numPr>
        <w:rPr>
          <w:rFonts w:ascii="Arial" w:cs="Arial" w:eastAsia="Arial" w:hAnsi="Arial"/>
          <w:sz w:val="13"/>
          <w:szCs w:val="13"/>
          <w:color w:val="auto"/>
        </w:rPr>
      </w:pPr>
      <w:r>
        <w:rPr>
          <w:rFonts w:ascii="Arial" w:cs="Arial" w:eastAsia="Arial" w:hAnsi="Arial"/>
          <w:sz w:val="13"/>
          <w:szCs w:val="13"/>
          <w:color w:val="auto"/>
        </w:rPr>
        <w:t>provided with notice of the Company’s or such Guarantor’s intention to make such filing as soon as practicable and (y) furnished with a copy of the proposed filing in advance of the filing thereof with the Commission.</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1" w:right="259" w:bottom="1440" w:gutter="0" w:footer="0" w:header="0"/>
        </w:sectPr>
      </w:pPr>
    </w:p>
    <w:bookmarkStart w:id="209" w:name="page210"/>
    <w:bookmarkEnd w:id="209"/>
    <w:p>
      <w:pPr>
        <w:ind w:firstLine="326"/>
        <w:spacing w:after="0" w:line="279" w:lineRule="auto"/>
        <w:tabs>
          <w:tab w:leader="none" w:pos="469" w:val="left"/>
        </w:tabs>
        <w:numPr>
          <w:ilvl w:val="0"/>
          <w:numId w:val="94"/>
        </w:numPr>
        <w:rPr>
          <w:rFonts w:ascii="Arial" w:cs="Arial" w:eastAsia="Arial" w:hAnsi="Arial"/>
          <w:sz w:val="12"/>
          <w:szCs w:val="12"/>
          <w:color w:val="auto"/>
        </w:rPr>
      </w:pPr>
      <w:r>
        <w:rPr>
          <w:rFonts w:ascii="Arial" w:cs="Arial" w:eastAsia="Arial" w:hAnsi="Arial"/>
          <w:sz w:val="12"/>
          <w:szCs w:val="12"/>
          <w:i w:val="1"/>
          <w:iCs w:val="1"/>
          <w:color w:val="auto"/>
        </w:rPr>
        <w:t xml:space="preserve">Amendments and Supplements to the Prospectus and Other Securities Act Matters. </w:t>
      </w:r>
      <w:r>
        <w:rPr>
          <w:rFonts w:ascii="Arial" w:cs="Arial" w:eastAsia="Arial" w:hAnsi="Arial"/>
          <w:sz w:val="12"/>
          <w:szCs w:val="12"/>
          <w:color w:val="auto"/>
        </w:rPr>
        <w:t>If, prior to the later of (x) the Closing Date and (y) the end of the Prospectus Delivery Period (as defined below), any event</w:t>
      </w:r>
      <w:r>
        <w:rPr>
          <w:rFonts w:ascii="Arial" w:cs="Arial" w:eastAsia="Arial" w:hAnsi="Arial"/>
          <w:sz w:val="12"/>
          <w:szCs w:val="12"/>
          <w:i w:val="1"/>
          <w:iCs w:val="1"/>
          <w:color w:val="auto"/>
        </w:rPr>
        <w:t xml:space="preserve"> </w:t>
      </w:r>
      <w:r>
        <w:rPr>
          <w:rFonts w:ascii="Arial" w:cs="Arial" w:eastAsia="Arial" w:hAnsi="Arial"/>
          <w:sz w:val="12"/>
          <w:szCs w:val="12"/>
          <w:color w:val="auto"/>
        </w:rPr>
        <w:t>shall occur or condition exist as a result of which (i) the Time of Sale Information (prior to the Closing Date) or the Prospectus (prior to the later of the Closing Date and the end of the Prospectus Delivery Period), in both cases as then amended or supplemented, would include any untrue statement of a material fact or omit to state any material fact necessary in order to make the statements therein, in the light of the circumstances, not misleading or (ii) it is necessary to amend or supplement the Time of Sale Information (prior to the Closing Date) or the Prospectus (prior to the later of the Closing Date and the end of the Prospectus Delivery Period) to comply with law, the Company and the Guarantors will promptly notify the Underwriters thereof and forthwith prepare and, subject to paragraph (a) above, file with the Commission (to the extent required) and furnish to the Underwriters and to such dealers as the Representatives may designate, such amendments or supplements to the Time of Sale Information (prior to the Closing Date) or the Prospectus (prior to the later of the Closing Date and the end of the Prospectus Delivery Period) as may be necessary so that the statements in the Time of Sale Information (prior to the Closing Date) or the Prospectus (prior to the later of the Closing Date and the end of the Prospectus Delivery Period), in both cases as so amended or supplemented will not, in the light of the circumstances, be misleading or so that the Time of Sale Information (prior to the Closing Date) or the Prospectus (prior to the later of the Closing Date and the end of the Prospectus Delivery Period) will comply with law.</w:t>
      </w:r>
    </w:p>
    <w:p>
      <w:pPr>
        <w:spacing w:after="0" w:line="50" w:lineRule="exact"/>
        <w:rPr>
          <w:sz w:val="20"/>
          <w:szCs w:val="20"/>
          <w:color w:val="auto"/>
        </w:rPr>
      </w:pPr>
    </w:p>
    <w:p>
      <w:pPr>
        <w:ind w:right="180" w:firstLine="161"/>
        <w:spacing w:after="0" w:line="276" w:lineRule="auto"/>
        <w:rPr>
          <w:sz w:val="20"/>
          <w:szCs w:val="20"/>
          <w:color w:val="auto"/>
        </w:rPr>
      </w:pPr>
      <w:r>
        <w:rPr>
          <w:rFonts w:ascii="Arial" w:cs="Arial" w:eastAsia="Arial" w:hAnsi="Arial"/>
          <w:sz w:val="13"/>
          <w:szCs w:val="13"/>
          <w:color w:val="auto"/>
        </w:rPr>
        <w:t>The Company and the Guarantors hereby expressly acknowledge that the indemnification and contribution provisions of Sections 8 and 9 hereof are specifically applicable and relate to each registration statement, prospectus, amendment or supplement referred to in this Section 3.</w:t>
      </w:r>
    </w:p>
    <w:p>
      <w:pPr>
        <w:spacing w:after="0" w:line="49" w:lineRule="exact"/>
        <w:rPr>
          <w:sz w:val="20"/>
          <w:szCs w:val="20"/>
          <w:color w:val="auto"/>
        </w:rPr>
      </w:pPr>
    </w:p>
    <w:p>
      <w:pPr>
        <w:ind w:right="40" w:firstLine="326"/>
        <w:spacing w:after="0" w:line="322" w:lineRule="auto"/>
        <w:tabs>
          <w:tab w:leader="none" w:pos="462" w:val="left"/>
        </w:tabs>
        <w:numPr>
          <w:ilvl w:val="0"/>
          <w:numId w:val="95"/>
        </w:numPr>
        <w:rPr>
          <w:rFonts w:ascii="Arial" w:cs="Arial" w:eastAsia="Arial" w:hAnsi="Arial"/>
          <w:sz w:val="11"/>
          <w:szCs w:val="11"/>
          <w:color w:val="auto"/>
        </w:rPr>
      </w:pPr>
      <w:r>
        <w:rPr>
          <w:rFonts w:ascii="Arial" w:cs="Arial" w:eastAsia="Arial" w:hAnsi="Arial"/>
          <w:sz w:val="11"/>
          <w:szCs w:val="11"/>
          <w:i w:val="1"/>
          <w:iCs w:val="1"/>
          <w:color w:val="auto"/>
        </w:rPr>
        <w:t xml:space="preserve">Copies of the Registration Statement, the Time of Sale Information and the Prospectus. </w:t>
      </w:r>
      <w:r>
        <w:rPr>
          <w:rFonts w:ascii="Arial" w:cs="Arial" w:eastAsia="Arial" w:hAnsi="Arial"/>
          <w:sz w:val="11"/>
          <w:szCs w:val="11"/>
          <w:color w:val="auto"/>
        </w:rPr>
        <w:t>The Company and the Guarantors agree to furnish the Underwriters, without charge, as many copies of the Registration</w:t>
      </w:r>
      <w:r>
        <w:rPr>
          <w:rFonts w:ascii="Arial" w:cs="Arial" w:eastAsia="Arial" w:hAnsi="Arial"/>
          <w:sz w:val="11"/>
          <w:szCs w:val="11"/>
          <w:i w:val="1"/>
          <w:iCs w:val="1"/>
          <w:color w:val="auto"/>
        </w:rPr>
        <w:t xml:space="preserve"> </w:t>
      </w:r>
      <w:r>
        <w:rPr>
          <w:rFonts w:ascii="Arial" w:cs="Arial" w:eastAsia="Arial" w:hAnsi="Arial"/>
          <w:sz w:val="11"/>
          <w:szCs w:val="11"/>
          <w:color w:val="auto"/>
        </w:rPr>
        <w:t>Statement, the Time of Sale Information and the Prospectus and any amendments and supplements thereto as they shall have reasonably requested through the later of the Closing Date and the end of the Prospectus Delivery Period.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28" w:lineRule="exact"/>
        <w:rPr>
          <w:rFonts w:ascii="Arial" w:cs="Arial" w:eastAsia="Arial" w:hAnsi="Arial"/>
          <w:sz w:val="11"/>
          <w:szCs w:val="11"/>
          <w:color w:val="auto"/>
        </w:rPr>
      </w:pPr>
    </w:p>
    <w:p>
      <w:pPr>
        <w:ind w:right="40" w:firstLine="326"/>
        <w:spacing w:after="0" w:line="257" w:lineRule="auto"/>
        <w:tabs>
          <w:tab w:leader="none" w:pos="469" w:val="left"/>
        </w:tabs>
        <w:numPr>
          <w:ilvl w:val="0"/>
          <w:numId w:val="95"/>
        </w:numPr>
        <w:rPr>
          <w:rFonts w:ascii="Arial" w:cs="Arial" w:eastAsia="Arial" w:hAnsi="Arial"/>
          <w:sz w:val="13"/>
          <w:szCs w:val="13"/>
          <w:color w:val="auto"/>
        </w:rPr>
      </w:pPr>
      <w:r>
        <w:rPr>
          <w:rFonts w:ascii="Arial" w:cs="Arial" w:eastAsia="Arial" w:hAnsi="Arial"/>
          <w:sz w:val="13"/>
          <w:szCs w:val="13"/>
          <w:i w:val="1"/>
          <w:iCs w:val="1"/>
          <w:color w:val="auto"/>
        </w:rPr>
        <w:t>Notice to the Representatives</w:t>
      </w:r>
      <w:r>
        <w:rPr>
          <w:rFonts w:ascii="Arial" w:cs="Arial" w:eastAsia="Arial" w:hAnsi="Arial"/>
          <w:sz w:val="13"/>
          <w:szCs w:val="13"/>
          <w:color w:val="auto"/>
        </w:rPr>
        <w:t>. The Company will advise the Representatives promptly, and confirm such advice in writing, (i) when any amendment to the Registration Statement has been filed or becomes</w:t>
      </w:r>
      <w:r>
        <w:rPr>
          <w:rFonts w:ascii="Arial" w:cs="Arial" w:eastAsia="Arial" w:hAnsi="Arial"/>
          <w:sz w:val="13"/>
          <w:szCs w:val="13"/>
          <w:i w:val="1"/>
          <w:iCs w:val="1"/>
          <w:color w:val="auto"/>
        </w:rPr>
        <w:t xml:space="preserve"> </w:t>
      </w:r>
      <w:r>
        <w:rPr>
          <w:rFonts w:ascii="Arial" w:cs="Arial" w:eastAsia="Arial" w:hAnsi="Arial"/>
          <w:sz w:val="13"/>
          <w:szCs w:val="13"/>
          <w:color w:val="auto"/>
        </w:rPr>
        <w:t>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10" w:name="page211"/>
    <w:bookmarkEnd w:id="210"/>
    <w:p>
      <w:pPr>
        <w:ind w:right="60"/>
        <w:spacing w:after="0" w:line="282" w:lineRule="auto"/>
        <w:rPr>
          <w:sz w:val="20"/>
          <w:szCs w:val="20"/>
          <w:color w:val="auto"/>
        </w:rPr>
      </w:pPr>
      <w:r>
        <w:rPr>
          <w:rFonts w:ascii="Arial" w:cs="Arial" w:eastAsia="Arial" w:hAnsi="Arial"/>
          <w:sz w:val="12"/>
          <w:szCs w:val="12"/>
          <w:color w:val="auto"/>
        </w:rPr>
        <w:t>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obtain as soon as possible the withdrawal thereof.</w:t>
      </w:r>
    </w:p>
    <w:p>
      <w:pPr>
        <w:spacing w:after="0" w:line="49" w:lineRule="exact"/>
        <w:rPr>
          <w:sz w:val="20"/>
          <w:szCs w:val="20"/>
          <w:color w:val="auto"/>
        </w:rPr>
      </w:pPr>
    </w:p>
    <w:p>
      <w:pPr>
        <w:ind w:right="20" w:firstLine="326"/>
        <w:spacing w:after="0" w:line="256" w:lineRule="auto"/>
        <w:tabs>
          <w:tab w:leader="none" w:pos="462" w:val="left"/>
        </w:tabs>
        <w:numPr>
          <w:ilvl w:val="0"/>
          <w:numId w:val="96"/>
        </w:numPr>
        <w:rPr>
          <w:rFonts w:ascii="Arial" w:cs="Arial" w:eastAsia="Arial" w:hAnsi="Arial"/>
          <w:sz w:val="13"/>
          <w:szCs w:val="13"/>
          <w:color w:val="auto"/>
        </w:rPr>
      </w:pPr>
      <w:r>
        <w:rPr>
          <w:rFonts w:ascii="Arial" w:cs="Arial" w:eastAsia="Arial" w:hAnsi="Arial"/>
          <w:sz w:val="13"/>
          <w:szCs w:val="13"/>
          <w:i w:val="1"/>
          <w:iCs w:val="1"/>
          <w:color w:val="auto"/>
        </w:rPr>
        <w:t xml:space="preserve">Blue Sky Compliance. </w:t>
      </w:r>
      <w:r>
        <w:rPr>
          <w:rFonts w:ascii="Arial" w:cs="Arial" w:eastAsia="Arial" w:hAnsi="Arial"/>
          <w:sz w:val="13"/>
          <w:szCs w:val="13"/>
          <w:color w:val="auto"/>
        </w:rPr>
        <w:t>Each of the Company and the Guarantors shall cooperate with the Representatives and counsel for the Underwriters to qualify or register the Securities for sale under (or obtain</w:t>
      </w:r>
      <w:r>
        <w:rPr>
          <w:rFonts w:ascii="Arial" w:cs="Arial" w:eastAsia="Arial" w:hAnsi="Arial"/>
          <w:sz w:val="13"/>
          <w:szCs w:val="13"/>
          <w:i w:val="1"/>
          <w:iCs w:val="1"/>
          <w:color w:val="auto"/>
        </w:rPr>
        <w:t xml:space="preserve"> </w:t>
      </w:r>
      <w:r>
        <w:rPr>
          <w:rFonts w:ascii="Arial" w:cs="Arial" w:eastAsia="Arial" w:hAnsi="Arial"/>
          <w:sz w:val="13"/>
          <w:szCs w:val="13"/>
          <w:color w:val="auto"/>
        </w:rPr>
        <w:t>exemptions from the application of) the state securities or blue sky laws of those jurisdictions designated by the Representatives, shall comply with such laws and shall continue such qualifications, registrations and exemptions in effect so long as required for the distribution of the Securities. None of the Company or the Guarantors shall be required to qualify to transact business or to take any action that would subject it to general service of process in any such jurisdiction where it is not presently qualified or where it would be subject to taxation as a foreign business. The Company and the Guarantors will advise the Representatives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each of the Company and the Guarantors shall use its reasonable best efforts to obtain the withdrawal thereof at the earliest possible moment.</w:t>
      </w:r>
    </w:p>
    <w:p>
      <w:pPr>
        <w:spacing w:after="0" w:line="63" w:lineRule="exact"/>
        <w:rPr>
          <w:rFonts w:ascii="Arial" w:cs="Arial" w:eastAsia="Arial" w:hAnsi="Arial"/>
          <w:sz w:val="13"/>
          <w:szCs w:val="13"/>
          <w:color w:val="auto"/>
        </w:rPr>
      </w:pPr>
    </w:p>
    <w:p>
      <w:pPr>
        <w:ind w:firstLine="326"/>
        <w:spacing w:after="0" w:line="276" w:lineRule="auto"/>
        <w:tabs>
          <w:tab w:leader="none" w:pos="447" w:val="left"/>
        </w:tabs>
        <w:numPr>
          <w:ilvl w:val="0"/>
          <w:numId w:val="96"/>
        </w:numPr>
        <w:rPr>
          <w:rFonts w:ascii="Arial" w:cs="Arial" w:eastAsia="Arial" w:hAnsi="Arial"/>
          <w:sz w:val="13"/>
          <w:szCs w:val="13"/>
          <w:color w:val="auto"/>
        </w:rPr>
      </w:pPr>
      <w:r>
        <w:rPr>
          <w:rFonts w:ascii="Arial" w:cs="Arial" w:eastAsia="Arial" w:hAnsi="Arial"/>
          <w:sz w:val="13"/>
          <w:szCs w:val="13"/>
          <w:i w:val="1"/>
          <w:iCs w:val="1"/>
          <w:color w:val="auto"/>
        </w:rPr>
        <w:t xml:space="preserve">Use of Proceeds. </w:t>
      </w:r>
      <w:r>
        <w:rPr>
          <w:rFonts w:ascii="Arial" w:cs="Arial" w:eastAsia="Arial" w:hAnsi="Arial"/>
          <w:sz w:val="13"/>
          <w:szCs w:val="13"/>
          <w:color w:val="auto"/>
        </w:rPr>
        <w:t>The Company shall apply the net proceeds from the sale of the Securities sold by it in the manner described under the caption “Use of Proceeds” in the Registration Statement, the Time of Sale</w:t>
      </w:r>
      <w:r>
        <w:rPr>
          <w:rFonts w:ascii="Arial" w:cs="Arial" w:eastAsia="Arial" w:hAnsi="Arial"/>
          <w:sz w:val="13"/>
          <w:szCs w:val="13"/>
          <w:i w:val="1"/>
          <w:iCs w:val="1"/>
          <w:color w:val="auto"/>
        </w:rPr>
        <w:t xml:space="preserve"> </w:t>
      </w:r>
      <w:r>
        <w:rPr>
          <w:rFonts w:ascii="Arial" w:cs="Arial" w:eastAsia="Arial" w:hAnsi="Arial"/>
          <w:sz w:val="13"/>
          <w:szCs w:val="13"/>
          <w:color w:val="auto"/>
        </w:rPr>
        <w:t>Information and the Prospectus.</w:t>
      </w:r>
    </w:p>
    <w:p>
      <w:pPr>
        <w:spacing w:after="0" w:line="49" w:lineRule="exact"/>
        <w:rPr>
          <w:rFonts w:ascii="Arial" w:cs="Arial" w:eastAsia="Arial" w:hAnsi="Arial"/>
          <w:sz w:val="13"/>
          <w:szCs w:val="13"/>
          <w:color w:val="auto"/>
        </w:rPr>
      </w:pPr>
    </w:p>
    <w:p>
      <w:pPr>
        <w:ind w:right="460" w:firstLine="326"/>
        <w:spacing w:after="0" w:line="276" w:lineRule="auto"/>
        <w:tabs>
          <w:tab w:leader="none" w:pos="469" w:val="left"/>
        </w:tabs>
        <w:numPr>
          <w:ilvl w:val="0"/>
          <w:numId w:val="96"/>
        </w:numPr>
        <w:rPr>
          <w:rFonts w:ascii="Arial" w:cs="Arial" w:eastAsia="Arial" w:hAnsi="Arial"/>
          <w:sz w:val="13"/>
          <w:szCs w:val="13"/>
          <w:color w:val="auto"/>
        </w:rPr>
      </w:pPr>
      <w:r>
        <w:rPr>
          <w:rFonts w:ascii="Arial" w:cs="Arial" w:eastAsia="Arial" w:hAnsi="Arial"/>
          <w:sz w:val="13"/>
          <w:szCs w:val="13"/>
          <w:i w:val="1"/>
          <w:iCs w:val="1"/>
          <w:color w:val="auto"/>
        </w:rPr>
        <w:t xml:space="preserve">Depositary. </w:t>
      </w:r>
      <w:r>
        <w:rPr>
          <w:rFonts w:ascii="Arial" w:cs="Arial" w:eastAsia="Arial" w:hAnsi="Arial"/>
          <w:sz w:val="13"/>
          <w:szCs w:val="13"/>
          <w:color w:val="auto"/>
        </w:rPr>
        <w:t>The Company and the Guarantors will cooperate with the Underwriters and use its best efforts to permit the Securities to be eligible for clearance and settlement through the facilities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Depositary.</w:t>
      </w:r>
    </w:p>
    <w:p>
      <w:pPr>
        <w:spacing w:after="0" w:line="49" w:lineRule="exact"/>
        <w:rPr>
          <w:rFonts w:ascii="Arial" w:cs="Arial" w:eastAsia="Arial" w:hAnsi="Arial"/>
          <w:sz w:val="13"/>
          <w:szCs w:val="13"/>
          <w:color w:val="auto"/>
        </w:rPr>
      </w:pPr>
    </w:p>
    <w:p>
      <w:pPr>
        <w:ind w:firstLine="326"/>
        <w:spacing w:after="0" w:line="260" w:lineRule="auto"/>
        <w:tabs>
          <w:tab w:leader="none" w:pos="469" w:val="left"/>
        </w:tabs>
        <w:numPr>
          <w:ilvl w:val="0"/>
          <w:numId w:val="96"/>
        </w:numPr>
        <w:rPr>
          <w:rFonts w:ascii="Arial" w:cs="Arial" w:eastAsia="Arial" w:hAnsi="Arial"/>
          <w:sz w:val="13"/>
          <w:szCs w:val="13"/>
          <w:color w:val="auto"/>
        </w:rPr>
      </w:pPr>
      <w:r>
        <w:rPr>
          <w:rFonts w:ascii="Arial" w:cs="Arial" w:eastAsia="Arial" w:hAnsi="Arial"/>
          <w:sz w:val="13"/>
          <w:szCs w:val="13"/>
          <w:i w:val="1"/>
          <w:iCs w:val="1"/>
          <w:color w:val="auto"/>
        </w:rPr>
        <w:t xml:space="preserve">Periodic Reporting Obligations. </w:t>
      </w:r>
      <w:r>
        <w:rPr>
          <w:rFonts w:ascii="Arial" w:cs="Arial" w:eastAsia="Arial" w:hAnsi="Arial"/>
          <w:sz w:val="13"/>
          <w:szCs w:val="13"/>
          <w:color w:val="auto"/>
        </w:rPr>
        <w:t>Prior to the end of the Prospectus Delivery Period, the Company shall file, on a timely basis, with the Commission and the New York Stock Exchange all reports and documents</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to be filed under Section 13 or 15 of the Exchange Act. 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11" w:name="page212"/>
    <w:bookmarkEnd w:id="211"/>
    <w:p>
      <w:pPr>
        <w:ind w:left="1" w:firstLine="326"/>
        <w:spacing w:after="0" w:line="258" w:lineRule="auto"/>
        <w:tabs>
          <w:tab w:leader="none" w:pos="442" w:val="left"/>
        </w:tabs>
        <w:numPr>
          <w:ilvl w:val="0"/>
          <w:numId w:val="97"/>
        </w:numPr>
        <w:rPr>
          <w:rFonts w:ascii="Arial" w:cs="Arial" w:eastAsia="Arial" w:hAnsi="Arial"/>
          <w:sz w:val="13"/>
          <w:szCs w:val="13"/>
          <w:color w:val="auto"/>
        </w:rPr>
      </w:pPr>
      <w:r>
        <w:rPr>
          <w:rFonts w:ascii="Arial" w:cs="Arial" w:eastAsia="Arial" w:hAnsi="Arial"/>
          <w:sz w:val="13"/>
          <w:szCs w:val="13"/>
          <w:i w:val="1"/>
          <w:iCs w:val="1"/>
          <w:color w:val="auto"/>
        </w:rPr>
        <w:t xml:space="preserve">Agreement Not to Offer or Sell Additional Securities. </w:t>
      </w:r>
      <w:r>
        <w:rPr>
          <w:rFonts w:ascii="Arial" w:cs="Arial" w:eastAsia="Arial" w:hAnsi="Arial"/>
          <w:sz w:val="13"/>
          <w:szCs w:val="13"/>
          <w:color w:val="auto"/>
        </w:rPr>
        <w:t>During the period commencing on the date hereof and ending on the Closing Date, the Company, the Guarantors and their respective subsidiaries will not,</w:t>
      </w:r>
      <w:r>
        <w:rPr>
          <w:rFonts w:ascii="Arial" w:cs="Arial" w:eastAsia="Arial" w:hAnsi="Arial"/>
          <w:sz w:val="13"/>
          <w:szCs w:val="13"/>
          <w:i w:val="1"/>
          <w:iCs w:val="1"/>
          <w:color w:val="auto"/>
        </w:rPr>
        <w:t xml:space="preserve"> </w:t>
      </w:r>
      <w:r>
        <w:rPr>
          <w:rFonts w:ascii="Arial" w:cs="Arial" w:eastAsia="Arial" w:hAnsi="Arial"/>
          <w:sz w:val="13"/>
          <w:szCs w:val="13"/>
          <w:color w:val="auto"/>
        </w:rPr>
        <w:t>without the prior written consent of the Representatives (which consent may be withheld at the sole discretion of the Representatives), directly or indirectly, sell, offer, contract or grant any option to sell, pledge, transfer or establish an open “put equivalent position” within the meaning of Rule 16a-1(h) under the Exchange Act, or otherwise dispose of or transfer, or announce the offering of, or file any registration statement under the Securities Act in respect of, any debt securities of the Company, the Guarantors or any of their respective subsidiaries similar to the Securities or securities exchangeable for or convertible into debt securities similar to the Securities (other than as contemplated by this Agreement with respect to the Securities).</w:t>
      </w:r>
    </w:p>
    <w:p>
      <w:pPr>
        <w:spacing w:after="0" w:line="61" w:lineRule="exact"/>
        <w:rPr>
          <w:rFonts w:ascii="Arial" w:cs="Arial" w:eastAsia="Arial" w:hAnsi="Arial"/>
          <w:sz w:val="13"/>
          <w:szCs w:val="13"/>
          <w:color w:val="auto"/>
        </w:rPr>
      </w:pPr>
    </w:p>
    <w:p>
      <w:pPr>
        <w:ind w:left="1" w:right="160" w:firstLine="326"/>
        <w:spacing w:after="0" w:line="320" w:lineRule="auto"/>
        <w:tabs>
          <w:tab w:leader="none" w:pos="442" w:val="left"/>
        </w:tabs>
        <w:numPr>
          <w:ilvl w:val="0"/>
          <w:numId w:val="97"/>
        </w:numPr>
        <w:rPr>
          <w:rFonts w:ascii="Arial" w:cs="Arial" w:eastAsia="Arial" w:hAnsi="Arial"/>
          <w:sz w:val="12"/>
          <w:szCs w:val="12"/>
          <w:color w:val="auto"/>
        </w:rPr>
      </w:pPr>
      <w:r>
        <w:rPr>
          <w:rFonts w:ascii="Arial" w:cs="Arial" w:eastAsia="Arial" w:hAnsi="Arial"/>
          <w:sz w:val="12"/>
          <w:szCs w:val="12"/>
          <w:i w:val="1"/>
          <w:iCs w:val="1"/>
          <w:color w:val="auto"/>
        </w:rPr>
        <w:t xml:space="preserve">No Manipulation of Price. </w:t>
      </w:r>
      <w:r>
        <w:rPr>
          <w:rFonts w:ascii="Arial" w:cs="Arial" w:eastAsia="Arial" w:hAnsi="Arial"/>
          <w:sz w:val="12"/>
          <w:szCs w:val="12"/>
          <w:color w:val="auto"/>
        </w:rPr>
        <w:t>The Company and the Guarantors will not take, directly or indirectly, any action designed to cause or result in, or that has constituted or might reasonably be expected to constitute,</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Exchange Act or otherwise, the stabilization or manipulation of the price of any securities of the Company or the Guarantors to facilitate the sale or resale of the Securities.</w:t>
      </w:r>
    </w:p>
    <w:p>
      <w:pPr>
        <w:spacing w:after="0" w:line="25" w:lineRule="exact"/>
        <w:rPr>
          <w:rFonts w:ascii="Arial" w:cs="Arial" w:eastAsia="Arial" w:hAnsi="Arial"/>
          <w:sz w:val="12"/>
          <w:szCs w:val="12"/>
          <w:color w:val="auto"/>
        </w:rPr>
      </w:pPr>
    </w:p>
    <w:p>
      <w:pPr>
        <w:ind w:left="1" w:right="100" w:firstLine="326"/>
        <w:spacing w:after="0" w:line="276" w:lineRule="auto"/>
        <w:tabs>
          <w:tab w:leader="none" w:pos="471" w:val="left"/>
        </w:tabs>
        <w:numPr>
          <w:ilvl w:val="0"/>
          <w:numId w:val="97"/>
        </w:numPr>
        <w:rPr>
          <w:rFonts w:ascii="Arial" w:cs="Arial" w:eastAsia="Arial" w:hAnsi="Arial"/>
          <w:sz w:val="13"/>
          <w:szCs w:val="13"/>
          <w:color w:val="auto"/>
        </w:rPr>
      </w:pPr>
      <w:r>
        <w:rPr>
          <w:rFonts w:ascii="Arial" w:cs="Arial" w:eastAsia="Arial" w:hAnsi="Arial"/>
          <w:sz w:val="13"/>
          <w:szCs w:val="13"/>
          <w:i w:val="1"/>
          <w:iCs w:val="1"/>
          <w:color w:val="auto"/>
        </w:rPr>
        <w:t>Record Retention</w:t>
      </w:r>
      <w:r>
        <w:rPr>
          <w:rFonts w:ascii="Arial" w:cs="Arial" w:eastAsia="Arial" w:hAnsi="Arial"/>
          <w:sz w:val="13"/>
          <w:szCs w:val="13"/>
          <w:color w:val="auto"/>
        </w:rPr>
        <w:t>. The Company will, pursuant to reasonable procedures developed in good faith, retain copies of each Issuer Free Writing Prospectus that is not filed with the Commission in accordance with</w:t>
      </w:r>
      <w:r>
        <w:rPr>
          <w:rFonts w:ascii="Arial" w:cs="Arial" w:eastAsia="Arial" w:hAnsi="Arial"/>
          <w:sz w:val="13"/>
          <w:szCs w:val="13"/>
          <w:i w:val="1"/>
          <w:iCs w:val="1"/>
          <w:color w:val="auto"/>
        </w:rPr>
        <w:t xml:space="preserve"> </w:t>
      </w:r>
      <w:r>
        <w:rPr>
          <w:rFonts w:ascii="Arial" w:cs="Arial" w:eastAsia="Arial" w:hAnsi="Arial"/>
          <w:sz w:val="13"/>
          <w:szCs w:val="13"/>
          <w:color w:val="auto"/>
        </w:rPr>
        <w:t>Rule 433 under the Securities Act.</w:t>
      </w:r>
    </w:p>
    <w:p>
      <w:pPr>
        <w:spacing w:after="0" w:line="49" w:lineRule="exact"/>
        <w:rPr>
          <w:sz w:val="20"/>
          <w:szCs w:val="20"/>
          <w:color w:val="auto"/>
        </w:rPr>
      </w:pPr>
    </w:p>
    <w:p>
      <w:pPr>
        <w:jc w:val="both"/>
        <w:ind w:left="1" w:right="60" w:firstLine="161"/>
        <w:spacing w:after="0" w:line="303" w:lineRule="auto"/>
        <w:rPr>
          <w:sz w:val="20"/>
          <w:szCs w:val="20"/>
          <w:color w:val="auto"/>
        </w:rPr>
      </w:pPr>
      <w:r>
        <w:rPr>
          <w:rFonts w:ascii="Arial" w:cs="Arial" w:eastAsia="Arial" w:hAnsi="Arial"/>
          <w:sz w:val="11"/>
          <w:szCs w:val="11"/>
          <w:color w:val="auto"/>
        </w:rPr>
        <w:t>The Representatives, on behalf of the several Underwriters, may, in their sole discretion, waive in writing the performance by the Company or any of the Guarantors of any one or more of the foregoing covenants or extend the time for their performance.S</w:t>
      </w:r>
      <w:r>
        <w:rPr>
          <w:rFonts w:ascii="Arial" w:cs="Arial" w:eastAsia="Arial" w:hAnsi="Arial"/>
          <w:sz w:val="7"/>
          <w:szCs w:val="7"/>
          <w:color w:val="auto"/>
        </w:rPr>
        <w:t>ECTION</w:t>
      </w:r>
      <w:r>
        <w:rPr>
          <w:rFonts w:ascii="Arial" w:cs="Arial" w:eastAsia="Arial" w:hAnsi="Arial"/>
          <w:sz w:val="11"/>
          <w:szCs w:val="11"/>
          <w:color w:val="auto"/>
        </w:rPr>
        <w:t xml:space="preserve"> 4. </w:t>
      </w:r>
      <w:r>
        <w:rPr>
          <w:rFonts w:ascii="Arial" w:cs="Arial" w:eastAsia="Arial" w:hAnsi="Arial"/>
          <w:sz w:val="11"/>
          <w:szCs w:val="11"/>
          <w:i w:val="1"/>
          <w:iCs w:val="1"/>
          <w:color w:val="auto"/>
        </w:rPr>
        <w:t>Payment of Expenses.</w:t>
      </w:r>
      <w:r>
        <w:rPr>
          <w:rFonts w:ascii="Arial" w:cs="Arial" w:eastAsia="Arial" w:hAnsi="Arial"/>
          <w:sz w:val="11"/>
          <w:szCs w:val="11"/>
          <w:color w:val="auto"/>
        </w:rPr>
        <w:t xml:space="preserve"> Each of the Company and the Guarantors agrees to pay all costs, fees and expenses incurred in connection with the performance of its obligations hereunder and in connection with the transactions contemplated hereby, including without limitation (i) all expenses incident to the issuance and delivery of the Securities (including all printing and engraving costs),</w:t>
      </w:r>
    </w:p>
    <w:p>
      <w:pPr>
        <w:ind w:left="1" w:hanging="1"/>
        <w:spacing w:after="0" w:line="278" w:lineRule="auto"/>
        <w:tabs>
          <w:tab w:leader="none" w:pos="194" w:val="left"/>
        </w:tabs>
        <w:numPr>
          <w:ilvl w:val="0"/>
          <w:numId w:val="98"/>
        </w:numPr>
        <w:rPr>
          <w:rFonts w:ascii="Arial" w:cs="Arial" w:eastAsia="Arial" w:hAnsi="Arial"/>
          <w:sz w:val="12"/>
          <w:szCs w:val="12"/>
          <w:color w:val="auto"/>
        </w:rPr>
      </w:pPr>
      <w:r>
        <w:rPr>
          <w:rFonts w:ascii="Arial" w:cs="Arial" w:eastAsia="Arial" w:hAnsi="Arial"/>
          <w:sz w:val="12"/>
          <w:szCs w:val="12"/>
          <w:color w:val="auto"/>
        </w:rPr>
        <w:t>all necessary issue, transfer and other stamp taxes in connection with the issuance and sale of the Securities, (iii) all fees and expenses of the Company’s and Guarantors’ counsel, independent public or certified public accountants and other advisors, (iv) all costs and expenses incurred in connection with the preparation, printing, filing, shipping and distribution of the Registration Statement, the Preliminary Prospectus, any Issuer Free Writing Prospectus, any Time of Sale Information and the Prospectus, and all amendments and supplements thereto, and this Agreement, the Indenture, the DTC Agreement and the Securities, (v) all filing fees, attorneys’ fees and expenses incurred by the Company, the Guarantors or the Underwriters in connection with qualifying or registering (or obtaining exemptions from the qualification or registration of) all or any part of the Securities for offer and sale under the state securities or blue sky laws and preparing a “Blue Sky Survey” or memorandum, and any supplements thereto, (vi) the fees and expenses of the Trustee, including the fees and disbursements of counsel for the Trustee in connection with the Indenture and the Securities, (vii) any fees payable in connection with the rating of the Securities with the ratings agencies, (viii) all fees and expenses (including reasonable fees and expenses of counsel) of the Company and the Guarantors in connection with approval of the Securities by the Depositary for “book-entry” transfer, (ix) the filing fees incident to, and the reasonable fees and disbursements of counsel to the Underwriters in connection with, the review by the Financial Industry Regulatory Authority of the terms of the</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12" w:name="page213"/>
    <w:bookmarkEnd w:id="212"/>
    <w:p>
      <w:pPr>
        <w:ind w:right="140"/>
        <w:spacing w:after="0" w:line="276" w:lineRule="auto"/>
        <w:rPr>
          <w:sz w:val="20"/>
          <w:szCs w:val="20"/>
          <w:color w:val="auto"/>
        </w:rPr>
      </w:pPr>
      <w:r>
        <w:rPr>
          <w:rFonts w:ascii="Arial" w:cs="Arial" w:eastAsia="Arial" w:hAnsi="Arial"/>
          <w:sz w:val="13"/>
          <w:szCs w:val="13"/>
          <w:color w:val="auto"/>
        </w:rPr>
        <w:t>sale of the Securities and (x) all other fees, costs and expenses incurred in connection with the performance of its obligations hereunder for which provision is not otherwise made in this Section. Except as provided in this Section 4 and Sections 6, 8 and 9 hereof, the Underwriters shall pay their own expenses, including the fees and disbursements of their counsel.</w:t>
      </w:r>
    </w:p>
    <w:p>
      <w:pPr>
        <w:spacing w:after="0" w:line="49" w:lineRule="exact"/>
        <w:rPr>
          <w:sz w:val="20"/>
          <w:szCs w:val="20"/>
          <w:color w:val="auto"/>
        </w:rPr>
      </w:pPr>
    </w:p>
    <w:p>
      <w:pPr>
        <w:jc w:val="both"/>
        <w:ind w:right="20" w:firstLine="164"/>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 </w:t>
      </w:r>
      <w:r>
        <w:rPr>
          <w:rFonts w:ascii="Arial" w:cs="Arial" w:eastAsia="Arial" w:hAnsi="Arial"/>
          <w:sz w:val="13"/>
          <w:szCs w:val="13"/>
          <w:i w:val="1"/>
          <w:iCs w:val="1"/>
          <w:color w:val="auto"/>
        </w:rPr>
        <w:t>Conditions of the Obligations of the Underwriters.</w:t>
      </w:r>
      <w:r>
        <w:rPr>
          <w:rFonts w:ascii="Arial" w:cs="Arial" w:eastAsia="Arial" w:hAnsi="Arial"/>
          <w:sz w:val="13"/>
          <w:szCs w:val="13"/>
          <w:color w:val="auto"/>
        </w:rPr>
        <w:t xml:space="preserve"> The obligations of the several Underwriters to purchase and pay for the Securities as provided herein on the Closing Date shall be subject to the accuracy of the representations and warranties on the part of the Company and the Guarantors set forth in Section 1 hereof as of each Representation Date as though then made and to the timely performance by the Company and the Guarantors of its covenants and other obligations hereunder, and to each of the following additional conditions:</w:t>
      </w:r>
    </w:p>
    <w:p>
      <w:pPr>
        <w:spacing w:after="0" w:line="57" w:lineRule="exact"/>
        <w:rPr>
          <w:sz w:val="20"/>
          <w:szCs w:val="20"/>
          <w:color w:val="auto"/>
        </w:rPr>
      </w:pPr>
    </w:p>
    <w:p>
      <w:pPr>
        <w:ind w:firstLine="326"/>
        <w:spacing w:after="0" w:line="260" w:lineRule="auto"/>
        <w:tabs>
          <w:tab w:leader="none" w:pos="462" w:val="left"/>
        </w:tabs>
        <w:numPr>
          <w:ilvl w:val="0"/>
          <w:numId w:val="99"/>
        </w:numPr>
        <w:rPr>
          <w:rFonts w:ascii="Arial" w:cs="Arial" w:eastAsia="Arial" w:hAnsi="Arial"/>
          <w:sz w:val="13"/>
          <w:szCs w:val="13"/>
          <w:color w:val="auto"/>
        </w:rPr>
      </w:pPr>
      <w:r>
        <w:rPr>
          <w:rFonts w:ascii="Arial" w:cs="Arial" w:eastAsia="Arial" w:hAnsi="Arial"/>
          <w:sz w:val="13"/>
          <w:szCs w:val="13"/>
          <w:i w:val="1"/>
          <w:iCs w:val="1"/>
          <w:color w:val="auto"/>
        </w:rPr>
        <w:t>Registration Compliance; No Stop Order</w:t>
      </w:r>
      <w:r>
        <w:rPr>
          <w:rFonts w:ascii="Arial" w:cs="Arial" w:eastAsia="Arial" w:hAnsi="Arial"/>
          <w:sz w:val="13"/>
          <w:szCs w:val="13"/>
          <w:color w:val="auto"/>
        </w:rPr>
        <w:t>. No order suspending the effectiveness of the Registration Statement shall be in effect, and no proceeding for such purpose, pursuant to Rule 401(g)(2) or pursuant to</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3(a) hereof; and all requests by the Commission for additional information shall have been complied with to the reasonable satisfaction of the Representatives.</w:t>
      </w:r>
    </w:p>
    <w:p>
      <w:pPr>
        <w:spacing w:after="0" w:line="59" w:lineRule="exact"/>
        <w:rPr>
          <w:rFonts w:ascii="Arial" w:cs="Arial" w:eastAsia="Arial" w:hAnsi="Arial"/>
          <w:sz w:val="13"/>
          <w:szCs w:val="13"/>
          <w:color w:val="auto"/>
        </w:rPr>
      </w:pPr>
    </w:p>
    <w:p>
      <w:pPr>
        <w:ind w:right="320" w:firstLine="326"/>
        <w:spacing w:after="0" w:line="264" w:lineRule="auto"/>
        <w:tabs>
          <w:tab w:leader="none" w:pos="469" w:val="left"/>
        </w:tabs>
        <w:numPr>
          <w:ilvl w:val="0"/>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Accountants’ Comfort Letter. </w:t>
      </w:r>
      <w:r>
        <w:rPr>
          <w:rFonts w:ascii="Arial" w:cs="Arial" w:eastAsia="Arial" w:hAnsi="Arial"/>
          <w:sz w:val="13"/>
          <w:szCs w:val="13"/>
          <w:color w:val="auto"/>
        </w:rPr>
        <w:t>On the date hereof, the Representatives shall have received from the Company’s independent registered public accountants a letter dated the date hereof addressed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Underwriters, in form and substance satisfactory to the Representatives with respect to the audited and unaudited financial statements and certain financial information contained or incorporated by reference in the Registration Statement, the Time of Sale Information and the Prospectus.</w:t>
      </w:r>
    </w:p>
    <w:p>
      <w:pPr>
        <w:spacing w:after="0" w:line="57" w:lineRule="exact"/>
        <w:rPr>
          <w:rFonts w:ascii="Arial" w:cs="Arial" w:eastAsia="Arial" w:hAnsi="Arial"/>
          <w:sz w:val="13"/>
          <w:szCs w:val="13"/>
          <w:color w:val="auto"/>
        </w:rPr>
      </w:pPr>
    </w:p>
    <w:p>
      <w:pPr>
        <w:ind w:right="100" w:firstLine="326"/>
        <w:spacing w:after="0" w:line="264" w:lineRule="auto"/>
        <w:tabs>
          <w:tab w:leader="none" w:pos="462" w:val="left"/>
        </w:tabs>
        <w:numPr>
          <w:ilvl w:val="0"/>
          <w:numId w:val="99"/>
        </w:numPr>
        <w:rPr>
          <w:rFonts w:ascii="Arial" w:cs="Arial" w:eastAsia="Arial" w:hAnsi="Arial"/>
          <w:sz w:val="13"/>
          <w:szCs w:val="13"/>
          <w:color w:val="auto"/>
        </w:rPr>
      </w:pPr>
      <w:r>
        <w:rPr>
          <w:rFonts w:ascii="Arial" w:cs="Arial" w:eastAsia="Arial" w:hAnsi="Arial"/>
          <w:sz w:val="13"/>
          <w:szCs w:val="13"/>
          <w:i w:val="1"/>
          <w:iCs w:val="1"/>
          <w:color w:val="auto"/>
        </w:rPr>
        <w:t>Bring-down Comfort Letter</w:t>
      </w:r>
      <w:r>
        <w:rPr>
          <w:rFonts w:ascii="Arial" w:cs="Arial" w:eastAsia="Arial" w:hAnsi="Arial"/>
          <w:sz w:val="13"/>
          <w:szCs w:val="13"/>
          <w:color w:val="auto"/>
        </w:rPr>
        <w:t>. On the Closing Date, the Representatives shall have received from the Company’s independent registered public accountants a letter dated such date, in form and substance</w:t>
      </w:r>
      <w:r>
        <w:rPr>
          <w:rFonts w:ascii="Arial" w:cs="Arial" w:eastAsia="Arial" w:hAnsi="Arial"/>
          <w:sz w:val="13"/>
          <w:szCs w:val="13"/>
          <w:i w:val="1"/>
          <w:iCs w:val="1"/>
          <w:color w:val="auto"/>
        </w:rPr>
        <w:t xml:space="preserve"> </w:t>
      </w:r>
      <w:r>
        <w:rPr>
          <w:rFonts w:ascii="Arial" w:cs="Arial" w:eastAsia="Arial" w:hAnsi="Arial"/>
          <w:sz w:val="13"/>
          <w:szCs w:val="13"/>
          <w:color w:val="auto"/>
        </w:rPr>
        <w:t>satisfactory to the Representatives, to the effect that they reaffirm the statements made in the letter furnished by them pursuant to subsection (b) of this Section 5, except that the specified date referred to therein for the carrying out of procedures shall be no more than three business days prior to the Closing Date.</w:t>
      </w:r>
    </w:p>
    <w:p>
      <w:pPr>
        <w:spacing w:after="0" w:line="57" w:lineRule="exact"/>
        <w:rPr>
          <w:rFonts w:ascii="Arial" w:cs="Arial" w:eastAsia="Arial" w:hAnsi="Arial"/>
          <w:sz w:val="13"/>
          <w:szCs w:val="13"/>
          <w:color w:val="auto"/>
        </w:rPr>
      </w:pPr>
    </w:p>
    <w:p>
      <w:pPr>
        <w:ind w:left="460" w:hanging="134"/>
        <w:spacing w:after="0"/>
        <w:tabs>
          <w:tab w:leader="none" w:pos="460" w:val="left"/>
        </w:tabs>
        <w:numPr>
          <w:ilvl w:val="0"/>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No Material Adverse Change or Ratings Agency Change. </w:t>
      </w:r>
      <w:r>
        <w:rPr>
          <w:rFonts w:ascii="Arial" w:cs="Arial" w:eastAsia="Arial" w:hAnsi="Arial"/>
          <w:sz w:val="13"/>
          <w:szCs w:val="13"/>
          <w:color w:val="auto"/>
        </w:rPr>
        <w:t>For the period from and after the date of this Agreement and prior to the Closing Date:</w:t>
      </w:r>
    </w:p>
    <w:p>
      <w:pPr>
        <w:spacing w:after="0" w:line="86" w:lineRule="exact"/>
        <w:rPr>
          <w:rFonts w:ascii="Arial" w:cs="Arial" w:eastAsia="Arial" w:hAnsi="Arial"/>
          <w:sz w:val="13"/>
          <w:szCs w:val="13"/>
          <w:color w:val="auto"/>
        </w:rPr>
      </w:pPr>
    </w:p>
    <w:p>
      <w:pPr>
        <w:ind w:left="720" w:hanging="165"/>
        <w:spacing w:after="0"/>
        <w:tabs>
          <w:tab w:leader="none" w:pos="720" w:val="left"/>
        </w:tabs>
        <w:numPr>
          <w:ilvl w:val="1"/>
          <w:numId w:val="99"/>
        </w:numPr>
        <w:rPr>
          <w:rFonts w:ascii="Arial" w:cs="Arial" w:eastAsia="Arial" w:hAnsi="Arial"/>
          <w:sz w:val="13"/>
          <w:szCs w:val="13"/>
          <w:color w:val="auto"/>
        </w:rPr>
      </w:pPr>
      <w:r>
        <w:rPr>
          <w:rFonts w:ascii="Arial" w:cs="Arial" w:eastAsia="Arial" w:hAnsi="Arial"/>
          <w:sz w:val="13"/>
          <w:szCs w:val="13"/>
          <w:color w:val="auto"/>
        </w:rPr>
        <w:t>in the judgment of the Representatives there shall not have occurred any Material Adverse Change;</w:t>
      </w:r>
    </w:p>
    <w:p>
      <w:pPr>
        <w:spacing w:after="0" w:line="86" w:lineRule="exact"/>
        <w:rPr>
          <w:rFonts w:ascii="Arial" w:cs="Arial" w:eastAsia="Arial" w:hAnsi="Arial"/>
          <w:sz w:val="13"/>
          <w:szCs w:val="13"/>
          <w:color w:val="auto"/>
        </w:rPr>
      </w:pPr>
    </w:p>
    <w:p>
      <w:pPr>
        <w:ind w:left="220" w:right="120" w:firstLine="335"/>
        <w:spacing w:after="0" w:line="264" w:lineRule="auto"/>
        <w:tabs>
          <w:tab w:leader="none" w:pos="740" w:val="left"/>
        </w:tabs>
        <w:numPr>
          <w:ilvl w:val="1"/>
          <w:numId w:val="99"/>
        </w:numPr>
        <w:rPr>
          <w:rFonts w:ascii="Arial" w:cs="Arial" w:eastAsia="Arial" w:hAnsi="Arial"/>
          <w:sz w:val="13"/>
          <w:szCs w:val="13"/>
          <w:color w:val="auto"/>
        </w:rPr>
      </w:pPr>
      <w:r>
        <w:rPr>
          <w:rFonts w:ascii="Arial" w:cs="Arial" w:eastAsia="Arial" w:hAnsi="Arial"/>
          <w:sz w:val="13"/>
          <w:szCs w:val="13"/>
          <w:color w:val="auto"/>
        </w:rPr>
        <w:t>there shall not have been any change or decrease specified in the letter of the Company’s independent registered public accountants referred to in paragraph (c) of this Section 5 which is, in the judgment of the Representatives, so material and adverse as to make it impractical or inadvisable to proceed with the offering or delivery of the Securities as contemplated by the Registration Statement, the Time of Sale Information and the Prospectus;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3" w:name="page214"/>
    <w:bookmarkEnd w:id="213"/>
    <w:p>
      <w:pPr>
        <w:ind w:left="220" w:right="20" w:firstLine="335"/>
        <w:spacing w:after="0" w:line="305" w:lineRule="auto"/>
        <w:tabs>
          <w:tab w:leader="none" w:pos="777" w:val="left"/>
        </w:tabs>
        <w:numPr>
          <w:ilvl w:val="2"/>
          <w:numId w:val="100"/>
        </w:numPr>
        <w:rPr>
          <w:rFonts w:ascii="Arial" w:cs="Arial" w:eastAsia="Arial" w:hAnsi="Arial"/>
          <w:sz w:val="11"/>
          <w:szCs w:val="11"/>
          <w:color w:val="auto"/>
        </w:rPr>
      </w:pPr>
      <w:r>
        <w:rPr>
          <w:rFonts w:ascii="Arial" w:cs="Arial" w:eastAsia="Arial" w:hAnsi="Arial"/>
          <w:sz w:val="11"/>
          <w:szCs w:val="11"/>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Rule 436(g)</w:t>
      </w:r>
    </w:p>
    <w:p>
      <w:pPr>
        <w:ind w:left="420" w:hanging="192"/>
        <w:spacing w:after="0"/>
        <w:tabs>
          <w:tab w:leader="none" w:pos="4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under the Securities Act.</w:t>
      </w:r>
    </w:p>
    <w:p>
      <w:pPr>
        <w:spacing w:after="0" w:line="78" w:lineRule="exact"/>
        <w:rPr>
          <w:rFonts w:ascii="Arial" w:cs="Arial" w:eastAsia="Arial" w:hAnsi="Arial"/>
          <w:sz w:val="13"/>
          <w:szCs w:val="13"/>
          <w:color w:val="auto"/>
        </w:rPr>
      </w:pPr>
    </w:p>
    <w:p>
      <w:pPr>
        <w:ind w:firstLine="326"/>
        <w:spacing w:after="0" w:line="264" w:lineRule="auto"/>
        <w:tabs>
          <w:tab w:leader="none" w:pos="462" w:val="left"/>
        </w:tabs>
        <w:numPr>
          <w:ilvl w:val="1"/>
          <w:numId w:val="101"/>
        </w:numPr>
        <w:rPr>
          <w:rFonts w:ascii="Arial" w:cs="Arial" w:eastAsia="Arial" w:hAnsi="Arial"/>
          <w:sz w:val="13"/>
          <w:szCs w:val="13"/>
          <w:color w:val="auto"/>
        </w:rPr>
      </w:pPr>
      <w:r>
        <w:rPr>
          <w:rFonts w:ascii="Arial" w:cs="Arial" w:eastAsia="Arial" w:hAnsi="Arial"/>
          <w:sz w:val="13"/>
          <w:szCs w:val="13"/>
          <w:i w:val="1"/>
          <w:iCs w:val="1"/>
          <w:color w:val="auto"/>
        </w:rPr>
        <w:t xml:space="preserve">Opinions of Counsel for the Company and the Guarantors. </w:t>
      </w:r>
      <w:r>
        <w:rPr>
          <w:rFonts w:ascii="Arial" w:cs="Arial" w:eastAsia="Arial" w:hAnsi="Arial"/>
          <w:sz w:val="13"/>
          <w:szCs w:val="13"/>
          <w:color w:val="auto"/>
        </w:rPr>
        <w:t>On the Closing Date, the Representatives shall have received the favorable opinions of Mayer Brown LLP, counsel for the Company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Guarantors, dated as of such Closing Date, the forms of which are attached as Exhibits A-1 to A-3 and the favorable opinion of Michael P. Rissman, Executive Vice President and General Counsel of the Company, dated as of such Closing Date, the form of which is attached as Exhibit A-4.</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tcPr>
          <w:p>
            <w:pPr>
              <w:ind w:left="320"/>
              <w:spacing w:after="0"/>
              <w:rPr>
                <w:sz w:val="20"/>
                <w:szCs w:val="20"/>
                <w:color w:val="auto"/>
              </w:rPr>
            </w:pPr>
            <w:r>
              <w:rPr>
                <w:rFonts w:ascii="Arial" w:cs="Arial" w:eastAsia="Arial" w:hAnsi="Arial"/>
                <w:sz w:val="13"/>
                <w:szCs w:val="13"/>
                <w:color w:val="auto"/>
                <w:w w:val="92"/>
              </w:rPr>
              <w:t xml:space="preserve">f) </w:t>
            </w:r>
            <w:r>
              <w:rPr>
                <w:rFonts w:ascii="Arial" w:cs="Arial" w:eastAsia="Arial" w:hAnsi="Arial"/>
                <w:sz w:val="13"/>
                <w:szCs w:val="13"/>
                <w:i w:val="1"/>
                <w:iCs w:val="1"/>
                <w:color w:val="auto"/>
                <w:w w:val="92"/>
              </w:rPr>
              <w:t>Opinion of Counsel for the Underwriters.</w:t>
            </w:r>
            <w:r>
              <w:rPr>
                <w:rFonts w:ascii="Arial" w:cs="Arial" w:eastAsia="Arial" w:hAnsi="Arial"/>
                <w:sz w:val="13"/>
                <w:szCs w:val="13"/>
                <w:color w:val="auto"/>
                <w:w w:val="92"/>
              </w:rPr>
              <w:t xml:space="preserve"> On the Closing Date, the Representatives shall have received the favorable opinion of</w:t>
            </w:r>
          </w:p>
        </w:tc>
        <w:tc>
          <w:tcPr>
            <w:tcW w:w="1960" w:type="dxa"/>
            <w:vAlign w:val="bottom"/>
            <w:tcBorders>
              <w:bottom w:val="single" w:sz="8" w:color="auto"/>
            </w:tcBorders>
          </w:tcPr>
          <w:p>
            <w:pPr>
              <w:spacing w:after="0"/>
              <w:rPr>
                <w:sz w:val="13"/>
                <w:szCs w:val="13"/>
                <w:color w:val="auto"/>
              </w:rPr>
            </w:pPr>
          </w:p>
        </w:tc>
        <w:tc>
          <w:tcPr>
            <w:tcW w:w="2200" w:type="dxa"/>
            <w:vAlign w:val="bottom"/>
          </w:tcPr>
          <w:p>
            <w:pPr>
              <w:spacing w:after="0"/>
              <w:rPr>
                <w:sz w:val="20"/>
                <w:szCs w:val="20"/>
                <w:color w:val="auto"/>
              </w:rPr>
            </w:pPr>
            <w:r>
              <w:rPr>
                <w:rFonts w:ascii="Arial" w:cs="Arial" w:eastAsia="Arial" w:hAnsi="Arial"/>
                <w:sz w:val="13"/>
                <w:szCs w:val="13"/>
                <w:color w:val="auto"/>
                <w:w w:val="90"/>
              </w:rPr>
              <w:t>, counsel for the Underwriters, dated as of</w:t>
            </w:r>
          </w:p>
        </w:tc>
      </w:tr>
      <w:tr>
        <w:trPr>
          <w:trHeight w:val="165"/>
        </w:trPr>
        <w:tc>
          <w:tcPr>
            <w:tcW w:w="7180" w:type="dxa"/>
            <w:vAlign w:val="bottom"/>
          </w:tcPr>
          <w:p>
            <w:pPr>
              <w:spacing w:after="0"/>
              <w:rPr>
                <w:sz w:val="20"/>
                <w:szCs w:val="20"/>
                <w:color w:val="auto"/>
              </w:rPr>
            </w:pPr>
            <w:r>
              <w:rPr>
                <w:rFonts w:ascii="Arial" w:cs="Arial" w:eastAsia="Arial" w:hAnsi="Arial"/>
                <w:sz w:val="13"/>
                <w:szCs w:val="13"/>
                <w:color w:val="auto"/>
              </w:rPr>
              <w:t>such Closing Date, with respect to such matters as may be reasonably requested by the Underwriters.</w:t>
            </w:r>
          </w:p>
        </w:tc>
        <w:tc>
          <w:tcPr>
            <w:tcW w:w="1960" w:type="dxa"/>
            <w:vAlign w:val="bottom"/>
          </w:tcPr>
          <w:p>
            <w:pPr>
              <w:spacing w:after="0"/>
              <w:rPr>
                <w:sz w:val="14"/>
                <w:szCs w:val="14"/>
                <w:color w:val="auto"/>
              </w:rPr>
            </w:pPr>
          </w:p>
        </w:tc>
        <w:tc>
          <w:tcPr>
            <w:tcW w:w="2200" w:type="dxa"/>
            <w:vAlign w:val="bottom"/>
          </w:tcPr>
          <w:p>
            <w:pPr>
              <w:spacing w:after="0"/>
              <w:rPr>
                <w:sz w:val="14"/>
                <w:szCs w:val="14"/>
                <w:color w:val="auto"/>
              </w:rPr>
            </w:pPr>
          </w:p>
        </w:tc>
      </w:tr>
    </w:tbl>
    <w:p>
      <w:pPr>
        <w:spacing w:after="0" w:line="71" w:lineRule="exact"/>
        <w:rPr>
          <w:sz w:val="20"/>
          <w:szCs w:val="20"/>
          <w:color w:val="auto"/>
        </w:rPr>
      </w:pPr>
    </w:p>
    <w:p>
      <w:pPr>
        <w:ind w:right="120" w:firstLine="326"/>
        <w:spacing w:after="0" w:line="320" w:lineRule="auto"/>
        <w:tabs>
          <w:tab w:leader="none" w:pos="469"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 xml:space="preserve">Officers’ Certificate. </w:t>
      </w:r>
      <w:r>
        <w:rPr>
          <w:rFonts w:ascii="Arial" w:cs="Arial" w:eastAsia="Arial" w:hAnsi="Arial"/>
          <w:sz w:val="12"/>
          <w:szCs w:val="12"/>
          <w:color w:val="auto"/>
        </w:rPr>
        <w:t>On the Closing Date, the Representatives shall have received (i) a written certificate executed by the Chairman of the Board, the Chief Executive Officer or the President of the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and the Chief Financial Officer or Chief Accounting Officer of the Company, and (ii) a written certificate executed by an officer of each Guarantor, dated as of such Closing Date, to the effect that:</w:t>
      </w:r>
    </w:p>
    <w:p>
      <w:pPr>
        <w:spacing w:after="0" w:line="25" w:lineRule="exact"/>
        <w:rPr>
          <w:rFonts w:ascii="Arial" w:cs="Arial" w:eastAsia="Arial" w:hAnsi="Arial"/>
          <w:sz w:val="12"/>
          <w:szCs w:val="12"/>
          <w:color w:val="auto"/>
        </w:rPr>
      </w:pPr>
    </w:p>
    <w:p>
      <w:pPr>
        <w:ind w:left="220" w:right="160" w:firstLine="335"/>
        <w:spacing w:after="0" w:line="276" w:lineRule="auto"/>
        <w:tabs>
          <w:tab w:leader="none" w:pos="704" w:val="left"/>
        </w:tabs>
        <w:numPr>
          <w:ilvl w:val="1"/>
          <w:numId w:val="102"/>
        </w:numPr>
        <w:rPr>
          <w:rFonts w:ascii="Arial" w:cs="Arial" w:eastAsia="Arial" w:hAnsi="Arial"/>
          <w:sz w:val="13"/>
          <w:szCs w:val="13"/>
          <w:color w:val="auto"/>
        </w:rPr>
      </w:pPr>
      <w:r>
        <w:rPr>
          <w:rFonts w:ascii="Arial" w:cs="Arial" w:eastAsia="Arial" w:hAnsi="Arial"/>
          <w:sz w:val="13"/>
          <w:szCs w:val="13"/>
          <w:color w:val="auto"/>
        </w:rPr>
        <w:t>the representations, warranties and covenants of the Company and the Guarantors set forth in Section 1 of this Agreement are true and correct with the same force and effect as though expressly made on and as of such Closing Date; and</w:t>
      </w:r>
    </w:p>
    <w:p>
      <w:pPr>
        <w:spacing w:after="0" w:line="49" w:lineRule="exact"/>
        <w:rPr>
          <w:rFonts w:ascii="Arial" w:cs="Arial" w:eastAsia="Arial" w:hAnsi="Arial"/>
          <w:sz w:val="13"/>
          <w:szCs w:val="13"/>
          <w:color w:val="auto"/>
        </w:rPr>
      </w:pPr>
    </w:p>
    <w:p>
      <w:pPr>
        <w:ind w:left="740" w:hanging="185"/>
        <w:spacing w:after="0"/>
        <w:tabs>
          <w:tab w:leader="none" w:pos="740" w:val="left"/>
        </w:tabs>
        <w:numPr>
          <w:ilvl w:val="1"/>
          <w:numId w:val="102"/>
        </w:numPr>
        <w:rPr>
          <w:rFonts w:ascii="Arial" w:cs="Arial" w:eastAsia="Arial" w:hAnsi="Arial"/>
          <w:sz w:val="11"/>
          <w:szCs w:val="11"/>
          <w:color w:val="auto"/>
        </w:rPr>
      </w:pPr>
      <w:r>
        <w:rPr>
          <w:rFonts w:ascii="Arial" w:cs="Arial" w:eastAsia="Arial" w:hAnsi="Arial"/>
          <w:sz w:val="11"/>
          <w:szCs w:val="11"/>
          <w:color w:val="auto"/>
        </w:rPr>
        <w:t>each of the Company and the Guarantors has complied with all the agreements hereunder and satisfied all the conditions on its part to be performed or satisfied hereunder at or prior to such Closing Date.</w:t>
      </w:r>
    </w:p>
    <w:p>
      <w:pPr>
        <w:spacing w:after="0" w:line="109" w:lineRule="exact"/>
        <w:rPr>
          <w:rFonts w:ascii="Arial" w:cs="Arial" w:eastAsia="Arial" w:hAnsi="Arial"/>
          <w:sz w:val="11"/>
          <w:szCs w:val="11"/>
          <w:color w:val="auto"/>
        </w:rPr>
      </w:pPr>
    </w:p>
    <w:p>
      <w:pPr>
        <w:ind w:left="460" w:hanging="134"/>
        <w:spacing w:after="0"/>
        <w:tabs>
          <w:tab w:leader="none" w:pos="460" w:val="left"/>
        </w:tabs>
        <w:numPr>
          <w:ilvl w:val="0"/>
          <w:numId w:val="102"/>
        </w:numPr>
        <w:rPr>
          <w:rFonts w:ascii="Arial" w:cs="Arial" w:eastAsia="Arial" w:hAnsi="Arial"/>
          <w:sz w:val="13"/>
          <w:szCs w:val="13"/>
          <w:color w:val="auto"/>
        </w:rPr>
      </w:pPr>
      <w:r>
        <w:rPr>
          <w:rFonts w:ascii="Arial" w:cs="Arial" w:eastAsia="Arial" w:hAnsi="Arial"/>
          <w:sz w:val="13"/>
          <w:szCs w:val="13"/>
          <w:i w:val="1"/>
          <w:iCs w:val="1"/>
          <w:color w:val="auto"/>
        </w:rPr>
        <w:t>The Supplemental Indenture</w:t>
      </w:r>
      <w:r>
        <w:rPr>
          <w:rFonts w:ascii="Arial" w:cs="Arial" w:eastAsia="Arial" w:hAnsi="Arial"/>
          <w:sz w:val="13"/>
          <w:szCs w:val="13"/>
          <w:color w:val="auto"/>
        </w:rPr>
        <w:t>. The Company and the Guarantors shall have entered into the Supplemental Indenture and the Underwriters shall have received executed counterparts thereof.</w:t>
      </w:r>
    </w:p>
    <w:p>
      <w:pPr>
        <w:spacing w:after="0" w:line="86" w:lineRule="exact"/>
        <w:rPr>
          <w:rFonts w:ascii="Arial" w:cs="Arial" w:eastAsia="Arial" w:hAnsi="Arial"/>
          <w:sz w:val="13"/>
          <w:szCs w:val="13"/>
          <w:color w:val="auto"/>
        </w:rPr>
      </w:pPr>
    </w:p>
    <w:p>
      <w:pPr>
        <w:ind w:right="60" w:firstLine="326"/>
        <w:spacing w:after="0" w:line="276" w:lineRule="auto"/>
        <w:tabs>
          <w:tab w:leader="none" w:pos="440" w:val="left"/>
        </w:tabs>
        <w:numPr>
          <w:ilvl w:val="0"/>
          <w:numId w:val="102"/>
        </w:numPr>
        <w:rPr>
          <w:rFonts w:ascii="Arial" w:cs="Arial" w:eastAsia="Arial" w:hAnsi="Arial"/>
          <w:sz w:val="13"/>
          <w:szCs w:val="13"/>
          <w:color w:val="auto"/>
        </w:rPr>
      </w:pPr>
      <w:r>
        <w:rPr>
          <w:rFonts w:ascii="Arial" w:cs="Arial" w:eastAsia="Arial" w:hAnsi="Arial"/>
          <w:sz w:val="13"/>
          <w:szCs w:val="13"/>
          <w:i w:val="1"/>
          <w:iCs w:val="1"/>
          <w:color w:val="auto"/>
        </w:rPr>
        <w:t xml:space="preserve">No Objection. </w:t>
      </w:r>
      <w:r>
        <w:rPr>
          <w:rFonts w:ascii="Arial" w:cs="Arial" w:eastAsia="Arial" w:hAnsi="Arial"/>
          <w:sz w:val="13"/>
          <w:szCs w:val="13"/>
          <w:color w:val="auto"/>
        </w:rPr>
        <w:t>Either no filing with the Financial Industry Regulatory Authority, Inc. (“FINRA”) shall be required, or FINRA shall have confirmed that it has not raised any objection with respect to the fairness</w:t>
      </w:r>
      <w:r>
        <w:rPr>
          <w:rFonts w:ascii="Arial" w:cs="Arial" w:eastAsia="Arial" w:hAnsi="Arial"/>
          <w:sz w:val="13"/>
          <w:szCs w:val="13"/>
          <w:i w:val="1"/>
          <w:iCs w:val="1"/>
          <w:color w:val="auto"/>
        </w:rPr>
        <w:t xml:space="preserve"> </w:t>
      </w:r>
      <w:r>
        <w:rPr>
          <w:rFonts w:ascii="Arial" w:cs="Arial" w:eastAsia="Arial" w:hAnsi="Arial"/>
          <w:sz w:val="13"/>
          <w:szCs w:val="13"/>
          <w:color w:val="auto"/>
        </w:rPr>
        <w:t>and reasonableness of the underwriting terms and arrangements.</w:t>
      </w:r>
    </w:p>
    <w:p>
      <w:pPr>
        <w:spacing w:after="0" w:line="49" w:lineRule="exact"/>
        <w:rPr>
          <w:rFonts w:ascii="Arial" w:cs="Arial" w:eastAsia="Arial" w:hAnsi="Arial"/>
          <w:sz w:val="13"/>
          <w:szCs w:val="13"/>
          <w:color w:val="auto"/>
        </w:rPr>
      </w:pPr>
    </w:p>
    <w:p>
      <w:pPr>
        <w:ind w:right="20" w:firstLine="326"/>
        <w:spacing w:after="0" w:line="264" w:lineRule="auto"/>
        <w:tabs>
          <w:tab w:leader="none" w:pos="440" w:val="left"/>
        </w:tabs>
        <w:numPr>
          <w:ilvl w:val="0"/>
          <w:numId w:val="102"/>
        </w:numPr>
        <w:rPr>
          <w:rFonts w:ascii="Arial" w:cs="Arial" w:eastAsia="Arial" w:hAnsi="Arial"/>
          <w:sz w:val="13"/>
          <w:szCs w:val="13"/>
          <w:color w:val="auto"/>
        </w:rPr>
      </w:pPr>
      <w:r>
        <w:rPr>
          <w:rFonts w:ascii="Arial" w:cs="Arial" w:eastAsia="Arial" w:hAnsi="Arial"/>
          <w:sz w:val="13"/>
          <w:szCs w:val="13"/>
          <w:i w:val="1"/>
          <w:iCs w:val="1"/>
          <w:color w:val="auto"/>
        </w:rPr>
        <w:t>Additional Documents</w:t>
      </w:r>
      <w:r>
        <w:rPr>
          <w:rFonts w:ascii="Arial" w:cs="Arial" w:eastAsia="Arial" w:hAnsi="Arial"/>
          <w:sz w:val="13"/>
          <w:szCs w:val="13"/>
          <w:color w:val="auto"/>
        </w:rPr>
        <w:t>. On or before the Closing Date, the Representatives and counsel for the Underwriters shall have received such information, documents and opinions as they may reasonably require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4" w:name="page215"/>
    <w:bookmarkEnd w:id="214"/>
    <w:p>
      <w:pPr>
        <w:ind w:right="360" w:firstLine="164"/>
        <w:spacing w:after="0" w:line="320" w:lineRule="auto"/>
        <w:rPr>
          <w:sz w:val="20"/>
          <w:szCs w:val="20"/>
          <w:color w:val="auto"/>
        </w:rPr>
      </w:pPr>
      <w:r>
        <w:rPr>
          <w:rFonts w:ascii="Arial" w:cs="Arial" w:eastAsia="Arial" w:hAnsi="Arial"/>
          <w:sz w:val="12"/>
          <w:szCs w:val="12"/>
          <w:color w:val="auto"/>
        </w:rPr>
        <w:t>If any condition specified in this Section 5 is not satisfied when and as required to be satisfied, this Agreement may be terminated by the Representatives by notice to the Company at any time on or prior to the Closing Date, which termination shall be without liability on the part of any party to any other party, except that Sections 4, 6, 8, 9 and 17 shall at all times be effective and shall survive such termination.</w:t>
      </w:r>
    </w:p>
    <w:p>
      <w:pPr>
        <w:spacing w:after="0" w:line="25" w:lineRule="exact"/>
        <w:rPr>
          <w:sz w:val="20"/>
          <w:szCs w:val="20"/>
          <w:color w:val="auto"/>
        </w:rPr>
      </w:pPr>
    </w:p>
    <w:p>
      <w:pPr>
        <w:ind w:firstLine="164"/>
        <w:spacing w:after="0" w:line="316"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6. </w:t>
      </w:r>
      <w:r>
        <w:rPr>
          <w:rFonts w:ascii="Arial" w:cs="Arial" w:eastAsia="Arial" w:hAnsi="Arial"/>
          <w:sz w:val="11"/>
          <w:szCs w:val="11"/>
          <w:i w:val="1"/>
          <w:iCs w:val="1"/>
          <w:color w:val="auto"/>
        </w:rPr>
        <w:t>Reimbursement of Underwriters’ Expenses.</w:t>
      </w:r>
      <w:r>
        <w:rPr>
          <w:rFonts w:ascii="Arial" w:cs="Arial" w:eastAsia="Arial" w:hAnsi="Arial"/>
          <w:sz w:val="11"/>
          <w:szCs w:val="11"/>
          <w:color w:val="auto"/>
        </w:rPr>
        <w:t xml:space="preserve"> If this Agreement is terminated by the Representatives pursuant to Section 5, 11(i) (solely as it applies to a suspension or limitation in trading or quotation in any of the Company’s securities) or 11(iv), or if the sale to the Underwriters of the Securities on the Closing Date is not consummated because of any refusal, inability or failure on the part of the Company or any Guarantor to perform any agreement herein or to comply with any provision hereof, the Company and the Guarantors agree to reimburse the Representatives and the other Underwriters (or such Underwriters as have terminated this Agreement with respect to themselves), severally, upon demand for all reasonable out-of-pocket expenses that shall have been incurred by the Representatives and the Underwriters in connection with the proposed purchase and the offering and sale of the Securities, including but not limited to reasonable fees and disbursements of counsel, printing expenses, travel expenses, postage, facsimile and telephone charges.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 </w:t>
      </w:r>
      <w:r>
        <w:rPr>
          <w:rFonts w:ascii="Arial" w:cs="Arial" w:eastAsia="Arial" w:hAnsi="Arial"/>
          <w:sz w:val="13"/>
          <w:szCs w:val="13"/>
          <w:i w:val="1"/>
          <w:iCs w:val="1"/>
          <w:color w:val="auto"/>
        </w:rPr>
        <w:t>Certain Agreements of the Underwriters.</w:t>
      </w:r>
      <w:r>
        <w:rPr>
          <w:rFonts w:ascii="Arial" w:cs="Arial" w:eastAsia="Arial" w:hAnsi="Arial"/>
          <w:sz w:val="13"/>
          <w:szCs w:val="13"/>
          <w:color w:val="auto"/>
        </w:rPr>
        <w:t xml:space="preserve"> Each Underwriter hereby represents and agrees that:</w:t>
      </w:r>
    </w:p>
    <w:p>
      <w:pPr>
        <w:spacing w:after="0" w:line="86" w:lineRule="exact"/>
        <w:rPr>
          <w:sz w:val="20"/>
          <w:szCs w:val="20"/>
          <w:color w:val="auto"/>
        </w:rPr>
      </w:pPr>
    </w:p>
    <w:p>
      <w:pPr>
        <w:ind w:left="220" w:firstLine="172"/>
        <w:spacing w:after="0" w:line="316" w:lineRule="auto"/>
        <w:tabs>
          <w:tab w:leader="none" w:pos="598" w:val="left"/>
        </w:tabs>
        <w:numPr>
          <w:ilvl w:val="0"/>
          <w:numId w:val="103"/>
        </w:numPr>
        <w:rPr>
          <w:rFonts w:ascii="Arial" w:cs="Arial" w:eastAsia="Arial" w:hAnsi="Arial"/>
          <w:sz w:val="11"/>
          <w:szCs w:val="11"/>
          <w:color w:val="auto"/>
        </w:rPr>
      </w:pPr>
      <w:r>
        <w:rPr>
          <w:rFonts w:ascii="Arial" w:cs="Arial" w:eastAsia="Arial" w:hAnsi="Arial"/>
          <w:sz w:val="11"/>
          <w:szCs w:val="11"/>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free writing prospectus listed on Exhibit C (including any electronic road show or other written communications, in each case approved in writing in advance by the Representatives), or (iii) any free writing prospectus prepared by such underwriter and approved by the Company in writing in advance. Notwithstanding the foregoing, the Underwriters may use a term sheet substantially in the form of Exhibit B hereto without the consent of the Company.</w:t>
      </w:r>
    </w:p>
    <w:p>
      <w:pPr>
        <w:spacing w:after="0" w:line="32" w:lineRule="exact"/>
        <w:rPr>
          <w:rFonts w:ascii="Arial" w:cs="Arial" w:eastAsia="Arial" w:hAnsi="Arial"/>
          <w:sz w:val="11"/>
          <w:szCs w:val="11"/>
          <w:color w:val="auto"/>
        </w:rPr>
      </w:pPr>
    </w:p>
    <w:p>
      <w:pPr>
        <w:ind w:left="220" w:right="140" w:firstLine="172"/>
        <w:spacing w:after="0" w:line="276" w:lineRule="auto"/>
        <w:tabs>
          <w:tab w:leader="none" w:pos="591"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 </w:t>
      </w:r>
      <w:r>
        <w:rPr>
          <w:rFonts w:ascii="Arial" w:cs="Arial" w:eastAsia="Arial" w:hAnsi="Arial"/>
          <w:sz w:val="13"/>
          <w:szCs w:val="13"/>
          <w:i w:val="1"/>
          <w:iCs w:val="1"/>
          <w:color w:val="auto"/>
        </w:rPr>
        <w:t>Indemnification.</w:t>
      </w:r>
    </w:p>
    <w:p>
      <w:pPr>
        <w:spacing w:after="0" w:line="86" w:lineRule="exact"/>
        <w:rPr>
          <w:sz w:val="20"/>
          <w:szCs w:val="20"/>
          <w:color w:val="auto"/>
        </w:rPr>
      </w:pPr>
    </w:p>
    <w:p>
      <w:pPr>
        <w:ind w:firstLine="162"/>
        <w:spacing w:after="0" w:line="264" w:lineRule="auto"/>
        <w:tabs>
          <w:tab w:leader="none" w:pos="342" w:val="left"/>
        </w:tabs>
        <w:numPr>
          <w:ilvl w:val="0"/>
          <w:numId w:val="104"/>
        </w:numPr>
        <w:rPr>
          <w:rFonts w:ascii="Arial" w:cs="Arial" w:eastAsia="Arial" w:hAnsi="Arial"/>
          <w:sz w:val="13"/>
          <w:szCs w:val="13"/>
          <w:color w:val="auto"/>
        </w:rPr>
      </w:pPr>
      <w:r>
        <w:rPr>
          <w:rFonts w:ascii="Arial" w:cs="Arial" w:eastAsia="Arial" w:hAnsi="Arial"/>
          <w:sz w:val="13"/>
          <w:szCs w:val="13"/>
          <w:i w:val="1"/>
          <w:iCs w:val="1"/>
          <w:color w:val="auto"/>
        </w:rPr>
        <w:t xml:space="preserve">Indemnification of the Underwriters. </w:t>
      </w:r>
      <w:r>
        <w:rPr>
          <w:rFonts w:ascii="Arial" w:cs="Arial" w:eastAsia="Arial" w:hAnsi="Arial"/>
          <w:sz w:val="13"/>
          <w:szCs w:val="13"/>
          <w:color w:val="auto"/>
        </w:rPr>
        <w:t>Each of the Company and the Guarantors, jointly and severally, agree to indemnify and hold harmless each Underwriter, its directors, officers, employees and agents, and each</w:t>
      </w:r>
      <w:r>
        <w:rPr>
          <w:rFonts w:ascii="Arial" w:cs="Arial" w:eastAsia="Arial" w:hAnsi="Arial"/>
          <w:sz w:val="13"/>
          <w:szCs w:val="13"/>
          <w:i w:val="1"/>
          <w:iCs w:val="1"/>
          <w:color w:val="auto"/>
        </w:rPr>
        <w:t xml:space="preserve"> </w:t>
      </w:r>
      <w:r>
        <w:rPr>
          <w:rFonts w:ascii="Arial" w:cs="Arial" w:eastAsia="Arial" w:hAnsi="Arial"/>
          <w:sz w:val="13"/>
          <w:szCs w:val="13"/>
          <w:color w:val="auto"/>
        </w:rPr>
        <w:t>person, if any, who controls any Underwriter within the meaning of the Securities Act and the Exchange Act, against any loss, claim, damage, liability or expense, as incurred, to which such Underwriter or such director, officer, employee, agent or controlling person may become subject, under the Securities Act, the Exchange Act or other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15" w:name="page216"/>
    <w:bookmarkEnd w:id="215"/>
    <w:p>
      <w:pPr>
        <w:spacing w:after="0" w:line="301" w:lineRule="auto"/>
        <w:rPr>
          <w:sz w:val="20"/>
          <w:szCs w:val="20"/>
          <w:color w:val="auto"/>
        </w:rPr>
      </w:pPr>
      <w:r>
        <w:rPr>
          <w:rFonts w:ascii="Arial" w:cs="Arial" w:eastAsia="Arial" w:hAnsi="Arial"/>
          <w:sz w:val="11"/>
          <w:szCs w:val="11"/>
          <w:color w:val="auto"/>
        </w:rPr>
        <w:t>federal or state statutory law or regulation,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any omission or alleged omission to state therein a material fact necessary in order to make the statements therein, in the light of the circumstances under which they were made, not misleading; and to reimburse each Underwriter and</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 xml:space="preserve">each such director, officer, employee, agent and controlling person for any and all expenses (including the reasonable fees and disbursements of counsel chosen by ) as such expenses are reasonably incurred by such Underwriters or such director, officer, employee, agent or controlling person in connection with investigating, defending, settling, compromising or paying any such loss, claim, damage, liability, expense or action;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or on behalf of any Underwriter through the Representatives expressly for use in the Registration Statement (or any amendment thereto), the Prospectus (or any amendment or supplement thereto, any Issuer Free Writing Prospectus or any Time of Sale Information. The indemnity agreement set forth in this Section 8(a) shall be in addition to any liabilities that the Company may otherwise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5435600</wp:posOffset>
            </wp:positionH>
            <wp:positionV relativeFrom="paragraph">
              <wp:posOffset>-530860</wp:posOffset>
            </wp:positionV>
            <wp:extent cx="83185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line="29" w:lineRule="exact"/>
        <w:rPr>
          <w:sz w:val="20"/>
          <w:szCs w:val="20"/>
          <w:color w:val="auto"/>
        </w:rPr>
      </w:pPr>
    </w:p>
    <w:p>
      <w:pPr>
        <w:ind w:firstLine="162"/>
        <w:spacing w:after="0" w:line="300" w:lineRule="auto"/>
        <w:tabs>
          <w:tab w:leader="none" w:pos="349" w:val="left"/>
        </w:tabs>
        <w:numPr>
          <w:ilvl w:val="0"/>
          <w:numId w:val="105"/>
        </w:numPr>
        <w:rPr>
          <w:rFonts w:ascii="Arial" w:cs="Arial" w:eastAsia="Arial" w:hAnsi="Arial"/>
          <w:sz w:val="11"/>
          <w:szCs w:val="11"/>
          <w:color w:val="auto"/>
        </w:rPr>
      </w:pPr>
      <w:r>
        <w:rPr>
          <w:rFonts w:ascii="Arial" w:cs="Arial" w:eastAsia="Arial" w:hAnsi="Arial"/>
          <w:sz w:val="11"/>
          <w:szCs w:val="11"/>
          <w:i w:val="1"/>
          <w:iCs w:val="1"/>
          <w:color w:val="auto"/>
        </w:rPr>
        <w:t xml:space="preserve">Indemnification of the Company. </w:t>
      </w:r>
      <w:r>
        <w:rPr>
          <w:rFonts w:ascii="Arial" w:cs="Arial" w:eastAsia="Arial" w:hAnsi="Arial"/>
          <w:sz w:val="11"/>
          <w:szCs w:val="11"/>
          <w:color w:val="auto"/>
        </w:rPr>
        <w:t>Each Underwriter agrees, severally and not jointly, to indemnify and hold harmless the Company, each Guarantor, each of their respective directors, officers and employees and</w:t>
      </w:r>
      <w:r>
        <w:rPr>
          <w:rFonts w:ascii="Arial" w:cs="Arial" w:eastAsia="Arial" w:hAnsi="Arial"/>
          <w:sz w:val="11"/>
          <w:szCs w:val="11"/>
          <w:i w:val="1"/>
          <w:iCs w:val="1"/>
          <w:color w:val="auto"/>
        </w:rPr>
        <w:t xml:space="preserve"> </w:t>
      </w:r>
      <w:r>
        <w:rPr>
          <w:rFonts w:ascii="Arial" w:cs="Arial" w:eastAsia="Arial" w:hAnsi="Arial"/>
          <w:sz w:val="11"/>
          <w:szCs w:val="11"/>
          <w:color w:val="auto"/>
        </w:rPr>
        <w:t>each person, if any, who controls the Company or any Guarantor within the meaning of the Securities Act or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(or any amendment thereto), the Prospectus (or any amendment or supplement thereto), any Issuer Free Writing Prospectus or any Time of Sale Information; and to reimburse the Company, any Guarantor and each such director, officer, employee or controlling person for any and all expenses (including the reasonable fees and disbursements of their counsel) as such expenses are reasonably incurred by the Company, any Guarantor or such director, officer, employee or controlling person in connection with investigating, defending, settling, compromising or paying any such loss, claim, damage, liability, expense or action. Each of the Company and the Guarantors hereby acknowledges that the only information furnished to the Company by any Underwriter through the Representatives expressly for use in the Registration Statement (or any amendment thereto), the Prospectus (or any amendment or supplement</w:t>
      </w:r>
    </w:p>
    <w:p>
      <w:pPr>
        <w:spacing w:after="0" w:line="1" w:lineRule="exact"/>
        <w:rPr>
          <w:sz w:val="20"/>
          <w:szCs w:val="20"/>
          <w:color w:val="auto"/>
        </w:rPr>
      </w:pPr>
    </w:p>
    <w:p>
      <w:pPr>
        <w:spacing w:after="0"/>
        <w:tabs>
          <w:tab w:leader="none" w:pos="7580" w:val="left"/>
        </w:tabs>
        <w:rPr>
          <w:sz w:val="20"/>
          <w:szCs w:val="20"/>
          <w:color w:val="auto"/>
        </w:rPr>
      </w:pPr>
      <w:r>
        <w:rPr>
          <w:rFonts w:ascii="Arial" w:cs="Arial" w:eastAsia="Arial" w:hAnsi="Arial"/>
          <w:sz w:val="13"/>
          <w:szCs w:val="13"/>
          <w:color w:val="auto"/>
        </w:rPr>
        <w:t>thereto), any Issuer Free Writing Prospectus or any Time of Sale Information are the statements set forth in</w:t>
      </w:r>
      <w:r>
        <w:rPr>
          <w:sz w:val="20"/>
          <w:szCs w:val="20"/>
          <w:color w:val="auto"/>
        </w:rPr>
        <w:tab/>
      </w:r>
      <w:r>
        <w:rPr>
          <w:rFonts w:ascii="Arial" w:cs="Arial" w:eastAsia="Arial" w:hAnsi="Arial"/>
          <w:sz w:val="12"/>
          <w:szCs w:val="12"/>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-12065</wp:posOffset>
            </wp:positionV>
            <wp:extent cx="1247775"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47775" cy="6350"/>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6" w:name="page217"/>
    <w:bookmarkEnd w:id="216"/>
    <w:p>
      <w:pPr>
        <w:spacing w:after="0"/>
        <w:rPr>
          <w:sz w:val="20"/>
          <w:szCs w:val="20"/>
          <w:color w:val="auto"/>
        </w:rPr>
      </w:pPr>
      <w:r>
        <w:rPr>
          <w:rFonts w:ascii="Arial" w:cs="Arial" w:eastAsia="Arial" w:hAnsi="Arial"/>
          <w:sz w:val="13"/>
          <w:szCs w:val="13"/>
          <w:color w:val="auto"/>
        </w:rPr>
        <w:t>indemnity agreement set forth in this Section 8(b) shall be in addition to any liabilities that each Underwriter may otherwise have.</w:t>
      </w:r>
    </w:p>
    <w:p>
      <w:pPr>
        <w:spacing w:after="0" w:line="86" w:lineRule="exact"/>
        <w:rPr>
          <w:sz w:val="20"/>
          <w:szCs w:val="20"/>
          <w:color w:val="auto"/>
        </w:rPr>
      </w:pPr>
    </w:p>
    <w:p>
      <w:pPr>
        <w:ind w:firstLine="162"/>
        <w:spacing w:after="0" w:line="274" w:lineRule="auto"/>
        <w:tabs>
          <w:tab w:leader="none" w:pos="342" w:val="left"/>
        </w:tabs>
        <w:numPr>
          <w:ilvl w:val="0"/>
          <w:numId w:val="106"/>
        </w:numPr>
        <w:rPr>
          <w:rFonts w:ascii="Arial" w:cs="Arial" w:eastAsia="Arial" w:hAnsi="Arial"/>
          <w:sz w:val="12"/>
          <w:szCs w:val="12"/>
          <w:color w:val="auto"/>
        </w:rPr>
      </w:pPr>
      <w:r>
        <w:rPr>
          <w:rFonts w:ascii="Arial" w:cs="Arial" w:eastAsia="Arial" w:hAnsi="Arial"/>
          <w:sz w:val="12"/>
          <w:szCs w:val="12"/>
          <w:i w:val="1"/>
          <w:iCs w:val="1"/>
          <w:color w:val="auto"/>
        </w:rPr>
        <w:t xml:space="preserve">Notifications and Other Indemnification Procedures. </w:t>
      </w:r>
      <w:r>
        <w:rPr>
          <w:rFonts w:ascii="Arial" w:cs="Arial" w:eastAsia="Arial" w:hAnsi="Arial"/>
          <w:sz w:val="12"/>
          <w:szCs w:val="12"/>
          <w:color w:val="auto"/>
        </w:rPr>
        <w:t>Promptly after receipt by an indemnified party under this Section 8 of notice of the commencement of any action, such indemnified party will, if a claim in</w:t>
      </w:r>
      <w:r>
        <w:rPr>
          <w:rFonts w:ascii="Arial" w:cs="Arial" w:eastAsia="Arial" w:hAnsi="Arial"/>
          <w:sz w:val="12"/>
          <w:szCs w:val="12"/>
          <w:i w:val="1"/>
          <w:iCs w:val="1"/>
          <w:color w:val="auto"/>
        </w:rPr>
        <w:t xml:space="preserve"> </w:t>
      </w:r>
      <w:r>
        <w:rPr>
          <w:rFonts w:ascii="Arial" w:cs="Arial" w:eastAsia="Arial" w:hAnsi="Arial"/>
          <w:sz w:val="12"/>
          <w:szCs w:val="12"/>
          <w:color w:val="auto"/>
        </w:rPr>
        <w:t>respect thereof is to be made against an indemnifying party under this Section 8,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Section 8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to assume the defense thereof with counsel reasonably satisfactory to such indemnified party; provided, however, such indemnified party shall have the right to employ its own counsel in any such action and to participate in the defense thereof, but the fees and expenses of such counsel shall be at the expense of such indemnified party, unless: (i) the employment of such counsel has been specifically authorized in writing by the indemnifying party; (ii) the indemnifying party has failed promptly to assume the defense and employ counsel reasonably satisfactory to the indemnified party; or (iii) the named parties to any such action (including any impleaded parties) include both such indemnified party and the indemnifying party or any affiliate of the indemnifying party, and such indemnified party shall have reasonably concluded, based on advice from counsel, that either (x) there may be one or more legal defenses available to it which are different from or additional to those available to the indemnifying party or such affiliate of the indemnifying party or (y) a conflict may exist between such indemnified party and the indemnifying party or such affiliate of the indemnifying party (it being understood, however, that the indemnifying party shall not, in connection with any one such action or separate but substantially similar or related actions, be liable for the fees and expenses of more than one separate firm of attorneys (in addition to a single firm of local counsel) for all such indemnified parties, which firm shall be designated in writing by</w:t>
      </w:r>
    </w:p>
    <w:p>
      <w:pPr>
        <w:spacing w:after="0" w:line="4" w:lineRule="exact"/>
        <w:rPr>
          <w:rFonts w:ascii="Arial" w:cs="Arial" w:eastAsia="Arial" w:hAnsi="Arial"/>
          <w:sz w:val="12"/>
          <w:szCs w:val="12"/>
          <w:color w:val="auto"/>
        </w:rPr>
      </w:pPr>
    </w:p>
    <w:p>
      <w:pPr>
        <w:spacing w:after="0" w:line="256" w:lineRule="auto"/>
        <w:rPr>
          <w:rFonts w:ascii="Arial" w:cs="Arial" w:eastAsia="Arial" w:hAnsi="Arial"/>
          <w:sz w:val="12"/>
          <w:szCs w:val="12"/>
          <w:color w:val="auto"/>
        </w:rPr>
      </w:pPr>
      <w:r>
        <w:rPr>
          <w:rFonts w:ascii="Arial" w:cs="Arial" w:eastAsia="Arial" w:hAnsi="Arial"/>
          <w:sz w:val="13"/>
          <w:szCs w:val="13"/>
          <w:color w:val="auto"/>
        </w:rPr>
        <w:t>___and that all such reasonable fees and expenses shall be reimbursed as they are incurred).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the indemnified party shall have employed separate counsel in accordance with the proviso to the next preceding sentence, in which case the reasonable fees and expenses of counsel shall be at the expense of the indemnifying party.</w:t>
      </w:r>
    </w:p>
    <w:p>
      <w:pPr>
        <w:spacing w:after="0" w:line="62" w:lineRule="exact"/>
        <w:rPr>
          <w:rFonts w:ascii="Arial" w:cs="Arial" w:eastAsia="Arial" w:hAnsi="Arial"/>
          <w:sz w:val="12"/>
          <w:szCs w:val="12"/>
          <w:color w:val="auto"/>
        </w:rPr>
      </w:pPr>
    </w:p>
    <w:p>
      <w:pPr>
        <w:jc w:val="both"/>
        <w:ind w:firstLine="162"/>
        <w:spacing w:after="0" w:line="260" w:lineRule="auto"/>
        <w:tabs>
          <w:tab w:leader="none" w:pos="349" w:val="left"/>
        </w:tabs>
        <w:numPr>
          <w:ilvl w:val="0"/>
          <w:numId w:val="106"/>
        </w:numPr>
        <w:rPr>
          <w:rFonts w:ascii="Arial" w:cs="Arial" w:eastAsia="Arial" w:hAnsi="Arial"/>
          <w:sz w:val="13"/>
          <w:szCs w:val="13"/>
          <w:color w:val="auto"/>
        </w:rPr>
      </w:pPr>
      <w:r>
        <w:rPr>
          <w:rFonts w:ascii="Arial" w:cs="Arial" w:eastAsia="Arial" w:hAnsi="Arial"/>
          <w:sz w:val="13"/>
          <w:szCs w:val="13"/>
          <w:i w:val="1"/>
          <w:iCs w:val="1"/>
          <w:color w:val="auto"/>
        </w:rPr>
        <w:t xml:space="preserve">Settlements. </w:t>
      </w:r>
      <w:r>
        <w:rPr>
          <w:rFonts w:ascii="Arial" w:cs="Arial" w:eastAsia="Arial" w:hAnsi="Arial"/>
          <w:sz w:val="13"/>
          <w:szCs w:val="13"/>
          <w:color w:val="auto"/>
        </w:rPr>
        <w:t>The indemnifying party under this Section 8 shall not be liable for any settlement of any proceeding effected without its written consent, but if settled with such consent or if there be a final judgment</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agrees that 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17" w:name="page218"/>
    <w:bookmarkEnd w:id="217"/>
    <w:p>
      <w:pPr>
        <w:ind w:left="1"/>
        <w:spacing w:after="0"/>
        <w:rPr>
          <w:sz w:val="20"/>
          <w:szCs w:val="20"/>
          <w:color w:val="auto"/>
        </w:rPr>
      </w:pPr>
      <w:r>
        <w:rPr>
          <w:rFonts w:ascii="Arial" w:cs="Arial" w:eastAsia="Arial" w:hAnsi="Arial"/>
          <w:sz w:val="12"/>
          <w:szCs w:val="12"/>
          <w:color w:val="auto"/>
        </w:rPr>
        <w:t>shall be liable for any settlement of any proceeding effected without its written consent if (i) such settlement is entered into more than 30 days after receipt by such indemnifying party of the aforesaid request and</w:t>
      </w:r>
    </w:p>
    <w:p>
      <w:pPr>
        <w:spacing w:after="0" w:line="27" w:lineRule="exact"/>
        <w:rPr>
          <w:sz w:val="20"/>
          <w:szCs w:val="20"/>
          <w:color w:val="auto"/>
        </w:rPr>
      </w:pPr>
    </w:p>
    <w:p>
      <w:pPr>
        <w:ind w:left="1" w:right="40" w:hanging="1"/>
        <w:spacing w:after="0" w:line="298" w:lineRule="auto"/>
        <w:tabs>
          <w:tab w:leader="none" w:pos="194" w:val="left"/>
        </w:tabs>
        <w:numPr>
          <w:ilvl w:val="0"/>
          <w:numId w:val="107"/>
        </w:numPr>
        <w:rPr>
          <w:rFonts w:ascii="Arial" w:cs="Arial" w:eastAsia="Arial" w:hAnsi="Arial"/>
          <w:sz w:val="11"/>
          <w:szCs w:val="11"/>
          <w:color w:val="auto"/>
        </w:rPr>
      </w:pPr>
      <w:r>
        <w:rPr>
          <w:rFonts w:ascii="Arial" w:cs="Arial" w:eastAsia="Arial" w:hAnsi="Arial"/>
          <w:sz w:val="11"/>
          <w:szCs w:val="11"/>
          <w:color w:val="auto"/>
        </w:rPr>
        <w:t>such indemnifying party shall not have reimbursed the indemnified party in accordance with such request or disputed in good faith the indemnified party’s entitlement to such reimbursement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w:t>
      </w:r>
    </w:p>
    <w:p>
      <w:pPr>
        <w:ind w:left="1" w:right="60" w:hanging="1"/>
        <w:spacing w:after="0" w:line="264" w:lineRule="auto"/>
        <w:tabs>
          <w:tab w:leader="none" w:pos="158"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includes an unconditional release of such indemnified party from all liability on claims that are the subject matter of such action, suit or proceeding and (ii) does not include a statement as to or an admission of fault, culpability or a failure to act, by or on behalf of any indemnified party.</w:t>
      </w:r>
    </w:p>
    <w:p>
      <w:pPr>
        <w:spacing w:after="0" w:line="57" w:lineRule="exact"/>
        <w:rPr>
          <w:sz w:val="20"/>
          <w:szCs w:val="20"/>
          <w:color w:val="auto"/>
        </w:rPr>
      </w:pPr>
    </w:p>
    <w:p>
      <w:pPr>
        <w:ind w:left="1" w:right="40" w:firstLine="164"/>
        <w:spacing w:after="0" w:line="305"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9. </w:t>
      </w:r>
      <w:r>
        <w:rPr>
          <w:rFonts w:ascii="Arial" w:cs="Arial" w:eastAsia="Arial" w:hAnsi="Arial"/>
          <w:sz w:val="11"/>
          <w:szCs w:val="11"/>
          <w:i w:val="1"/>
          <w:iCs w:val="1"/>
          <w:color w:val="auto"/>
        </w:rPr>
        <w:t>Contribution.</w:t>
      </w:r>
      <w:r>
        <w:rPr>
          <w:rFonts w:ascii="Arial" w:cs="Arial" w:eastAsia="Arial" w:hAnsi="Arial"/>
          <w:sz w:val="11"/>
          <w:szCs w:val="11"/>
          <w:color w:val="auto"/>
        </w:rPr>
        <w:t xml:space="preserve"> If the indemnification provided for in Section 8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and the Guarantors, on the one hand, and the Underwriters, on the other hand, from the offering of the Securities pursuant to this Agreement or (ii) if the allocation provided by clause (i) above is not permitted by applicable law, in such proportion as is appropriate to reflect not only the relative benefits referred to in clause (i) above but also the relative fault of the Company and the Guarantors, on the one hand, and the Underwriters, on the other hand, in connection with the statements or omissions which resulted in such losses, claims, damages, liabilities or expenses, as well as any other relevant equitable considerations. The relative benefits received by the Company and the Guarantors,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Guarantors, and the total discount received by the Underwriters, in each case as set forth in the table on the cover of the Prospectus, bear to the aggregate initial offering price of the Securities. The relative fault of the Company and the Guarantors,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and the Guarantors, on the one hand, or the Underwriters, on the other hand, and the parties’ relative intent, knowledge, access to information and opportunity to correct or prevent such statement or omission.</w:t>
      </w:r>
    </w:p>
    <w:p>
      <w:pPr>
        <w:spacing w:after="0" w:line="40" w:lineRule="exact"/>
        <w:rPr>
          <w:sz w:val="20"/>
          <w:szCs w:val="20"/>
          <w:color w:val="auto"/>
        </w:rPr>
      </w:pPr>
    </w:p>
    <w:p>
      <w:pPr>
        <w:ind w:left="1" w:firstLine="161"/>
        <w:spacing w:after="0" w:line="264" w:lineRule="auto"/>
        <w:rPr>
          <w:sz w:val="20"/>
          <w:szCs w:val="20"/>
          <w:color w:val="auto"/>
        </w:rPr>
      </w:pPr>
      <w:r>
        <w:rPr>
          <w:rFonts w:ascii="Arial" w:cs="Arial" w:eastAsia="Arial" w:hAnsi="Arial"/>
          <w:sz w:val="13"/>
          <w:szCs w:val="13"/>
          <w:color w:val="auto"/>
        </w:rPr>
        <w:t>The amount paid or payable by a party as a result of the losses, claims, damages, liabilities and expenses referred to above shall be deemed to include, subject to the limitations set forth in Section 8(c), any reasonable legal or other fees or expenses reasonably incurred by such party in connection with investigating or defending any action or claim. The provisions set forth in Section 8 hereof with respect to notice of commencement of any action shall apply if a claim for contribution is to be made under this Section 9; provided, however, that no additional notice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18" w:name="page219"/>
    <w:bookmarkEnd w:id="218"/>
    <w:p>
      <w:pPr>
        <w:spacing w:after="0"/>
        <w:rPr>
          <w:sz w:val="20"/>
          <w:szCs w:val="20"/>
          <w:color w:val="auto"/>
        </w:rPr>
      </w:pPr>
      <w:r>
        <w:rPr>
          <w:rFonts w:ascii="Arial" w:cs="Arial" w:eastAsia="Arial" w:hAnsi="Arial"/>
          <w:sz w:val="13"/>
          <w:szCs w:val="13"/>
          <w:color w:val="auto"/>
        </w:rPr>
        <w:t>shall be required with respect to any action for which notice has been given under Section 8 hereof for purposes of indemnification.</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Company, the Guarantors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49"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Notwithstanding the provisions of this Section 9, no Underwriter shall be required to contribute any amount in excess of the amount by which the total underwriting discount received by such Underwriter in connection with the Securities underwritten by it and distributed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and not joint, in proportion to their respective underwriting commitments as set forth opposite their names in Schedule A. For purposes of this Section 9, each director, officer, employee and agent of an Underwriter and each person, if any, who controls an Underwriter within the meaning of the Securities Act and the Exchange Act shall have the same rights to contribution as such Underwriter, and each director, officer and employee of the Company or any Guarantor and each person, if any, who controls the Company or any Guarantor within the meaning of the Securities Act and the Exchange Act shall have the same rights to contribution as the Company and the Guarantors.</w:t>
      </w:r>
    </w:p>
    <w:p>
      <w:pPr>
        <w:spacing w:after="0" w:line="49"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10. </w:t>
      </w:r>
      <w:r>
        <w:rPr>
          <w:rFonts w:ascii="Arial" w:cs="Arial" w:eastAsia="Arial" w:hAnsi="Arial"/>
          <w:sz w:val="12"/>
          <w:szCs w:val="12"/>
          <w:i w:val="1"/>
          <w:iCs w:val="1"/>
          <w:color w:val="auto"/>
        </w:rPr>
        <w:t>Default of One or More of the Several Underwriters.</w:t>
      </w:r>
      <w:r>
        <w:rPr>
          <w:rFonts w:ascii="Arial" w:cs="Arial" w:eastAsia="Arial" w:hAnsi="Arial"/>
          <w:sz w:val="12"/>
          <w:szCs w:val="12"/>
          <w:color w:val="auto"/>
        </w:rPr>
        <w:t xml:space="preserve"> If, on the Closing Date, any one or more of the several Underwriters shall fail or refuse to purchase Securities that it or they have agreed to purchase hereunder on such date, and the aggregate principal amount of Securities which such defaulting Underwriter or Underwriters agreed but failed or refused to purchase does not exceed 10% of the aggregate principal amount of the Securities to be purchased on such date, the other Underwriters shall be obligated, severally, in the proportion that the aggregate principal amounts of such Securities set forth opposite their respective names on Schedule A bears to the aggregate principal amount of such Securities set forth opposite the names of all such non-defaulting Underwriters, or in such other proportions as may be specified by the Representatives with the consent of the non-defaulting Underwriters, to purchase such Securities which such defaulting Underwriter or Underwriters agreed but failed or refused to purchase on such date. If, on the Closing Date, any one or more of the Underwriters shall fail or refuse to purchase such Securities and the aggregate principal amount of such Securities with respect to which such default occurs exceeds 10% of the aggregate principal amount of Securities to be purchased on such date, and arrangements satisfactory to the Representatives and the Company for the purchase of such Securities are not made within 48 hours after such default, this Agreement shall terminate without liability of any party to any other party except that the provisions of Sections 4, 6, 8, 9 and 17 shall at all times be effective and shall survive such termination. In any such case, either the Representatives or the Company shall have the right to postpone the Closing Date, but in no event for longer than seven days in order that the required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19" w:name="page220"/>
    <w:bookmarkEnd w:id="219"/>
    <w:p>
      <w:pPr>
        <w:ind w:left="1"/>
        <w:spacing w:after="0"/>
        <w:rPr>
          <w:sz w:val="20"/>
          <w:szCs w:val="20"/>
          <w:color w:val="auto"/>
        </w:rPr>
      </w:pPr>
      <w:r>
        <w:rPr>
          <w:rFonts w:ascii="Arial" w:cs="Arial" w:eastAsia="Arial" w:hAnsi="Arial"/>
          <w:sz w:val="13"/>
          <w:szCs w:val="13"/>
          <w:color w:val="auto"/>
        </w:rPr>
        <w:t>changes, if any, to the Registration Statement or the Prospectus or any other documents or arrangements may be effected.</w:t>
      </w:r>
    </w:p>
    <w:p>
      <w:pPr>
        <w:spacing w:after="0" w:line="86" w:lineRule="exact"/>
        <w:rPr>
          <w:sz w:val="20"/>
          <w:szCs w:val="20"/>
          <w:color w:val="auto"/>
        </w:rPr>
      </w:pPr>
    </w:p>
    <w:p>
      <w:pPr>
        <w:ind w:left="1" w:right="140" w:firstLine="157"/>
        <w:spacing w:after="0" w:line="276" w:lineRule="auto"/>
        <w:rPr>
          <w:sz w:val="20"/>
          <w:szCs w:val="20"/>
          <w:color w:val="auto"/>
        </w:rPr>
      </w:pPr>
      <w:r>
        <w:rPr>
          <w:rFonts w:ascii="Arial" w:cs="Arial" w:eastAsia="Arial" w:hAnsi="Arial"/>
          <w:sz w:val="13"/>
          <w:szCs w:val="13"/>
          <w:color w:val="auto"/>
        </w:rPr>
        <w:t>As used in this Agreement, the term “Underwriter”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spacing w:after="0" w:line="49" w:lineRule="exact"/>
        <w:rPr>
          <w:sz w:val="20"/>
          <w:szCs w:val="20"/>
          <w:color w:val="auto"/>
        </w:rPr>
      </w:pPr>
    </w:p>
    <w:p>
      <w:pPr>
        <w:ind w:left="1" w:firstLine="164"/>
        <w:spacing w:after="0" w:line="27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11. </w:t>
      </w:r>
      <w:r>
        <w:rPr>
          <w:rFonts w:ascii="Arial" w:cs="Arial" w:eastAsia="Arial" w:hAnsi="Arial"/>
          <w:sz w:val="12"/>
          <w:szCs w:val="12"/>
          <w:i w:val="1"/>
          <w:iCs w:val="1"/>
          <w:color w:val="auto"/>
        </w:rPr>
        <w:t>Termination of this Agreement.</w:t>
      </w:r>
      <w:r>
        <w:rPr>
          <w:rFonts w:ascii="Arial" w:cs="Arial" w:eastAsia="Arial" w:hAnsi="Arial"/>
          <w:sz w:val="12"/>
          <w:szCs w:val="12"/>
          <w:color w:val="auto"/>
        </w:rPr>
        <w:t xml:space="preserve"> Prior to the Closing Date, this Agreement may be terminated by the Representatives by notice given to the Company if at any time (i) trading or quotation in any of the Company’s securities shall have been suspended or limited by the Commission or the New York Stock Exchange, or trading in securities generally on either the Nasdaq Stock Market or the New York Stock Exchange shall have been suspended or limited, or minimum or maximum prices shall have been generally established on any of such stock exchanges by the Commission or FINRA; (ii) a general banking moratorium shall have been declared by any of federal or New York authorities; (iii) there shall have occurred any outbreak or escalation of national or international hostilities or any crisis or calamity involving the United States,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or inadvisable to market the Securities in the manner and on the terms described in the Time of Sale Information or the Prospectus or to enforce contracts for the sale of securities; (iv) in the judgment of the Representatives there shall have occurred any Material Adverse Change; or (v) there shall have occurred a material disruption in commercial banking or securities settlement or clearance services. Any termination pursuant to this Section 11 shall be without liability of any party to any other party except as provided in Sections 4 and 6 hereof, and provided further that Sections 4, 6, 8, 9 and 17 shall survive such termination and remain in full force and effect.</w:t>
      </w:r>
    </w:p>
    <w:p>
      <w:pPr>
        <w:spacing w:after="0" w:line="50" w:lineRule="exact"/>
        <w:rPr>
          <w:sz w:val="20"/>
          <w:szCs w:val="20"/>
          <w:color w:val="auto"/>
        </w:rPr>
      </w:pPr>
    </w:p>
    <w:p>
      <w:pPr>
        <w:ind w:left="1" w:right="40" w:firstLine="164"/>
        <w:spacing w:after="0" w:line="303"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12. </w:t>
      </w:r>
      <w:r>
        <w:rPr>
          <w:rFonts w:ascii="Arial" w:cs="Arial" w:eastAsia="Arial" w:hAnsi="Arial"/>
          <w:sz w:val="11"/>
          <w:szCs w:val="11"/>
          <w:i w:val="1"/>
          <w:iCs w:val="1"/>
          <w:color w:val="auto"/>
        </w:rPr>
        <w:t>No Fiduciary Duty</w:t>
      </w:r>
      <w:r>
        <w:rPr>
          <w:rFonts w:ascii="Arial" w:cs="Arial" w:eastAsia="Arial" w:hAnsi="Arial"/>
          <w:sz w:val="11"/>
          <w:szCs w:val="11"/>
          <w:color w:val="auto"/>
        </w:rPr>
        <w:t>. Each of the Company and the Guarantors acknowledges and agrees that: (i) the purchase and sale of the Securities pursuant to this Agreement, including the determination of the public offering price of the Securities and any related discounts and commissions, is an arm’s-length commercial transaction between the Company and the Guarantors, on the one hand, and the several Underwriters, on the other hand, and each of the Company and the Guarantors is capable of evaluating and understanding and understands and accepts the terms, risks and conditions of the transactions contemplated by this Agreement;</w:t>
      </w:r>
    </w:p>
    <w:p>
      <w:pPr>
        <w:ind w:left="1" w:right="20" w:hanging="1"/>
        <w:spacing w:after="0" w:line="281" w:lineRule="auto"/>
        <w:tabs>
          <w:tab w:leader="none" w:pos="194" w:val="left"/>
        </w:tabs>
        <w:numPr>
          <w:ilvl w:val="0"/>
          <w:numId w:val="109"/>
        </w:numPr>
        <w:rPr>
          <w:rFonts w:ascii="Arial" w:cs="Arial" w:eastAsia="Arial" w:hAnsi="Arial"/>
          <w:sz w:val="12"/>
          <w:szCs w:val="12"/>
          <w:color w:val="auto"/>
        </w:rPr>
      </w:pPr>
      <w:r>
        <w:rPr>
          <w:rFonts w:ascii="Arial" w:cs="Arial" w:eastAsia="Arial" w:hAnsi="Arial"/>
          <w:sz w:val="12"/>
          <w:szCs w:val="12"/>
          <w:color w:val="auto"/>
        </w:rPr>
        <w:t>in connection with each transaction contemplated hereby and the process leading to such transaction each Underwriter is and has been acting solely as a principal and is not the financial advisor, agent or fiduciary of the Company, the Guarantors or their respective affiliates, stockholders, creditors or employees or any other party; (iii) no Underwriter has assumed or will assume an advisory, agency or fiduciary responsibility in favor of the Company or the Guarantors with respect to any of the transactions contemplated hereby or the process leading thereto (irrespective of whether such Underwriter has advised or is currently advising the Company or any of the Guarantors on other matters) and no Underwriter has any obligation to the Company or the Guarantors with respect to the offering contemplated hereby except the obligations expressly set forth in this Agreement; (iv) the several Underwriters and their respective affiliates may be engaged in a broad range of transactions that involve interests that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20" w:name="page221"/>
    <w:bookmarkEnd w:id="220"/>
    <w:p>
      <w:pPr>
        <w:jc w:val="both"/>
        <w:ind w:right="440"/>
        <w:spacing w:after="0" w:line="264" w:lineRule="auto"/>
        <w:rPr>
          <w:sz w:val="20"/>
          <w:szCs w:val="20"/>
          <w:color w:val="auto"/>
        </w:rPr>
      </w:pPr>
      <w:r>
        <w:rPr>
          <w:rFonts w:ascii="Arial" w:cs="Arial" w:eastAsia="Arial" w:hAnsi="Arial"/>
          <w:sz w:val="13"/>
          <w:szCs w:val="13"/>
          <w:color w:val="auto"/>
        </w:rPr>
        <w:t>differ from those of the Company and the Guarantors and that the several Underwriters have no obligation to disclose any of such interests by virtue of any advisory, agency or fiduciary relationship; and (v) the Underwriters have not provided any legal, accounting, regulatory or tax advice with respect to the offering contemplated hereby and the Company and the Guarantors have consulted their own legal, accounting, regulatory and tax advisors to the extent they deemed appropriate.</w:t>
      </w:r>
    </w:p>
    <w:p>
      <w:pPr>
        <w:spacing w:after="0" w:line="57"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This Agreement supersedes all prior agreements and understandings (whether written or oral) between the Company, the Guarantors and the several Underwriters with respect to the subject matter hereof. Each of the Company and the Guarantors hereby waives and releases, to the fullest extent permitted by law, any claims that the Company or the Guarantors may have against the several Underwriters with respect to any breach or alleged breach of agency or fiduciary duty.</w:t>
      </w:r>
    </w:p>
    <w:p>
      <w:pPr>
        <w:spacing w:after="0" w:line="57" w:lineRule="exact"/>
        <w:rPr>
          <w:sz w:val="20"/>
          <w:szCs w:val="20"/>
          <w:color w:val="auto"/>
        </w:rPr>
      </w:pPr>
    </w:p>
    <w:p>
      <w:pPr>
        <w:ind w:right="40" w:firstLine="164"/>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13. </w:t>
      </w:r>
      <w:r>
        <w:rPr>
          <w:rFonts w:ascii="Arial" w:cs="Arial" w:eastAsia="Arial" w:hAnsi="Arial"/>
          <w:sz w:val="13"/>
          <w:szCs w:val="13"/>
          <w:i w:val="1"/>
          <w:iCs w:val="1"/>
          <w:color w:val="auto"/>
        </w:rPr>
        <w:t>Representations and Indemnities to Survive Delivery.</w:t>
      </w:r>
      <w:r>
        <w:rPr>
          <w:rFonts w:ascii="Arial" w:cs="Arial" w:eastAsia="Arial" w:hAnsi="Arial"/>
          <w:sz w:val="13"/>
          <w:szCs w:val="13"/>
          <w:color w:val="auto"/>
        </w:rPr>
        <w:t xml:space="preserve"> The respective indemnities, agreements, representations, warranties and other statements of the Company, the Guarantors, their respective officers and of the several Underwriters set forth in or made pursuant to this Agreement (i) will remain operative and in full force and effect, regardless of any (A) investigation, or statement as to the results thereof, made by or on behalf of any Underwriter, the officers or employees of any Underwriters, or any person controlling the Underwriter, the Company, the officers or employees of the Company, or any person controlling the Company or any Guarantor, as the case may be or (B) acceptance of the Securities and payment for them hereunder and (ii) will survive delivery of and payment for the Securities sold hereunder and any termination of this Agreement.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14. </w:t>
      </w:r>
      <w:r>
        <w:rPr>
          <w:rFonts w:ascii="Arial" w:cs="Arial" w:eastAsia="Arial" w:hAnsi="Arial"/>
          <w:sz w:val="13"/>
          <w:szCs w:val="13"/>
          <w:i w:val="1"/>
          <w:iCs w:val="1"/>
          <w:color w:val="auto"/>
        </w:rPr>
        <w:t>Notices.</w:t>
      </w:r>
      <w:r>
        <w:rPr>
          <w:rFonts w:ascii="Arial" w:cs="Arial" w:eastAsia="Arial" w:hAnsi="Arial"/>
          <w:sz w:val="13"/>
          <w:szCs w:val="13"/>
          <w:color w:val="auto"/>
        </w:rPr>
        <w:t xml:space="preserve"> All communications hereunder shall be in writing and shall be mailed, hand delivered or telecopied and confirmed to the parties hereto as follows: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to the Representatives: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[Name of Representative]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[address]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[address]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[Name of Representative]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[address]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[address]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 a copy to:</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[Name]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[address]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[address]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21" w:name="page222"/>
    <w:bookmarkEnd w:id="221"/>
    <w:p>
      <w:pPr>
        <w:ind w:left="680"/>
        <w:spacing w:after="0"/>
        <w:rPr>
          <w:sz w:val="20"/>
          <w:szCs w:val="20"/>
          <w:color w:val="auto"/>
        </w:rPr>
      </w:pPr>
      <w:r>
        <w:rPr>
          <w:rFonts w:ascii="Arial" w:cs="Arial" w:eastAsia="Arial" w:hAnsi="Arial"/>
          <w:sz w:val="13"/>
          <w:szCs w:val="13"/>
          <w:color w:val="auto"/>
        </w:rPr>
        <w:t>[Facsimile:]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to the Company:</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Republic Services,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18500 North Allied Way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 85054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Fax No.: (480) 627-7150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Michael P. Rissman, Executive Vice President and General Counsel</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 a copy to:</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Mayer Brown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71 South Wacker Drive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Chicago, Illinois 60606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Fax No.: (312) 701-7711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Jodi Simala</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Any party hereto may change the address for receipt of communications by giving written notice to the others.</w:t>
      </w:r>
    </w:p>
    <w:p>
      <w:pPr>
        <w:spacing w:after="0" w:line="86"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15. </w:t>
      </w:r>
      <w:r>
        <w:rPr>
          <w:rFonts w:ascii="Arial" w:cs="Arial" w:eastAsia="Arial" w:hAnsi="Arial"/>
          <w:sz w:val="13"/>
          <w:szCs w:val="13"/>
          <w:i w:val="1"/>
          <w:iCs w:val="1"/>
          <w:color w:val="auto"/>
        </w:rPr>
        <w:t>Successors.</w:t>
      </w:r>
      <w:r>
        <w:rPr>
          <w:rFonts w:ascii="Arial" w:cs="Arial" w:eastAsia="Arial" w:hAnsi="Arial"/>
          <w:sz w:val="13"/>
          <w:szCs w:val="13"/>
          <w:color w:val="auto"/>
        </w:rPr>
        <w:t xml:space="preserve"> This Agreement will inure to the benefit of and be binding upon the parties hereto, including any substitute Underwriters pursuant to Section 10 hereof, and to the benefit of the directors, officers, employees, agents and controlling persons referred to in Sections 8 and 9, and in each case their respective successors, and no other person will have any right or obligation hereunder. The term “successors” shall not include any purchaser of the Securities as such from any of the Underwriters merely by reason of such purchase.</w:t>
      </w:r>
    </w:p>
    <w:p>
      <w:pPr>
        <w:spacing w:after="0" w:line="57" w:lineRule="exact"/>
        <w:rPr>
          <w:sz w:val="20"/>
          <w:szCs w:val="20"/>
          <w:color w:val="auto"/>
        </w:rPr>
      </w:pPr>
    </w:p>
    <w:p>
      <w:pPr>
        <w:jc w:val="both"/>
        <w:ind w:right="280" w:firstLine="164"/>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16. </w:t>
      </w:r>
      <w:r>
        <w:rPr>
          <w:rFonts w:ascii="Arial" w:cs="Arial" w:eastAsia="Arial" w:hAnsi="Arial"/>
          <w:sz w:val="13"/>
          <w:szCs w:val="13"/>
          <w:i w:val="1"/>
          <w:iCs w:val="1"/>
          <w:color w:val="auto"/>
        </w:rPr>
        <w:t>Partial Unenforceability.</w:t>
      </w:r>
      <w:r>
        <w:rPr>
          <w:rFonts w:ascii="Arial" w:cs="Arial" w:eastAsia="Arial" w:hAnsi="Arial"/>
          <w:sz w:val="13"/>
          <w:szCs w:val="13"/>
          <w:color w:val="auto"/>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57" w:lineRule="exact"/>
        <w:rPr>
          <w:sz w:val="20"/>
          <w:szCs w:val="20"/>
          <w:color w:val="auto"/>
        </w:rPr>
      </w:pPr>
    </w:p>
    <w:p>
      <w:pPr>
        <w:jc w:val="both"/>
        <w:ind w:firstLine="164"/>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17. </w:t>
      </w:r>
      <w:r>
        <w:rPr>
          <w:rFonts w:ascii="Arial" w:cs="Arial" w:eastAsia="Arial" w:hAnsi="Arial"/>
          <w:sz w:val="13"/>
          <w:szCs w:val="13"/>
          <w:i w:val="1"/>
          <w:iCs w:val="1"/>
          <w:color w:val="auto"/>
        </w:rPr>
        <w:t>Governing Law Provisions.</w:t>
      </w:r>
      <w:r>
        <w:rPr>
          <w:rFonts w:ascii="Arial" w:cs="Arial" w:eastAsia="Arial" w:hAnsi="Arial"/>
          <w:sz w:val="13"/>
          <w:szCs w:val="13"/>
          <w:color w:val="auto"/>
        </w:rPr>
        <w:t xml:space="preserve"> THIS AGREEMENT SHALL BE GOVERNED BY, AND CONSTRUED AND INTERPRETED IN ACCORDANCE WITH, THE INTERNAL LAWS OF THE STATE OF NEW YORK APPLICABLE TO AGREEMENTS MADE AND TO BE PERFORMED IN THAT STATE.</w:t>
      </w:r>
    </w:p>
    <w:p>
      <w:pPr>
        <w:spacing w:after="0" w:line="49"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18. </w:t>
      </w:r>
      <w:r>
        <w:rPr>
          <w:rFonts w:ascii="Arial" w:cs="Arial" w:eastAsia="Arial" w:hAnsi="Arial"/>
          <w:sz w:val="13"/>
          <w:szCs w:val="13"/>
          <w:i w:val="1"/>
          <w:iCs w:val="1"/>
          <w:color w:val="auto"/>
        </w:rPr>
        <w:t>General Provisions.</w:t>
      </w:r>
      <w:r>
        <w:rPr>
          <w:rFonts w:ascii="Arial" w:cs="Arial" w:eastAsia="Arial" w:hAnsi="Arial"/>
          <w:sz w:val="13"/>
          <w:szCs w:val="13"/>
          <w:color w:val="auto"/>
        </w:rPr>
        <w:t xml:space="preserve">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sectPr>
      </w:pPr>
    </w:p>
    <w:bookmarkStart w:id="222" w:name="page223"/>
    <w:bookmarkEnd w:id="222"/>
    <w:p>
      <w:pPr>
        <w:spacing w:after="0"/>
        <w:rPr>
          <w:sz w:val="20"/>
          <w:szCs w:val="20"/>
          <w:color w:val="auto"/>
        </w:rPr>
      </w:pPr>
      <w:r>
        <w:rPr>
          <w:rFonts w:ascii="Arial" w:cs="Arial" w:eastAsia="Arial" w:hAnsi="Arial"/>
          <w:sz w:val="11"/>
          <w:szCs w:val="11"/>
          <w:color w:val="auto"/>
        </w:rPr>
        <w:t>benefit. The Section headings herein are for the convenience of the parties only and shall not affect the construction or interpretation of this Agreement.</w:t>
      </w:r>
    </w:p>
    <w:p>
      <w:pPr>
        <w:sectPr>
          <w:pgSz w:w="11900" w:h="16838" w:orient="portrait"/>
          <w:cols w:equalWidth="0" w:num="1">
            <w:col w:w="10239"/>
          </w:cols>
          <w:pgMar w:left="220" w:top="720" w:right="1440" w:bottom="1440" w:gutter="0" w:footer="0" w:header="0"/>
        </w:sectPr>
      </w:pPr>
    </w:p>
    <w:p>
      <w:pPr>
        <w:spacing w:after="0" w:line="168"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90435"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type w:val="continuous"/>
        </w:sectPr>
      </w:pPr>
    </w:p>
    <w:bookmarkStart w:id="223" w:name="page224"/>
    <w:bookmarkEnd w:id="223"/>
    <w:p>
      <w:pPr>
        <w:ind w:firstLine="164"/>
        <w:spacing w:after="0" w:line="276" w:lineRule="auto"/>
        <w:rPr>
          <w:sz w:val="20"/>
          <w:szCs w:val="20"/>
          <w:color w:val="auto"/>
        </w:rPr>
      </w:pPr>
      <w:r>
        <w:rPr>
          <w:rFonts w:ascii="Arial" w:cs="Arial" w:eastAsia="Arial" w:hAnsi="Arial"/>
          <w:sz w:val="13"/>
          <w:szCs w:val="13"/>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28"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REPUBLIC SERVICES, INC.</w:t>
      </w:r>
    </w:p>
    <w:p>
      <w:pPr>
        <w:spacing w:after="0" w:line="165" w:lineRule="exact"/>
        <w:rPr>
          <w:sz w:val="20"/>
          <w:szCs w:val="20"/>
          <w:color w:val="auto"/>
        </w:rPr>
      </w:pPr>
    </w:p>
    <w:p>
      <w:pPr>
        <w:jc w:val="center"/>
        <w:ind w:right="4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10795</wp:posOffset>
            </wp:positionV>
            <wp:extent cx="2715260"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15260" cy="635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Title:</w:t>
      </w:r>
    </w:p>
    <w:p>
      <w:pPr>
        <w:spacing w:after="0" w:line="311"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GUARANTORS:</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623 LANDFILL,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 D A J CORPORATION</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ACTION DISPOSAL,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ADA COUNTY DEVELOPMENT COMPANY,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ADRIAN LANDFILL,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ADS OF ILLINOIS,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ADS,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AGRICULTURAL ACQUISITIONS, LLC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AGRI-TECH, INC. OF OREGON</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ALABAMA RECYCLING SERVICES,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ALBANY — LEBANON SANITATION,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ACQUISITION PENNSYLVANIA,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ACQUISITION TWO,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ENVIROENGINEERING,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GAS RECOVERY SYSTEMS, L.L.C.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GREEN POWER,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NOVA SCOTIA,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SERVICES, LLC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TRANSFER SYSTEMS OF NEW JERSEY, LLC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ALABAMA,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COMPANY,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ENVIRONMENTAL MANAGEMENT GROUP, LLC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HAULING OF GEORGIA,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HOLDINGS (CANADA) LTD.</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INDUSTRIES (ARIZONA),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INDUSTRIES (NEW MEXICO),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INDUSTRIES (SOUTHWEST),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INDUSTRIES OF GEORGIA,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INDUSTRIES OF ILLINOIS,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INDUSTRIES OF NORTHWEST INDIANA,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INDUSTRIES OF TENNESSEE,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INDUSTRIES,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LANDFILL HOLDINGS, INC.</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ALLIED WASTE NIAGARA FALLS LANDFILL, LLC</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21" w:right="459" w:bottom="1440" w:gutter="0" w:footer="0" w:header="0"/>
        </w:sectPr>
      </w:pPr>
    </w:p>
    <w:bookmarkStart w:id="224" w:name="page225"/>
    <w:bookmarkEnd w:id="224"/>
    <w:p>
      <w:pPr>
        <w:ind w:left="3940"/>
        <w:spacing w:after="0"/>
        <w:rPr>
          <w:sz w:val="20"/>
          <w:szCs w:val="20"/>
          <w:color w:val="auto"/>
        </w:rPr>
      </w:pPr>
      <w:r>
        <w:rPr>
          <w:rFonts w:ascii="Arial" w:cs="Arial" w:eastAsia="Arial" w:hAnsi="Arial"/>
          <w:sz w:val="13"/>
          <w:szCs w:val="13"/>
          <w:color w:val="auto"/>
        </w:rPr>
        <w:t>ALLIED WASTE NORTH AMERICA, INC.</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OF CALIFORNIA,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OF LONG ISLAND,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OF NEW JERSEY,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OF NEW JERSEY-NEW YORK,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ALLIED WASTE RECYCLING SERVICES OF NEW HAMPSHIRE, LLC</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RURAL SANITATION,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SERVICES OF COLORADO,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SERVICES OF MASSACHUSETTS,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SERVICES OF NORTH AMERICA,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SERVICES OF PAGE,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SERVICES OF STILLWATER,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SYCAMORE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SYSTEMS HOLDINGS,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SYSTEMS OF ARIZONA,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SYSTEMS OF COLORADO,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SYSTEMS OF INDIANA,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SYSTEMS OF MICHIGAN,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SYSTEMS OF MONTANA,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SYSTEMS OF NEW JERSEY,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SYSTEMS OF NORTH CAROLINA,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SYSTEMS OF PENNSYLVANIA,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SYSTEMS,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TRANSFER SERVICES OF ARIZONA,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TRANSFER SERVICES OF CALIFORNIA,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TRANSFER SERVICES OF FLORIDA,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TRANSFER SERVICES OF IOWA,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TRANSFER SERVICES OF LIMA,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TRANSFER SERVICES OF NEW YORK,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ALLIED WASTE TRANSFER SERVICES OF NORTH CAROLINA, LLC</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TRANSFER SERVICES OF OREGON,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TRANSFER SERVICES OF RHODE ISLAND,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TRANSFER SERVICES OF UTAH,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ALLIED WASTE TRANSPORTATION,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AMERICAN DISPOSAL SERVICES OF ILLINOIS,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AMERICAN DISPOSAL SERVICES OF KANSAS,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AMERICAN DISPOSAL SERVICES OF MISSOURI, INC.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5" w:name="page226"/>
    <w:bookmarkEnd w:id="225"/>
    <w:p>
      <w:pPr>
        <w:ind w:left="3940"/>
        <w:spacing w:after="0"/>
        <w:rPr>
          <w:sz w:val="20"/>
          <w:szCs w:val="20"/>
          <w:color w:val="auto"/>
        </w:rPr>
      </w:pPr>
      <w:r>
        <w:rPr>
          <w:rFonts w:ascii="Arial" w:cs="Arial" w:eastAsia="Arial" w:hAnsi="Arial"/>
          <w:sz w:val="13"/>
          <w:szCs w:val="13"/>
          <w:color w:val="auto"/>
        </w:rPr>
        <w:t>AMERICAN DISPOSAL SERVICES OF NEW JERSEY, INC.</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AMERICAN DISPOSAL SERVICES OF WEST VIRGINIA,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AMERICAN DISPOSAL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AMERICAN DISPOSAL TRANSFER SERVICES OF ILLINOIS, INC.</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AMERICAN MATERIALS RECYCLING CORP.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AMERICAN SANITATION,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AMERICAN TRANSFER COMPANY,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ANSON COUNTY LANDFILL NC,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APACHE JUNCTION LANDFILL CORPORATION</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ARC DISPOSAL COMPANY,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AREA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ARIANA,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ATLANTIC WASTE HOLDING COMPANY,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ATLAS TRANSPORT,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ATTWOODS OF NORTH AMERICA,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AUTAUGA COUNTY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AUTOMATED MODULAR SYSTEMS,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AUTOSHRED,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AWIN LEASING COMPANY,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AWIN LEASING II,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AWIN MANAGEMENT,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BARKER BROTHERS WASTE, INCORPORATED</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BAY COLLECTION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BAY ENVIRONMENTAL MANAGEMENT,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BAY LANDFILLS,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BAY LEASING COMPANY,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BBCO,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BELLEVILLE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BERKELEY SANITARY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BFGSI,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ATLANTIC,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ENERGY SYSTEMS OF ALBANY,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ENERGY SYSTEMS OF DELAWARE COUNTY,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ENERGY SYSTEMS OF ESSEX COUNTY,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ENERGY SYSTEMS OF HEMPSTEAD,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ENERGY SYSTEMS OF NIAGARA II,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ENERGY SYSTEMS OF NIAGARA,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ENERGY SYSTEMS OF SEMASS,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BFI ENERGY SYSTEMS OF SOUTHEASTERN CONNECTICUT, INC.</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INTERNATIONAL,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REF-FUEL,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TRANS RIVER (GP),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TRANSFER SYSTEMS OF ALABAMA,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TRANSFER SYSTEMS OF DC,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TRANSFER SYSTEMS OF GEORGIA,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TRANSFER SYSTEMS OF MARYLAND, LLC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6" w:name="page227"/>
    <w:bookmarkEnd w:id="226"/>
    <w:p>
      <w:pPr>
        <w:ind w:left="3940"/>
        <w:spacing w:after="0"/>
        <w:rPr>
          <w:sz w:val="20"/>
          <w:szCs w:val="20"/>
          <w:color w:val="auto"/>
        </w:rPr>
      </w:pPr>
      <w:r>
        <w:rPr>
          <w:rFonts w:ascii="Arial" w:cs="Arial" w:eastAsia="Arial" w:hAnsi="Arial"/>
          <w:sz w:val="13"/>
          <w:szCs w:val="13"/>
          <w:color w:val="auto"/>
        </w:rPr>
        <w:t>BFI TRANSFER SYSTEMS OF MASSACHUSETTS, LLC</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TRANSFER SYSTEMS OF MISSISSIPPI,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TRANSFER SYSTEMS OF NEW JERSEY,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TRANSFER SYSTEMS OF PENNSYLVANIA,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TRANSFER SYSTEMS OF VIRGINIA,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SERVICES OF PENNSYLVANIA,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SERVICES OF TENNESSEE,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SERVICES,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ALABAMA,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ARKANSAS,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GEORGIA,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KENTUCKY,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LOUISIANA,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MASSACHUSETTS,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MISSISSIPPI,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MISSOURI,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NEW JERSEY,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NORTH AMERICA,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NORTH CAROLINA,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OKLAHOMA,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SOUTH CAROLINA,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TENNESSEE,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VIRGINIA,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BIO-MED OF OREGON,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BLT ENTERPRISES OF OXNARD,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BOND COUNTY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BORREGO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BORROW PIT CORP.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BRICKYARD DISPOSAL &amp; RECYCLING,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BRIDGETON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BRIDGETON TRANSFER STATION,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FINANCIAL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BROWNING-FERRIS INDUSTRIES CHEMICAL SERVICES, INC.</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INDUSTRIES OF CALIFORNIA,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INDUSTRIES OF FLORIDA,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INDUSTRIES OF ILLINOIS,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INDUSTRIES OF NEW JERSEY,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INDUSTRIES OF NEW YORK,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INDUSTRIES OF OHIO,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INDUSTRIES OF TENNESSEE,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INDUSTRIES,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INDUSTRIES,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BROWNING-FERRIS,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BRUNSWICK WASTE MANAGEMENT FACILITY,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BUNTING TRASH SERVICE, INC.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7" w:name="page228"/>
    <w:bookmarkEnd w:id="227"/>
    <w:p>
      <w:pPr>
        <w:ind w:left="3940"/>
        <w:spacing w:after="0"/>
        <w:rPr>
          <w:sz w:val="20"/>
          <w:szCs w:val="20"/>
          <w:color w:val="auto"/>
        </w:rPr>
      </w:pPr>
      <w:r>
        <w:rPr>
          <w:rFonts w:ascii="Arial" w:cs="Arial" w:eastAsia="Arial" w:hAnsi="Arial"/>
          <w:sz w:val="13"/>
          <w:szCs w:val="13"/>
          <w:color w:val="auto"/>
        </w:rPr>
        <w:t>BUTLER COUNTY LANDFILL, LLC</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 &amp; C EXPANDED SANITARY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CACTUS WASTE SYSTEMS,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CALVERT TRASH SYSTEMS, INCORPORATED</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CAPITOL RECYCLING AND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CARBON LIMESTONE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CC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CECOS INTERNATIONAL,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CELINA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CENTRAL ARIZONA TRANSFER,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CENTRAL SANITARY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CENTRAL VIRGINIA PROPERTIES,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CHARTER EVAPORATION RESOURCE RECOVERY SYSTEMS</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CHEROKEE RUN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CHILTON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CITIZENS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CITY-STAR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CLARKSTON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COCOPAH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COMPACTOR RENTAL SYSTEMS OF DELAWARE,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CONSOLIDATED DISPOSAL SERVICE,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CONTINENTAL WASTE INDUSTRIES,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COPPER MOUNTAIN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CORVALLIS DISPOSAL CO.</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COUNTY DISPOSAL (OHIO),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COUNTY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COUNTY ENVIRONMENTAL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COUNTY LAND DEVELOPMENT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COUNTY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COURTNEY RIDGE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CRESCENT ACRES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CROCKETT SANITARY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CUMBERLAND COUNTY DEVELOPMENT COMPANY,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CWI OF ILLINOIS,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CWI OF MISSOURI,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 &amp; L DISPOSAL,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DALLAS DISPOSAL CO.</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DELTA CONTAINER CORPORATION</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DELTA DADE RECYCLING CORP.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DELTA PAPER STOCK, CO.</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DELTA RESOURCES CORP.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DELTA SITE DEVELOPMENT CORP.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DELTA WASTE CORP.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DEMPSEY WASTE SYSTEMS II,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DENVER RL NORTH,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DTC MANAGEMENT,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 LEASING COMPANY,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EAGLE INDUSTRIES LEASING, INC.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8" w:name="page229"/>
    <w:bookmarkEnd w:id="228"/>
    <w:p>
      <w:pPr>
        <w:ind w:left="3940"/>
        <w:spacing w:after="0"/>
        <w:rPr>
          <w:sz w:val="20"/>
          <w:szCs w:val="20"/>
          <w:color w:val="auto"/>
        </w:rPr>
      </w:pPr>
      <w:r>
        <w:rPr>
          <w:rFonts w:ascii="Arial" w:cs="Arial" w:eastAsia="Arial" w:hAnsi="Arial"/>
          <w:sz w:val="13"/>
          <w:szCs w:val="13"/>
          <w:color w:val="auto"/>
        </w:rPr>
        <w:t>EAST CHICAGO COMPOST FACILITY, INC.</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ECDC ENVIRONMENTAL OF HUMBOLDT COUNTY, INC.</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ECDC ENVIRONMENTAL, 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ECDC HOLDINGS,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ELDER CREEK TRANSFER &amp; RECOVERY,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ELLIS SCOTT LANDFILL MO,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ENVIROCYCLE,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ENVIRONMENTAL DEVELOPMENT CORP.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ENVIRONMENTAL RECLAMATION COMPANY</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ENVIRONTECH,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ENVOTECH-ILLINOIS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EVERGREEN SCAVENGER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EVERGREEN SCAVENGER SERVICE,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F. P. MCNAMARA RUBBISH REMOVAL,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FLINT HILL ROAD,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FLL,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FOREST VIEW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FORWARD,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FRED BARBARA TRUCKING CO.,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FRONTIER WASTE SERVICES (COLORADO),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FRONTIER WASTE SERVICES (UTAH),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FRONTIER WASTE SERVICES OF LOUISIANA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 VAN DYKEN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GATEWAY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GEK,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GENERAL REFUSE ROLLOFF CORP.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GENERAL REFUSE SERVICE OF OHIO,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GEORGIA RECYCLING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GOLDEN BEAR TRANSFER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GOLDEN WASTE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GRANTS PASS SANITATION,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GREAT LAKES DISPOSAL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GREAT PLAINS LANDFILL OK,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GREENRIDGE RECLAMATION,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GREENRIDGE WASTE SERVICES,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GULFCOAST WASTE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H LEASING COMPANY,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HANCOCK COUNTY DEVELOPMENT COMPANY,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HARLAND’S SANITARY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HARRISON COUNTY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HONEYGO RUN RECLAMATION CENTER,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ILLINOIS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ILLINOIS RECYCLING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ILLINOIS VALLEY RECYCLING,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IMPERIAL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INDEPENDENT TRUCKING COMPANY</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INGRUM WASTE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INTERNATIONAL DISPOSAL CORP. OF CALIFORNIA</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ISLAND WASTE SERVICES LTD.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9" w:name="page230"/>
    <w:bookmarkEnd w:id="229"/>
    <w:p>
      <w:pPr>
        <w:ind w:left="3940"/>
        <w:spacing w:after="0"/>
        <w:rPr>
          <w:sz w:val="20"/>
          <w:szCs w:val="20"/>
          <w:color w:val="auto"/>
        </w:rPr>
      </w:pPr>
      <w:r>
        <w:rPr>
          <w:rFonts w:ascii="Arial" w:cs="Arial" w:eastAsia="Arial" w:hAnsi="Arial"/>
          <w:sz w:val="13"/>
          <w:szCs w:val="13"/>
          <w:color w:val="auto"/>
        </w:rPr>
        <w:t>JACKSON COUNTY LANDFILL, LLC</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JEFFERSON CITY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JEFFERSON PARISH DEVELOPMENT COMPANY,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JETTER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KANDEL ENTERPRISES,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KANKAKEE QUARRY,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KELLER CANYON LANDFILL COMPANY</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KELLER DROP BOX,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LA CAÑADA DISPOSAL COMPANY,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LAKE NORMAN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LANDCOMP CORPORATION</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LATHROP SUNRISE SANITATION CORPORATION</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LEE COUNTY LANDFILL SC,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LEE COUNTY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LEMONS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LIBERTY WASTE HOLDINGS,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LIBERTY WASTE SERVICES LIMITED,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LIBERTY WASTE SERVICES OF ILLINOIS,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LIBERTY WASTE SERVICES OF MCCOOK,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LITTLE CREEK LANDING,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LOCAL SANITATION OF ROWAN COUNTY,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LOOP RECYCLING,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LOOP TRANSFER, INCORPORATED</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LORAIN COUNTY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LOUIS PINTO &amp; SON, INC., SANITATION CONTRACTORS</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LUCAS COUNTY LAND DEVELOPMENT,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LUCAS COUNTY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MADISON COUNTY DEVELOPMENT,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MANUMIT OF FLORIDA,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MCCUSKER RECYCLING,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MCINNIS WASTE SYSTEMS,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MENANDS ENVIRONMENTAL SOLUTIONS,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MESA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MIDWAY DEVELOPMENT COMPANY,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MISSISSIPPI WASTE PAPER COMPANY</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MISSOURI CITY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MOUNTAIN HOME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N LEASING COMPANY,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NATIONSWASTE CATAWBA REGIONAL LANDFILL, INC.</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NATIONSWASTE,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NCORP,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NEW MORGAN LANDFILL COMPANY,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NEW YORK WASTE SERVICES,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NEWCO WASTE SYSTEMS OF NEW JERSEY,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NOBLE ROAD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NORTHEAST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NORTHLAKE TRANSFER,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NORTHWEST TENNESSEE DISPOSAL CORPORATION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30" w:name="page231"/>
    <w:bookmarkEnd w:id="230"/>
    <w:p>
      <w:pPr>
        <w:ind w:left="3940"/>
        <w:spacing w:after="0"/>
        <w:rPr>
          <w:sz w:val="20"/>
          <w:szCs w:val="20"/>
          <w:color w:val="auto"/>
        </w:rPr>
      </w:pPr>
      <w:r>
        <w:rPr>
          <w:rFonts w:ascii="Arial" w:cs="Arial" w:eastAsia="Arial" w:hAnsi="Arial"/>
          <w:sz w:val="13"/>
          <w:szCs w:val="13"/>
          <w:color w:val="auto"/>
        </w:rPr>
        <w:t>OAKLAND HEIGHTS DEVELOPMENT, INC.</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OBSCURITY LAND DEVELOPMENT,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OHIO REPUBLIC CONTRACTS, II,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OHIO REPUBLIC CONTRACTS,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OKLAHOMA CITY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OSCAR’S COLLECTION SYSTEM OF FREMONT,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OTAY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OTTAWA COUNTY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PACKERTON LAND COMPANY,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PALOMAR TRANSFER STATION,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PELTIER REAL ESTATE COMPANY</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PERDOMO &amp; SONS,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PINAL COUNTY LANDFILL CORP.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PINECREST LANDFILL OK,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PITTSBURG COUNTY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POLK COUNTY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PORT CLINTON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PORTABLE STORAGE CO.</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PREBLE COUNTY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PRICE &amp; SONS RECYCLING COMPANY</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PRINCE GEORGE’S COUNTY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R.C. MILLER ENTERPRISES,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R.C. MILLER REFUSE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RABANCO RECYCLING,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RABANCO, LTD.</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RAMONA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RCS,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RELIABLE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DUMPCO,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ENVIRONMENTAL TECHNOLOGIES,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OHIO CONTRACTS,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AVIATION,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FINANCIAL LP,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GROUP,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HOLDING COMPANY,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ARIZONA HAULING,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REPUBLIC SERVICES OF CALIFORNIA HOLDING COMPANY, INC.</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CALIFORNIA II,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COLORADO HAULING,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COLORADO 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FLORIDA GP,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FLORIDA LP,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GEORGIA GP,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GEORGIA LP,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INDIANA LP,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INDIANA TRANSPORTATION,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KENTUCKY,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MICHIGAN HAULING, LLC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31" w:name="page232"/>
    <w:bookmarkEnd w:id="231"/>
    <w:p>
      <w:pPr>
        <w:ind w:left="3940"/>
        <w:spacing w:after="0"/>
        <w:rPr>
          <w:sz w:val="20"/>
          <w:szCs w:val="20"/>
          <w:color w:val="auto"/>
        </w:rPr>
      </w:pPr>
      <w:r>
        <w:rPr>
          <w:rFonts w:ascii="Arial" w:cs="Arial" w:eastAsia="Arial" w:hAnsi="Arial"/>
          <w:sz w:val="12"/>
          <w:szCs w:val="12"/>
          <w:color w:val="auto"/>
        </w:rPr>
        <w:t>REPUBLIC SERVICES OF MICHIGAN HOLDING COMPANY, INC.</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MICHIGAN 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MICHIGAN II,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MICHIGAN III,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MICHIGAN IV,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MICHIGAN V,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NEW JERSEY,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NORTH CAROLINA,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OHIO HAULING,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OHIO 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OHIO II,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OHIO III,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OHIO IV,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PENNSYLVANIA,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SOUTH CAROLINA,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SOUTHERN CALIFORNIA,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VIRGINIA,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WISCONSIN GP,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OF WISCONSIN LP,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REAL ESTATE HOLDING,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SERVICES VASCO ROAD,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SILVER STATE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REPUBLIC WASTE SERVICES OF SOUTHERN CALIFORNIA, LLC</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WASTE SERVICES OF TEXAS GP,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WASTE SERVICES OF TEXAS LP,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RESOURCE RECOVERY,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RI/ALAMEDA CORP.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RICHMOND SANITARY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RISK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RITM,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ROCK ROAD INDUSTRIES,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ROSS BROS. WASTE &amp; RECYCLING CO.</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ROSSMAN SANITARY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ROXANA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ROYAL HOLDINGS,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RUBBISH CONTROL,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 &amp; S RECYCLING,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 LEASING COMPANY,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SALINE COUNTY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SAN DIEGO LANDFILL SYSTEMS,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SAN MARCOS NCRRF,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SAND VALLEY HOLDINGS,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SANDY HOLLOW LANDFILL CORP.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SANGAMON VALLEY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SANITARY DISPOSAL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SAUK TRAIL DEVELOPMENT,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SCHOFIELD CORPORATION OF ORLANDO</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SHOW-ME LANDFILL, LLC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32" w:name="page233"/>
    <w:bookmarkEnd w:id="232"/>
    <w:p>
      <w:pPr>
        <w:ind w:left="3940"/>
        <w:spacing w:after="0"/>
        <w:rPr>
          <w:sz w:val="20"/>
          <w:szCs w:val="20"/>
          <w:color w:val="auto"/>
        </w:rPr>
      </w:pPr>
      <w:r>
        <w:rPr>
          <w:rFonts w:ascii="Arial" w:cs="Arial" w:eastAsia="Arial" w:hAnsi="Arial"/>
          <w:sz w:val="13"/>
          <w:szCs w:val="13"/>
          <w:color w:val="auto"/>
        </w:rPr>
        <w:t>SHRED — ALL RECYCLING SYSTEMS INC.</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SOLANO GARBAGE COMPANY</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SOURCE RECYCLING,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SOUTHEAST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SOUTHERN ILLINOIS REGIONAL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ST. BERNARD PARISH DEVELOPMENT COMPANY, LLC</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ST. JOSEPH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STANDARD DISPOSAL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STANDARD ENVIRONMENTAL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STANDARD WASTE,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STREATOR AREA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SUBURBAN TRANSFER,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SUBURBAN WAREHOUSE,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SUMMIT WASTE SYSTEMS,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SUNRISE SANITATION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SUNSET DISPOSAL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SUNSET DISPOSAL,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SYCAMORE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TATE’S TRANSFER SYSTEMS,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TAY-BAN CORPORATION</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TAYLOR RIDGE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TENNESSEE UNION COUNTY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THE ECOLOGY GROUP,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THOMAS DISPOSAL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TOM LUCIANO’S DISPOSAL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TOTAL ROLL-OFFS,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TOTAL SOLID WASTE RECYCLERS,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TRICIL (N.Y.),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TRI-COUNTY REFUSE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TRI-STATE RECYCLING SERVICES,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TRI-STATE REFUSE CORPORATION</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UNITED DISPOSAL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UPPER ROCK ISLAND COUNTY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VALLEY LANDFILLS,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VINING DISPOSAL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WASATCH REGIONAL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WASTE CONTROL SYSTEMS,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WASTE SERVICES OF NEW YORK,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WASTEHAUL,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WAYNE COUNTY LAND DEVELOPMENT,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WAYNE COUNTY LANDFILL IL,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WAYNE DEVELOPERS,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WDTR,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WEBSTER PARISH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WEST CONTRA COSTA ENERGY RECOVERY COMPANY</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WEST CONTRA COSTA SANITARY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WEST COUNTY LANDFILL,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WEST COUNTY RESOURCE RECOVERY,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WILLAMETTE RESOURCES, INC.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33" w:name="page234"/>
    <w:bookmarkEnd w:id="233"/>
    <w:p>
      <w:pPr>
        <w:ind w:left="3940"/>
        <w:spacing w:after="0"/>
        <w:rPr>
          <w:sz w:val="20"/>
          <w:szCs w:val="20"/>
          <w:color w:val="auto"/>
        </w:rPr>
      </w:pPr>
      <w:r>
        <w:rPr>
          <w:rFonts w:ascii="Arial" w:cs="Arial" w:eastAsia="Arial" w:hAnsi="Arial"/>
          <w:sz w:val="13"/>
          <w:szCs w:val="13"/>
          <w:color w:val="auto"/>
        </w:rPr>
        <w:t>WILLIAMS COUNTY LANDFILL INC.</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WILLOW RIDGE LANDFILL, LLC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WJR ENVIRONMENTAL,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WOODLAKE SANITARY SERVICE,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ZAKAROFF SERVICES</w:t>
      </w:r>
    </w:p>
    <w:p>
      <w:pPr>
        <w:spacing w:after="0" w:line="31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1"/>
          <w:szCs w:val="11"/>
          <w:color w:val="auto"/>
        </w:rPr>
        <w:t>Title:</w:t>
        <w:tab/>
        <w:t>Treasurer of each of the foregoing entities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34" w:name="page235"/>
    <w:bookmarkEnd w:id="234"/>
    <w:p>
      <w:pPr>
        <w:ind w:left="3940"/>
        <w:spacing w:after="0"/>
        <w:rPr>
          <w:sz w:val="20"/>
          <w:szCs w:val="20"/>
          <w:color w:val="auto"/>
        </w:rPr>
      </w:pPr>
      <w:r>
        <w:rPr>
          <w:rFonts w:ascii="Arial" w:cs="Arial" w:eastAsia="Arial" w:hAnsi="Arial"/>
          <w:sz w:val="13"/>
          <w:szCs w:val="13"/>
          <w:color w:val="auto"/>
        </w:rPr>
        <w:t>ABILENE LANDFILL TX, LP</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TRANSFER SYSTEMS OF TEXAS,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SERVICES OF INDIANA,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SERVICES OF TEXAS,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BFI WASTE SYSTEMS OF INDIANA,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BLUE RIDGE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BRENHAM TOTAL ROLL-OFFS,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CAMELOT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CEFE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CROW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DESARROLLO DEL RANCHO LA GLORIA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EL CENTRO LANDFILL,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ELLIS COUNTY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FORT WORTH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FRONTIER WASTE SERVICES,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GALVESTON COUNTY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GILES ROAD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GOLDEN TRIANGLE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GREENWOOD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GULF WEST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ITASCA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KERRVILLE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LEWISVILLE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MARS ROAD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MCCARTY ROAD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MESQUITE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MEXIA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PANAMA ROAD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PINE HILL FARMS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PLEASANT OAKS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RIO GRANDE VALLEY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ROYAL OAKS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SOUTH CENTRAL TEXAS LAND CO.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SOUTHWEST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TESSMAN ROAD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TURKEY CREEK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VICTORIA LANDFILL TX, LP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WHISPERING PINES LANDFILL TX, LP</w:t>
      </w:r>
    </w:p>
    <w:p>
      <w:pPr>
        <w:spacing w:after="0" w:line="158" w:lineRule="exact"/>
        <w:rPr>
          <w:sz w:val="20"/>
          <w:szCs w:val="20"/>
          <w:color w:val="auto"/>
        </w:rPr>
      </w:pPr>
    </w:p>
    <w:p>
      <w:pPr>
        <w:ind w:left="4360"/>
        <w:spacing w:after="0"/>
        <w:tabs>
          <w:tab w:leader="none" w:pos="46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Allied Waste Landfill Holdings, Inc., as General</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Partner of each of the foregoing entities</w:t>
      </w:r>
    </w:p>
    <w:p>
      <w:pPr>
        <w:spacing w:after="0" w:line="315" w:lineRule="exact"/>
        <w:rPr>
          <w:sz w:val="20"/>
          <w:szCs w:val="20"/>
          <w:color w:val="auto"/>
        </w:rPr>
      </w:pPr>
    </w:p>
    <w:p>
      <w:pPr>
        <w:ind w:left="47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10795</wp:posOffset>
            </wp:positionV>
            <wp:extent cx="2727325"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60"/>
        <w:spacing w:after="0"/>
        <w:tabs>
          <w:tab w:leader="none" w:pos="5360" w:val="left"/>
        </w:tabs>
        <w:rPr>
          <w:sz w:val="20"/>
          <w:szCs w:val="20"/>
          <w:color w:val="auto"/>
        </w:rPr>
      </w:pPr>
      <w:r>
        <w:rPr>
          <w:rFonts w:ascii="Arial" w:cs="Arial" w:eastAsia="Arial" w:hAnsi="Arial"/>
          <w:sz w:val="13"/>
          <w:szCs w:val="13"/>
          <w:color w:val="auto"/>
        </w:rPr>
        <w:t>Title:</w:t>
        <w:tab/>
        <w:t>Treasurer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35" w:name="page236"/>
    <w:bookmarkEnd w:id="235"/>
    <w:p>
      <w:pPr>
        <w:ind w:left="3940"/>
        <w:spacing w:after="0"/>
        <w:rPr>
          <w:sz w:val="20"/>
          <w:szCs w:val="20"/>
          <w:color w:val="auto"/>
        </w:rPr>
      </w:pPr>
      <w:r>
        <w:rPr>
          <w:rFonts w:ascii="Arial" w:cs="Arial" w:eastAsia="Arial" w:hAnsi="Arial"/>
          <w:sz w:val="13"/>
          <w:szCs w:val="13"/>
          <w:color w:val="auto"/>
        </w:rPr>
        <w:t>BENTON COUNTY DEVELOPMENT COMPANY</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CLINTON COUNTY LANDFILL PARTNERSHIP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COUNTY LINE LANDFILL PARTNERSHIP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ILLIANA DISPOSAL PARTNERSHIP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JASPER COUNTY DEVELOPMENT COMPANY PARTNERSHIP</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KEY WASTE INDIANA PARTNERSHIP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LAKE COUNTY C &amp; D DEVELOPMENT PARTNERSHIP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NEWTON COUNTY LANDFILL PARTNERSHIP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SPRINGFIELD ENVIRONMENTAL GENERAL PARTNERSHIP</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TIPPECANOE COUNTY WASTE SERVICES PARTNERSHIP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WARRICK COUNTY DEVELOPMENT COMPANY</w:t>
      </w:r>
    </w:p>
    <w:p>
      <w:pPr>
        <w:spacing w:after="0" w:line="158"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Allied Waste Landfill Holdings, Inc., as General</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Partner of each of the foregoing entities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158" w:lineRule="exact"/>
        <w:rPr>
          <w:sz w:val="20"/>
          <w:szCs w:val="20"/>
          <w:color w:val="auto"/>
        </w:rPr>
      </w:pPr>
    </w:p>
    <w:p>
      <w:pPr>
        <w:jc w:val="center"/>
        <w:ind w:left="2300"/>
        <w:spacing w:after="0"/>
        <w:tabs>
          <w:tab w:leader="none" w:pos="1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Allied Waste North America, Inc., as General</w:t>
      </w:r>
    </w:p>
    <w:p>
      <w:pPr>
        <w:spacing w:after="0" w:line="15" w:lineRule="exact"/>
        <w:rPr>
          <w:sz w:val="20"/>
          <w:szCs w:val="20"/>
          <w:color w:val="auto"/>
        </w:rPr>
      </w:pPr>
    </w:p>
    <w:p>
      <w:pPr>
        <w:jc w:val="center"/>
        <w:ind w:left="2280"/>
        <w:spacing w:after="0"/>
        <w:rPr>
          <w:sz w:val="20"/>
          <w:szCs w:val="20"/>
          <w:color w:val="auto"/>
        </w:rPr>
      </w:pPr>
      <w:r>
        <w:rPr>
          <w:rFonts w:ascii="Arial" w:cs="Arial" w:eastAsia="Arial" w:hAnsi="Arial"/>
          <w:sz w:val="13"/>
          <w:szCs w:val="13"/>
          <w:color w:val="auto"/>
        </w:rPr>
        <w:t>Partner of each of the foregoing entities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36" w:name="page237"/>
    <w:bookmarkEnd w:id="236"/>
    <w:p>
      <w:pPr>
        <w:ind w:left="3940"/>
        <w:spacing w:after="0"/>
        <w:rPr>
          <w:sz w:val="20"/>
          <w:szCs w:val="20"/>
          <w:color w:val="auto"/>
        </w:rPr>
      </w:pPr>
      <w:r>
        <w:rPr>
          <w:rFonts w:ascii="Arial" w:cs="Arial" w:eastAsia="Arial" w:hAnsi="Arial"/>
          <w:sz w:val="13"/>
          <w:szCs w:val="13"/>
          <w:color w:val="auto"/>
        </w:rPr>
        <w:t>BENSON VALLEY LANDFILL GENERAL PARTNERSHIP</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BLUE RIDGE LANDFILL GENERAL PARTNERSHIP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GREEN VALLEY LANDFILL GENERAL PARTNERSHIP</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MOREHEAD LANDFILL GENERAL PARTNERSHIP</w:t>
      </w:r>
    </w:p>
    <w:p>
      <w:pPr>
        <w:spacing w:after="0" w:line="158" w:lineRule="exact"/>
        <w:rPr>
          <w:sz w:val="20"/>
          <w:szCs w:val="20"/>
          <w:color w:val="auto"/>
        </w:rPr>
      </w:pPr>
    </w:p>
    <w:p>
      <w:pPr>
        <w:jc w:val="center"/>
        <w:ind w:left="2300"/>
        <w:spacing w:after="0"/>
        <w:tabs>
          <w:tab w:leader="none" w:pos="1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Allied Waste North America, Inc., as General</w:t>
      </w:r>
    </w:p>
    <w:p>
      <w:pPr>
        <w:spacing w:after="0" w:line="15" w:lineRule="exact"/>
        <w:rPr>
          <w:sz w:val="20"/>
          <w:szCs w:val="20"/>
          <w:color w:val="auto"/>
        </w:rPr>
      </w:pPr>
    </w:p>
    <w:p>
      <w:pPr>
        <w:jc w:val="center"/>
        <w:ind w:left="2280"/>
        <w:spacing w:after="0"/>
        <w:rPr>
          <w:sz w:val="20"/>
          <w:szCs w:val="20"/>
          <w:color w:val="auto"/>
        </w:rPr>
      </w:pPr>
      <w:r>
        <w:rPr>
          <w:rFonts w:ascii="Arial" w:cs="Arial" w:eastAsia="Arial" w:hAnsi="Arial"/>
          <w:sz w:val="13"/>
          <w:szCs w:val="13"/>
          <w:color w:val="auto"/>
        </w:rPr>
        <w:t>Partner of each of the foregoing entities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158"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Browning-Ferris Industries of Tennessee, Inc.,</w:t>
      </w:r>
    </w:p>
    <w:p>
      <w:pPr>
        <w:spacing w:after="0" w:line="15" w:lineRule="exact"/>
        <w:rPr>
          <w:sz w:val="20"/>
          <w:szCs w:val="20"/>
          <w:color w:val="auto"/>
        </w:rPr>
      </w:pPr>
    </w:p>
    <w:p>
      <w:pPr>
        <w:jc w:val="right"/>
        <w:ind w:right="1739"/>
        <w:spacing w:after="0"/>
        <w:rPr>
          <w:sz w:val="20"/>
          <w:szCs w:val="20"/>
          <w:color w:val="auto"/>
        </w:rPr>
      </w:pPr>
      <w:r>
        <w:rPr>
          <w:rFonts w:ascii="Arial" w:cs="Arial" w:eastAsia="Arial" w:hAnsi="Arial"/>
          <w:sz w:val="13"/>
          <w:szCs w:val="13"/>
          <w:color w:val="auto"/>
        </w:rPr>
        <w:t>as General Partner of each of the foregoing entities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158"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REPUBLIC WASTE SERVICES OF TEXAS, LTD.</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RWS TRANSPORT, L.P.</w:t>
      </w:r>
    </w:p>
    <w:p>
      <w:pPr>
        <w:spacing w:after="0" w:line="158"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Republic Waste Services of Texas GP, Inc., as</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2"/>
          <w:szCs w:val="12"/>
          <w:color w:val="auto"/>
        </w:rPr>
        <w:t>General Partner of each of the foregoing entities</w:t>
      </w:r>
    </w:p>
    <w:p>
      <w:pPr>
        <w:spacing w:after="0" w:line="16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37" w:name="page238"/>
    <w:bookmarkEnd w:id="237"/>
    <w:p>
      <w:pPr>
        <w:ind w:left="4060"/>
        <w:spacing w:after="0"/>
        <w:rPr>
          <w:sz w:val="20"/>
          <w:szCs w:val="20"/>
          <w:color w:val="auto"/>
        </w:rPr>
      </w:pPr>
      <w:r>
        <w:rPr>
          <w:rFonts w:ascii="Arial" w:cs="Arial" w:eastAsia="Arial" w:hAnsi="Arial"/>
          <w:sz w:val="13"/>
          <w:szCs w:val="13"/>
          <w:color w:val="auto"/>
        </w:rPr>
        <w:t>BFI ENERGY SYSTEMS OF SOUTHEASTERN</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CONNECTICUT, LIMITED PARTNERSHIP</w:t>
      </w:r>
    </w:p>
    <w:p>
      <w:pPr>
        <w:spacing w:after="0" w:line="158"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BFI Energy Systems of Southeastern Connecticut,</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Inc., its General Partner</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79"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OCEANSIDE WASTE &amp; RECYCLING SERVICES</w:t>
      </w:r>
    </w:p>
    <w:p>
      <w:pPr>
        <w:spacing w:after="0" w:line="165"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Republic Services, Inc., its General Partner</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158"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Zakaroff Services, its General Partner</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79"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RABANCO COMPANIES</w:t>
      </w:r>
    </w:p>
    <w:p>
      <w:pPr>
        <w:spacing w:after="0" w:line="165"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Rabanco Recycling, Inc., its General Partner</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158"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Rabanco, Ltd., its General Partner</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21" w:right="1440" w:bottom="1440" w:gutter="0" w:footer="0" w:header="0"/>
        </w:sectPr>
      </w:pPr>
    </w:p>
    <w:bookmarkStart w:id="238" w:name="page239"/>
    <w:bookmarkEnd w:id="238"/>
    <w:p>
      <w:pPr>
        <w:ind w:left="4060"/>
        <w:spacing w:after="0"/>
        <w:rPr>
          <w:sz w:val="20"/>
          <w:szCs w:val="20"/>
          <w:color w:val="auto"/>
        </w:rPr>
      </w:pPr>
      <w:r>
        <w:rPr>
          <w:rFonts w:ascii="Arial" w:cs="Arial" w:eastAsia="Arial" w:hAnsi="Arial"/>
          <w:sz w:val="13"/>
          <w:szCs w:val="13"/>
          <w:color w:val="auto"/>
        </w:rPr>
        <w:t>REPUBLIC SERVICES FINANCIAL, LIMITED PARTNERSHIP</w:t>
      </w:r>
    </w:p>
    <w:p>
      <w:pPr>
        <w:spacing w:after="0" w:line="165"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Republic Silver State Disposal, Inc., its General Partner</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79"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REPUBLIC SERVICES OF FLORIDA, LIMITED PARTNERSHIP</w:t>
      </w:r>
    </w:p>
    <w:p>
      <w:pPr>
        <w:spacing w:after="0" w:line="177"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Republic Services of Florida GP, Inc., its General Partner</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79"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REPUBLIC SERVICES OF GEORGIA, LIMITED PARTNERSHIP</w:t>
      </w:r>
    </w:p>
    <w:p>
      <w:pPr>
        <w:spacing w:after="0" w:line="177"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Republic Services of Georgia GP, LLC, its General Partner</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79"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REPUBLIC SERVICES OF INDIANA, LIMITED PARTNERSHIP</w:t>
      </w:r>
    </w:p>
    <w:p>
      <w:pPr>
        <w:spacing w:after="0" w:line="177"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Republic Services, Inc., its General Partner</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20" w:right="1440" w:bottom="1440" w:gutter="0" w:footer="0" w:header="0"/>
        </w:sectPr>
      </w:pPr>
    </w:p>
    <w:bookmarkStart w:id="239" w:name="page240"/>
    <w:bookmarkEnd w:id="239"/>
    <w:p>
      <w:pPr>
        <w:ind w:left="4060"/>
        <w:spacing w:after="0"/>
        <w:rPr>
          <w:sz w:val="20"/>
          <w:szCs w:val="20"/>
          <w:color w:val="auto"/>
        </w:rPr>
      </w:pPr>
      <w:r>
        <w:rPr>
          <w:rFonts w:ascii="Arial" w:cs="Arial" w:eastAsia="Arial" w:hAnsi="Arial"/>
          <w:sz w:val="12"/>
          <w:szCs w:val="12"/>
          <w:color w:val="auto"/>
        </w:rPr>
        <w:t>REPUBLIC SERVICES OF WISCONSIN, LIMITED PARTNERSHIP</w:t>
      </w:r>
    </w:p>
    <w:p>
      <w:pPr>
        <w:spacing w:after="0" w:line="177" w:lineRule="exact"/>
        <w:rPr>
          <w:sz w:val="20"/>
          <w:szCs w:val="20"/>
          <w:color w:val="auto"/>
        </w:rPr>
      </w:pPr>
    </w:p>
    <w:p>
      <w:pPr>
        <w:ind w:left="4320"/>
        <w:spacing w:after="0"/>
        <w:tabs>
          <w:tab w:leader="none" w:pos="46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Republic Services of Wisconsin GP, LLC, its General Partner</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77185"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Name: Edward A. Lang, III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Title: Treasurer</w:t>
      </w:r>
    </w:p>
    <w:p>
      <w:pPr>
        <w:spacing w:after="0" w:line="79"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DINVERNO, INC.</w:t>
      </w:r>
    </w:p>
    <w:p>
      <w:pPr>
        <w:spacing w:after="0" w:line="334"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10795</wp:posOffset>
            </wp:positionV>
            <wp:extent cx="2727325" cy="6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3"/>
          <w:szCs w:val="13"/>
          <w:color w:val="auto"/>
        </w:rPr>
        <w:t>Name: Roger A. Groen Jr.</w:t>
      </w:r>
    </w:p>
    <w:p>
      <w:pPr>
        <w:spacing w:after="0" w:line="15"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3"/>
          <w:szCs w:val="13"/>
          <w:color w:val="auto"/>
        </w:rPr>
        <w:t>Title:</w:t>
        <w:tab/>
        <w:t>President</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21" w:right="1440" w:bottom="1440" w:gutter="0" w:footer="0" w:header="0"/>
        </w:sectPr>
      </w:pPr>
    </w:p>
    <w:bookmarkStart w:id="240" w:name="page241"/>
    <w:bookmarkEnd w:id="240"/>
    <w:p>
      <w:pPr>
        <w:ind w:left="160"/>
        <w:spacing w:after="0"/>
        <w:rPr>
          <w:sz w:val="20"/>
          <w:szCs w:val="20"/>
          <w:color w:val="auto"/>
        </w:rPr>
      </w:pPr>
      <w:r>
        <w:rPr>
          <w:rFonts w:ascii="Arial" w:cs="Arial" w:eastAsia="Arial" w:hAnsi="Arial"/>
          <w:sz w:val="11"/>
          <w:szCs w:val="11"/>
          <w:color w:val="auto"/>
        </w:rPr>
        <w:t>The foregoing Underwriting Agreement is hereby confirmed and accepted by the Representatives as of the date first above written.</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[NAME OF REPRESENTATIVE]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[NAME OF REPRESENTATIVE]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Acting as Representatives of the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several Underwriters named in</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attached Schedule A.</w:t>
      </w:r>
    </w:p>
    <w:p>
      <w:pPr>
        <w:spacing w:after="0" w:line="158"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[Name of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10795</wp:posOffset>
            </wp:positionV>
            <wp:extent cx="2952115"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95211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Title:</w:t>
      </w:r>
    </w:p>
    <w:p>
      <w:pPr>
        <w:spacing w:after="0" w:line="158"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[Name of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10795</wp:posOffset>
            </wp:positionV>
            <wp:extent cx="2952115"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95211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Title:</w:t>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500" w:type="dxa"/>
            <w:vAlign w:val="bottom"/>
            <w:gridSpan w:val="3"/>
          </w:tcPr>
          <w:p>
            <w:pPr>
              <w:jc w:val="right"/>
              <w:ind w:right="5245"/>
              <w:spacing w:after="0"/>
              <w:rPr>
                <w:sz w:val="20"/>
                <w:szCs w:val="20"/>
                <w:color w:val="auto"/>
              </w:rPr>
            </w:pPr>
            <w:r>
              <w:rPr>
                <w:rFonts w:ascii="Arial" w:cs="Arial" w:eastAsia="Arial" w:hAnsi="Arial"/>
                <w:sz w:val="13"/>
                <w:szCs w:val="13"/>
                <w:b w:val="1"/>
                <w:bCs w:val="1"/>
                <w:color w:val="auto"/>
              </w:rPr>
              <w:t>SCHEDULE 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Principal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29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Underwriters</w:t>
            </w:r>
          </w:p>
        </w:tc>
        <w:tc>
          <w:tcPr>
            <w:tcW w:w="7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Securities to</w:t>
            </w:r>
          </w:p>
        </w:tc>
        <w:tc>
          <w:tcPr>
            <w:tcW w:w="0" w:type="dxa"/>
            <w:vAlign w:val="bottom"/>
          </w:tcPr>
          <w:p>
            <w:pPr>
              <w:spacing w:after="0"/>
              <w:rPr>
                <w:sz w:val="1"/>
                <w:szCs w:val="1"/>
                <w:color w:val="auto"/>
              </w:rPr>
            </w:pPr>
          </w:p>
        </w:tc>
      </w:tr>
      <w:tr>
        <w:trPr>
          <w:trHeight w:val="125"/>
        </w:trPr>
        <w:tc>
          <w:tcPr>
            <w:tcW w:w="2960" w:type="dxa"/>
            <w:vAlign w:val="bottom"/>
            <w:gridSpan w:val="2"/>
            <w:vMerge w:val="continue"/>
          </w:tcPr>
          <w:p>
            <w:pPr>
              <w:spacing w:after="0"/>
              <w:rPr>
                <w:sz w:val="10"/>
                <w:szCs w:val="10"/>
                <w:color w:val="auto"/>
              </w:rPr>
            </w:pPr>
          </w:p>
        </w:tc>
        <w:tc>
          <w:tcPr>
            <w:tcW w:w="7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1"/>
              </w:rPr>
              <w:t>be Purchased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[Name]</w:t>
            </w:r>
          </w:p>
        </w:tc>
        <w:tc>
          <w:tcPr>
            <w:tcW w:w="714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385"/>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[Name]</w:t>
            </w:r>
          </w:p>
        </w:tc>
        <w:tc>
          <w:tcPr>
            <w:tcW w:w="8500" w:type="dxa"/>
            <w:vAlign w:val="bottom"/>
            <w:gridSpan w:val="3"/>
          </w:tcPr>
          <w:p>
            <w:pPr>
              <w:jc w:val="right"/>
              <w:ind w:right="38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[Name]</w:t>
            </w:r>
          </w:p>
        </w:tc>
        <w:tc>
          <w:tcPr>
            <w:tcW w:w="8500" w:type="dxa"/>
            <w:vAlign w:val="bottom"/>
            <w:gridSpan w:val="3"/>
            <w:shd w:val="clear" w:color="auto" w:fill="CCEEFF"/>
          </w:tcPr>
          <w:p>
            <w:pPr>
              <w:jc w:val="right"/>
              <w:ind w:right="38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Arial" w:cs="Arial" w:eastAsia="Arial" w:hAnsi="Arial"/>
                <w:sz w:val="13"/>
                <w:szCs w:val="13"/>
                <w:color w:val="auto"/>
              </w:rPr>
              <w:t>Total</w:t>
            </w:r>
          </w:p>
        </w:tc>
        <w:tc>
          <w:tcPr>
            <w:tcW w:w="8500" w:type="dxa"/>
            <w:vAlign w:val="bottom"/>
            <w:gridSpan w:val="3"/>
          </w:tcPr>
          <w:p>
            <w:pPr>
              <w:jc w:val="right"/>
              <w:ind w:right="38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500" w:type="dxa"/>
            <w:vAlign w:val="bottom"/>
            <w:gridSpan w:val="3"/>
          </w:tcPr>
          <w:p>
            <w:pPr>
              <w:jc w:val="right"/>
              <w:ind w:right="5525"/>
              <w:spacing w:after="0"/>
              <w:rPr>
                <w:sz w:val="20"/>
                <w:szCs w:val="20"/>
                <w:color w:val="auto"/>
              </w:rPr>
            </w:pPr>
            <w:r>
              <w:rPr>
                <w:rFonts w:ascii="Arial" w:cs="Arial" w:eastAsia="Arial" w:hAnsi="Arial"/>
                <w:sz w:val="13"/>
                <w:szCs w:val="13"/>
                <w:color w:val="auto"/>
              </w:rPr>
              <w:t>Sch-1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7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42" w:name="page243"/>
    <w:bookmarkEnd w:id="242"/>
    <w:p>
      <w:pPr>
        <w:jc w:val="center"/>
        <w:ind w:right="-60"/>
        <w:spacing w:after="0"/>
        <w:rPr>
          <w:sz w:val="20"/>
          <w:szCs w:val="20"/>
          <w:color w:val="auto"/>
        </w:rPr>
      </w:pPr>
      <w:r>
        <w:rPr>
          <w:rFonts w:ascii="Arial" w:cs="Arial" w:eastAsia="Arial" w:hAnsi="Arial"/>
          <w:sz w:val="13"/>
          <w:szCs w:val="13"/>
          <w:b w:val="1"/>
          <w:bCs w:val="1"/>
          <w:color w:val="auto"/>
        </w:rPr>
        <w:t>EXHIBIT A-1</w:t>
      </w:r>
    </w:p>
    <w:p>
      <w:pPr>
        <w:spacing w:after="0" w:line="8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[Form of Opinion of Mayer Brown LLP delivered with respect to</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the Company and the Delaware, New York and Illinois Guarantors]</w:t>
      </w:r>
    </w:p>
    <w:p>
      <w:pPr>
        <w:spacing w:after="0" w:line="79" w:lineRule="exact"/>
        <w:rPr>
          <w:sz w:val="20"/>
          <w:szCs w:val="20"/>
          <w:color w:val="auto"/>
        </w:rPr>
      </w:pPr>
    </w:p>
    <w:p>
      <w:pPr>
        <w:jc w:val="both"/>
        <w:ind w:left="461" w:right="80" w:hanging="461"/>
        <w:spacing w:after="0" w:line="296" w:lineRule="auto"/>
        <w:tabs>
          <w:tab w:leader="none" w:pos="461"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Company is validly existing as a corporation in good standing under the laws of the state of Delaware and has corporate power and authority to own or lease, as the case may be, and operate its properties and to conduct its business as described in the Registration Statement, the Time of Sale Information and the Prospectus and to enter into and perform its obligations under the Underwriting Agreement and the Indenture; the Company is duly qualified as a foreign corporation to transact business and is in good standing in each jurisdiction listed in Schedule 1 hereto.</w:t>
      </w:r>
    </w:p>
    <w:p>
      <w:pPr>
        <w:spacing w:after="0" w:line="49" w:lineRule="exact"/>
        <w:rPr>
          <w:rFonts w:ascii="Arial" w:cs="Arial" w:eastAsia="Arial" w:hAnsi="Arial"/>
          <w:sz w:val="12"/>
          <w:szCs w:val="12"/>
          <w:color w:val="auto"/>
        </w:rPr>
      </w:pPr>
    </w:p>
    <w:p>
      <w:pPr>
        <w:ind w:left="461" w:hanging="461"/>
        <w:spacing w:after="0" w:line="258" w:lineRule="auto"/>
        <w:tabs>
          <w:tab w:leader="none" w:pos="461" w:val="left"/>
        </w:tabs>
        <w:numPr>
          <w:ilvl w:val="0"/>
          <w:numId w:val="110"/>
        </w:numPr>
        <w:rPr>
          <w:rFonts w:ascii="Arial" w:cs="Arial" w:eastAsia="Arial" w:hAnsi="Arial"/>
          <w:sz w:val="13"/>
          <w:szCs w:val="13"/>
          <w:color w:val="auto"/>
        </w:rPr>
      </w:pPr>
      <w:r>
        <w:rPr>
          <w:rFonts w:ascii="Arial" w:cs="Arial" w:eastAsia="Arial" w:hAnsi="Arial"/>
          <w:sz w:val="13"/>
          <w:szCs w:val="13"/>
          <w:color w:val="auto"/>
        </w:rPr>
        <w:t>Each of the Guarantors listed on Schedule 2 hereto (collectively, the “Covered Guarantors”) is validly existing as a corporation, limited liability company, partnership or other legal entity, as the case may be, in good standing, to the extent applicable to such entity, under the laws of the jurisdiction of its incorporation or formation, and each has corporate, limited liability company, partnership or other power and authority to own or lease, as the case may be, and operate its properties and to conduct its business as described in the Registration Statement, the Time of Sale Information and the Prospectus; each Covered Guarantor listed on Schedule 3 hereto is duly qualified as a foreign corporation, limited liability company, partnership or other entity to transact business and is in good standing, to the extent applicable to such entity, in each jurisdiction listed on Schedule 3 hereto.</w:t>
      </w:r>
    </w:p>
    <w:p>
      <w:pPr>
        <w:spacing w:after="0" w:line="71" w:lineRule="exact"/>
        <w:rPr>
          <w:rFonts w:ascii="Arial" w:cs="Arial" w:eastAsia="Arial" w:hAnsi="Arial"/>
          <w:sz w:val="13"/>
          <w:szCs w:val="13"/>
          <w:color w:val="auto"/>
        </w:rPr>
      </w:pPr>
    </w:p>
    <w:p>
      <w:pPr>
        <w:ind w:left="461" w:hanging="461"/>
        <w:spacing w:after="0"/>
        <w:tabs>
          <w:tab w:leader="none" w:pos="461"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This Agreement has been duly authorized, executed and delivered by the Company and each of the Covered Guarantors.</w:t>
      </w:r>
    </w:p>
    <w:p>
      <w:pPr>
        <w:spacing w:after="0" w:line="96" w:lineRule="exact"/>
        <w:rPr>
          <w:rFonts w:ascii="Arial" w:cs="Arial" w:eastAsia="Arial" w:hAnsi="Arial"/>
          <w:sz w:val="13"/>
          <w:szCs w:val="13"/>
          <w:color w:val="auto"/>
        </w:rPr>
      </w:pPr>
    </w:p>
    <w:p>
      <w:pPr>
        <w:ind w:left="461" w:hanging="461"/>
        <w:spacing w:after="0" w:line="285" w:lineRule="auto"/>
        <w:tabs>
          <w:tab w:leader="none" w:pos="461"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Indenture has been duly authorized, executed and delivered by the Company and each of the Covered Guarantors and (assuming the due authorization, execution and delivery thereof by the Trustee and the Guarantors that are not Covered Guarantors (collectively, the “Excluded Guarantors”)) constitutes a valid and binding agreement of the Company and each of the Guarantors, enforceable against the Company and each of the Guarantors in accordance with its terms, except as the enforcement thereof may be limited by bankruptcy, insolvency, fraudulent transfer, reorganization, moratorium or other similar laws relating to or affecting the rights and remedies of creditors or by general equitable principles (regardless of whether enforcement is considered in a proceeding in equity or at law) and except as rights to indemnification may be limited by applicable law and public policy considerations. The Indenture has been duly qualified under the Trust Indenture Act.</w:t>
      </w:r>
    </w:p>
    <w:p>
      <w:pPr>
        <w:spacing w:after="0" w:line="55" w:lineRule="exact"/>
        <w:rPr>
          <w:rFonts w:ascii="Arial" w:cs="Arial" w:eastAsia="Arial" w:hAnsi="Arial"/>
          <w:sz w:val="12"/>
          <w:szCs w:val="12"/>
          <w:color w:val="auto"/>
        </w:rPr>
      </w:pPr>
    </w:p>
    <w:p>
      <w:pPr>
        <w:ind w:left="461" w:right="80" w:hanging="461"/>
        <w:spacing w:after="0" w:line="264" w:lineRule="auto"/>
        <w:tabs>
          <w:tab w:leader="none" w:pos="461"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Notes are in the form contemplated by the Indenture, have been duly authorized and executed and, when authenticated in the manner provided for in the Indenture and delivered against payment of the purchase price as specified in the Underwriting Agreement, will constitute valid and binding obligations of the Company, enforceable in accordance with their terms, except as the enforcement thereof may be limited by bankruptcy, insolvency, fraudulent transfer, reorganization, moratorium or other similar</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36" w:right="279" w:bottom="1440" w:gutter="0" w:footer="0" w:header="0"/>
        </w:sectPr>
      </w:pPr>
    </w:p>
    <w:bookmarkStart w:id="243" w:name="page244"/>
    <w:bookmarkEnd w:id="243"/>
    <w:p>
      <w:pPr>
        <w:ind w:left="461" w:right="20"/>
        <w:spacing w:after="0" w:line="276" w:lineRule="auto"/>
        <w:rPr>
          <w:sz w:val="20"/>
          <w:szCs w:val="20"/>
          <w:color w:val="auto"/>
        </w:rPr>
      </w:pPr>
      <w:r>
        <w:rPr>
          <w:rFonts w:ascii="Arial" w:cs="Arial" w:eastAsia="Arial" w:hAnsi="Arial"/>
          <w:sz w:val="13"/>
          <w:szCs w:val="13"/>
          <w:color w:val="auto"/>
        </w:rPr>
        <w:t>laws relating to or affecting the rights and remedies of creditors or by general equitable principles (regardless of whether enforcement is considered in a proceeding in equity or at law), and will be entitled to the benefits of the Indenture.</w:t>
      </w:r>
    </w:p>
    <w:p>
      <w:pPr>
        <w:spacing w:after="0" w:line="49" w:lineRule="exact"/>
        <w:rPr>
          <w:sz w:val="20"/>
          <w:szCs w:val="20"/>
          <w:color w:val="auto"/>
        </w:rPr>
      </w:pPr>
    </w:p>
    <w:p>
      <w:pPr>
        <w:ind w:left="461" w:right="20" w:hanging="461"/>
        <w:spacing w:after="0" w:line="316" w:lineRule="auto"/>
        <w:tabs>
          <w:tab w:leader="none" w:pos="461"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The Guarantees of the Notes are in the form contemplated by the Indenture, have been duly authorized by each of the Covered Guarantors for issuance and sale pursuant to this Agreement and the Indenture and have been executed by each of the Covered Guarantors and, assuming the due authorization, execution and delivery by the Excluded Guarantors, when the Notes have been authenticated in the manner provided for in the Indenture and delivered against payment of the purchase price therefore, will constitute valid and binding obligations of each of the Guarantors, enforceable against each of the Guarantors in accordance with their terms, except as the enforcement thereof may be limited by bankruptcy, insolvency, fraudulent transfer, reorganization, moratorium or other similar laws relating to or affecting the rights and remedies of creditors or by general equitable principles (regardless of whether enforcement is considered in a proceeding in equity or at law), and will be entitled to the benefits of the Indenture.</w:t>
      </w:r>
    </w:p>
    <w:p>
      <w:pPr>
        <w:spacing w:after="0" w:line="42" w:lineRule="exact"/>
        <w:rPr>
          <w:rFonts w:ascii="Arial" w:cs="Arial" w:eastAsia="Arial" w:hAnsi="Arial"/>
          <w:sz w:val="11"/>
          <w:szCs w:val="11"/>
          <w:color w:val="auto"/>
        </w:rPr>
      </w:pPr>
    </w:p>
    <w:p>
      <w:pPr>
        <w:ind w:left="461" w:right="580" w:hanging="461"/>
        <w:spacing w:after="0" w:line="276" w:lineRule="auto"/>
        <w:tabs>
          <w:tab w:leader="none" w:pos="46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Securities and the Indenture conform in all material respects to the descriptions thereof contained in the Registration Statement, the Time of Sale Information and the Prospectus under the caption “Description of the Notes.”</w:t>
      </w:r>
    </w:p>
    <w:p>
      <w:pPr>
        <w:spacing w:after="0" w:line="59" w:lineRule="exact"/>
        <w:rPr>
          <w:rFonts w:ascii="Arial" w:cs="Arial" w:eastAsia="Arial" w:hAnsi="Arial"/>
          <w:sz w:val="13"/>
          <w:szCs w:val="13"/>
          <w:color w:val="auto"/>
        </w:rPr>
      </w:pPr>
    </w:p>
    <w:p>
      <w:pPr>
        <w:ind w:left="461" w:hanging="461"/>
        <w:spacing w:after="0" w:line="285" w:lineRule="auto"/>
        <w:tabs>
          <w:tab w:leader="none" w:pos="461"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Registration Statement is an “automatic shelf registration statement” (as defined under Rule 405 of the Securities Act) that has been filed with the Commission not earlier than three years prior to the date of the Underwriting Agreement and is currently effective; each of the Preliminary Prospectus and the Prospectus was filed with the Commission in the manner and within the time period required by Rule 424(b) under the Securities Act; and, to our best knowledge, no order suspending the effectiveness of the Registration Statement has been issued, no notice of objection of the Commission to the use of such registration statement or any post-effective amendment thereto pursuant to Rule 401(g)(2) under the Securities Act has been received by the Company and no proceeding for that purpose or pursuant to Section 8A of the Securities Act against the Company or in connection with the offering is pending or threatened by the Commission.</w:t>
      </w:r>
    </w:p>
    <w:p>
      <w:pPr>
        <w:spacing w:after="0" w:line="55" w:lineRule="exact"/>
        <w:rPr>
          <w:rFonts w:ascii="Arial" w:cs="Arial" w:eastAsia="Arial" w:hAnsi="Arial"/>
          <w:sz w:val="12"/>
          <w:szCs w:val="12"/>
          <w:color w:val="auto"/>
        </w:rPr>
      </w:pPr>
    </w:p>
    <w:p>
      <w:pPr>
        <w:ind w:left="461" w:right="220" w:hanging="461"/>
        <w:spacing w:after="0" w:line="264" w:lineRule="auto"/>
        <w:tabs>
          <w:tab w:leader="none" w:pos="46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Registration Statement, the Preliminary Prospectus, each Issuer Free Writing Prospectus included in the Time of Sale Information and the Prospectus (other than the financial statements and related schedules therein and the Statement of Eligibility on Form T-1, in each case as to which we express no opinion) comply as to form in all material respects with the requirements of the Securities Act; and the Indenture complies as to form in all material respects with the requirements of the Trust Indenture Act.</w:t>
      </w:r>
    </w:p>
    <w:p>
      <w:pPr>
        <w:spacing w:after="0" w:line="6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documents incorporated by reference in the Registration Statement, the Time of Sale Information and the Prospectus or any further amendment or supplement thereto made by the Company prior to the Closing Date (except for financial statements and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44" w:name="page245"/>
    <w:bookmarkEnd w:id="244"/>
    <w:p>
      <w:pPr>
        <w:ind w:left="461" w:right="140"/>
        <w:spacing w:after="0" w:line="276" w:lineRule="auto"/>
        <w:rPr>
          <w:sz w:val="20"/>
          <w:szCs w:val="20"/>
          <w:color w:val="auto"/>
        </w:rPr>
      </w:pPr>
      <w:r>
        <w:rPr>
          <w:rFonts w:ascii="Arial" w:cs="Arial" w:eastAsia="Arial" w:hAnsi="Arial"/>
          <w:sz w:val="13"/>
          <w:szCs w:val="13"/>
          <w:color w:val="auto"/>
        </w:rPr>
        <w:t>schedules and other financial data included or incorporated by reference therein or omitted therefrom and the Statement of Eligibility on Form T-1, in each case as to which we express no opinion), at the time they became effective or were filed with the Commission, as the case may be, complied in all material respects with the requirements of the Exchange Act.</w:t>
      </w:r>
    </w:p>
    <w:p>
      <w:pPr>
        <w:spacing w:after="0" w:line="49" w:lineRule="exact"/>
        <w:rPr>
          <w:sz w:val="20"/>
          <w:szCs w:val="20"/>
          <w:color w:val="auto"/>
        </w:rPr>
      </w:pPr>
    </w:p>
    <w:p>
      <w:pPr>
        <w:ind w:left="461" w:right="60" w:hanging="461"/>
        <w:spacing w:after="0" w:line="276" w:lineRule="auto"/>
        <w:tabs>
          <w:tab w:leader="none" w:pos="461"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statements in each of the Registration Statement, the Time of Sale Information and the Prospectus under the caption “Description of the Notes,” insofar as such statements constitute a summary of the legal matters or documents referred to therein, fairly summarize, in all material respects, the matters referred to therein.</w:t>
      </w:r>
    </w:p>
    <w:p>
      <w:pPr>
        <w:spacing w:after="0" w:line="59" w:lineRule="exact"/>
        <w:rPr>
          <w:rFonts w:ascii="Arial" w:cs="Arial" w:eastAsia="Arial" w:hAnsi="Arial"/>
          <w:sz w:val="13"/>
          <w:szCs w:val="13"/>
          <w:color w:val="auto"/>
        </w:rPr>
      </w:pPr>
    </w:p>
    <w:p>
      <w:pPr>
        <w:ind w:left="461" w:right="160" w:hanging="461"/>
        <w:spacing w:after="0" w:line="264" w:lineRule="auto"/>
        <w:tabs>
          <w:tab w:leader="none" w:pos="461"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statements set forth in each of the Registration Statement, the Time of Sale Information and the Prospectus under the caption “Material United States Federal Income Tax Considerations,” insofar as such statements constitute a summary of the United States federal tax laws referred to therein, and subject to the limitations, qualifications and assumptions set forth therein, are true, correct and complete in all material respects.</w:t>
      </w:r>
    </w:p>
    <w:p>
      <w:pPr>
        <w:spacing w:after="0" w:line="66" w:lineRule="exact"/>
        <w:rPr>
          <w:rFonts w:ascii="Arial" w:cs="Arial" w:eastAsia="Arial" w:hAnsi="Arial"/>
          <w:sz w:val="13"/>
          <w:szCs w:val="13"/>
          <w:color w:val="auto"/>
        </w:rPr>
      </w:pPr>
    </w:p>
    <w:p>
      <w:pPr>
        <w:ind w:left="461" w:right="20" w:hanging="461"/>
        <w:spacing w:after="0" w:line="277" w:lineRule="auto"/>
        <w:tabs>
          <w:tab w:leader="none" w:pos="461"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execution, delivery and performance of this Agreement, the Securities and the Indenture by the Company and the Covered Guarantors and the performance by the Company and the Covered Guarantors of their respective obligations thereunder (other than any indemnification provisions, as to which we express no opinion) (i) will not result in a violation of any provisions of the articles of incorporation or by-laws of the Company or the articles of incorporation, by-laws, certificate of formation, certificate of limited partnership or limited liability company, partnership or limited partnership agreement of any of the</w:t>
      </w:r>
    </w:p>
    <w:p>
      <w:pPr>
        <w:spacing w:after="0" w:line="1" w:lineRule="exact"/>
        <w:rPr>
          <w:sz w:val="20"/>
          <w:szCs w:val="20"/>
          <w:color w:val="auto"/>
        </w:rPr>
      </w:pPr>
    </w:p>
    <w:p>
      <w:pPr>
        <w:ind w:left="461"/>
        <w:spacing w:after="0"/>
        <w:rPr>
          <w:sz w:val="20"/>
          <w:szCs w:val="20"/>
          <w:color w:val="auto"/>
        </w:rPr>
      </w:pPr>
      <w:r>
        <w:rPr>
          <w:rFonts w:ascii="Arial" w:cs="Arial" w:eastAsia="Arial" w:hAnsi="Arial"/>
          <w:sz w:val="11"/>
          <w:szCs w:val="11"/>
          <w:color w:val="auto"/>
        </w:rPr>
        <w:t>Covered Guarantors, (ii) will not conflict with or constitute a breach of, or default under, or result in the creation or imposition of any lien, charge or encumbrance upon any property or assets of the Company or</w:t>
      </w:r>
    </w:p>
    <w:p>
      <w:pPr>
        <w:spacing w:after="0" w:line="31" w:lineRule="exact"/>
        <w:rPr>
          <w:sz w:val="20"/>
          <w:szCs w:val="20"/>
          <w:color w:val="auto"/>
        </w:rPr>
      </w:pPr>
    </w:p>
    <w:p>
      <w:pPr>
        <w:jc w:val="both"/>
        <w:ind w:left="461" w:right="160"/>
        <w:spacing w:after="0" w:line="256" w:lineRule="auto"/>
        <w:rPr>
          <w:sz w:val="20"/>
          <w:szCs w:val="20"/>
          <w:color w:val="auto"/>
        </w:rPr>
      </w:pPr>
      <w:r>
        <w:rPr>
          <w:rFonts w:ascii="Arial" w:cs="Arial" w:eastAsia="Arial" w:hAnsi="Arial"/>
          <w:sz w:val="13"/>
          <w:szCs w:val="13"/>
          <w:color w:val="auto"/>
        </w:rPr>
        <w:t>any of the Guarantors pursuant to any Existing Instrument filed as exhibits to the Company’s most recently filed Annual Report on Form 10-K or any material contract filed on Form 10-Q or Form 8-K after the date of the Company’s most recent Annual Report on Form 10-K and (iii) will not result in a violation of any federal, New York State or Illinois law or regulation or any Delaware corporate law or regulation (in each case other than state securities or blue sky laws, as to which we express no opinion), or any judgment, order or decree of any federal, New York State, Illinois or Delaware court or governmental authority binding on the Company or any Covered Guarantor of which we are 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-322580</wp:posOffset>
            </wp:positionV>
            <wp:extent cx="83185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line="52" w:lineRule="exact"/>
        <w:rPr>
          <w:sz w:val="20"/>
          <w:szCs w:val="20"/>
          <w:color w:val="auto"/>
        </w:rPr>
      </w:pPr>
    </w:p>
    <w:p>
      <w:pPr>
        <w:ind w:left="461" w:right="100" w:hanging="461"/>
        <w:spacing w:after="0" w:line="260" w:lineRule="auto"/>
        <w:tabs>
          <w:tab w:leader="none" w:pos="46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No consent, approval, authorization or other order of, or registration or filing under Delaware corporate law or with any federal, New York State or Illinois governmental authority is required for the execution, delivery and performance by the Company and the Guarantors of this Agreement or the Indenture or the issuance and sale by the Company and the Guarantors of the Securities or consummation of the transactions contemplated hereby or thereby, other than (a) such as have been obtained or made, (b) as are required by FINRA and (c) such as may be required by applicable state “blue sky” or similar state or foreign securities laws.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45" w:name="page246"/>
    <w:bookmarkEnd w:id="245"/>
    <w:p>
      <w:pPr>
        <w:ind w:left="461" w:hanging="461"/>
        <w:spacing w:after="0" w:line="276" w:lineRule="auto"/>
        <w:tabs>
          <w:tab w:leader="none" w:pos="461"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Company is not, and after receipt of payment for the Securities and the application of the proceeds thereof as contemplated under the caption “Use of Proceeds” in the Registration Statement, the Time of Sale Information and the Prospectus will not be, required to register as an “investment company” within the meaning of the Investment Company Act.</w:t>
      </w:r>
    </w:p>
    <w:p>
      <w:pPr>
        <w:spacing w:after="0" w:line="108"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1"/>
          </w:cols>
          <w:pgMar w:left="219" w:top="720" w:right="37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3"/>
          <w:szCs w:val="13"/>
          <w:b w:val="1"/>
          <w:bCs w:val="1"/>
          <w:color w:val="auto"/>
        </w:rPr>
        <w:t>Schedule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b w:val="1"/>
          <w:bCs w:val="1"/>
          <w:u w:val="single" w:color="auto"/>
          <w:color w:val="auto"/>
        </w:rPr>
        <w:t>Foreign Qualifications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247" w:name="page248"/>
    <w:bookmarkEnd w:id="247"/>
    <w:p>
      <w:pPr>
        <w:jc w:val="center"/>
        <w:ind w:right="-20"/>
        <w:spacing w:after="0"/>
        <w:rPr>
          <w:sz w:val="20"/>
          <w:szCs w:val="20"/>
          <w:color w:val="auto"/>
        </w:rPr>
      </w:pPr>
      <w:r>
        <w:rPr>
          <w:rFonts w:ascii="Arial" w:cs="Arial" w:eastAsia="Arial" w:hAnsi="Arial"/>
          <w:sz w:val="13"/>
          <w:szCs w:val="13"/>
          <w:b w:val="1"/>
          <w:bCs w:val="1"/>
          <w:color w:val="auto"/>
        </w:rPr>
        <w:t>Schedule 2</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u w:val="single" w:color="auto"/>
          <w:color w:val="auto"/>
        </w:rPr>
        <w:t>Covered Guarantors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48" w:name="page249"/>
    <w:bookmarkEnd w:id="248"/>
    <w:p>
      <w:pPr>
        <w:jc w:val="center"/>
        <w:spacing w:after="0"/>
        <w:rPr>
          <w:sz w:val="20"/>
          <w:szCs w:val="20"/>
          <w:color w:val="auto"/>
        </w:rPr>
      </w:pPr>
      <w:r>
        <w:rPr>
          <w:rFonts w:ascii="Arial" w:cs="Arial" w:eastAsia="Arial" w:hAnsi="Arial"/>
          <w:sz w:val="13"/>
          <w:szCs w:val="13"/>
          <w:b w:val="1"/>
          <w:bCs w:val="1"/>
          <w:color w:val="auto"/>
        </w:rPr>
        <w:t>SCHEDULE 3</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1"/>
          <w:szCs w:val="11"/>
          <w:b w:val="1"/>
          <w:bCs w:val="1"/>
          <w:u w:val="single" w:color="auto"/>
          <w:color w:val="auto"/>
        </w:rPr>
        <w:t>Foreign Qualifications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49" w:name="page250"/>
    <w:bookmarkEnd w:id="249"/>
    <w:p>
      <w:pPr>
        <w:jc w:val="right"/>
        <w:spacing w:after="0"/>
        <w:rPr>
          <w:sz w:val="20"/>
          <w:szCs w:val="20"/>
          <w:color w:val="auto"/>
        </w:rPr>
      </w:pPr>
      <w:r>
        <w:rPr>
          <w:rFonts w:ascii="Arial" w:cs="Arial" w:eastAsia="Arial" w:hAnsi="Arial"/>
          <w:sz w:val="13"/>
          <w:szCs w:val="13"/>
          <w:b w:val="1"/>
          <w:bCs w:val="1"/>
          <w:color w:val="auto"/>
        </w:rPr>
        <w:t>EXHIBIT A-2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Opinion of Mayer Brown LLP delivered with respect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California, Texas and North Carolina Guarantors]</w:t>
      </w:r>
    </w:p>
    <w:p>
      <w:pPr>
        <w:spacing w:after="0" w:line="79" w:lineRule="exact"/>
        <w:rPr>
          <w:sz w:val="20"/>
          <w:szCs w:val="20"/>
          <w:color w:val="auto"/>
        </w:rPr>
      </w:pPr>
    </w:p>
    <w:p>
      <w:pPr>
        <w:ind w:left="461" w:right="60" w:hanging="461"/>
        <w:spacing w:after="0" w:line="258" w:lineRule="auto"/>
        <w:tabs>
          <w:tab w:leader="none" w:pos="46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Each of the Guarantors listed on Schedule 1 hereto (collectively, the “Covered Guarantors”) is validly existing as a corporation, limited liability company, partnership or other legal entity, as the case may be, in good standing, to the extent that concept is applicable to such entity, under the laws of the jurisdiction of its incorporation or formation, and each has corporate, limited liability company, partnership or other power and authority to own or lease, as the case may be, and operate its properties and to conduct its business as described in the Registration Statement, the Time of Sale Information and the Prospectus; each Covered Guarantor is duly qualified as a foreign corporation, limited liability company, partnership or other entity to transact business and is in good standing, to the extent applicable to such entity, in each jurisdiction listed on Schedule 2 hereto.</w:t>
      </w:r>
    </w:p>
    <w:p>
      <w:pPr>
        <w:spacing w:after="0" w:line="71" w:lineRule="exact"/>
        <w:rPr>
          <w:rFonts w:ascii="Arial" w:cs="Arial" w:eastAsia="Arial" w:hAnsi="Arial"/>
          <w:sz w:val="13"/>
          <w:szCs w:val="13"/>
          <w:color w:val="auto"/>
        </w:rPr>
      </w:pPr>
    </w:p>
    <w:p>
      <w:pPr>
        <w:ind w:left="461" w:hanging="461"/>
        <w:spacing w:after="0"/>
        <w:tabs>
          <w:tab w:leader="none" w:pos="46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This Agreement and the Supplemental Indenture (including the Guarantee provided for therein) have each been duly authorized, executed and delivered by each of the Covered Guarantors.</w:t>
      </w:r>
    </w:p>
    <w:p>
      <w:pPr>
        <w:spacing w:after="0" w:line="96" w:lineRule="exact"/>
        <w:rPr>
          <w:rFonts w:ascii="Arial" w:cs="Arial" w:eastAsia="Arial" w:hAnsi="Arial"/>
          <w:sz w:val="13"/>
          <w:szCs w:val="13"/>
          <w:color w:val="auto"/>
        </w:rPr>
      </w:pPr>
    </w:p>
    <w:p>
      <w:pPr>
        <w:ind w:left="461" w:hanging="461"/>
        <w:spacing w:after="0" w:line="258" w:lineRule="auto"/>
        <w:tabs>
          <w:tab w:leader="none" w:pos="46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execution, delivery and performance of this Agreement and the Supplemental Indenture (including the Guarantee provided for therein) by the Covered Guarantors and the performance by the Covered Guarantors of their respective obligations thereunder (other than any indemnification provisions, as to which no opinion need be rendered) (i) will not result in a violation of any provisions of the articles of incorporation, by-laws, certificate of formation, certificate of limited partnership, limited liability company agreement, partnership agreement or limited partnership agreement of any of the Covered Guarantors and (ii) will not result in a violation of any [CA, NC or TX] law or regulation (other than state securities or blue sky laws, as to which no opinion need be rendered), or any judgment, order or decree of any [CA, NC or TX] court or governmental authority binding on any Covered Guarantor of which we are aware.</w:t>
      </w:r>
    </w:p>
    <w:p>
      <w:pPr>
        <w:spacing w:after="0" w:line="71" w:lineRule="exact"/>
        <w:rPr>
          <w:rFonts w:ascii="Arial" w:cs="Arial" w:eastAsia="Arial" w:hAnsi="Arial"/>
          <w:sz w:val="13"/>
          <w:szCs w:val="13"/>
          <w:color w:val="auto"/>
        </w:rPr>
      </w:pPr>
    </w:p>
    <w:p>
      <w:pPr>
        <w:ind w:left="461" w:right="200" w:hanging="461"/>
        <w:spacing w:after="0" w:line="264" w:lineRule="auto"/>
        <w:tabs>
          <w:tab w:leader="none" w:pos="46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No consent, approval, authorization or other order of, or registration or filing with, any [CA, NC or TX] governmental authority is required for the execution, delivery and performance by the Covered Guarantors of this Agreement or the Supplemental Indenture or the issuance and sale by the Covered Guarantors of the Guarantees or consummation of the transactions contemplated hereby or thereby, other than (a) such as have been obtained or made, and (b) such as may be required by applicable state “blue sky” or similar state securities 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3"/>
          <w:szCs w:val="13"/>
          <w:color w:val="auto"/>
        </w:rPr>
        <w:t>Schedule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Covered Guarantors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251" w:name="page252"/>
    <w:bookmarkEnd w:id="251"/>
    <w:p>
      <w:pPr>
        <w:jc w:val="center"/>
        <w:spacing w:after="0"/>
        <w:rPr>
          <w:sz w:val="20"/>
          <w:szCs w:val="20"/>
          <w:color w:val="auto"/>
        </w:rPr>
      </w:pPr>
      <w:r>
        <w:rPr>
          <w:rFonts w:ascii="Arial" w:cs="Arial" w:eastAsia="Arial" w:hAnsi="Arial"/>
          <w:sz w:val="13"/>
          <w:szCs w:val="13"/>
          <w:color w:val="auto"/>
        </w:rPr>
        <w:t>Schedule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Foreign Qualifications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252" w:name="page253"/>
    <w:bookmarkEnd w:id="252"/>
    <w:p>
      <w:pPr>
        <w:jc w:val="right"/>
        <w:spacing w:after="0"/>
        <w:rPr>
          <w:sz w:val="20"/>
          <w:szCs w:val="20"/>
          <w:color w:val="auto"/>
        </w:rPr>
      </w:pPr>
      <w:r>
        <w:rPr>
          <w:rFonts w:ascii="Arial" w:cs="Arial" w:eastAsia="Arial" w:hAnsi="Arial"/>
          <w:sz w:val="13"/>
          <w:szCs w:val="13"/>
          <w:b w:val="1"/>
          <w:bCs w:val="1"/>
          <w:color w:val="auto"/>
        </w:rPr>
        <w:t>EXHIBIT A-3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Negative Assurance Letter of Mayer Brown LLP]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Subject to the foregoing and on the basis of the information we gained in the course of performing the services referred to above, we confirm to you that nothing came to our attention that caused us to believe that:</w:t>
      </w:r>
    </w:p>
    <w:p>
      <w:pPr>
        <w:spacing w:after="0" w:line="98" w:lineRule="exact"/>
        <w:rPr>
          <w:sz w:val="20"/>
          <w:szCs w:val="20"/>
          <w:color w:val="auto"/>
        </w:rPr>
      </w:pPr>
    </w:p>
    <w:p>
      <w:pPr>
        <w:ind w:left="220" w:right="740" w:firstLine="172"/>
        <w:spacing w:after="0" w:line="320" w:lineRule="auto"/>
        <w:tabs>
          <w:tab w:leader="none" w:pos="569"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Registration Statement, at the time of its effective date (including the information, if any, deemed pursuant to Rule 430A, 430B or 430C to be part of the Registration Statement at the time of effectiveness), contained any untrue statement of a material fact or omitted to state a material fact required to be stated therein or necessary to make the statements therein not misleading,</w:t>
      </w:r>
    </w:p>
    <w:p>
      <w:pPr>
        <w:spacing w:after="0" w:line="25" w:lineRule="exact"/>
        <w:rPr>
          <w:rFonts w:ascii="Arial" w:cs="Arial" w:eastAsia="Arial" w:hAnsi="Arial"/>
          <w:sz w:val="12"/>
          <w:szCs w:val="12"/>
          <w:color w:val="auto"/>
        </w:rPr>
      </w:pPr>
    </w:p>
    <w:p>
      <w:pPr>
        <w:ind w:left="220" w:firstLine="172"/>
        <w:spacing w:after="0" w:line="276" w:lineRule="auto"/>
        <w:tabs>
          <w:tab w:leader="none" w:pos="569"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Time of Sale Information, at the Time of Sale, contained any untrue statement of a material fact or omitted to state a material fact necessary to make the statements therein, in the light of the circumstances under which they were made, not misleading, or</w:t>
      </w:r>
    </w:p>
    <w:p>
      <w:pPr>
        <w:spacing w:after="0" w:line="49" w:lineRule="exact"/>
        <w:rPr>
          <w:rFonts w:ascii="Arial" w:cs="Arial" w:eastAsia="Arial" w:hAnsi="Arial"/>
          <w:sz w:val="13"/>
          <w:szCs w:val="13"/>
          <w:color w:val="auto"/>
        </w:rPr>
      </w:pPr>
    </w:p>
    <w:p>
      <w:pPr>
        <w:ind w:left="220" w:right="460" w:firstLine="172"/>
        <w:spacing w:after="0" w:line="276" w:lineRule="auto"/>
        <w:tabs>
          <w:tab w:leader="none" w:pos="569"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Prospectus or any amendment or supplement thereto as of its date and as of the date hereof, contained or contains any untrue statement of a material fact or omitted or omits to state a material fact necessary in order to to make the statements therein, in the light of the circumstances under which they were made, not misleading:</w:t>
      </w:r>
    </w:p>
    <w:p>
      <w:pPr>
        <w:spacing w:after="0" w:line="49" w:lineRule="exact"/>
        <w:rPr>
          <w:sz w:val="20"/>
          <w:szCs w:val="20"/>
          <w:color w:val="auto"/>
        </w:rPr>
      </w:pPr>
    </w:p>
    <w:p>
      <w:pPr>
        <w:spacing w:after="0" w:line="260" w:lineRule="auto"/>
        <w:rPr>
          <w:sz w:val="20"/>
          <w:szCs w:val="20"/>
          <w:color w:val="auto"/>
        </w:rPr>
      </w:pPr>
      <w:r>
        <w:rPr>
          <w:rFonts w:ascii="Arial" w:cs="Arial" w:eastAsia="Arial" w:hAnsi="Arial"/>
          <w:sz w:val="13"/>
          <w:szCs w:val="13"/>
          <w:i w:val="1"/>
          <w:iCs w:val="1"/>
          <w:color w:val="auto"/>
        </w:rPr>
        <w:t xml:space="preserve">provided, however, </w:t>
      </w:r>
      <w:r>
        <w:rPr>
          <w:rFonts w:ascii="Arial" w:cs="Arial" w:eastAsia="Arial" w:hAnsi="Arial"/>
          <w:sz w:val="13"/>
          <w:szCs w:val="13"/>
          <w:color w:val="auto"/>
        </w:rPr>
        <w:t>that we do not assume any responsibility for the accuracy, completeness or fairness of the statements contained in the Registration Statement, the Time of Sale Information or the Prospectus, except as</w:t>
      </w:r>
      <w:r>
        <w:rPr>
          <w:rFonts w:ascii="Arial" w:cs="Arial" w:eastAsia="Arial" w:hAnsi="Arial"/>
          <w:sz w:val="13"/>
          <w:szCs w:val="13"/>
          <w:i w:val="1"/>
          <w:iCs w:val="1"/>
          <w:color w:val="auto"/>
        </w:rPr>
        <w:t xml:space="preserve"> </w:t>
      </w:r>
      <w:r>
        <w:rPr>
          <w:rFonts w:ascii="Arial" w:cs="Arial" w:eastAsia="Arial" w:hAnsi="Arial"/>
          <w:sz w:val="13"/>
          <w:szCs w:val="13"/>
          <w:color w:val="auto"/>
        </w:rPr>
        <w:t>otherwise specifically provided in paragraphs (vii), (xi) and (xii) in our opinion of today’s date addressed to you, and we do not express any belief with respect to the financial statements or other financial or accounting data or information or assessments of or reports on the effectiveness of internal control over financial reporting contained in, incorporated by reference into or omitted from the Registration Statement, Time of Sale Information or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53" w:name="page254"/>
    <w:bookmarkEnd w:id="253"/>
    <w:p>
      <w:pPr>
        <w:jc w:val="center"/>
        <w:ind w:right="-20"/>
        <w:spacing w:after="0"/>
        <w:rPr>
          <w:sz w:val="20"/>
          <w:szCs w:val="20"/>
          <w:color w:val="auto"/>
        </w:rPr>
      </w:pPr>
      <w:r>
        <w:rPr>
          <w:rFonts w:ascii="Arial" w:cs="Arial" w:eastAsia="Arial" w:hAnsi="Arial"/>
          <w:sz w:val="13"/>
          <w:szCs w:val="13"/>
          <w:b w:val="1"/>
          <w:bCs w:val="1"/>
          <w:color w:val="auto"/>
        </w:rPr>
        <w:t>Exhibit A</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Additional Documents and Information Included in the Pricing Disclosure Package</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54" w:name="page255"/>
    <w:bookmarkEnd w:id="254"/>
    <w:p>
      <w:pPr>
        <w:jc w:val="right"/>
        <w:spacing w:after="0"/>
        <w:rPr>
          <w:sz w:val="20"/>
          <w:szCs w:val="20"/>
          <w:color w:val="auto"/>
        </w:rPr>
      </w:pPr>
      <w:r>
        <w:rPr>
          <w:rFonts w:ascii="Arial" w:cs="Arial" w:eastAsia="Arial" w:hAnsi="Arial"/>
          <w:sz w:val="13"/>
          <w:szCs w:val="13"/>
          <w:color w:val="auto"/>
        </w:rPr>
        <w:t>EXHIBIT A-4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 opinion of Executive Vice President and General Counsel]</w:t>
      </w:r>
    </w:p>
    <w:p>
      <w:pPr>
        <w:spacing w:after="0" w:line="86" w:lineRule="exact"/>
        <w:rPr>
          <w:sz w:val="20"/>
          <w:szCs w:val="20"/>
          <w:color w:val="auto"/>
        </w:rPr>
      </w:pPr>
    </w:p>
    <w:p>
      <w:pPr>
        <w:jc w:val="both"/>
        <w:ind w:left="461" w:right="220" w:hanging="461"/>
        <w:spacing w:after="0" w:line="296" w:lineRule="auto"/>
        <w:tabs>
          <w:tab w:leader="none" w:pos="461" w:val="left"/>
        </w:tabs>
        <w:numPr>
          <w:ilvl w:val="0"/>
          <w:numId w:val="117"/>
        </w:numPr>
        <w:rPr>
          <w:rFonts w:ascii="Arial" w:cs="Arial" w:eastAsia="Arial" w:hAnsi="Arial"/>
          <w:sz w:val="12"/>
          <w:szCs w:val="12"/>
          <w:color w:val="auto"/>
        </w:rPr>
      </w:pPr>
      <w:r>
        <w:rPr>
          <w:rFonts w:ascii="Arial" w:cs="Arial" w:eastAsia="Arial" w:hAnsi="Arial"/>
          <w:sz w:val="12"/>
          <w:szCs w:val="12"/>
          <w:color w:val="auto"/>
        </w:rPr>
        <w:t>Except as disclosed in the Registration Statement, the Time of Sale Information and the Prospectus, there are no legal or governmental actions, suits or proceedings pending or, to the best of my knowledge, threatened against or affecting the Company, the Guarantors or any of their respective subsidiaries where any such action, suit or proceeding, if determined adversely, would, individually or in the aggregate, reasonably be expected to result in a Material Adverse Change or adversely affect the consummation of the transactions contemplated by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69"/>
        </w:trPr>
        <w:tc>
          <w:tcPr>
            <w:tcW w:w="3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7"/>
          </w:tcPr>
          <w:p>
            <w:pPr>
              <w:jc w:val="center"/>
              <w:ind w:right="300"/>
              <w:spacing w:after="0"/>
              <w:rPr>
                <w:sz w:val="20"/>
                <w:szCs w:val="20"/>
                <w:color w:val="auto"/>
              </w:rPr>
            </w:pPr>
            <w:r>
              <w:rPr>
                <w:rFonts w:ascii="Arial" w:cs="Arial" w:eastAsia="Arial" w:hAnsi="Arial"/>
                <w:sz w:val="13"/>
                <w:szCs w:val="13"/>
                <w:b w:val="1"/>
                <w:bCs w:val="1"/>
                <w:color w:val="auto"/>
              </w:rPr>
              <w:t>EXHIBIT B</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4"/>
        </w:trPr>
        <w:tc>
          <w:tcPr>
            <w:tcW w:w="3420" w:type="dxa"/>
            <w:vAlign w:val="bottom"/>
          </w:tcPr>
          <w:p>
            <w:pPr>
              <w:spacing w:after="0"/>
              <w:rPr>
                <w:sz w:val="19"/>
                <w:szCs w:val="19"/>
                <w:color w:val="auto"/>
              </w:rPr>
            </w:pPr>
          </w:p>
        </w:tc>
        <w:tc>
          <w:tcPr>
            <w:tcW w:w="4620" w:type="dxa"/>
            <w:vAlign w:val="bottom"/>
            <w:gridSpan w:val="12"/>
          </w:tcPr>
          <w:p>
            <w:pPr>
              <w:jc w:val="center"/>
              <w:spacing w:after="0"/>
              <w:rPr>
                <w:sz w:val="20"/>
                <w:szCs w:val="20"/>
                <w:color w:val="auto"/>
              </w:rPr>
            </w:pPr>
            <w:r>
              <w:rPr>
                <w:rFonts w:ascii="Arial" w:cs="Arial" w:eastAsia="Arial" w:hAnsi="Arial"/>
                <w:sz w:val="13"/>
                <w:szCs w:val="13"/>
                <w:b w:val="1"/>
                <w:bCs w:val="1"/>
                <w:color w:val="auto"/>
              </w:rPr>
              <w:t>REPUBLIC SERVICES, INC.</w:t>
            </w:r>
          </w:p>
        </w:tc>
      </w:tr>
      <w:tr>
        <w:trPr>
          <w:trHeight w:val="169"/>
        </w:trPr>
        <w:tc>
          <w:tcPr>
            <w:tcW w:w="3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9"/>
          </w:tcPr>
          <w:p>
            <w:pPr>
              <w:jc w:val="center"/>
              <w:ind w:right="220"/>
              <w:spacing w:after="0"/>
              <w:rPr>
                <w:sz w:val="20"/>
                <w:szCs w:val="20"/>
                <w:color w:val="auto"/>
              </w:rPr>
            </w:pPr>
            <w:r>
              <w:rPr>
                <w:rFonts w:ascii="Arial" w:cs="Arial" w:eastAsia="Arial" w:hAnsi="Arial"/>
                <w:sz w:val="13"/>
                <w:szCs w:val="13"/>
                <w:b w:val="1"/>
                <w:bCs w:val="1"/>
                <w:color w:val="auto"/>
                <w:w w:val="91"/>
              </w:rPr>
              <w:t>Pricing Term Sheet</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8"/>
        </w:trPr>
        <w:tc>
          <w:tcPr>
            <w:tcW w:w="342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660" w:type="dxa"/>
            <w:vAlign w:val="bottom"/>
            <w:tcBorders>
              <w:bottom w:val="single" w:sz="8" w:color="auto"/>
            </w:tcBorders>
            <w:gridSpan w:val="4"/>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3"/>
                <w:szCs w:val="13"/>
                <w:b w:val="1"/>
                <w:bCs w:val="1"/>
                <w:color w:val="auto"/>
              </w:rPr>
              <w:t>, 20___</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23"/>
        </w:trPr>
        <w:tc>
          <w:tcPr>
            <w:tcW w:w="3420" w:type="dxa"/>
            <w:vAlign w:val="bottom"/>
          </w:tcPr>
          <w:p>
            <w:pPr>
              <w:spacing w:after="0"/>
              <w:rPr>
                <w:sz w:val="20"/>
                <w:szCs w:val="20"/>
                <w:color w:val="auto"/>
              </w:rPr>
            </w:pPr>
            <w:r>
              <w:rPr>
                <w:rFonts w:ascii="Arial" w:cs="Arial" w:eastAsia="Arial" w:hAnsi="Arial"/>
                <w:sz w:val="13"/>
                <w:szCs w:val="13"/>
                <w:color w:val="auto"/>
              </w:rPr>
              <w:t>Issuer:</w:t>
            </w:r>
          </w:p>
        </w:tc>
        <w:tc>
          <w:tcPr>
            <w:tcW w:w="4620" w:type="dxa"/>
            <w:vAlign w:val="bottom"/>
            <w:gridSpan w:val="12"/>
          </w:tcPr>
          <w:p>
            <w:pPr>
              <w:ind w:left="1740"/>
              <w:spacing w:after="0"/>
              <w:rPr>
                <w:sz w:val="20"/>
                <w:szCs w:val="20"/>
                <w:color w:val="auto"/>
              </w:rPr>
            </w:pPr>
            <w:r>
              <w:rPr>
                <w:rFonts w:ascii="Arial" w:cs="Arial" w:eastAsia="Arial" w:hAnsi="Arial"/>
                <w:sz w:val="13"/>
                <w:szCs w:val="13"/>
                <w:color w:val="auto"/>
              </w:rPr>
              <w:t>Republic Services, Inc., a Delaware corporation</w:t>
            </w:r>
          </w:p>
        </w:tc>
      </w:tr>
      <w:tr>
        <w:trPr>
          <w:trHeight w:val="307"/>
        </w:trPr>
        <w:tc>
          <w:tcPr>
            <w:tcW w:w="3420" w:type="dxa"/>
            <w:vAlign w:val="bottom"/>
          </w:tcPr>
          <w:p>
            <w:pPr>
              <w:spacing w:after="0"/>
              <w:rPr>
                <w:sz w:val="20"/>
                <w:szCs w:val="20"/>
                <w:color w:val="auto"/>
              </w:rPr>
            </w:pPr>
            <w:r>
              <w:rPr>
                <w:rFonts w:ascii="Arial" w:cs="Arial" w:eastAsia="Arial" w:hAnsi="Arial"/>
                <w:sz w:val="13"/>
                <w:szCs w:val="13"/>
                <w:color w:val="auto"/>
              </w:rPr>
              <w:t>Guarantors:</w:t>
            </w:r>
          </w:p>
        </w:tc>
        <w:tc>
          <w:tcPr>
            <w:tcW w:w="4620" w:type="dxa"/>
            <w:vAlign w:val="bottom"/>
            <w:gridSpan w:val="12"/>
          </w:tcPr>
          <w:p>
            <w:pPr>
              <w:ind w:left="1740"/>
              <w:spacing w:after="0"/>
              <w:rPr>
                <w:sz w:val="20"/>
                <w:szCs w:val="20"/>
                <w:color w:val="auto"/>
              </w:rPr>
            </w:pPr>
            <w:r>
              <w:rPr>
                <w:rFonts w:ascii="Arial" w:cs="Arial" w:eastAsia="Arial" w:hAnsi="Arial"/>
                <w:sz w:val="13"/>
                <w:szCs w:val="13"/>
                <w:color w:val="auto"/>
              </w:rPr>
              <w:t>Substantially all of the Issuer’s direct and</w:t>
            </w:r>
          </w:p>
        </w:tc>
      </w:tr>
      <w:tr>
        <w:trPr>
          <w:trHeight w:val="165"/>
        </w:trPr>
        <w:tc>
          <w:tcPr>
            <w:tcW w:w="3420" w:type="dxa"/>
            <w:vAlign w:val="bottom"/>
          </w:tcPr>
          <w:p>
            <w:pPr>
              <w:spacing w:after="0"/>
              <w:rPr>
                <w:sz w:val="14"/>
                <w:szCs w:val="14"/>
                <w:color w:val="auto"/>
              </w:rPr>
            </w:pPr>
          </w:p>
        </w:tc>
        <w:tc>
          <w:tcPr>
            <w:tcW w:w="3120" w:type="dxa"/>
            <w:vAlign w:val="bottom"/>
            <w:gridSpan w:val="10"/>
          </w:tcPr>
          <w:p>
            <w:pPr>
              <w:ind w:left="1740"/>
              <w:spacing w:after="0"/>
              <w:rPr>
                <w:sz w:val="20"/>
                <w:szCs w:val="20"/>
                <w:color w:val="auto"/>
              </w:rPr>
            </w:pPr>
            <w:r>
              <w:rPr>
                <w:rFonts w:ascii="Arial" w:cs="Arial" w:eastAsia="Arial" w:hAnsi="Arial"/>
                <w:sz w:val="13"/>
                <w:szCs w:val="13"/>
                <w:color w:val="auto"/>
              </w:rPr>
              <w:t>indirect subsidiaries.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6"/>
        </w:trPr>
        <w:tc>
          <w:tcPr>
            <w:tcW w:w="3420" w:type="dxa"/>
            <w:vAlign w:val="bottom"/>
          </w:tcPr>
          <w:p>
            <w:pPr>
              <w:spacing w:after="0"/>
              <w:rPr>
                <w:sz w:val="20"/>
                <w:szCs w:val="20"/>
                <w:color w:val="auto"/>
              </w:rPr>
            </w:pPr>
            <w:r>
              <w:rPr>
                <w:rFonts w:ascii="Arial" w:cs="Arial" w:eastAsia="Arial" w:hAnsi="Arial"/>
                <w:sz w:val="13"/>
                <w:szCs w:val="13"/>
                <w:color w:val="auto"/>
              </w:rPr>
              <w:t>Size:</w:t>
            </w:r>
          </w:p>
        </w:tc>
        <w:tc>
          <w:tcPr>
            <w:tcW w:w="2400" w:type="dxa"/>
            <w:vAlign w:val="bottom"/>
            <w:gridSpan w:val="4"/>
          </w:tcPr>
          <w:p>
            <w:pPr>
              <w:ind w:left="17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5"/>
        </w:trPr>
        <w:tc>
          <w:tcPr>
            <w:tcW w:w="3420" w:type="dxa"/>
            <w:vAlign w:val="bottom"/>
          </w:tcPr>
          <w:p>
            <w:pPr>
              <w:spacing w:after="0"/>
              <w:rPr>
                <w:sz w:val="20"/>
                <w:szCs w:val="20"/>
                <w:color w:val="auto"/>
              </w:rPr>
            </w:pPr>
            <w:r>
              <w:rPr>
                <w:rFonts w:ascii="Arial" w:cs="Arial" w:eastAsia="Arial" w:hAnsi="Arial"/>
                <w:sz w:val="13"/>
                <w:szCs w:val="13"/>
                <w:color w:val="auto"/>
              </w:rPr>
              <w:t>Maturity:</w:t>
            </w:r>
          </w:p>
        </w:tc>
        <w:tc>
          <w:tcPr>
            <w:tcW w:w="17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3"/>
        </w:trPr>
        <w:tc>
          <w:tcPr>
            <w:tcW w:w="3420" w:type="dxa"/>
            <w:vAlign w:val="bottom"/>
          </w:tcPr>
          <w:p>
            <w:pPr>
              <w:spacing w:after="0"/>
              <w:rPr>
                <w:sz w:val="20"/>
                <w:szCs w:val="20"/>
                <w:color w:val="auto"/>
              </w:rPr>
            </w:pPr>
            <w:r>
              <w:rPr>
                <w:rFonts w:ascii="Arial" w:cs="Arial" w:eastAsia="Arial" w:hAnsi="Arial"/>
                <w:sz w:val="13"/>
                <w:szCs w:val="13"/>
                <w:color w:val="auto"/>
              </w:rPr>
              <w:t>Coupon (Interest Rate):</w:t>
            </w:r>
          </w:p>
        </w:tc>
        <w:tc>
          <w:tcPr>
            <w:tcW w:w="3120" w:type="dxa"/>
            <w:vAlign w:val="bottom"/>
            <w:gridSpan w:val="10"/>
          </w:tcPr>
          <w:p>
            <w:pPr>
              <w:ind w:left="17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5"/>
        </w:trPr>
        <w:tc>
          <w:tcPr>
            <w:tcW w:w="3420" w:type="dxa"/>
            <w:vAlign w:val="bottom"/>
          </w:tcPr>
          <w:p>
            <w:pPr>
              <w:spacing w:after="0"/>
              <w:rPr>
                <w:sz w:val="20"/>
                <w:szCs w:val="20"/>
                <w:color w:val="auto"/>
              </w:rPr>
            </w:pPr>
            <w:r>
              <w:rPr>
                <w:rFonts w:ascii="Arial" w:cs="Arial" w:eastAsia="Arial" w:hAnsi="Arial"/>
                <w:sz w:val="13"/>
                <w:szCs w:val="13"/>
                <w:color w:val="auto"/>
              </w:rPr>
              <w:t>Yield to Maturity:</w:t>
            </w:r>
          </w:p>
        </w:tc>
        <w:tc>
          <w:tcPr>
            <w:tcW w:w="3120" w:type="dxa"/>
            <w:vAlign w:val="bottom"/>
            <w:gridSpan w:val="10"/>
          </w:tcPr>
          <w:p>
            <w:pPr>
              <w:ind w:left="17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5"/>
        </w:trPr>
        <w:tc>
          <w:tcPr>
            <w:tcW w:w="3420" w:type="dxa"/>
            <w:vAlign w:val="bottom"/>
          </w:tcPr>
          <w:p>
            <w:pPr>
              <w:spacing w:after="0"/>
              <w:rPr>
                <w:sz w:val="20"/>
                <w:szCs w:val="20"/>
                <w:color w:val="auto"/>
              </w:rPr>
            </w:pPr>
            <w:r>
              <w:rPr>
                <w:rFonts w:ascii="Arial" w:cs="Arial" w:eastAsia="Arial" w:hAnsi="Arial"/>
                <w:sz w:val="13"/>
                <w:szCs w:val="13"/>
                <w:color w:val="auto"/>
              </w:rPr>
              <w:t>Spread to Benchmark Treasury:</w:t>
            </w:r>
          </w:p>
        </w:tc>
        <w:tc>
          <w:tcPr>
            <w:tcW w:w="3120" w:type="dxa"/>
            <w:vAlign w:val="bottom"/>
            <w:gridSpan w:val="10"/>
          </w:tcPr>
          <w:p>
            <w:pPr>
              <w:ind w:left="1740"/>
              <w:spacing w:after="0"/>
              <w:rPr>
                <w:sz w:val="20"/>
                <w:szCs w:val="20"/>
                <w:color w:val="auto"/>
              </w:rPr>
            </w:pPr>
            <w:r>
              <w:rPr>
                <w:rFonts w:ascii="Arial" w:cs="Arial" w:eastAsia="Arial" w:hAnsi="Arial"/>
                <w:sz w:val="13"/>
                <w:szCs w:val="13"/>
                <w:color w:val="auto"/>
              </w:rPr>
              <w:t>T + ____ basis points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6"/>
        </w:trPr>
        <w:tc>
          <w:tcPr>
            <w:tcW w:w="3420" w:type="dxa"/>
            <w:vAlign w:val="bottom"/>
          </w:tcPr>
          <w:p>
            <w:pPr>
              <w:spacing w:after="0"/>
              <w:rPr>
                <w:sz w:val="20"/>
                <w:szCs w:val="20"/>
                <w:color w:val="auto"/>
              </w:rPr>
            </w:pPr>
            <w:r>
              <w:rPr>
                <w:rFonts w:ascii="Arial" w:cs="Arial" w:eastAsia="Arial" w:hAnsi="Arial"/>
                <w:sz w:val="13"/>
                <w:szCs w:val="13"/>
                <w:color w:val="auto"/>
              </w:rPr>
              <w:t>Benchmark Treasury:</w:t>
            </w:r>
          </w:p>
        </w:tc>
        <w:tc>
          <w:tcPr>
            <w:tcW w:w="2780" w:type="dxa"/>
            <w:vAlign w:val="bottom"/>
            <w:gridSpan w:val="9"/>
          </w:tcPr>
          <w:p>
            <w:pPr>
              <w:ind w:left="1740"/>
              <w:spacing w:after="0"/>
              <w:rPr>
                <w:sz w:val="20"/>
                <w:szCs w:val="20"/>
                <w:color w:val="auto"/>
              </w:rPr>
            </w:pPr>
            <w:r>
              <w:rPr>
                <w:rFonts w:ascii="Arial" w:cs="Arial" w:eastAsia="Arial" w:hAnsi="Arial"/>
                <w:sz w:val="13"/>
                <w:szCs w:val="13"/>
                <w:color w:val="auto"/>
                <w:w w:val="92"/>
              </w:rPr>
              <w:t>UST ______% due</w:t>
            </w: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Pr>
          <w:p>
            <w:pPr>
              <w:jc w:val="right"/>
              <w:ind w:right="794"/>
              <w:spacing w:after="0"/>
              <w:rPr>
                <w:sz w:val="20"/>
                <w:szCs w:val="20"/>
                <w:color w:val="auto"/>
              </w:rPr>
            </w:pPr>
            <w:r>
              <w:rPr>
                <w:rFonts w:ascii="Arial" w:cs="Arial" w:eastAsia="Arial" w:hAnsi="Arial"/>
                <w:sz w:val="13"/>
                <w:szCs w:val="13"/>
                <w:color w:val="auto"/>
                <w:w w:val="82"/>
              </w:rPr>
              <w:t>, 20__</w:t>
            </w:r>
          </w:p>
        </w:tc>
      </w:tr>
      <w:tr>
        <w:trPr>
          <w:trHeight w:val="295"/>
        </w:trPr>
        <w:tc>
          <w:tcPr>
            <w:tcW w:w="3420" w:type="dxa"/>
            <w:vAlign w:val="bottom"/>
          </w:tcPr>
          <w:p>
            <w:pPr>
              <w:spacing w:after="0"/>
              <w:rPr>
                <w:sz w:val="20"/>
                <w:szCs w:val="20"/>
                <w:color w:val="auto"/>
              </w:rPr>
            </w:pPr>
            <w:r>
              <w:rPr>
                <w:rFonts w:ascii="Arial" w:cs="Arial" w:eastAsia="Arial" w:hAnsi="Arial"/>
                <w:sz w:val="13"/>
                <w:szCs w:val="13"/>
                <w:color w:val="auto"/>
              </w:rPr>
              <w:t>Benchmark Treasury Price and Yield:</w:t>
            </w:r>
          </w:p>
        </w:tc>
        <w:tc>
          <w:tcPr>
            <w:tcW w:w="17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20" w:type="dxa"/>
            <w:vAlign w:val="bottom"/>
            <w:gridSpan w:val="8"/>
          </w:tcPr>
          <w:p>
            <w:pPr>
              <w:spacing w:after="0"/>
              <w:rPr>
                <w:sz w:val="20"/>
                <w:szCs w:val="20"/>
                <w:color w:val="auto"/>
              </w:rPr>
            </w:pPr>
            <w:r>
              <w:rPr>
                <w:rFonts w:ascii="Arial" w:cs="Arial" w:eastAsia="Arial" w:hAnsi="Arial"/>
                <w:sz w:val="13"/>
                <w:szCs w:val="13"/>
                <w:color w:val="auto"/>
              </w:rPr>
              <w:t>+ and ______%</w:t>
            </w:r>
          </w:p>
        </w:tc>
      </w:tr>
      <w:tr>
        <w:trPr>
          <w:trHeight w:val="295"/>
        </w:trPr>
        <w:tc>
          <w:tcPr>
            <w:tcW w:w="3420" w:type="dxa"/>
            <w:vAlign w:val="bottom"/>
          </w:tcPr>
          <w:p>
            <w:pPr>
              <w:spacing w:after="0"/>
              <w:rPr>
                <w:sz w:val="20"/>
                <w:szCs w:val="20"/>
                <w:color w:val="auto"/>
              </w:rPr>
            </w:pPr>
            <w:r>
              <w:rPr>
                <w:rFonts w:ascii="Arial" w:cs="Arial" w:eastAsia="Arial" w:hAnsi="Arial"/>
                <w:sz w:val="13"/>
                <w:szCs w:val="13"/>
                <w:color w:val="auto"/>
              </w:rPr>
              <w:t>Interest Payment Dates:</w:t>
            </w:r>
          </w:p>
        </w:tc>
        <w:tc>
          <w:tcPr>
            <w:tcW w:w="2460" w:type="dxa"/>
            <w:vAlign w:val="bottom"/>
            <w:gridSpan w:val="7"/>
          </w:tcPr>
          <w:p>
            <w:pPr>
              <w:ind w:left="1740"/>
              <w:spacing w:after="0"/>
              <w:rPr>
                <w:sz w:val="20"/>
                <w:szCs w:val="20"/>
                <w:color w:val="auto"/>
              </w:rPr>
            </w:pPr>
            <w:r>
              <w:rPr>
                <w:rFonts w:ascii="Arial" w:cs="Arial" w:eastAsia="Arial" w:hAnsi="Arial"/>
                <w:sz w:val="13"/>
                <w:szCs w:val="13"/>
                <w:color w:val="auto"/>
                <w:w w:val="92"/>
              </w:rPr>
              <w:t>_______ and</w:t>
            </w:r>
          </w:p>
        </w:tc>
        <w:tc>
          <w:tcPr>
            <w:tcW w:w="660" w:type="dxa"/>
            <w:vAlign w:val="bottom"/>
            <w:tcBorders>
              <w:bottom w:val="single" w:sz="8" w:color="auto"/>
            </w:tcBorders>
            <w:gridSpan w:val="3"/>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w w:val="90"/>
              </w:rPr>
              <w:t>, commencing ______, 20__</w:t>
            </w:r>
          </w:p>
        </w:tc>
      </w:tr>
      <w:tr>
        <w:trPr>
          <w:trHeight w:val="323"/>
        </w:trPr>
        <w:tc>
          <w:tcPr>
            <w:tcW w:w="3420" w:type="dxa"/>
            <w:vAlign w:val="bottom"/>
          </w:tcPr>
          <w:p>
            <w:pPr>
              <w:spacing w:after="0"/>
              <w:rPr>
                <w:sz w:val="20"/>
                <w:szCs w:val="20"/>
                <w:color w:val="auto"/>
              </w:rPr>
            </w:pPr>
            <w:r>
              <w:rPr>
                <w:rFonts w:ascii="Arial" w:cs="Arial" w:eastAsia="Arial" w:hAnsi="Arial"/>
                <w:sz w:val="13"/>
                <w:szCs w:val="13"/>
                <w:color w:val="auto"/>
              </w:rPr>
              <w:t>Redemption Provision:</w:t>
            </w:r>
          </w:p>
        </w:tc>
        <w:tc>
          <w:tcPr>
            <w:tcW w:w="4620" w:type="dxa"/>
            <w:vAlign w:val="bottom"/>
            <w:gridSpan w:val="12"/>
          </w:tcPr>
          <w:p>
            <w:pPr>
              <w:ind w:left="1740"/>
              <w:spacing w:after="0"/>
              <w:rPr>
                <w:sz w:val="20"/>
                <w:szCs w:val="20"/>
                <w:color w:val="auto"/>
              </w:rPr>
            </w:pPr>
            <w:r>
              <w:rPr>
                <w:rFonts w:ascii="Arial" w:cs="Arial" w:eastAsia="Arial" w:hAnsi="Arial"/>
                <w:sz w:val="13"/>
                <w:szCs w:val="13"/>
                <w:color w:val="auto"/>
              </w:rPr>
              <w:t>Make-Whole Call at T + ___ basis points</w:t>
            </w:r>
          </w:p>
        </w:tc>
      </w:tr>
      <w:tr>
        <w:trPr>
          <w:trHeight w:val="286"/>
        </w:trPr>
        <w:tc>
          <w:tcPr>
            <w:tcW w:w="3420" w:type="dxa"/>
            <w:vAlign w:val="bottom"/>
          </w:tcPr>
          <w:p>
            <w:pPr>
              <w:spacing w:after="0"/>
              <w:rPr>
                <w:sz w:val="20"/>
                <w:szCs w:val="20"/>
                <w:color w:val="auto"/>
              </w:rPr>
            </w:pPr>
            <w:r>
              <w:rPr>
                <w:rFonts w:ascii="Arial" w:cs="Arial" w:eastAsia="Arial" w:hAnsi="Arial"/>
                <w:sz w:val="13"/>
                <w:szCs w:val="13"/>
                <w:color w:val="auto"/>
              </w:rPr>
              <w:t>Price to Public:</w:t>
            </w:r>
          </w:p>
        </w:tc>
        <w:tc>
          <w:tcPr>
            <w:tcW w:w="1740" w:type="dxa"/>
            <w:vAlign w:val="bottom"/>
          </w:tcPr>
          <w:p>
            <w:pPr>
              <w:spacing w:after="0"/>
              <w:rPr>
                <w:sz w:val="24"/>
                <w:szCs w:val="24"/>
                <w:color w:val="auto"/>
              </w:rPr>
            </w:pPr>
          </w:p>
        </w:tc>
        <w:tc>
          <w:tcPr>
            <w:tcW w:w="680" w:type="dxa"/>
            <w:vAlign w:val="bottom"/>
            <w:tcBorders>
              <w:bottom w:val="single" w:sz="8" w:color="auto"/>
            </w:tcBorders>
            <w:gridSpan w:val="4"/>
          </w:tcPr>
          <w:p>
            <w:pPr>
              <w:spacing w:after="0"/>
              <w:rPr>
                <w:sz w:val="24"/>
                <w:szCs w:val="24"/>
                <w:color w:val="auto"/>
              </w:rPr>
            </w:pPr>
          </w:p>
        </w:tc>
        <w:tc>
          <w:tcPr>
            <w:tcW w:w="360" w:type="dxa"/>
            <w:vAlign w:val="bottom"/>
            <w:gridSpan w:val="4"/>
          </w:tcPr>
          <w:p>
            <w:pPr>
              <w:ind w:left="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5"/>
        </w:trPr>
        <w:tc>
          <w:tcPr>
            <w:tcW w:w="3420" w:type="dxa"/>
            <w:vAlign w:val="bottom"/>
          </w:tcPr>
          <w:p>
            <w:pPr>
              <w:spacing w:after="0"/>
              <w:rPr>
                <w:sz w:val="20"/>
                <w:szCs w:val="20"/>
                <w:color w:val="auto"/>
              </w:rPr>
            </w:pPr>
            <w:r>
              <w:rPr>
                <w:rFonts w:ascii="Arial" w:cs="Arial" w:eastAsia="Arial" w:hAnsi="Arial"/>
                <w:sz w:val="13"/>
                <w:szCs w:val="13"/>
                <w:color w:val="auto"/>
              </w:rPr>
              <w:t>Settlement Date:</w:t>
            </w: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20" w:type="dxa"/>
            <w:vAlign w:val="bottom"/>
            <w:gridSpan w:val="8"/>
          </w:tcPr>
          <w:p>
            <w:pPr>
              <w:spacing w:after="0"/>
              <w:rPr>
                <w:sz w:val="20"/>
                <w:szCs w:val="20"/>
                <w:color w:val="auto"/>
              </w:rPr>
            </w:pPr>
            <w:r>
              <w:rPr>
                <w:rFonts w:ascii="Arial" w:cs="Arial" w:eastAsia="Arial" w:hAnsi="Arial"/>
                <w:sz w:val="13"/>
                <w:szCs w:val="13"/>
                <w:color w:val="auto"/>
              </w:rPr>
              <w:t>, 20___ (T+5)</w:t>
            </w:r>
          </w:p>
        </w:tc>
      </w:tr>
      <w:tr>
        <w:trPr>
          <w:trHeight w:val="295"/>
        </w:trPr>
        <w:tc>
          <w:tcPr>
            <w:tcW w:w="3420" w:type="dxa"/>
            <w:vAlign w:val="bottom"/>
          </w:tcPr>
          <w:p>
            <w:pPr>
              <w:spacing w:after="0"/>
              <w:rPr>
                <w:sz w:val="20"/>
                <w:szCs w:val="20"/>
                <w:color w:val="auto"/>
              </w:rPr>
            </w:pPr>
            <w:r>
              <w:rPr>
                <w:rFonts w:ascii="Arial" w:cs="Arial" w:eastAsia="Arial" w:hAnsi="Arial"/>
                <w:sz w:val="13"/>
                <w:szCs w:val="13"/>
                <w:color w:val="auto"/>
              </w:rPr>
              <w:t>Ratings:</w:t>
            </w:r>
          </w:p>
        </w:tc>
        <w:tc>
          <w:tcPr>
            <w:tcW w:w="1740" w:type="dxa"/>
            <w:vAlign w:val="bottom"/>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0" w:type="dxa"/>
            <w:vAlign w:val="bottom"/>
            <w:gridSpan w:val="7"/>
          </w:tcPr>
          <w:p>
            <w:pPr>
              <w:ind w:left="20"/>
              <w:spacing w:after="0"/>
              <w:rPr>
                <w:sz w:val="20"/>
                <w:szCs w:val="20"/>
                <w:color w:val="auto"/>
              </w:rPr>
            </w:pPr>
            <w:r>
              <w:rPr>
                <w:rFonts w:ascii="Arial" w:cs="Arial" w:eastAsia="Arial" w:hAnsi="Arial"/>
                <w:sz w:val="13"/>
                <w:szCs w:val="13"/>
                <w:color w:val="auto"/>
              </w:rPr>
              <w:t>(Moody’s / S&amp;P / Fitch)</w:t>
            </w:r>
          </w:p>
        </w:tc>
      </w:tr>
      <w:tr>
        <w:trPr>
          <w:trHeight w:val="295"/>
        </w:trPr>
        <w:tc>
          <w:tcPr>
            <w:tcW w:w="3420" w:type="dxa"/>
            <w:vAlign w:val="bottom"/>
          </w:tcPr>
          <w:p>
            <w:pPr>
              <w:spacing w:after="0"/>
              <w:rPr>
                <w:sz w:val="20"/>
                <w:szCs w:val="20"/>
                <w:color w:val="auto"/>
              </w:rPr>
            </w:pPr>
            <w:r>
              <w:rPr>
                <w:rFonts w:ascii="Arial" w:cs="Arial" w:eastAsia="Arial" w:hAnsi="Arial"/>
                <w:sz w:val="13"/>
                <w:szCs w:val="13"/>
                <w:color w:val="auto"/>
              </w:rPr>
              <w:t>CUSIP / ISIN:</w:t>
            </w:r>
          </w:p>
        </w:tc>
        <w:tc>
          <w:tcPr>
            <w:tcW w:w="2440" w:type="dxa"/>
            <w:vAlign w:val="bottom"/>
            <w:gridSpan w:val="6"/>
          </w:tcPr>
          <w:p>
            <w:pPr>
              <w:ind w:left="2400"/>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3"/>
        </w:trPr>
        <w:tc>
          <w:tcPr>
            <w:tcW w:w="3420" w:type="dxa"/>
            <w:vAlign w:val="bottom"/>
          </w:tcPr>
          <w:p>
            <w:pPr>
              <w:spacing w:after="0"/>
              <w:rPr>
                <w:sz w:val="20"/>
                <w:szCs w:val="20"/>
                <w:color w:val="auto"/>
              </w:rPr>
            </w:pPr>
            <w:r>
              <w:rPr>
                <w:rFonts w:ascii="Arial" w:cs="Arial" w:eastAsia="Arial" w:hAnsi="Arial"/>
                <w:sz w:val="13"/>
                <w:szCs w:val="13"/>
                <w:color w:val="auto"/>
              </w:rPr>
              <w:t>Joint Book-Running Managers:</w:t>
            </w:r>
          </w:p>
        </w:tc>
        <w:tc>
          <w:tcPr>
            <w:tcW w:w="17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5"/>
        </w:trPr>
        <w:tc>
          <w:tcPr>
            <w:tcW w:w="3420" w:type="dxa"/>
            <w:vAlign w:val="bottom"/>
          </w:tcPr>
          <w:p>
            <w:pPr>
              <w:spacing w:after="0"/>
              <w:rPr>
                <w:sz w:val="20"/>
                <w:szCs w:val="20"/>
                <w:color w:val="auto"/>
              </w:rPr>
            </w:pPr>
            <w:r>
              <w:rPr>
                <w:rFonts w:ascii="Arial" w:cs="Arial" w:eastAsia="Arial" w:hAnsi="Arial"/>
                <w:sz w:val="13"/>
                <w:szCs w:val="13"/>
                <w:color w:val="auto"/>
              </w:rPr>
              <w:t>Co-Managers:</w:t>
            </w: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A securities rating is not a recommendation to buy, sell or hold securities and may be subject to revision or withdrawal at any time.</w:t>
      </w:r>
    </w:p>
    <w:p>
      <w:pPr>
        <w:spacing w:after="0" w:line="86" w:lineRule="exact"/>
        <w:rPr>
          <w:sz w:val="20"/>
          <w:szCs w:val="20"/>
          <w:color w:val="auto"/>
        </w:rPr>
      </w:pPr>
    </w:p>
    <w:p>
      <w:pPr>
        <w:jc w:val="both"/>
        <w:spacing w:after="0" w:line="267" w:lineRule="auto"/>
        <w:rPr>
          <w:sz w:val="20"/>
          <w:szCs w:val="20"/>
          <w:color w:val="auto"/>
        </w:rPr>
      </w:pPr>
      <w:r>
        <w:rPr>
          <w:rFonts w:ascii="Arial" w:cs="Arial" w:eastAsia="Arial" w:hAnsi="Arial"/>
          <w:sz w:val="13"/>
          <w:szCs w:val="13"/>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56" w:name="page257"/>
    <w:bookmarkEnd w:id="256"/>
    <w:p>
      <w:pPr>
        <w:spacing w:after="0"/>
        <w:rPr>
          <w:sz w:val="20"/>
          <w:szCs w:val="20"/>
          <w:color w:val="auto"/>
        </w:rPr>
      </w:pPr>
      <w:r>
        <w:rPr>
          <w:rFonts w:ascii="Arial" w:cs="Arial" w:eastAsia="Arial" w:hAnsi="Arial"/>
          <w:sz w:val="11"/>
          <w:szCs w:val="11"/>
          <w:b w:val="1"/>
          <w:bCs w:val="1"/>
          <w:color w:val="auto"/>
        </w:rPr>
        <w:t>dealer participating in the offering will arrange to send you the prospectus if you request it by calling toll-free 1-8[xx-xxx-xxxx] [or emailing o at [. ]]</w:t>
      </w:r>
    </w:p>
    <w:p>
      <w:pPr>
        <w:sectPr>
          <w:pgSz w:w="11900" w:h="16838" w:orient="portrait"/>
          <w:cols w:equalWidth="0" w:num="1">
            <w:col w:w="10239"/>
          </w:cols>
          <w:pgMar w:left="220" w:top="717" w:right="1440" w:bottom="1440" w:gutter="0" w:footer="0" w:header="0"/>
        </w:sectPr>
      </w:pPr>
    </w:p>
    <w:p>
      <w:pPr>
        <w:spacing w:after="0" w:line="17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90435" cy="190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7" w:right="1440" w:bottom="1440" w:gutter="0" w:footer="0" w:header="0"/>
          <w:type w:val="continuous"/>
        </w:sectPr>
      </w:pPr>
    </w:p>
    <w:bookmarkStart w:id="257" w:name="page258"/>
    <w:bookmarkEnd w:id="257"/>
    <w:p>
      <w:pPr>
        <w:jc w:val="center"/>
        <w:ind w:right="-1240"/>
        <w:spacing w:after="0"/>
        <w:rPr>
          <w:sz w:val="20"/>
          <w:szCs w:val="20"/>
          <w:color w:val="auto"/>
        </w:rPr>
      </w:pPr>
      <w:r>
        <w:rPr>
          <w:rFonts w:ascii="Arial" w:cs="Arial" w:eastAsia="Arial" w:hAnsi="Arial"/>
          <w:sz w:val="13"/>
          <w:szCs w:val="13"/>
          <w:b w:val="1"/>
          <w:bCs w:val="1"/>
          <w:color w:val="auto"/>
        </w:rPr>
        <w:t>EXHIBIT C</w:t>
      </w:r>
    </w:p>
    <w:p>
      <w:pPr>
        <w:spacing w:after="0" w:line="86" w:lineRule="exact"/>
        <w:rPr>
          <w:sz w:val="20"/>
          <w:szCs w:val="20"/>
          <w:color w:val="auto"/>
        </w:rPr>
      </w:pPr>
    </w:p>
    <w:p>
      <w:pPr>
        <w:jc w:val="center"/>
        <w:ind w:right="-1240"/>
        <w:spacing w:after="0"/>
        <w:rPr>
          <w:sz w:val="20"/>
          <w:szCs w:val="20"/>
          <w:color w:val="auto"/>
        </w:rPr>
      </w:pPr>
      <w:r>
        <w:rPr>
          <w:rFonts w:ascii="Arial" w:cs="Arial" w:eastAsia="Arial" w:hAnsi="Arial"/>
          <w:sz w:val="11"/>
          <w:szCs w:val="11"/>
          <w:b w:val="1"/>
          <w:bCs w:val="1"/>
          <w:color w:val="auto"/>
        </w:rPr>
        <w:t>Free Writing Prospectuses Constituting Part of the Time of Sale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Pricing Term Sheet dated ______________, 2010</w:t>
      </w:r>
    </w:p>
    <w:p>
      <w:pPr>
        <w:spacing w:after="0" w:line="14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36" w:right="1440" w:bottom="1440" w:gutter="0" w:footer="0" w:header="0"/>
        </w:sectPr>
      </w:pPr>
    </w:p>
    <w:bookmarkStart w:id="258" w:name="page259"/>
    <w:bookmarkEnd w:id="258"/>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623 LANDFILL,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 D A J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ACTION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ADA COUNTY DEVELOPMENT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ADRIAN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ADS OF ILLINOIS,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ADS, INC.</w:t>
      </w:r>
    </w:p>
    <w:p>
      <w:pPr>
        <w:spacing w:after="0" w:line="8" w:lineRule="exact"/>
        <w:rPr>
          <w:sz w:val="20"/>
          <w:szCs w:val="20"/>
          <w:color w:val="auto"/>
        </w:rPr>
      </w:pPr>
    </w:p>
    <w:p>
      <w:pPr>
        <w:ind w:right="1640"/>
        <w:spacing w:after="0" w:line="252" w:lineRule="auto"/>
        <w:rPr>
          <w:sz w:val="20"/>
          <w:szCs w:val="20"/>
          <w:color w:val="auto"/>
        </w:rPr>
      </w:pPr>
      <w:r>
        <w:rPr>
          <w:rFonts w:ascii="Arial" w:cs="Arial" w:eastAsia="Arial" w:hAnsi="Arial"/>
          <w:sz w:val="13"/>
          <w:szCs w:val="13"/>
          <w:color w:val="auto"/>
        </w:rPr>
        <w:t>AGRICULTURAL ACQUISITIONS, LLC AGRI-TECH, INC. OF OREGON ALABAMA RECYCLING SERVICES, INC. ALBANY — LEBANON SANITATION, INC. ALLIED ACQUISITION PENNSYLVANIA, INC. ALLIED ACQUISITION TWO, INC. ALLIED ENVIROENGINEERING,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ALLIED GAS RECOVERY SYSTEMS,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GREEN POWER,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NOVA SCOTIA,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SERVICES, LLC</w:t>
      </w:r>
    </w:p>
    <w:p>
      <w:pPr>
        <w:spacing w:after="0" w:line="8" w:lineRule="exact"/>
        <w:rPr>
          <w:sz w:val="20"/>
          <w:szCs w:val="20"/>
          <w:color w:val="auto"/>
        </w:rPr>
      </w:pPr>
    </w:p>
    <w:p>
      <w:pPr>
        <w:ind w:right="1220"/>
        <w:spacing w:after="0" w:line="252" w:lineRule="auto"/>
        <w:rPr>
          <w:sz w:val="20"/>
          <w:szCs w:val="20"/>
          <w:color w:val="auto"/>
        </w:rPr>
      </w:pPr>
      <w:r>
        <w:rPr>
          <w:rFonts w:ascii="Arial" w:cs="Arial" w:eastAsia="Arial" w:hAnsi="Arial"/>
          <w:sz w:val="13"/>
          <w:szCs w:val="13"/>
          <w:color w:val="auto"/>
        </w:rPr>
        <w:t>ALLIED TRANSFER SYSTEMS OF NEW JERSEY, LLC ALLIED WASTE ALABAMA, INC. ALLIED WASTE COMPANY, INC.</w:t>
      </w:r>
    </w:p>
    <w:p>
      <w:pPr>
        <w:spacing w:after="0" w:line="1" w:lineRule="exact"/>
        <w:rPr>
          <w:sz w:val="20"/>
          <w:szCs w:val="20"/>
          <w:color w:val="auto"/>
        </w:rPr>
      </w:pPr>
    </w:p>
    <w:p>
      <w:pPr>
        <w:ind w:right="480"/>
        <w:spacing w:after="0" w:line="252" w:lineRule="auto"/>
        <w:rPr>
          <w:sz w:val="20"/>
          <w:szCs w:val="20"/>
          <w:color w:val="auto"/>
        </w:rPr>
      </w:pPr>
      <w:r>
        <w:rPr>
          <w:rFonts w:ascii="Arial" w:cs="Arial" w:eastAsia="Arial" w:hAnsi="Arial"/>
          <w:sz w:val="13"/>
          <w:szCs w:val="13"/>
          <w:color w:val="auto"/>
        </w:rPr>
        <w:t>ALLIED WASTE ENVIRONMENTAL MANAGEMENT GROUP, LLC ALLIED WASTE HAULING OF GEORGIA, INC. ALLIED WASTE HOLDINGS (CANADA) LTD.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ALLIED WASTE INDUSTRIES (ARIZONA),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INDUSTRIES (NEW MEXICO),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INDUSTRIES (SOUTHWEST),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INDUSTRIES OF GEORGIA,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INDUSTRIES OF ILLINOIS,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INDUSTRIES OF NORTHWEST INDIANA,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INDUSTRIES OF TENNESSEE,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INDUSTRIES, INC.</w:t>
      </w:r>
    </w:p>
    <w:p>
      <w:pPr>
        <w:spacing w:after="0" w:line="8" w:lineRule="exact"/>
        <w:rPr>
          <w:sz w:val="20"/>
          <w:szCs w:val="20"/>
          <w:color w:val="auto"/>
        </w:rPr>
      </w:pPr>
    </w:p>
    <w:p>
      <w:pPr>
        <w:ind w:right="1340"/>
        <w:spacing w:after="0" w:line="252" w:lineRule="auto"/>
        <w:rPr>
          <w:sz w:val="20"/>
          <w:szCs w:val="20"/>
          <w:color w:val="auto"/>
        </w:rPr>
      </w:pPr>
      <w:r>
        <w:rPr>
          <w:rFonts w:ascii="Arial" w:cs="Arial" w:eastAsia="Arial" w:hAnsi="Arial"/>
          <w:sz w:val="13"/>
          <w:szCs w:val="13"/>
          <w:color w:val="auto"/>
        </w:rPr>
        <w:t>ALLIED WASTE LANDFILL HOLDINGS, INC. ALLIED WASTE NIAGARA FALLS LANDFILL, LLC ALLIED WASTE NORTH AMERICA, INC. ALLIED WASTE OF CALIFORNIA, INC.</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ALLIED WASTE OF LONG ISLAND,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OF NEW JERSEY,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OF NEW JERSEY-NEW YORK, LLC</w:t>
      </w:r>
    </w:p>
    <w:p>
      <w:pPr>
        <w:spacing w:after="0" w:line="8" w:lineRule="exact"/>
        <w:rPr>
          <w:sz w:val="20"/>
          <w:szCs w:val="20"/>
          <w:color w:val="auto"/>
        </w:rPr>
      </w:pPr>
    </w:p>
    <w:p>
      <w:pPr>
        <w:ind w:right="340"/>
        <w:spacing w:after="0" w:line="252" w:lineRule="auto"/>
        <w:rPr>
          <w:sz w:val="20"/>
          <w:szCs w:val="20"/>
          <w:color w:val="auto"/>
        </w:rPr>
      </w:pPr>
      <w:r>
        <w:rPr>
          <w:rFonts w:ascii="Arial" w:cs="Arial" w:eastAsia="Arial" w:hAnsi="Arial"/>
          <w:sz w:val="13"/>
          <w:szCs w:val="13"/>
          <w:color w:val="auto"/>
        </w:rPr>
        <w:t>ALLIED WASTE RECYCLING SERVICES OF NEW HAMPSHIRE, LLC ALLIED WASTE RURAL SANITATION, INC.</w:t>
      </w:r>
    </w:p>
    <w:p>
      <w:pPr>
        <w:spacing w:after="0" w:line="1" w:lineRule="exact"/>
        <w:rPr>
          <w:sz w:val="20"/>
          <w:szCs w:val="20"/>
          <w:color w:val="auto"/>
        </w:rPr>
      </w:pPr>
    </w:p>
    <w:p>
      <w:pPr>
        <w:ind w:right="1100"/>
        <w:spacing w:after="0" w:line="273" w:lineRule="auto"/>
        <w:rPr>
          <w:sz w:val="20"/>
          <w:szCs w:val="20"/>
          <w:color w:val="auto"/>
        </w:rPr>
      </w:pPr>
      <w:r>
        <w:rPr>
          <w:rFonts w:ascii="Arial" w:cs="Arial" w:eastAsia="Arial" w:hAnsi="Arial"/>
          <w:sz w:val="12"/>
          <w:szCs w:val="12"/>
          <w:color w:val="auto"/>
        </w:rPr>
        <w:t>ALLIED WASTE SERVICES OF COLORADO, INC. ALLIED WASTE SERVICES OF MASSACHUSETTS, LLC ALLIED WASTE SERVICES OF NORTH AMERICA, LLC ALLIED WASTE SERVICES OF PAGE, INC. ALLIED WASTE SERVICES OF STILLWATER,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ALLIED WASTE SYCAMORE LANDFILL,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107315</wp:posOffset>
            </wp:positionV>
            <wp:extent cx="7290435" cy="190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4340" w:space="720"/>
            <w:col w:w="4839"/>
          </w:cols>
          <w:pgMar w:left="560" w:top="736" w:right="1440" w:bottom="1440" w:gutter="0" w:footer="0" w:header="0"/>
        </w:sectPr>
      </w:pPr>
    </w:p>
    <w:bookmarkStart w:id="259" w:name="page260"/>
    <w:bookmarkEnd w:id="259"/>
    <w:p>
      <w:pPr>
        <w:spacing w:after="0"/>
        <w:rPr>
          <w:sz w:val="20"/>
          <w:szCs w:val="20"/>
          <w:color w:val="auto"/>
        </w:rPr>
      </w:pPr>
      <w:r>
        <w:rPr>
          <w:rFonts w:ascii="Arial" w:cs="Arial" w:eastAsia="Arial" w:hAnsi="Arial"/>
          <w:sz w:val="13"/>
          <w:szCs w:val="13"/>
          <w:color w:val="auto"/>
        </w:rPr>
        <w:t>ALLIED WASTE SYSTEMS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ALLIED WASTE SYSTEMS OF ARIZONA,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SYSTEMS OF COLORADO,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SYSTEMS OF INDIANA,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SYSTEMS OF MICHIGAN,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SYSTEMS OF MONTANA,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SYSTEMS OF NEW JERSEY,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SYSTEMS OF NORTH CAROLINA,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SYSTEMS OF PENNSYLVANIA,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SYSTEMS,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TRANSFER SERVICES OF ARIZONA,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TRANSFER SERVICES OF CALIFORNIA,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TRANSFER SERVICES OF FLORIDA,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TRANSFER SERVICES OF IOWA,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TRANSFER SERVICES OF LIMA,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TRANSFER SERVICES OF NEW YORK,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TRANSFER SERVICES OF NORTH CAROLINA,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TRANSFER SERVICES OF OREGON,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TRANSFER SERVICES OF RHODE ISLAND,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TRANSFER SERVICES OF UTAH,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ALLIED WASTE TRANSPORTATION,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AMERICAN DISPOSAL SERVICES OF ILLINOIS,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AMERICAN DISPOSAL SERVICES OF KANSAS,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AMERICAN DISPOSAL SERVICES OF MISSOURI,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AMERICAN DISPOSAL SERVICES OF NEW JERSEY,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AMERICAN DISPOSAL SERVICES OF WEST VIRGINIA,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AMERICAN DISPOSAL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AMERICAN DISPOSAL TRANSFER SERVICES OF ILLINOIS,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AMERICAN MATERIALS RECYCLING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AMERICAN SANITATION,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AMERICAN TRANSFER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ANSON COUNTY LANDFILL NC,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APACHE JUNCTION LANDFILL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ARC DISPOSAL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AREA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ARIANA,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ATLANTIC WASTE HOLDING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ATLAS TRANSPORT,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ATTWOODS OF NORTH AMERICA,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AUTAUGA COUNTY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AUTOMATED MODULAR SYSTEMS,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AUTOSHRED,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AWIN LEASING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AWIN LEASING II,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AWIN MANAGEMENT,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BARKER BROTHERS WASTE, INCORPORATED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BAY COLLECTION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BAY ENVIRONMENTAL MANAGEMENT,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BAY LANDFILLS,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BAY LEASING COMPANY, INC.</w:t>
      </w:r>
    </w:p>
    <w:p>
      <w:pPr>
        <w:spacing w:after="0" w:line="13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107315</wp:posOffset>
            </wp:positionV>
            <wp:extent cx="7290435" cy="19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0" w:right="1440" w:bottom="1440" w:gutter="0" w:footer="0" w:header="0"/>
        </w:sectPr>
      </w:pPr>
    </w:p>
    <w:bookmarkStart w:id="260" w:name="page261"/>
    <w:bookmarkEnd w:id="260"/>
    <w:p>
      <w:pPr>
        <w:spacing w:after="0"/>
        <w:rPr>
          <w:sz w:val="20"/>
          <w:szCs w:val="20"/>
          <w:color w:val="auto"/>
        </w:rPr>
      </w:pPr>
      <w:r>
        <w:rPr>
          <w:rFonts w:ascii="Arial" w:cs="Arial" w:eastAsia="Arial" w:hAnsi="Arial"/>
          <w:sz w:val="13"/>
          <w:szCs w:val="13"/>
          <w:color w:val="auto"/>
        </w:rPr>
        <w:t>BBCO,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BELLEVILLE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BERKELEY SANITARY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BFGSI,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ATLANTIC,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ENERGY SYSTEMS OF ALBANY,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ENERGY SYSTEMS OF DELAWARE COUNTY,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ENERGY SYSTEMS OF ESSEX COUNTY,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ENERGY SYSTEMS OF HEMPSTEAD,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ENERGY SYSTEMS OF NIAGARA II,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ENERGY SYSTEMS OF NIAGARA,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ENERGY SYSTEMS OF SEMASS,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ENERGY SYSTEMS OF SOUTHEASTERN CONNECTICUT,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REF-FUEL,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TRANS RIVER (GP),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TRANSFER SYSTEMS OF ALABAMA,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TRANSFER SYSTEMS OF DC,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TRANSFER SYSTEMS OF GEORGIA,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TRANSFER SYSTEMS OF MARYLAND,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TRANSFER SYSTEMS OF MASSACHUSETTS,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TRANSFER SYSTEMS OF MISSISSIPPI,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TRANSFER SYSTEMS OF NEW JERSEY,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TRANSFER SYSTEMS OF PENNSYLVANIA,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TRANSFER SYSTEMS OF VIRGINIA,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SERVICES OF PENNSYLVANIA,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SERVICES OF TENNESSEE,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SERVICES,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ALABAMA,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ARKANSAS,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GEORGIA,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KENTUCKY,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LOUISIANA,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MASSACHUSETTS,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MISSISSIPPI,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MISSOURI,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NEW JERSEY,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NORTH AMERICA,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NORTH CAROLINA,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OKLAHOMA,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SOUTH CAROLINA,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TENNESSEE,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VIRGINIA,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BIO-MED OF OREGON,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BLT ENTERPRISES OF OXNARD,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BOND COUNTY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BORREGO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BORROW PIT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BRICKYARD DISPOSAL &amp; RECYCLING,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BRIDGETON LANDFILL, LLC</w:t>
      </w:r>
    </w:p>
    <w:p>
      <w:pPr>
        <w:spacing w:after="0" w:line="13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107315</wp:posOffset>
            </wp:positionV>
            <wp:extent cx="7290435" cy="190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1" w:right="1440" w:bottom="1440" w:gutter="0" w:footer="0" w:header="0"/>
        </w:sectPr>
      </w:pPr>
    </w:p>
    <w:bookmarkStart w:id="261" w:name="page262"/>
    <w:bookmarkEnd w:id="261"/>
    <w:p>
      <w:pPr>
        <w:spacing w:after="0"/>
        <w:rPr>
          <w:sz w:val="20"/>
          <w:szCs w:val="20"/>
          <w:color w:val="auto"/>
        </w:rPr>
      </w:pPr>
      <w:r>
        <w:rPr>
          <w:rFonts w:ascii="Arial" w:cs="Arial" w:eastAsia="Arial" w:hAnsi="Arial"/>
          <w:sz w:val="13"/>
          <w:szCs w:val="13"/>
          <w:color w:val="auto"/>
        </w:rPr>
        <w:t>BRIDGETON TRANSFER STATION,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FINANCIAL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INDUSTRIES CHEMICAL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INDUSTRIES OF CALIFORNIA,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INDUSTRIES OF FLORIDA,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INDUSTRIES OF ILLINOIS,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INDUSTRIES OF NEW JERSEY,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INDUSTRIES OF NEW YORK,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INDUSTRIES OF OHIO,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INDUSTRIES OF TENNESSEE,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INDUSTRIES,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BROWNING-FERRIS,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BRUNSWICK WASTE MANAGEMENT FACILITY,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BUNTING TRASH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BUTLER COUNTY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 &amp; C EXPANDED SANITARY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CACTUS WASTE SYSTEMS,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CALVERT TRASH SYSTEMS, INCORPORATED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CAPITOL RECYCLING AND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CARBON LIMESTONE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CC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CECOS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CELINA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CENTRAL ARIZONA TRANSFER,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CENTRAL SANITARY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CENTRAL VIRGINIA PROPERTIES,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CHARTER EVAPORATION RESOURCE RECOVERY SYSTEMS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CHEROKEE RUN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CHILTON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CITIZENS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CITY-STAR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CLARKSTON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COCOPAH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COMPACTOR RENTAL SYSTEMS OF DELAWARE,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CONSOLIDATED DISPOSAL SERVICE,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CONTINENTAL WASTE INDUSTRIES,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COPPER MOUNTAIN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CORVALLIS DISPOSAL CO.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COUNTY DISPOSAL (OHIO),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COUNTY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COUNTY ENVIRONMENTAL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COUNTY LAND DEVELOPMENT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COUNTY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COURTNEY RIDGE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CRESCENT ACRES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CROCKETT SANITARY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CUMBERLAND COUNTY DEVELOPMENT COMPANY,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CWI OF ILLINOIS, INC.</w:t>
      </w:r>
    </w:p>
    <w:p>
      <w:pPr>
        <w:spacing w:after="0" w:line="13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107315</wp:posOffset>
            </wp:positionV>
            <wp:extent cx="7290435" cy="190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0" w:right="1440" w:bottom="1440" w:gutter="0" w:footer="0" w:header="0"/>
        </w:sectPr>
      </w:pPr>
    </w:p>
    <w:bookmarkStart w:id="262" w:name="page263"/>
    <w:bookmarkEnd w:id="262"/>
    <w:p>
      <w:pPr>
        <w:spacing w:after="0"/>
        <w:rPr>
          <w:sz w:val="20"/>
          <w:szCs w:val="20"/>
          <w:color w:val="auto"/>
        </w:rPr>
      </w:pPr>
      <w:r>
        <w:rPr>
          <w:rFonts w:ascii="Arial" w:cs="Arial" w:eastAsia="Arial" w:hAnsi="Arial"/>
          <w:sz w:val="13"/>
          <w:szCs w:val="13"/>
          <w:color w:val="auto"/>
        </w:rPr>
        <w:t>CWI OF MISSOURI,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 &amp; L DISPOSAL,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DALLAS DISPOSAL CO.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DELTA CONTAINER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DELTA DADE RECYCLING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DELTA PAPER STOCK, CO.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DELTA RESOURCES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DELTA SITE DEVELOPMENT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DELTA WASTE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DEMPSEY WASTE SYSTEMS II,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DENVER RL NORTH,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DTC MANAGEMENT,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 LEASING COMPANY,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EAGLE INDUSTRIES LEASING,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EAST CHICAGO COMPOST FACILITY,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ECDC ENVIRONMENTAL OF HUMBOLDT COUNTY,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ECDC ENVIRONMENTAL, 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ECDC HOLDINGS,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ELDER CREEK TRANSFER &amp; RECOVERY,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ELLIS SCOTT LANDFILL MO,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ENVIROCYCLE,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ENVIRONMENTAL DEVELOPMENT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ENVIRONMENTAL RECLAMATION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ENVIRONTECH,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ENVOTECH-ILLINOIS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EVERGREEN SCAVENGER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EVERGREEN SCAVENGER SERVICE,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 P. MCNAMARA RUBBISH REMOVAL,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FLINT HILL ROAD,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FOREST VIEW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FORWARD,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FRED BARBARA TRUCKING CO.,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FRONTIER WASTE SERVICES (COLORADO),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FRONTIER WASTE SERVICES (UTAH),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FRONTIER WASTE SERVICES OF LOUISIANA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 VAN DYKEN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GATEWAY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GEK,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GENERAL REFUSE ROLLOFF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GENERAL REFUSE SERVICE OF OHIO,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GEORGIA RECYCLING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GOLDEN BEAR TRANSFER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GOLDEN WASTE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GRANTS PASS SANITATION,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GREAT LAKES DISPOSAL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GREAT PLAINS LANDFILL OK,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GREENRIDGE RECLAMATION,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GREENRIDGE WASTE SERVICES,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GULFCOAST WASTE SERVICE, INC.</w:t>
      </w:r>
    </w:p>
    <w:p>
      <w:pPr>
        <w:spacing w:after="0" w:line="13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107315</wp:posOffset>
            </wp:positionV>
            <wp:extent cx="7290435" cy="190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0" w:right="1440" w:bottom="1440" w:gutter="0" w:footer="0" w:header="0"/>
        </w:sectPr>
      </w:pPr>
    </w:p>
    <w:bookmarkStart w:id="263" w:name="page264"/>
    <w:bookmarkEnd w:id="263"/>
    <w:p>
      <w:pPr>
        <w:spacing w:after="0"/>
        <w:rPr>
          <w:sz w:val="20"/>
          <w:szCs w:val="20"/>
          <w:color w:val="auto"/>
        </w:rPr>
      </w:pPr>
      <w:r>
        <w:rPr>
          <w:rFonts w:ascii="Arial" w:cs="Arial" w:eastAsia="Arial" w:hAnsi="Arial"/>
          <w:sz w:val="13"/>
          <w:szCs w:val="13"/>
          <w:color w:val="auto"/>
        </w:rPr>
        <w:t>H LEASING COMPANY,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HANCOCK COUNTY DEVELOPMENT COMPANY,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HARLAND’S SANITARY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HARRISON COUNTY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HONEYGO RUN RECLAMATION CENTER,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ILLINOIS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ILLINOIS RECYCLING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ILLINOIS VALLEY RECYCLING,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IMPERIAL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INDEPENDENT TRUCKING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INGRUM WASTE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INTERNATIONAL DISPOSAL CORP. OF CALIFORNIA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ISLAND WASTE SERVICES LTD.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JACKSON COUNTY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JEFFERSON CITY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JEFFERSON PARISH DEVELOPMENT COMPANY,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JETTER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KANDEL ENTERPRISES,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KANKAKEE QUARRY,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KELLER CANYON LANDFILL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KELLER DROP BOX,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LA CAÑADA DISPOSAL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LAKE NORMAN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LANDCOMP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LATHROP SUNRISE SANITATION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LEE COUNTY LANDFILL SC,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LEE COUNTY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LEMONS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LIBERTY WASTE HOLDINGS,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LIBERTY WASTE SERVICES LIMITED,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LIBERTY WASTE SERVICES OF ILLINOIS,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LIBERTY WASTE SERVICES OF MCCOOK,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LITTLE CREEK LANDING,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LOCAL SANITATION OF ROWAN COUNTY,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LOOP RECYCLING,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LOOP TRANSFER, INCORPORATED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LORAIN COUNTY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LOUIS PINTO &amp; SON, INC., SANITATION CONTRACTORS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LUCAS COUNTY LAND DEVELOPMENT,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LUCAS COUNTY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MADISON COUNTY DEVELOPMENT,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MANUMIT OF FLORIDA,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MCCUSKER RECYCLING,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MCINNIS WASTE SYSTEMS,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MENANDS ENVIRONMENTAL SOLUTIONS,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MESA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MIDWAY DEVELOPMENT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MISSISSIPPI WASTE PAPER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MISSOURI CITY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MOUNTAIN HOME DISPOSAL, INC.</w:t>
      </w:r>
    </w:p>
    <w:p>
      <w:pPr>
        <w:spacing w:after="0" w:line="13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107315</wp:posOffset>
            </wp:positionV>
            <wp:extent cx="7290435" cy="190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1" w:right="1440" w:bottom="1440" w:gutter="0" w:footer="0" w:header="0"/>
        </w:sectPr>
      </w:pPr>
    </w:p>
    <w:bookmarkStart w:id="264" w:name="page265"/>
    <w:bookmarkEnd w:id="264"/>
    <w:p>
      <w:pPr>
        <w:spacing w:after="0"/>
        <w:rPr>
          <w:sz w:val="20"/>
          <w:szCs w:val="20"/>
          <w:color w:val="auto"/>
        </w:rPr>
      </w:pPr>
      <w:r>
        <w:rPr>
          <w:rFonts w:ascii="Arial" w:cs="Arial" w:eastAsia="Arial" w:hAnsi="Arial"/>
          <w:sz w:val="13"/>
          <w:szCs w:val="13"/>
          <w:color w:val="auto"/>
        </w:rPr>
        <w:t>N LEASING COMPANY,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NATIONSWASTE CATAWBA REGIONAL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NATIONSWASTE,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NCORP,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MORGAN LANDFILL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YORK WASTE SERVICES,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NEWCO WASTE SYSTEMS OF NEW JERSEY,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NOBLE ROAD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NORTHEAST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NORTHLAKE TRANSFER,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NORTHWEST TENNESSEE DISPOSAL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OAKLAND HEIGHTS DEVELOPMENT,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OBSCURITY LAND DEVELOPMENT,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OHIO REPUBLIC CONTRACTS, II,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OHIO REPUBLIC CONTRACTS,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OKLAHOMA CITY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OSCAR’S COLLECTION SYSTEM OF FREMONT,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OTAY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OTTAWA COUNTY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PACKERTON LAND COMPANY,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PALOMAR TRANSFER STATION,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PELTIER REAL ESTATE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PERDOMO &amp; SONS,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PINAL COUNTY LANDFILL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PINECREST LANDFILL OK,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PITTSBURG COUNTY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POLK COUNTY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PORT CLINTON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PORTABLE STORAGE CO.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PREBLE COUNTY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PRICE &amp; SONS RECYCLING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PRINCE GEORGE’S COUNTY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R.C. MILLER ENTERPRISES,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R.C. MILLER REFUSE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RABANCO RECYCLING,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RABANCO, LTD.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RAMONA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RCS,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RELIABLE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DUMPCO,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ENVIRONMENTAL TECHNOLOGIES,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OHIO CONTRACTS,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AVIATION,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FINANCIAL LP,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GROUP,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HOLDING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ARIZONA HAULING,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CALIFORNIA HOLDING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CALIFORNIA II,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COLORADO HAULING, LLC</w:t>
      </w:r>
    </w:p>
    <w:p>
      <w:pPr>
        <w:spacing w:after="0" w:line="13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107315</wp:posOffset>
            </wp:positionV>
            <wp:extent cx="7290435" cy="190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0" w:right="1440" w:bottom="1440" w:gutter="0" w:footer="0" w:header="0"/>
        </w:sectPr>
      </w:pPr>
    </w:p>
    <w:bookmarkStart w:id="265" w:name="page266"/>
    <w:bookmarkEnd w:id="265"/>
    <w:p>
      <w:pPr>
        <w:spacing w:after="0"/>
        <w:rPr>
          <w:sz w:val="20"/>
          <w:szCs w:val="20"/>
          <w:color w:val="auto"/>
        </w:rPr>
      </w:pPr>
      <w:r>
        <w:rPr>
          <w:rFonts w:ascii="Arial" w:cs="Arial" w:eastAsia="Arial" w:hAnsi="Arial"/>
          <w:sz w:val="13"/>
          <w:szCs w:val="13"/>
          <w:color w:val="auto"/>
        </w:rPr>
        <w:t>REPUBLIC SERVICES OF COLORADO I,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FLORIDA GP,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FLORIDA LP,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GEORGIA GP,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GEORGIA LP,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INDIANA LP,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INDIANA TRANSPORTATION,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KENTUCKY,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MICHIGAN HAULING,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MICHIGAN HOLDING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MICHIGAN 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MICHIGAN II,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MICHIGAN III,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MICHIGAN IV,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MICHIGAN V,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NEW JERSEY,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NORTH CAROLINA,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OHIO HAULING,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OHIO 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OHIO II,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OHIO III,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OHIO IV,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PENNSYLVANIA,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SOUTH CAROLINA,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SOUTHERN CALIFORNIA,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VIRGINIA,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WISCONSIN GP,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WISCONSIN LP,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REAL ESTATE HOLDING,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VASCO ROAD,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SILVER STATE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WASTE SERVICES OF SOUTHERN CALIFORNIA,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WASTE SERVICES OF TEXAS GP,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WASTE SERVICES OF TEXAS LP,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RESOURCE RECOVERY,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RI/ALAMEDA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RICHMOND SANITARY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RISK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RITM,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ROCK ROAD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ROSS BROS. WASTE &amp; RECYCLING CO.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ROSSMAN SANITARY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ROXANA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ROYAL HOLDINGS,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RUBBISH CONTROL,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 &amp; S RECYCLING,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 LEASING COMPANY,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SALINE COUNTY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SAN DIEGO LANDFILL SYSTEMS,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SAN MARCOS NCRRF, INC.</w:t>
      </w:r>
    </w:p>
    <w:p>
      <w:pPr>
        <w:spacing w:after="0" w:line="13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107315</wp:posOffset>
            </wp:positionV>
            <wp:extent cx="7290435" cy="190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0" w:right="1440" w:bottom="1440" w:gutter="0" w:footer="0" w:header="0"/>
        </w:sectPr>
      </w:pPr>
    </w:p>
    <w:bookmarkStart w:id="266" w:name="page267"/>
    <w:bookmarkEnd w:id="266"/>
    <w:p>
      <w:pPr>
        <w:spacing w:after="0"/>
        <w:rPr>
          <w:sz w:val="20"/>
          <w:szCs w:val="20"/>
          <w:color w:val="auto"/>
        </w:rPr>
      </w:pPr>
      <w:r>
        <w:rPr>
          <w:rFonts w:ascii="Arial" w:cs="Arial" w:eastAsia="Arial" w:hAnsi="Arial"/>
          <w:sz w:val="13"/>
          <w:szCs w:val="13"/>
          <w:color w:val="auto"/>
        </w:rPr>
        <w:t>SAND VALLEY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SANDY HOLLOW LANDFILL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SANGAMON VALLEY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SANITARY DISPOSAL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SAUK TRAIL DEVELOPMENT,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SCHOFIELD CORPORATION OF ORLANDO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SHOW-ME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SHRED — ALL RECYCLING SYSTEMS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SOLANO GARBAGE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SOURCE RECYCLING,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SOUTHEAST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SOUTHERN ILLINOIS REGIONAL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ST. BERNARD PARISH DEVELOPMENT COMPANY,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ST. JOSEPH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STANDARD DISPOSAL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STANDARD ENVIRONMENTAL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STANDARD WASTE,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STREATOR AREA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SUBURBAN TRANSFER,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SUBURBAN WAREHOUSE,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SUMMIT WASTE SYSTEMS,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SUNRISE SANITATION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SUNSET DISPOSAL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SUNSET DISPOSAL,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SYCAMORE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TATE’S TRANSFER SYSTEMS,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TAY-BAN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TAYLOR RIDGE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TENNESSEE UNION COUNTY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THE ECOLOGY GROUP,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THOMAS DISPOSAL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TOM LUCIANO’S DISPOSAL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TOTAL ROLL-OFFS,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TOTAL SOLID WASTE RECYCLERS,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TRICIL (N.Y.),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TRI-COUNTY REFUSE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TRI-STATE RECYCLING SERVICES,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TRI-STATE REFUSE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UNITED DISPOSAL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UPPER ROCK ISLAND COUNTY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VALLEY LANDFILLS,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VINING DISPOSAL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WASATCH REGIONAL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WASTE CONTROL SYSTEMS,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WASTE SERVICES OF NEW YORK,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WASTEHAUL,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WAYNE COUNTY LAND DEVELOPMENT,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WAYNE COUNTY LANDFILL IL,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WAYNE DEVELOPERS,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WDTR, INC.</w:t>
      </w:r>
    </w:p>
    <w:p>
      <w:pPr>
        <w:spacing w:after="0" w:line="138"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107315</wp:posOffset>
            </wp:positionV>
            <wp:extent cx="7290435" cy="190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1" w:right="1440" w:bottom="1440" w:gutter="0" w:footer="0" w:header="0"/>
        </w:sectPr>
      </w:pPr>
    </w:p>
    <w:bookmarkStart w:id="267" w:name="page268"/>
    <w:bookmarkEnd w:id="267"/>
    <w:p>
      <w:pPr>
        <w:spacing w:after="0"/>
        <w:rPr>
          <w:sz w:val="20"/>
          <w:szCs w:val="20"/>
          <w:color w:val="auto"/>
        </w:rPr>
      </w:pPr>
      <w:r>
        <w:rPr>
          <w:rFonts w:ascii="Arial" w:cs="Arial" w:eastAsia="Arial" w:hAnsi="Arial"/>
          <w:sz w:val="13"/>
          <w:szCs w:val="13"/>
          <w:color w:val="auto"/>
        </w:rPr>
        <w:t>WEBSTER PARISH LANDFILL,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WEST CONTRA COSTA ENERGY RECOVERY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WEST CONTRA COSTA SANITARY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WEST COUNTY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WEST COUNTY RESOURCE RECOVERY,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WILLAMETTE RESOURCES,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WILLIAMS COUNTY LANDFILL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WILLOW RIDGE LANDFILL,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WJR ENVIRONMENTAL,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WOODLAKE SANITARY SERVICE,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ZAKAROFF SERVICES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ABILENE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TRANSFER SYSTEMS OF TEXAS,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SERVICES OF INDIANA,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SERVICES OF TEXAS,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WASTE SYSTEMS OF INDIANA,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BLUE RIDGE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BRENHAM TOTAL ROLL-OFFS,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CAMELOT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CEFE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CROW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DESARROLLO DEL RANCHO LA GLORIA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EL CENTRO LANDFILL,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ELLIS COUNTY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FORT WORTH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FRONTIER WASTE SERVICES,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GALVESTON COUNTY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GILES ROAD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GOLDEN TRIANGLE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GREENWOOD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GULF WEST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ITASCA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KERRVILLE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LEWISVILLE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MARS ROAD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MCCARTY ROAD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MESQUITE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MEXIA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PANAMA ROAD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PINE HILL FARMS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PLEASANT OAKS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RIO GRANDE VALLEY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ROYAL OAKS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SOUTH CENTRAL TEXAS LAND CO.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SOUTHWEST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TESSMAN ROAD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TURKEY CREEK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VICTORIA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WHISPERING PINES LANDFILL TX,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BENTON COUNTY DEVELOPMENT COMPANY</w:t>
      </w:r>
    </w:p>
    <w:p>
      <w:pPr>
        <w:spacing w:after="0" w:line="138" w:lineRule="exact"/>
        <w:rPr>
          <w:sz w:val="20"/>
          <w:szCs w:val="20"/>
          <w:color w:val="auto"/>
        </w:rPr>
      </w:pPr>
    </w:p>
    <w:p>
      <w:pPr>
        <w:jc w:val="right"/>
        <w:ind w:right="4379"/>
        <w:spacing w:after="0"/>
        <w:rPr>
          <w:sz w:val="20"/>
          <w:szCs w:val="20"/>
          <w:color w:val="auto"/>
        </w:rPr>
      </w:pPr>
      <w:r>
        <w:rPr>
          <w:rFonts w:ascii="Arial" w:cs="Arial" w:eastAsia="Arial" w:hAnsi="Arial"/>
          <w:sz w:val="13"/>
          <w:szCs w:val="13"/>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268" w:name="page269"/>
    <w:bookmarkEnd w:id="268"/>
    <w:p>
      <w:pPr>
        <w:spacing w:after="0"/>
        <w:rPr>
          <w:sz w:val="20"/>
          <w:szCs w:val="20"/>
          <w:color w:val="auto"/>
        </w:rPr>
      </w:pPr>
      <w:r>
        <w:rPr>
          <w:rFonts w:ascii="Arial" w:cs="Arial" w:eastAsia="Arial" w:hAnsi="Arial"/>
          <w:sz w:val="13"/>
          <w:szCs w:val="13"/>
          <w:color w:val="auto"/>
        </w:rPr>
        <w:t>CLINTON COUNTY LANDFILL PARTNERSHIP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COUNTY LINE LANDFILL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ILLIANA DISPOSAL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JASPER COUNTY DEVELOPMENT COMPANY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KEY WASTE INDIANA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LAKE COUNTY C &amp; D DEVELOPMENT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NEWTON COUNTY LANDFILL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SPRINGFIELD ENVIRONMENTAL GENERAL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TIPPECANOE COUNTY WASTE SERVICES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WARRICK COUNTY DEVELOPMENT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BENSON VALLEY LANDFILL GENERAL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BLUE RIDGE LANDFILL GENERAL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GREEN VALLEY LANDFILL GENERAL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MOREHEAD LANDFILL GENERAL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WASTE SERVICES OF TEXAS, LTD.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RWS TRANSPORT,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BFI ENERGY SYSTEMS OF SOUTHEASTERN CONNECTICUT, LIMITED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OCEANSIDE WASTE &amp; RECYCLING SERVICES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RABANCO COMPANIES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FINANCIAL, LIMITED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FLORIDA, LIMITED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GEORGIA, LIMITED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INDIANA, LIMITED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OF WISCONSIN, LIMITED PARTNERSHIP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DINVERNO, INC.</w:t>
      </w:r>
    </w:p>
    <w:p>
      <w:pPr>
        <w:spacing w:after="0" w:line="138" w:lineRule="exact"/>
        <w:rPr>
          <w:sz w:val="20"/>
          <w:szCs w:val="20"/>
          <w:color w:val="auto"/>
        </w:rPr>
      </w:pPr>
    </w:p>
    <w:p>
      <w:pPr>
        <w:jc w:val="right"/>
        <w:ind w:right="4379"/>
        <w:spacing w:after="0"/>
        <w:rPr>
          <w:sz w:val="20"/>
          <w:szCs w:val="20"/>
          <w:color w:val="auto"/>
        </w:rPr>
      </w:pPr>
      <w:r>
        <w:rPr>
          <w:rFonts w:ascii="Arial" w:cs="Arial" w:eastAsia="Arial" w:hAnsi="Arial"/>
          <w:sz w:val="13"/>
          <w:szCs w:val="13"/>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269" w:name="page270"/>
    <w:bookmarkEnd w:id="269"/>
    <w:p>
      <w:pPr>
        <w:jc w:val="center"/>
        <w:ind w:right="-20"/>
        <w:spacing w:after="0"/>
        <w:rPr>
          <w:sz w:val="20"/>
          <w:szCs w:val="20"/>
          <w:color w:val="auto"/>
        </w:rPr>
      </w:pPr>
      <w:r>
        <w:rPr>
          <w:rFonts w:ascii="Arial" w:cs="Arial" w:eastAsia="Arial" w:hAnsi="Arial"/>
          <w:sz w:val="13"/>
          <w:szCs w:val="13"/>
          <w:b w:val="1"/>
          <w:bCs w:val="1"/>
          <w:color w:val="auto"/>
        </w:rPr>
        <w:t>EXHIBIT E</w:t>
      </w:r>
    </w:p>
    <w:p>
      <w:pPr>
        <w:spacing w:after="0" w:line="90"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Arbor Hills Holdings L.L.C.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BFGSI Series 1997-A Trust</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BFI Energy Systems of Boston, Inc.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BFI Energy Systems of Plymouth, Inc.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BFI Services Group, Inc.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BFI Trans River (LP), Inc.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Browning-Ferris Industries Asia Pacific, Inc.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Browning-Ferris Industries Europe, Inc.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Champlin Refuse, Inc.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Congress Development Co.</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Consolidated Processing, Inc.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Continental Waste Industries — Gary, Inc.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EcoSort, L.L.C.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Evergreen National Indemnity Company</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Foothill Sanitary Landfill, Inc.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Kent-Meridian Disposal Company</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Marion Resource Recovery Facility, LLC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Minneapolis Refuse, Incorporated</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Modern-Mallard Energy, LLC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Pine Bend Holdings L.L.C.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Prichard Landfill Corporation</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Roosevelt Associates</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VHG, Inc.</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Warner Hill Development Company</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E-1</w:t>
      </w:r>
    </w:p>
    <w:p>
      <w:pPr>
        <w:sectPr>
          <w:pgSz w:w="11900" w:h="16838" w:orient="portrait"/>
          <w:cols w:equalWidth="0" w:num="1">
            <w:col w:w="9019"/>
          </w:cols>
          <w:pgMar w:left="1440" w:top="736" w:right="1440" w:bottom="1440" w:gutter="0" w:footer="0" w:header="0"/>
        </w:sectPr>
      </w:pPr>
    </w:p>
    <w:bookmarkStart w:id="270" w:name="page271"/>
    <w:bookmarkEnd w:id="270"/>
    <w:p>
      <w:pPr>
        <w:jc w:val="right"/>
        <w:spacing w:after="0"/>
        <w:rPr>
          <w:sz w:val="20"/>
          <w:szCs w:val="20"/>
          <w:color w:val="auto"/>
        </w:rPr>
      </w:pPr>
      <w:r>
        <w:rPr>
          <w:rFonts w:ascii="Arial" w:cs="Arial" w:eastAsia="Arial" w:hAnsi="Arial"/>
          <w:sz w:val="13"/>
          <w:szCs w:val="13"/>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5885180</wp:posOffset>
            </wp:positionH>
            <wp:positionV relativeFrom="paragraph">
              <wp:posOffset>113030</wp:posOffset>
            </wp:positionV>
            <wp:extent cx="1292225" cy="933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92225" cy="933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ind w:right="140"/>
        <w:spacing w:after="0"/>
        <w:rPr>
          <w:sz w:val="20"/>
          <w:szCs w:val="20"/>
          <w:color w:val="auto"/>
        </w:rPr>
      </w:pPr>
      <w:r>
        <w:rPr>
          <w:rFonts w:ascii="Arial" w:cs="Arial" w:eastAsia="Arial" w:hAnsi="Arial"/>
          <w:sz w:val="13"/>
          <w:szCs w:val="13"/>
          <w:color w:val="auto"/>
        </w:rPr>
        <w:t>Mayer Brown LLP</w:t>
      </w:r>
    </w:p>
    <w:p>
      <w:pPr>
        <w:spacing w:after="0" w:line="15" w:lineRule="exact"/>
        <w:rPr>
          <w:sz w:val="20"/>
          <w:szCs w:val="20"/>
          <w:color w:val="auto"/>
        </w:rPr>
      </w:pPr>
    </w:p>
    <w:p>
      <w:pPr>
        <w:jc w:val="right"/>
        <w:ind w:right="160"/>
        <w:spacing w:after="0"/>
        <w:rPr>
          <w:sz w:val="20"/>
          <w:szCs w:val="20"/>
          <w:color w:val="auto"/>
        </w:rPr>
      </w:pPr>
      <w:r>
        <w:rPr>
          <w:rFonts w:ascii="Arial" w:cs="Arial" w:eastAsia="Arial" w:hAnsi="Arial"/>
          <w:sz w:val="13"/>
          <w:szCs w:val="13"/>
          <w:color w:val="auto"/>
        </w:rPr>
        <w:t>71 South Wacker Drive</w:t>
      </w:r>
    </w:p>
    <w:p>
      <w:pPr>
        <w:spacing w:after="0" w:line="8" w:lineRule="exact"/>
        <w:rPr>
          <w:sz w:val="20"/>
          <w:szCs w:val="20"/>
          <w:color w:val="auto"/>
        </w:rPr>
      </w:pPr>
    </w:p>
    <w:p>
      <w:pPr>
        <w:jc w:val="right"/>
        <w:ind w:right="160"/>
        <w:spacing w:after="0"/>
        <w:rPr>
          <w:sz w:val="20"/>
          <w:szCs w:val="20"/>
          <w:color w:val="auto"/>
        </w:rPr>
      </w:pPr>
      <w:r>
        <w:rPr>
          <w:rFonts w:ascii="Arial" w:cs="Arial" w:eastAsia="Arial" w:hAnsi="Arial"/>
          <w:sz w:val="13"/>
          <w:szCs w:val="13"/>
          <w:color w:val="auto"/>
        </w:rPr>
        <w:t>Chicago, Illinois 60606-4637</w:t>
      </w:r>
    </w:p>
    <w:p>
      <w:pPr>
        <w:spacing w:after="0" w:line="158" w:lineRule="exact"/>
        <w:rPr>
          <w:sz w:val="20"/>
          <w:szCs w:val="20"/>
          <w:color w:val="auto"/>
        </w:rPr>
      </w:pPr>
    </w:p>
    <w:p>
      <w:pPr>
        <w:jc w:val="right"/>
        <w:ind w:right="160"/>
        <w:spacing w:after="0"/>
        <w:rPr>
          <w:sz w:val="20"/>
          <w:szCs w:val="20"/>
          <w:color w:val="auto"/>
        </w:rPr>
      </w:pPr>
      <w:r>
        <w:rPr>
          <w:rFonts w:ascii="Arial" w:cs="Arial" w:eastAsia="Arial" w:hAnsi="Arial"/>
          <w:sz w:val="13"/>
          <w:szCs w:val="13"/>
          <w:color w:val="auto"/>
        </w:rPr>
        <w:t>Main Tel (312) 782-0600</w:t>
      </w:r>
    </w:p>
    <w:p>
      <w:pPr>
        <w:spacing w:after="0" w:line="15" w:lineRule="exact"/>
        <w:rPr>
          <w:sz w:val="20"/>
          <w:szCs w:val="20"/>
          <w:color w:val="auto"/>
        </w:rPr>
      </w:pPr>
    </w:p>
    <w:p>
      <w:pPr>
        <w:jc w:val="right"/>
        <w:ind w:right="160"/>
        <w:spacing w:after="0"/>
        <w:rPr>
          <w:sz w:val="20"/>
          <w:szCs w:val="20"/>
          <w:color w:val="auto"/>
        </w:rPr>
      </w:pPr>
      <w:r>
        <w:rPr>
          <w:rFonts w:ascii="Arial" w:cs="Arial" w:eastAsia="Arial" w:hAnsi="Arial"/>
          <w:sz w:val="13"/>
          <w:szCs w:val="13"/>
          <w:color w:val="auto"/>
        </w:rPr>
        <w:t>Main Fax (312) 701-7711</w:t>
      </w:r>
    </w:p>
    <w:p>
      <w:pPr>
        <w:spacing w:after="0" w:line="8" w:lineRule="exact"/>
        <w:rPr>
          <w:sz w:val="20"/>
          <w:szCs w:val="20"/>
          <w:color w:val="auto"/>
        </w:rPr>
      </w:pPr>
    </w:p>
    <w:p>
      <w:pPr>
        <w:jc w:val="right"/>
        <w:ind w:right="160"/>
        <w:spacing w:after="0"/>
        <w:rPr>
          <w:sz w:val="20"/>
          <w:szCs w:val="20"/>
          <w:color w:val="auto"/>
        </w:rPr>
      </w:pPr>
      <w:r>
        <w:rPr>
          <w:rFonts w:ascii="Arial" w:cs="Arial" w:eastAsia="Arial" w:hAnsi="Arial"/>
          <w:sz w:val="13"/>
          <w:szCs w:val="13"/>
          <w:color w:val="auto"/>
        </w:rPr>
        <w:t>www.mayerbrown.com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May 3, 2010</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18500 North Allied Way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Phoenix, AZ 85054</w:t>
      </w:r>
    </w:p>
    <w:p>
      <w:pPr>
        <w:spacing w:after="0" w:line="79"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1"/>
          <w:szCs w:val="11"/>
          <w:u w:val="single" w:color="auto"/>
          <w:color w:val="auto"/>
        </w:rPr>
        <w:t>Registration Statement on Form S-3</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2"/>
          <w:szCs w:val="12"/>
          <w:color w:val="auto"/>
        </w:rPr>
        <w:t>We have acted as special counsel to Republic Services, Inc., a Delaware corporation (the “Company”), in connection with the registration statement on Form S-3 (the “Registration Statement”) to be filed on the date hereof by the Company with the U.S. Securities and Exchange Commission (the “Commission”) under the Securities Act of 1933, as amended (the “Act”). The Registration Statement relates to the issuance and sale from time to time, pursuant to Rule 415 of the General Rules and Regulations of the Commission promulgated under the Act, of the following securities by the Company and, in the case of Guarantees (as defined below), the Guarantors (as defined below): (i) shares of Common Stock of the Company, par value $0.01 per share (the “Common Stock”); (ii) shares of Preferred Stock of the Company, par value $0.01 per share, to be issued in one or more series (the “Preferred Stock”); (iii) debt securities of the Company (the “Debt Securities”); (iv) warrants (the “Warrants”) to purchase Common Stock, Preferred Stock, Debt Securities or other securities, pursuant to one or more warrant agreements (each, a “Warrant Agreement”) proposed to be entered into between the Company and one or more warrant agents to be named in the applicable Warrant Agreements (each, a “Warrant Agent”); (v) subscription rights (the “Subscription Rights”) to purchase Common Stock, Preferred Stock, Debt Securities or other securities which may be issued under one or more subscription rights certificates (each, a “Subscription Rights Certificate”) and/or pursuant to one or more subscription rights agreements (each, a “Subscription Rights Agreement”) proposed to be entered into between the Company and one or more subscription agents to be named in the applicable Subscription Rights Agreements (each, a “Subscription Agent”); (vi) stock purchase contracts, including contracts obligating holders to purchase from or sell to the Company, and obligating the Company to sell to or purchase from the holders, a specified number of shares of Common Stock or other securities at a future date or dates (the “Stock Purchase Contracts”), which may be issued under one or more stock purchase contract agreements (each, a “Stock Purchase Contract Agreement”) proposed to be entered into by the Company and one or more stock purchase contract agents to be named in the applicable stock purchase contract agreements (each, a “Stock Purchase Contract Agent”); (vii) stock purchase units (the “Stock Purchase Units”), each consisting of a Stock Purchase Contract and Debt Securities, Common Stock, Preferred Stock or debt obligations of third parties, including U.S. Treasury securities, any other securities described in the applicable Prospectus Supplement or any combination of the foregoing, securing the holders’ obligations to purchase the securities under the Stock Purchase Contracts; (viii) the guarantees of each Company subsidiary listed as a co-registrant in the Registration Statement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Mayer Brown LLP operates in combination with our associated English limited liability partnership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 Hong Kong partnership (and its associated entities in Asia) and is associated with Tauil &amp; Chequer Advogados, a Brazilian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71" w:name="page272"/>
    <w:bookmarkEnd w:id="271"/>
    <w:p>
      <w:pPr>
        <w:spacing w:after="0"/>
        <w:rPr>
          <w:sz w:val="20"/>
          <w:szCs w:val="20"/>
          <w:color w:val="auto"/>
        </w:rPr>
      </w:pPr>
      <w:r>
        <w:rPr>
          <w:rFonts w:ascii="Arial" w:cs="Arial" w:eastAsia="Arial" w:hAnsi="Arial"/>
          <w:sz w:val="13"/>
          <w:szCs w:val="13"/>
          <w:color w:val="auto"/>
        </w:rPr>
        <w:t xml:space="preserve">Mayer Brown </w:t>
      </w:r>
      <w:r>
        <w:rPr>
          <w:rFonts w:ascii="Arial" w:cs="Arial" w:eastAsia="Arial" w:hAnsi="Arial"/>
          <w:sz w:val="8"/>
          <w:szCs w:val="8"/>
          <w:color w:val="auto"/>
        </w:rPr>
        <w:t>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3,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spacing w:after="0" w:line="334" w:lineRule="auto"/>
        <w:rPr>
          <w:sz w:val="20"/>
          <w:szCs w:val="20"/>
          <w:color w:val="auto"/>
        </w:rPr>
      </w:pPr>
      <w:r>
        <w:rPr>
          <w:rFonts w:ascii="Arial" w:cs="Arial" w:eastAsia="Arial" w:hAnsi="Arial"/>
          <w:sz w:val="11"/>
          <w:szCs w:val="11"/>
          <w:color w:val="auto"/>
        </w:rPr>
        <w:t>“Guarantors”) with respect to Debt Securities (the “Guarantees”); and (ix) such indeterminate amount and number of each class or series of the foregoing securities as may be issued upon conversion, exchange, exercise or settlement, as applicable, of any other securities that provide for such conversion, exchange, exercise or settlement (collectively, “Indeterminate Securities”). The Common Stock, the Preferred Stock, the Debt Securities, the Warrants, the Subscription Rights, the Stock Purchase Contracts, the Stock Purchase Units, the Guarantees and the Indeterminate Securities are collectively referred to herein as the “Offered Securities.”</w:t>
      </w:r>
    </w:p>
    <w:p>
      <w:pPr>
        <w:spacing w:after="0" w:line="22"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Each series of Debt Securities will be issued under one of two indentures (each, an “Indenture”): (i) the Indenture, dated September 8, 2009, between the Company, certain subsidiaries of the Company and The Bank of New York Mellon Trust Company, N.A., as trustee, as supplemented from time to time, or (ii) the Indenture, dated November 25, 2009, between the Company, certain subsidiaries of the Company and U.S. Bank National Association, as trustee, as supplemented from time to time.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opinion is being delivered in accordance with the requirements of Item 601(b)(5) of Regulation S-K under the Act.</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In connection with this opinion, we have examined originals or copies, certified or otherwise identified to our satisfaction, of (i) the Registration Statement and (ii) the Indentures filed as exhibits to the Registration Statement.</w:t>
      </w:r>
    </w:p>
    <w:p>
      <w:pPr>
        <w:spacing w:after="0" w:line="49" w:lineRule="exact"/>
        <w:rPr>
          <w:sz w:val="20"/>
          <w:szCs w:val="20"/>
          <w:color w:val="auto"/>
        </w:rPr>
      </w:pPr>
    </w:p>
    <w:p>
      <w:pPr>
        <w:ind w:right="160" w:firstLine="161"/>
        <w:spacing w:after="0" w:line="371" w:lineRule="auto"/>
        <w:rPr>
          <w:sz w:val="20"/>
          <w:szCs w:val="20"/>
          <w:color w:val="auto"/>
        </w:rPr>
      </w:pPr>
      <w:r>
        <w:rPr>
          <w:rFonts w:ascii="Arial" w:cs="Arial" w:eastAsia="Arial" w:hAnsi="Arial"/>
          <w:sz w:val="11"/>
          <w:szCs w:val="11"/>
          <w:color w:val="auto"/>
        </w:rPr>
        <w:t>We have also examined originals or copies, certified or otherwise identified to our satisfaction, of such records of the Company and the Guarantors and such agreements, certificates and receipts of public officials, certificates of officers or other representatives of the Company the Guarantors and others, and such other documents as we have deemed necessary or appropriate as a basis for the opinions set forth below.</w:t>
      </w:r>
    </w:p>
    <w:p>
      <w:pPr>
        <w:spacing w:after="0" w:line="2" w:lineRule="exact"/>
        <w:rPr>
          <w:sz w:val="20"/>
          <w:szCs w:val="20"/>
          <w:color w:val="auto"/>
        </w:rPr>
      </w:pPr>
    </w:p>
    <w:p>
      <w:pPr>
        <w:ind w:right="40" w:firstLine="164"/>
        <w:spacing w:after="0" w:line="310" w:lineRule="auto"/>
        <w:rPr>
          <w:sz w:val="20"/>
          <w:szCs w:val="20"/>
          <w:color w:val="auto"/>
        </w:rPr>
      </w:pPr>
      <w:r>
        <w:rPr>
          <w:rFonts w:ascii="Arial" w:cs="Arial" w:eastAsia="Arial" w:hAnsi="Arial"/>
          <w:sz w:val="11"/>
          <w:szCs w:val="11"/>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or documents to be executed, we have assumed that the parties thereto, including the Company, had or will have the power, corporate or other, to enter into and perform all obligations thereunder and have also assumed the due authorization by all requisite action, corporate or other, and the execution and delivery by such parties of such documents and, except to the extent expressly set forth in Paragraphs 1 through 5 below, the validity and binding effect thereof on such parties. We have assumed that the Company and each Guarantor has been duly organized. We have assumed that each Guarantor organized under the laws of a State other than New York, Illinois or Delaware is validly existing and in good standing under its laws of organization and that it has the requisite legal status and legal capacity under the laws of its jurisdiction of organization. We have assumed that the Company and each Guarantor will continue to be validly existing and in good standing under the laws of its jurisdiction of organization and that it will maintain the requisite legal status and legal capacity under the laws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90435" cy="190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72" w:name="page273"/>
    <w:bookmarkEnd w:id="272"/>
    <w:p>
      <w:pPr>
        <w:spacing w:after="0"/>
        <w:rPr>
          <w:sz w:val="20"/>
          <w:szCs w:val="20"/>
          <w:color w:val="auto"/>
        </w:rPr>
      </w:pPr>
      <w:r>
        <w:rPr>
          <w:rFonts w:ascii="Arial" w:cs="Arial" w:eastAsia="Arial" w:hAnsi="Arial"/>
          <w:sz w:val="13"/>
          <w:szCs w:val="13"/>
          <w:color w:val="auto"/>
        </w:rPr>
        <w:t xml:space="preserve">Mayer Brown </w:t>
      </w:r>
      <w:r>
        <w:rPr>
          <w:rFonts w:ascii="Arial" w:cs="Arial" w:eastAsia="Arial" w:hAnsi="Arial"/>
          <w:sz w:val="8"/>
          <w:szCs w:val="8"/>
          <w:color w:val="auto"/>
        </w:rPr>
        <w:t>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3,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3</w:t>
      </w:r>
    </w:p>
    <w:p>
      <w:pPr>
        <w:spacing w:after="0" w:line="79"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jurisdiction of organization. We have assumed that the Company and each Guarantor has complied and will comply with all aspects of the laws of all relevant jurisdictions other than the laws of the United States of America and the States of Illinois and New York in connection with the transactions contemplated by the Indentures, any supplemental indentures thereto, the Warrant Agreements, the Subscription Rights Agreements, the Stock Purchase Contract Agreements, the Stock Purchase Contracts, the Stock Purchase Units and the Registration Statement. We have also assumed that the Indentures and any supplemental indentures thereto and each Warrant Agreement, Subscription Rights Agreement, Stock Purchase Contract Agreement and Stock Purchase Unit has been or will be duly authorized, executed and delivered by the applicable Trustee, Warrant Agent, Subscription Agent or Stock Purchase Contract Agent, as the case may be, and that each Debt Security, Warrant, Subscription Rights Certificate, Stock Purchase Contract or Stock Purchase Unit that may be issued will be manually authenticated, signed or countersigned, as the case may be, by duly authorized officers of the applicable Trustee, Warrant Agent, Subscription Agent or Stock Purchase Contract Agent, as the case may be. We have assumed that the choice of New York law to govern the Indentures and any supplemental indentures thereto is a valid and legal provision. We have also assumed that New York law will be chosen to govern the Warrant Agreements, the Subscription Rights Agreements, the Stock Purchase Contract Agreements, the Stock Purchase Contracts and the Stock Purchase Units, that such choice in each case is a valid and legal provision. As to any facts material to the opinions expressed herein that we did not independently establish or verify, we have relied upon statements and representations of officers and other representatives of the Company and others.</w:t>
      </w:r>
    </w:p>
    <w:p>
      <w:pPr>
        <w:spacing w:after="0" w:line="53"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Our opinions set forth herein are limited to the General Corporation Law of the State of Delaware and the laws of the States of Illinois and New York that, in our experience, are normally applicable to debt securities, warrants, subscription rights, stock purchase contracts and stock purchase units of the type covered by the Registration Statement and, to the extent that judicial or regulatory orders or decrees or consents, approvals, licenses, authorizations, validations, filings, recordings or registrations with governmental authorities are relevant, to those required under such laws (all of the foregoing being referred to as “Applicable Law”). We do not express any opinion with respect to the law of any jurisdiction other than Applicable Law or as to the effect of the law of any jurisdiction other than Applicable Law on the opinions herein stated. The Offered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Based upon the foregoing and subject to the limitations, qualifications, exceptions and assumptions set forth herein, we are of the opinion that:</w:t>
      </w:r>
    </w:p>
    <w:p>
      <w:pPr>
        <w:spacing w:after="0" w:line="86" w:lineRule="exact"/>
        <w:rPr>
          <w:sz w:val="20"/>
          <w:szCs w:val="20"/>
          <w:color w:val="auto"/>
        </w:rPr>
      </w:pPr>
    </w:p>
    <w:p>
      <w:pPr>
        <w:ind w:right="280" w:firstLine="162"/>
        <w:spacing w:after="0" w:line="264" w:lineRule="auto"/>
        <w:tabs>
          <w:tab w:leader="none" w:pos="292" w:val="left"/>
        </w:tabs>
        <w:numPr>
          <w:ilvl w:val="0"/>
          <w:numId w:val="118"/>
        </w:numPr>
        <w:rPr>
          <w:rFonts w:ascii="Arial" w:cs="Arial" w:eastAsia="Arial" w:hAnsi="Arial"/>
          <w:sz w:val="13"/>
          <w:szCs w:val="13"/>
          <w:color w:val="auto"/>
        </w:rPr>
      </w:pPr>
      <w:r>
        <w:rPr>
          <w:rFonts w:ascii="Arial" w:cs="Arial" w:eastAsia="Arial" w:hAnsi="Arial"/>
          <w:sz w:val="13"/>
          <w:szCs w:val="13"/>
          <w:color w:val="auto"/>
        </w:rPr>
        <w:t>With respect to any series of Debt Securities and Guarantees to be offered by the Company and the Guarantors pursuant to the Registration Statement, including any Indeterminate Securities constituting Debt Securities of such series (the “Offered Debt Securities”), when (i) the Registration Statement, as finally amended (including all necessary post-effective amendments), has become effective under the Act and the applicable Indenture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73" w:name="page274"/>
    <w:bookmarkEnd w:id="273"/>
    <w:p>
      <w:pPr>
        <w:ind w:left="1"/>
        <w:spacing w:after="0"/>
        <w:rPr>
          <w:sz w:val="20"/>
          <w:szCs w:val="20"/>
          <w:color w:val="auto"/>
        </w:rPr>
      </w:pPr>
      <w:r>
        <w:rPr>
          <w:rFonts w:ascii="Arial" w:cs="Arial" w:eastAsia="Arial" w:hAnsi="Arial"/>
          <w:sz w:val="13"/>
          <w:szCs w:val="13"/>
          <w:color w:val="auto"/>
        </w:rPr>
        <w:t xml:space="preserve">Mayer Brown </w:t>
      </w:r>
      <w:r>
        <w:rPr>
          <w:rFonts w:ascii="Arial" w:cs="Arial" w:eastAsia="Arial" w:hAnsi="Arial"/>
          <w:sz w:val="8"/>
          <w:szCs w:val="8"/>
          <w:color w:val="auto"/>
        </w:rPr>
        <w:t>LLP</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Republic Services, Inc.</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May 3, 2010</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4</w:t>
      </w:r>
    </w:p>
    <w:p>
      <w:pPr>
        <w:spacing w:after="0" w:line="79" w:lineRule="exact"/>
        <w:rPr>
          <w:sz w:val="20"/>
          <w:szCs w:val="20"/>
          <w:color w:val="auto"/>
        </w:rPr>
      </w:pPr>
    </w:p>
    <w:p>
      <w:pPr>
        <w:ind w:left="1"/>
        <w:spacing w:after="0" w:line="303" w:lineRule="auto"/>
        <w:rPr>
          <w:sz w:val="20"/>
          <w:szCs w:val="20"/>
          <w:color w:val="auto"/>
        </w:rPr>
      </w:pPr>
      <w:r>
        <w:rPr>
          <w:rFonts w:ascii="Arial" w:cs="Arial" w:eastAsia="Arial" w:hAnsi="Arial"/>
          <w:sz w:val="11"/>
          <w:szCs w:val="11"/>
          <w:color w:val="auto"/>
        </w:rPr>
        <w:t>been qualified under the Trust Indenture Act of 1939, as amended, (ii) an appropriate prospectus supplement or term sheet with respect to the Offered Debt Securities has been prepared, delivered and filed in compliance with the Act and the applicable rules and regulations thereunder, (iii) if the Offered Debt Securities are to be sold pursuant to a firm commitment underwritten offering, the underwriting agreement with respect to the Offered Debt Securities has been duly authorized, executed and delivered by the Company and the other parties thereto, (iv) the board of directors of the Company (the “Board of Directors”), including any appropriate committee appointed thereby, the board of directors of each Guarantor and the appropriate officers of the Company and each Guarantor have taken all necessary corporate action to approve the issuance and terms of the Offered Debt Securities, the applicable Indenture and any supplemental indenture thereto and related matters, (v) the applicable Indenture and any supplemental indenture in respect of the Offered Debt Securities have been duly authorized, executed and delivered by each party thereto, (vi) the terms of the Offered Debt Securities and of their issuance and sale have been duly established in conformity with the applicable Indenture and any supplemental indenture to be entered into in connection with the issuance of the Offered Debt Securities so as not to violate any applicable law, the governing documents of the Company or any Guarantor, or result in a default under or breach of any agreement or instrument binding upon the Company or any Guarantor and so as to comply with any requirement or restriction imposed by any court or governmental body having jurisdiction over the Company, any Guarantor or the applicable Trustee, and (vii) the Offered Debt Securities have been issued in a form that complies with the applicable Indenture and have been duly executed and authenticated in accordance with the provisions of such Indenture and any supplemental indenture to be entered into in connection with the issuance of the Offered Debt Securities and duly delivered to the purchasers thereof upon payment of the agreed upon consideration therefor, the Offered Debt Securities, when issued and sold in accordance with such Indenture and any supplemental indenture to be entered into in connection with the issuance of the Offered Debt Securities and the applicable underwriting agreement, if any, or any other duly authorized, executed and delivered valid and binding purchase or agency agreement, will be valid and binding obligations of the Company and the Guarantors, as applicable, enforceable against the Company and the Guarantors, as applicable,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(c) public policy considerations which may limit the rights of parties to obtain remedies,</w:t>
      </w:r>
    </w:p>
    <w:p>
      <w:pPr>
        <w:spacing w:after="0" w:line="131" w:lineRule="exact"/>
        <w:rPr>
          <w:sz w:val="20"/>
          <w:szCs w:val="20"/>
          <w:color w:val="auto"/>
        </w:rPr>
      </w:pPr>
    </w:p>
    <w:p>
      <w:pPr>
        <w:jc w:val="both"/>
        <w:ind w:left="1" w:right="40" w:hanging="1"/>
        <w:spacing w:after="0" w:line="256" w:lineRule="auto"/>
        <w:tabs>
          <w:tab w:leader="none" w:pos="187" w:val="left"/>
        </w:tabs>
        <w:numPr>
          <w:ilvl w:val="0"/>
          <w:numId w:val="119"/>
        </w:numPr>
        <w:rPr>
          <w:rFonts w:ascii="Arial" w:cs="Arial" w:eastAsia="Arial" w:hAnsi="Arial"/>
          <w:sz w:val="13"/>
          <w:szCs w:val="13"/>
          <w:color w:val="auto"/>
        </w:rPr>
      </w:pPr>
      <w:r>
        <w:rPr>
          <w:rFonts w:ascii="Arial" w:cs="Arial" w:eastAsia="Arial" w:hAnsi="Arial"/>
          <w:sz w:val="13"/>
          <w:szCs w:val="13"/>
          <w:color w:val="auto"/>
        </w:rPr>
        <w:t>waivers of any usury defense contained in the Indenture or Offered Debt Securities which may be unenforceable, (e) requirements that a claim with respect to any Offered Debt Securities denominated in a currency, currency unit or composite currency other than United States dollars (or a judgment denominated other than in United States dollars in respect of such claim) be converted into United States dollars at a rate of exchange prevailing on a date determined pursuant to applicable law and (f) governmental authority to limit, delay or prohibit the making of payments outside the United States or in foreign currencies, currency units or composite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7290435" cy="190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74" w:name="page275"/>
    <w:bookmarkEnd w:id="274"/>
    <w:p>
      <w:pPr>
        <w:spacing w:after="0"/>
        <w:rPr>
          <w:sz w:val="20"/>
          <w:szCs w:val="20"/>
          <w:color w:val="auto"/>
        </w:rPr>
      </w:pPr>
      <w:r>
        <w:rPr>
          <w:rFonts w:ascii="Arial" w:cs="Arial" w:eastAsia="Arial" w:hAnsi="Arial"/>
          <w:sz w:val="13"/>
          <w:szCs w:val="13"/>
          <w:color w:val="auto"/>
        </w:rPr>
        <w:t xml:space="preserve">Mayer Brown </w:t>
      </w:r>
      <w:r>
        <w:rPr>
          <w:rFonts w:ascii="Arial" w:cs="Arial" w:eastAsia="Arial" w:hAnsi="Arial"/>
          <w:sz w:val="8"/>
          <w:szCs w:val="8"/>
          <w:color w:val="auto"/>
        </w:rPr>
        <w:t>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3,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5</w:t>
      </w:r>
    </w:p>
    <w:p>
      <w:pPr>
        <w:spacing w:after="0" w:line="79" w:lineRule="exact"/>
        <w:rPr>
          <w:sz w:val="20"/>
          <w:szCs w:val="20"/>
          <w:color w:val="auto"/>
        </w:rPr>
      </w:pPr>
    </w:p>
    <w:p>
      <w:pPr>
        <w:ind w:firstLine="162"/>
        <w:spacing w:after="0" w:line="276" w:lineRule="auto"/>
        <w:tabs>
          <w:tab w:leader="none" w:pos="292" w:val="left"/>
        </w:tabs>
        <w:numPr>
          <w:ilvl w:val="0"/>
          <w:numId w:val="120"/>
        </w:numPr>
        <w:rPr>
          <w:rFonts w:ascii="Arial" w:cs="Arial" w:eastAsia="Arial" w:hAnsi="Arial"/>
          <w:sz w:val="12"/>
          <w:szCs w:val="12"/>
          <w:color w:val="auto"/>
        </w:rPr>
      </w:pPr>
      <w:r>
        <w:rPr>
          <w:rFonts w:ascii="Arial" w:cs="Arial" w:eastAsia="Arial" w:hAnsi="Arial"/>
          <w:sz w:val="12"/>
          <w:szCs w:val="12"/>
          <w:color w:val="auto"/>
        </w:rPr>
        <w:t>With respect to any series of Warrants to be offered by the Company pursuant to the Registration Statement, including any Indeterminate Securities constituting Warrants of such series (the “Offered Warrants”), when (i) the Registration Statement, as finally amended (including all necessary post-effective amendments), has become effective under the Act, (ii) an appropriate prospectus supplement or term sheet with respect to the Offered Warrants has been prepared, delivered and filed in compliance with the Act and the applicable rules and regulations thereunder, (iii) if the Offered Warrants are to be sold pursuant to a firm commitment underwritten offering, the underwriting agreement with respect to the Offered Warrants has been duly authorized, executed and delivered by the Company and the other parties thereto, (iv) the Board of Directors, including any appropriate committee appointed thereby, and appropriate officers of the Company have taken all necessary corporate action to approve the issuance and terms of the Offered Warrants, the Warrant Agreement and related matters, (v) a Warrant Agreement relating to the Offered Warrants has been duly authorized, executed and delivered by each party thereto, (vi) the terms of the Offered Warrants and of their issuance and sale have been duly established in conformity with the applicable Warrant Agreement so as not to violate any applicable law, the Certificate of Incorporation of the Company, as amended (the “Certificate”), the Bylaws of the Company, as amended (the “Bylaws”), or result in a default under or breach of any agreement or instrument binding upon the Company and so as to comply with any requirement or restriction imposed by any court or governmental body having jurisdiction over the Company and the applicable Warrant Agent, (vii) the securities relating to such Offered Warrants have been duly authorized for issuance, (viii) the Offered Debt Securities, if any, relating to such Offered Warrants have been duly executed and authenticated in accordance with the provisions of the applicable Indenture and any supplemental indenture thereto and duly delivered to the purchasers thereof upon exercise of the Offered Warrants and payment of the agreed upon consideration therefor, and (ix) the Offered Warrants have been duly executed, delivered, countersigned, issued and sold in accordance with the provisions of the applicable Warrant Agreement to be filed on a Current Report on Form 8-K or other applicable periodic report in the manner contemplated in the Registration Statement or any prospectus supplement or term sheet relating thereto, the Offered Warrants, when issued and sold in accordance with the applicable Warrant Agreement and the applicable underwriting agreement, if any, or any other duly authorized, executed and delivered valid and binding purchase or agency agreement, will be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and (c) public policy considerations which may limit the rights of parties to obtain remedies.</w:t>
      </w:r>
    </w:p>
    <w:p>
      <w:pPr>
        <w:spacing w:after="0" w:line="54" w:lineRule="exact"/>
        <w:rPr>
          <w:rFonts w:ascii="Arial" w:cs="Arial" w:eastAsia="Arial" w:hAnsi="Arial"/>
          <w:sz w:val="12"/>
          <w:szCs w:val="12"/>
          <w:color w:val="auto"/>
        </w:rPr>
      </w:pPr>
    </w:p>
    <w:p>
      <w:pPr>
        <w:ind w:right="40" w:firstLine="162"/>
        <w:spacing w:after="0" w:line="264" w:lineRule="auto"/>
        <w:tabs>
          <w:tab w:leader="none" w:pos="292" w:val="left"/>
        </w:tabs>
        <w:numPr>
          <w:ilvl w:val="0"/>
          <w:numId w:val="120"/>
        </w:numPr>
        <w:rPr>
          <w:rFonts w:ascii="Arial" w:cs="Arial" w:eastAsia="Arial" w:hAnsi="Arial"/>
          <w:sz w:val="13"/>
          <w:szCs w:val="13"/>
          <w:color w:val="auto"/>
        </w:rPr>
      </w:pPr>
      <w:r>
        <w:rPr>
          <w:rFonts w:ascii="Arial" w:cs="Arial" w:eastAsia="Arial" w:hAnsi="Arial"/>
          <w:sz w:val="13"/>
          <w:szCs w:val="13"/>
          <w:color w:val="auto"/>
        </w:rPr>
        <w:t>With respect to any Subscription Rights to be offered by the Company pursuant to the Registration Statement, including any Indeterminate Securities constituting Subscription Rights (the “Offered Subscription Rights”), when (i) the Registration Statement, as finally amended (including all necessary post-effective amendments), has become effective under the Act, (ii) an appropriate prospectus supplement or term sheet with respect to the Offered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275" w:name="page276"/>
    <w:bookmarkEnd w:id="275"/>
    <w:p>
      <w:pPr>
        <w:spacing w:after="0"/>
        <w:rPr>
          <w:sz w:val="20"/>
          <w:szCs w:val="20"/>
          <w:color w:val="auto"/>
        </w:rPr>
      </w:pPr>
      <w:r>
        <w:rPr>
          <w:rFonts w:ascii="Arial" w:cs="Arial" w:eastAsia="Arial" w:hAnsi="Arial"/>
          <w:sz w:val="13"/>
          <w:szCs w:val="13"/>
          <w:color w:val="auto"/>
        </w:rPr>
        <w:t xml:space="preserve">Mayer Brown </w:t>
      </w:r>
      <w:r>
        <w:rPr>
          <w:rFonts w:ascii="Arial" w:cs="Arial" w:eastAsia="Arial" w:hAnsi="Arial"/>
          <w:sz w:val="8"/>
          <w:szCs w:val="8"/>
          <w:color w:val="auto"/>
        </w:rPr>
        <w:t>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3,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6</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has been prepared, delivered and filed in compliance with the Act and the applicable rules and regulations thereunder, (iii) if the Offered Subscription Rights are to be sold pursuant to a firm commitment underwritten offering, the underwriting agreement with respect to the Offered Subscription Rights has been duly authorized, executed and delivered by the Company and the other parties thereto, (iv) the Board of Directors, including any appropriate committee appointed thereby, and appropriate officers of the Company have taken all necessary corporate action to approve the issuance and terms of the Offered Subscription Rights, the Subscription Rights Agreement and related matters, including setting forth the terms of the Subscription Rights in a Subscription Rights Certificate, (v) a Subscription Rights Agreement relating to the Offered Subscription Rights has been duly authorized, executed and delivered by each party thereto, (vi) the terms of the Offered Subscription Rights and of their issuance and sale have been duly established in conformity with the applicable Subscription Rights Agreement and Subscription Rights Certificate so as not to violate any applicable law, the Certificate or the Bylaws or result in a default under or breach of any agreement or instrument binding upon the Company and so as to comply with any requirement or restriction imposed by any court or governmental body having jurisdiction over the Company and the applicable Subscription Agent, (vii) the securities relating to such Offered Subscription Rights have been duly authorized for issuance, and (viii) the Offered Subscription Rights have been duly executed, delivered, countersigned, issued and sold in accordance with the provisions of the applicable Subscription Rights Agreement and Subscription Rights Certificate to be filed on a Current Report on Form 8-K or other applicable periodic report in the manner contemplated in the Registration Statement or any prospectus supplement or term sheet relating thereto, the Offered Subscription Rights, when issued and sold in accordance with the applicable Subscription Rights Agreement and Subscription Rights Certificate and the applicable underwriting agreement, if any, or any other duly authorized, executed and delivered valid and binding purchase or agency agreement, will be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and (c) public policy considerations which may limit the rights of parties to obtain remedies.</w:t>
      </w:r>
    </w:p>
    <w:p>
      <w:pPr>
        <w:spacing w:after="0" w:line="51" w:lineRule="exact"/>
        <w:rPr>
          <w:sz w:val="20"/>
          <w:szCs w:val="20"/>
          <w:color w:val="auto"/>
        </w:rPr>
      </w:pPr>
    </w:p>
    <w:p>
      <w:pPr>
        <w:ind w:right="120" w:firstLine="162"/>
        <w:spacing w:after="0" w:line="285" w:lineRule="auto"/>
        <w:tabs>
          <w:tab w:leader="none" w:pos="292" w:val="left"/>
        </w:tabs>
        <w:numPr>
          <w:ilvl w:val="0"/>
          <w:numId w:val="121"/>
        </w:numPr>
        <w:rPr>
          <w:rFonts w:ascii="Arial" w:cs="Arial" w:eastAsia="Arial" w:hAnsi="Arial"/>
          <w:sz w:val="12"/>
          <w:szCs w:val="12"/>
          <w:color w:val="auto"/>
        </w:rPr>
      </w:pPr>
      <w:r>
        <w:rPr>
          <w:rFonts w:ascii="Arial" w:cs="Arial" w:eastAsia="Arial" w:hAnsi="Arial"/>
          <w:sz w:val="12"/>
          <w:szCs w:val="12"/>
          <w:color w:val="auto"/>
        </w:rPr>
        <w:t>With respect to any Stock Purchase Contracts to be offered by the Company pursuant to the Registration Statement, including any Indeterminate Securities constituting Stock Purchase Contracts (the “Offered Stock Purchase Contracts”), when (i) the Registration Statement, as finally amended (including all necessary post-effective amendments), has become effective under the Act, (ii) an appropriate prospectus supplement or term sheet with respect to the Offered Stock Purchase Contracts has been prepared, delivered and filed in compliance with the Act and the applicable rules and regulations thereunder, (iii) if the Offered Stock Purchase Contracts are to be sold pursuant to a firm commitment underwritten offering, the underwriting agreement with respect to the Offered Stock Purchase Contracts has been duly authorized, executed and delivered by the Company and the other parties thereto, (iv) the Board of Directors, including any appropriate committee appointed thereby, and appropriate officers of the Company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290435" cy="19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6" w:name="page277"/>
    <w:bookmarkEnd w:id="276"/>
    <w:p>
      <w:pPr>
        <w:spacing w:after="0"/>
        <w:rPr>
          <w:sz w:val="20"/>
          <w:szCs w:val="20"/>
          <w:color w:val="auto"/>
        </w:rPr>
      </w:pPr>
      <w:r>
        <w:rPr>
          <w:rFonts w:ascii="Arial" w:cs="Arial" w:eastAsia="Arial" w:hAnsi="Arial"/>
          <w:sz w:val="13"/>
          <w:szCs w:val="13"/>
          <w:color w:val="auto"/>
        </w:rPr>
        <w:t xml:space="preserve">Mayer Brown </w:t>
      </w:r>
      <w:r>
        <w:rPr>
          <w:rFonts w:ascii="Arial" w:cs="Arial" w:eastAsia="Arial" w:hAnsi="Arial"/>
          <w:sz w:val="8"/>
          <w:szCs w:val="8"/>
          <w:color w:val="auto"/>
        </w:rPr>
        <w:t>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3,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7</w:t>
      </w:r>
    </w:p>
    <w:p>
      <w:pPr>
        <w:spacing w:after="0" w:line="79"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taken all necessary corporate action to approve the issuance and terms of the Offered Stock Purchase Contracts and related matters, (v) a Stock Purchase Contract Agreement relating to the Offered Stock Purchase Contracts has been duly authorized, executed and delivered by each party thereto, (vi) the terms of the Offered Stock Purchase Contracts and of their issuance and sale have been duly established in conformity with the applicable Stock Purchase Contract Agreement so as not to violate any applicable law, the Certificate or the Bylaws or result in a default under or breach of any agreement or instrument binding upon the Company and so as to comply with any requirement or restriction imposed by any court or governmental body having jurisdiction over the Company and the applicable Stock Purchase Contract Agent, (vii) the securities relating to such Offered Stock Purchase Contracts have been duly authorized for issuance and (viii) the applicable Offered Stock Purchase Contracts have been duly executed, delivered, countersigned, issued and sold in accordance with the provisions of the applicable Stock Purchase Contract Agreement to be filed on a Current Report on Form 8-K or other applicable periodic report in the manner contemplated in the Registration Statement or any prospectus supplement or term sheet relating thereto, the Offered Stock Purchase Contracts, when issued and sold in accordance with the applicable Stock Purchase Contract Agreement and the applicable underwriting agreement, if any, or any other duly authorized, executed and delivered valid and binding purchase or agency agreement, will be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and (c) public policy considerations which may limit the rights of parties to obtain remedies.</w:t>
      </w:r>
    </w:p>
    <w:p>
      <w:pPr>
        <w:spacing w:after="0" w:line="50" w:lineRule="exact"/>
        <w:rPr>
          <w:sz w:val="20"/>
          <w:szCs w:val="20"/>
          <w:color w:val="auto"/>
        </w:rPr>
      </w:pPr>
    </w:p>
    <w:p>
      <w:pPr>
        <w:ind w:firstLine="162"/>
        <w:spacing w:after="0" w:line="308" w:lineRule="auto"/>
        <w:tabs>
          <w:tab w:leader="none" w:pos="292" w:val="left"/>
        </w:tabs>
        <w:numPr>
          <w:ilvl w:val="0"/>
          <w:numId w:val="122"/>
        </w:numPr>
        <w:rPr>
          <w:rFonts w:ascii="Arial" w:cs="Arial" w:eastAsia="Arial" w:hAnsi="Arial"/>
          <w:sz w:val="11"/>
          <w:szCs w:val="11"/>
          <w:color w:val="auto"/>
        </w:rPr>
      </w:pPr>
      <w:r>
        <w:rPr>
          <w:rFonts w:ascii="Arial" w:cs="Arial" w:eastAsia="Arial" w:hAnsi="Arial"/>
          <w:sz w:val="11"/>
          <w:szCs w:val="11"/>
          <w:color w:val="auto"/>
        </w:rPr>
        <w:t>With respect to any Stock Purchase Units to be offered by the Company pursuant to the Registration Statement, including any Indeterminate Securities constituting Stock Purchase Units (the “Offered Stock Purchase Units”), when (i) the Registration Statement, as finally amended (including all necessary post-effective amendments), has become effective under the Act, (ii) an appropriate prospectus supplement or term sheet with respect to the Offered Stock Purchase Units has been prepared, delivered and filed in compliance with the Act and the applicable rules and regulations thereunder, (iii) if the Offered Stock Purchase Units are to be sold pursuant to a firm commitment underwritten offering, the underwriting agreement with respect to the Offered Stock Purchase Units has been duly authorized, executed and delivered by the Company and the other parties thereto, (iv) the Board of Directors, including any appropriate committee appointed thereby, and appropriate officers of the Company have taken all necessary corporate action to approve the issuance and terms of the Offered Stock Purchase Units and related matters, (v) the terms of the Offered Stock Purchase Units and the related Offered Stock Purchase Contracts and of their issuance and sale have been duly established in conformity with the applicable Stock Purchase Contract Agreement so as not to violate any applicable law, the Certificate or the Bylaws or result in a default under or breach of any agreement or instrument binding upon the Company and so as to comply with any requirement or restriction imposed by any court or governmental body having jurisdiction over the Company and the applicable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7290435" cy="19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277" w:name="page278"/>
    <w:bookmarkEnd w:id="277"/>
    <w:p>
      <w:pPr>
        <w:spacing w:after="0"/>
        <w:rPr>
          <w:sz w:val="20"/>
          <w:szCs w:val="20"/>
          <w:color w:val="auto"/>
        </w:rPr>
      </w:pPr>
      <w:r>
        <w:rPr>
          <w:rFonts w:ascii="Arial" w:cs="Arial" w:eastAsia="Arial" w:hAnsi="Arial"/>
          <w:sz w:val="13"/>
          <w:szCs w:val="13"/>
          <w:color w:val="auto"/>
        </w:rPr>
        <w:t xml:space="preserve">Mayer Brown </w:t>
      </w:r>
      <w:r>
        <w:rPr>
          <w:rFonts w:ascii="Arial" w:cs="Arial" w:eastAsia="Arial" w:hAnsi="Arial"/>
          <w:sz w:val="8"/>
          <w:szCs w:val="8"/>
          <w:color w:val="auto"/>
        </w:rPr>
        <w:t>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Republic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3,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8</w:t>
      </w:r>
    </w:p>
    <w:p>
      <w:pPr>
        <w:spacing w:after="0" w:line="79" w:lineRule="exact"/>
        <w:rPr>
          <w:sz w:val="20"/>
          <w:szCs w:val="20"/>
          <w:color w:val="auto"/>
        </w:rPr>
      </w:pPr>
    </w:p>
    <w:p>
      <w:pPr>
        <w:spacing w:after="0" w:line="307" w:lineRule="auto"/>
        <w:rPr>
          <w:sz w:val="20"/>
          <w:szCs w:val="20"/>
          <w:color w:val="auto"/>
        </w:rPr>
      </w:pPr>
      <w:r>
        <w:rPr>
          <w:rFonts w:ascii="Arial" w:cs="Arial" w:eastAsia="Arial" w:hAnsi="Arial"/>
          <w:sz w:val="11"/>
          <w:szCs w:val="11"/>
          <w:color w:val="auto"/>
        </w:rPr>
        <w:t>Purchase Contract Agent, (vi) any Stock Purchase Contracts and Debt Securities or debt obligations of third parties, including U.S. Treasury securities, or other securities (or any combination of the foregoing) included in such Offered Stock Purchase Units have been duly issued and paid for in the manner contemplated in the Registration Statement and any prospectus supplement or term sheet relating thereto, (vii) the securities relating to such Offered Stock Purchase Units have been duly authorized for issuance and have been duly issued and paid for in the manner contemplated in the Registration Statement or any prospectus supplement or term sheet relating thereto and (viii) the applicable Offered Stock Purchase Units have been duly executed, delivered, countersigned, issued and sold in accordance with the provisions of the applicable Stock Purchase Contract Agreement to be filed on a Current Report on Form 8-K or other applicable periodic report in the manner contemplated in the Registration Statement or any prospectus supplement or term sheet relating thereto, the Offered Stock Purchase Units, when issued and sold in accordance with the applicable Stock Purchase Contract Agreement and the applicable underwriting agreement, if any, or any other duly authorized, executed and delivered valid and binding purchase or agency agreement, will be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and (c) public policy considerations which may limit the rights of parties to obtain remedies.</w:t>
      </w:r>
    </w:p>
    <w:p>
      <w:pPr>
        <w:spacing w:after="0" w:line="38" w:lineRule="exact"/>
        <w:rPr>
          <w:sz w:val="20"/>
          <w:szCs w:val="20"/>
          <w:color w:val="auto"/>
        </w:rPr>
      </w:pPr>
    </w:p>
    <w:p>
      <w:pPr>
        <w:ind w:right="80" w:firstLine="161"/>
        <w:spacing w:after="0" w:line="320" w:lineRule="auto"/>
        <w:rPr>
          <w:sz w:val="20"/>
          <w:szCs w:val="20"/>
          <w:color w:val="auto"/>
        </w:rPr>
      </w:pPr>
      <w:r>
        <w:rPr>
          <w:rFonts w:ascii="Arial" w:cs="Arial" w:eastAsia="Arial" w:hAnsi="Arial"/>
          <w:sz w:val="12"/>
          <w:szCs w:val="12"/>
          <w:color w:val="auto"/>
        </w:rPr>
        <w:t>The opinions expressed above are as of the date of this letter, and we do not assume an obligation to update or supplement those opinions to reflect a fact or circumstance that in the future comes to our attention or a change in law that in the future occurs or becomes effective. This letter is limited to the matters set forth in it, and no opinions are implied or may be inferred beyond those expressly stated above.</w:t>
      </w:r>
    </w:p>
    <w:p>
      <w:pPr>
        <w:spacing w:after="0" w:line="25" w:lineRule="exact"/>
        <w:rPr>
          <w:sz w:val="20"/>
          <w:szCs w:val="20"/>
          <w:color w:val="auto"/>
        </w:rPr>
      </w:pPr>
    </w:p>
    <w:p>
      <w:pPr>
        <w:ind w:right="120" w:firstLine="161"/>
        <w:spacing w:after="0" w:line="260" w:lineRule="auto"/>
        <w:rPr>
          <w:sz w:val="20"/>
          <w:szCs w:val="20"/>
          <w:color w:val="auto"/>
        </w:rPr>
      </w:pPr>
      <w:r>
        <w:rPr>
          <w:rFonts w:ascii="Arial" w:cs="Arial" w:eastAsia="Arial" w:hAnsi="Arial"/>
          <w:sz w:val="13"/>
          <w:szCs w:val="13"/>
          <w:color w:val="auto"/>
        </w:rPr>
        <w:t>We hereby consent to the filing of this opinion with the Commission as an exhibit to the Registration Statement. We also hereby consent to the reference to our firm under the heading “Legal Matters” in the prospectus which forms a part of the Registration Statement. In giving this consent, we do not thereby admit that we are within the category of persons whose consent is required under Section 7 of the Act or the rules and regulations of the Commission promulgated thereunder. This opinion is expressed as of the date hereof unless otherwise expressly stated, and we disclaim any undertaking to advise you of any subsequent changes in the facts stated or assumed herein or of any subsequent changes in applicable laws.</w:t>
      </w:r>
    </w:p>
    <w:p>
      <w:pPr>
        <w:spacing w:after="0" w:line="60"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Very truly yours,</w:t>
      </w:r>
    </w:p>
    <w:p>
      <w:pPr>
        <w:spacing w:after="0" w:line="86"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Mayer Brown LLP</w:t>
      </w:r>
    </w:p>
    <w:p>
      <w:pPr>
        <w:sectPr>
          <w:pgSz w:w="11900" w:h="16838" w:orient="portrait"/>
          <w:cols w:equalWidth="0" w:num="1">
            <w:col w:w="11460"/>
          </w:cols>
          <w:pgMar w:left="220" w:top="721" w:right="21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Exhibit 12.1</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10"/>
          </w:tcPr>
          <w:p>
            <w:pPr>
              <w:jc w:val="right"/>
              <w:ind w:right="80"/>
              <w:spacing w:after="0"/>
              <w:rPr>
                <w:sz w:val="20"/>
                <w:szCs w:val="20"/>
                <w:color w:val="auto"/>
              </w:rPr>
            </w:pPr>
            <w:r>
              <w:rPr>
                <w:rFonts w:ascii="Arial" w:cs="Arial" w:eastAsia="Arial" w:hAnsi="Arial"/>
                <w:sz w:val="13"/>
                <w:szCs w:val="13"/>
                <w:b w:val="1"/>
                <w:bCs w:val="1"/>
                <w:color w:val="auto"/>
                <w:w w:val="90"/>
              </w:rPr>
              <w:t>Statement of Computation of Ratios of Earnings to Fixed Charges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0"/>
                <w:szCs w:val="10"/>
                <w:color w:val="auto"/>
                <w:w w:val="97"/>
              </w:rPr>
              <w:t>Three Months</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440"/>
              <w:spacing w:after="0" w:line="108" w:lineRule="exact"/>
              <w:rPr>
                <w:sz w:val="20"/>
                <w:szCs w:val="20"/>
                <w:color w:val="auto"/>
              </w:rPr>
            </w:pPr>
            <w:r>
              <w:rPr>
                <w:rFonts w:ascii="Arial" w:cs="Arial" w:eastAsia="Arial" w:hAnsi="Arial"/>
                <w:sz w:val="10"/>
                <w:szCs w:val="10"/>
                <w:color w:val="auto"/>
                <w:w w:val="96"/>
              </w:rPr>
              <w:t>Ended</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0"/>
                <w:szCs w:val="10"/>
                <w:color w:val="auto"/>
                <w:w w:val="98"/>
              </w:rPr>
              <w:t>March 31,</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60" w:type="dxa"/>
            <w:vAlign w:val="bottom"/>
            <w:gridSpan w:val="4"/>
          </w:tcPr>
          <w:p>
            <w:pPr>
              <w:jc w:val="right"/>
              <w:ind w:right="500"/>
              <w:spacing w:after="0"/>
              <w:rPr>
                <w:sz w:val="20"/>
                <w:szCs w:val="20"/>
                <w:color w:val="auto"/>
              </w:rPr>
            </w:pPr>
            <w:r>
              <w:rPr>
                <w:rFonts w:ascii="Arial" w:cs="Arial" w:eastAsia="Arial" w:hAnsi="Arial"/>
                <w:sz w:val="10"/>
                <w:szCs w:val="10"/>
                <w:color w:val="auto"/>
                <w:w w:val="96"/>
              </w:rPr>
              <w:t>Year Ended December 31,</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center"/>
              <w:ind w:right="38"/>
              <w:spacing w:after="0" w:line="98" w:lineRule="exact"/>
              <w:rPr>
                <w:sz w:val="20"/>
                <w:szCs w:val="20"/>
                <w:color w:val="auto"/>
              </w:rPr>
            </w:pPr>
            <w:r>
              <w:rPr>
                <w:rFonts w:ascii="Arial" w:cs="Arial" w:eastAsia="Arial" w:hAnsi="Arial"/>
                <w:sz w:val="10"/>
                <w:szCs w:val="10"/>
                <w:color w:val="auto"/>
                <w:w w:val="89"/>
              </w:rPr>
              <w:t>2010</w:t>
            </w: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color w:val="auto"/>
              </w:rPr>
              <w:t>2009</w:t>
            </w:r>
          </w:p>
        </w:tc>
        <w:tc>
          <w:tcPr>
            <w:tcW w:w="3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color w:val="auto"/>
              </w:rPr>
              <w:t>2008</w:t>
            </w:r>
          </w:p>
        </w:tc>
        <w:tc>
          <w:tcPr>
            <w:tcW w:w="3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56"/>
              <w:spacing w:after="0" w:line="98" w:lineRule="exact"/>
              <w:rPr>
                <w:sz w:val="20"/>
                <w:szCs w:val="20"/>
                <w:color w:val="auto"/>
              </w:rPr>
            </w:pPr>
            <w:r>
              <w:rPr>
                <w:rFonts w:ascii="Arial" w:cs="Arial" w:eastAsia="Arial" w:hAnsi="Arial"/>
                <w:sz w:val="10"/>
                <w:szCs w:val="10"/>
                <w:color w:val="auto"/>
              </w:rPr>
              <w:t>2007</w:t>
            </w:r>
          </w:p>
        </w:tc>
        <w:tc>
          <w:tcPr>
            <w:tcW w:w="68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56"/>
              <w:spacing w:after="0" w:line="98" w:lineRule="exact"/>
              <w:rPr>
                <w:sz w:val="20"/>
                <w:szCs w:val="20"/>
                <w:color w:val="auto"/>
              </w:rPr>
            </w:pPr>
            <w:r>
              <w:rPr>
                <w:rFonts w:ascii="Arial" w:cs="Arial" w:eastAsia="Arial" w:hAnsi="Arial"/>
                <w:sz w:val="10"/>
                <w:szCs w:val="10"/>
                <w:color w:val="auto"/>
              </w:rPr>
              <w:t>2006</w:t>
            </w:r>
          </w:p>
        </w:tc>
        <w:tc>
          <w:tcPr>
            <w:tcW w:w="3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Earnings: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116.2</w:t>
            </w:r>
          </w:p>
        </w:tc>
        <w:tc>
          <w:tcPr>
            <w:tcW w:w="50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865.0</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159.3</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468.1</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443.7</w:t>
            </w:r>
          </w:p>
        </w:tc>
        <w:tc>
          <w:tcPr>
            <w:tcW w:w="3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134.5</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595.9</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131.9</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94.8</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95.8</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Interest component of rent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14.2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3.1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Total earnings for ratio</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253.9</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1,475.1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294.3</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565.5</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542.4</w:t>
            </w:r>
          </w:p>
        </w:tc>
        <w:tc>
          <w:tcPr>
            <w:tcW w:w="3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Fixed Charges:</w:t>
            </w: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134.5</w:t>
            </w:r>
          </w:p>
        </w:tc>
        <w:tc>
          <w:tcPr>
            <w:tcW w:w="5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595.9</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131.9</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94.8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95.8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Capitalized interest</w:t>
            </w:r>
          </w:p>
        </w:tc>
        <w:tc>
          <w:tcPr>
            <w:tcW w:w="8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0.9</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7.8</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Interest component of rent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14.2</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3"/>
                <w:szCs w:val="13"/>
                <w:color w:val="auto"/>
              </w:rPr>
              <w:t>Total interest for ratio</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138.6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617.9</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137.6</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100.4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101.4</w:t>
            </w:r>
          </w:p>
        </w:tc>
        <w:tc>
          <w:tcPr>
            <w:tcW w:w="34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86.2</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Earnings to fixed charges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2.39</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2.14</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5.63</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5.35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20" w:top="127" w:right="219" w:bottom="1440" w:gutter="0" w:footer="0" w:header="0"/>
        </w:sectPr>
      </w:pPr>
    </w:p>
    <w:bookmarkStart w:id="279" w:name="page280"/>
    <w:bookmarkEnd w:id="279"/>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160"/>
        <w:spacing w:after="0" w:line="260" w:lineRule="auto"/>
        <w:rPr>
          <w:sz w:val="20"/>
          <w:szCs w:val="20"/>
          <w:color w:val="auto"/>
        </w:rPr>
      </w:pPr>
      <w:r>
        <w:rPr>
          <w:rFonts w:ascii="Arial" w:cs="Arial" w:eastAsia="Arial" w:hAnsi="Arial"/>
          <w:sz w:val="13"/>
          <w:szCs w:val="13"/>
          <w:color w:val="auto"/>
        </w:rPr>
        <w:t>We consent to the reference to our firm under the caption “Experts” in this Registration Statement (Form S-3) and related Prospectus of Republic Services, Inc. for the registration of debt securities, common stock, preferred stock, warrants, stock purchase contracts, stock purchase units, and subscription rights and to the incorporation by reference therein of our reports dated February 24, 2010, with respect to the consolidated financial statements of Republic Services, Inc., and the effectiveness of internal control over financial reporting of Republic Services, Inc., included in its Annual Report (Form 10-K) for the year ended December 31, 2009, filed with the Securities and Exchange Commission.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April 29, 2010</w:t>
      </w:r>
    </w:p>
    <w:p>
      <w:pPr>
        <w:sectPr>
          <w:pgSz w:w="11900" w:h="16838" w:orient="portrait"/>
          <w:cols w:equalWidth="0" w:num="1">
            <w:col w:w="11460"/>
          </w:cols>
          <w:pgMar w:left="220" w:top="127" w:right="219" w:bottom="1440" w:gutter="0" w:footer="0" w:header="0"/>
        </w:sectPr>
      </w:pPr>
    </w:p>
    <w:bookmarkStart w:id="280" w:name="page281"/>
    <w:bookmarkEnd w:id="280"/>
    <w:p>
      <w:pPr>
        <w:jc w:val="right"/>
        <w:spacing w:after="0"/>
        <w:rPr>
          <w:sz w:val="20"/>
          <w:szCs w:val="20"/>
          <w:color w:val="auto"/>
        </w:rPr>
      </w:pPr>
      <w:r>
        <w:rPr>
          <w:rFonts w:ascii="Arial" w:cs="Arial" w:eastAsia="Arial" w:hAnsi="Arial"/>
          <w:sz w:val="13"/>
          <w:szCs w:val="13"/>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284085"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7284085"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FORM T-1</w:t>
      </w:r>
    </w:p>
    <w:p>
      <w:pPr>
        <w:spacing w:after="0" w:line="86"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SECURITIES AND EXCHANGE COMMISSION</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Washington, D.C. 20549</w:t>
      </w:r>
    </w:p>
    <w:p>
      <w:pPr>
        <w:spacing w:after="0" w:line="79"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STATEMENT OF ELIGIBILITY</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color w:val="auto"/>
        </w:rPr>
        <w:t>UNDER THE TRUST INDENTURE ACT OF 1939 OF A</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13"/>
          <w:szCs w:val="13"/>
          <w:color w:val="auto"/>
        </w:rPr>
        <w:t>CORPORATION DESIGNATED TO ACT AS TRUSTEE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CHECK IF AN APPLICATION TO DETERMINE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ELIGIBILITY OF A TRUSTEE PURSUANT TO</w:t>
      </w:r>
    </w:p>
    <w:p>
      <w:pPr>
        <w:spacing w:after="0" w:line="8"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3"/>
          <w:szCs w:val="13"/>
          <w:color w:val="auto"/>
        </w:rPr>
        <w:t>SECTION 305(b)(2)</w:t>
      </w:r>
      <w:r>
        <w:rPr>
          <w:sz w:val="20"/>
          <w:szCs w:val="20"/>
          <w:color w:val="auto"/>
        </w:rPr>
        <w:tab/>
      </w:r>
      <w:r>
        <w:rPr>
          <w:rFonts w:ascii="Arial" w:cs="Arial" w:eastAsia="Arial" w:hAnsi="Arial"/>
          <w:sz w:val="10"/>
          <w:szCs w:val="10"/>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137160</wp:posOffset>
            </wp:positionV>
            <wp:extent cx="1891030"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40" w:type="dxa"/>
            <w:vAlign w:val="bottom"/>
          </w:tcPr>
          <w:p>
            <w:pPr>
              <w:spacing w:after="0"/>
              <w:rPr>
                <w:sz w:val="13"/>
                <w:szCs w:val="13"/>
                <w:color w:val="auto"/>
              </w:rPr>
            </w:pPr>
          </w:p>
        </w:tc>
        <w:tc>
          <w:tcPr>
            <w:tcW w:w="7220" w:type="dxa"/>
            <w:vAlign w:val="bottom"/>
            <w:gridSpan w:val="2"/>
          </w:tcPr>
          <w:p>
            <w:pPr>
              <w:jc w:val="center"/>
              <w:ind w:right="4174"/>
              <w:spacing w:after="0"/>
              <w:rPr>
                <w:sz w:val="20"/>
                <w:szCs w:val="20"/>
                <w:color w:val="auto"/>
              </w:rPr>
            </w:pPr>
            <w:r>
              <w:rPr>
                <w:rFonts w:ascii="Arial" w:cs="Arial" w:eastAsia="Arial" w:hAnsi="Arial"/>
                <w:sz w:val="13"/>
                <w:szCs w:val="13"/>
                <w:color w:val="auto"/>
                <w:w w:val="99"/>
              </w:rPr>
              <w:t>THE BANK OF NEW YORK MELLON</w:t>
            </w:r>
          </w:p>
        </w:tc>
      </w:tr>
      <w:tr>
        <w:trPr>
          <w:trHeight w:val="157"/>
        </w:trPr>
        <w:tc>
          <w:tcPr>
            <w:tcW w:w="4240" w:type="dxa"/>
            <w:vAlign w:val="bottom"/>
          </w:tcPr>
          <w:p>
            <w:pPr>
              <w:spacing w:after="0"/>
              <w:rPr>
                <w:sz w:val="13"/>
                <w:szCs w:val="13"/>
                <w:color w:val="auto"/>
              </w:rPr>
            </w:pPr>
          </w:p>
        </w:tc>
        <w:tc>
          <w:tcPr>
            <w:tcW w:w="7220" w:type="dxa"/>
            <w:vAlign w:val="bottom"/>
            <w:gridSpan w:val="2"/>
          </w:tcPr>
          <w:p>
            <w:pPr>
              <w:jc w:val="center"/>
              <w:ind w:right="4154"/>
              <w:spacing w:after="0"/>
              <w:rPr>
                <w:sz w:val="20"/>
                <w:szCs w:val="20"/>
                <w:color w:val="auto"/>
              </w:rPr>
            </w:pPr>
            <w:r>
              <w:rPr>
                <w:rFonts w:ascii="Arial" w:cs="Arial" w:eastAsia="Arial" w:hAnsi="Arial"/>
                <w:sz w:val="13"/>
                <w:szCs w:val="13"/>
                <w:color w:val="auto"/>
                <w:w w:val="96"/>
              </w:rPr>
              <w:t>TRUST COMPANY, N.A.</w:t>
            </w:r>
          </w:p>
        </w:tc>
      </w:tr>
      <w:tr>
        <w:trPr>
          <w:trHeight w:val="165"/>
        </w:trPr>
        <w:tc>
          <w:tcPr>
            <w:tcW w:w="4240" w:type="dxa"/>
            <w:vAlign w:val="bottom"/>
          </w:tcPr>
          <w:p>
            <w:pPr>
              <w:spacing w:after="0"/>
              <w:rPr>
                <w:sz w:val="14"/>
                <w:szCs w:val="14"/>
                <w:color w:val="auto"/>
              </w:rPr>
            </w:pPr>
          </w:p>
        </w:tc>
        <w:tc>
          <w:tcPr>
            <w:tcW w:w="7220" w:type="dxa"/>
            <w:vAlign w:val="bottom"/>
            <w:gridSpan w:val="2"/>
          </w:tcPr>
          <w:p>
            <w:pPr>
              <w:jc w:val="center"/>
              <w:ind w:right="4154"/>
              <w:spacing w:after="0"/>
              <w:rPr>
                <w:sz w:val="20"/>
                <w:szCs w:val="20"/>
                <w:color w:val="auto"/>
              </w:rPr>
            </w:pPr>
            <w:r>
              <w:rPr>
                <w:rFonts w:ascii="Arial" w:cs="Arial" w:eastAsia="Arial" w:hAnsi="Arial"/>
                <w:sz w:val="13"/>
                <w:szCs w:val="13"/>
                <w:color w:val="auto"/>
                <w:w w:val="90"/>
              </w:rPr>
              <w:t>(Exact name of trustee as specified in its charter)</w:t>
            </w:r>
          </w:p>
        </w:tc>
      </w:tr>
      <w:tr>
        <w:trPr>
          <w:trHeight w:val="307"/>
        </w:trPr>
        <w:tc>
          <w:tcPr>
            <w:tcW w:w="4240" w:type="dxa"/>
            <w:vAlign w:val="bottom"/>
          </w:tcPr>
          <w:p>
            <w:pPr>
              <w:spacing w:after="0"/>
              <w:rPr>
                <w:sz w:val="24"/>
                <w:szCs w:val="24"/>
                <w:color w:val="auto"/>
              </w:rPr>
            </w:pPr>
          </w:p>
        </w:tc>
        <w:tc>
          <w:tcPr>
            <w:tcW w:w="7220" w:type="dxa"/>
            <w:vAlign w:val="bottom"/>
            <w:gridSpan w:val="2"/>
          </w:tcPr>
          <w:p>
            <w:pPr>
              <w:jc w:val="center"/>
              <w:ind w:left="2594"/>
              <w:spacing w:after="0"/>
              <w:rPr>
                <w:sz w:val="20"/>
                <w:szCs w:val="20"/>
                <w:color w:val="auto"/>
              </w:rPr>
            </w:pPr>
            <w:r>
              <w:rPr>
                <w:rFonts w:ascii="Arial" w:cs="Arial" w:eastAsia="Arial" w:hAnsi="Arial"/>
                <w:sz w:val="13"/>
                <w:szCs w:val="13"/>
                <w:color w:val="auto"/>
                <w:w w:val="92"/>
              </w:rPr>
              <w:t>95-3571558</w:t>
            </w:r>
          </w:p>
        </w:tc>
      </w:tr>
      <w:tr>
        <w:trPr>
          <w:trHeight w:val="157"/>
        </w:trPr>
        <w:tc>
          <w:tcPr>
            <w:tcW w:w="4240" w:type="dxa"/>
            <w:vAlign w:val="bottom"/>
          </w:tcPr>
          <w:p>
            <w:pPr>
              <w:jc w:val="center"/>
              <w:ind w:right="714"/>
              <w:spacing w:after="0"/>
              <w:rPr>
                <w:sz w:val="20"/>
                <w:szCs w:val="20"/>
                <w:color w:val="auto"/>
              </w:rPr>
            </w:pPr>
            <w:r>
              <w:rPr>
                <w:rFonts w:ascii="Arial" w:cs="Arial" w:eastAsia="Arial" w:hAnsi="Arial"/>
                <w:sz w:val="13"/>
                <w:szCs w:val="13"/>
                <w:color w:val="auto"/>
                <w:w w:val="92"/>
              </w:rPr>
              <w:t>(State of incorporation</w:t>
            </w:r>
          </w:p>
        </w:tc>
        <w:tc>
          <w:tcPr>
            <w:tcW w:w="2980" w:type="dxa"/>
            <w:vAlign w:val="bottom"/>
          </w:tcPr>
          <w:p>
            <w:pPr>
              <w:spacing w:after="0"/>
              <w:rPr>
                <w:sz w:val="13"/>
                <w:szCs w:val="13"/>
                <w:color w:val="auto"/>
              </w:rPr>
            </w:pPr>
          </w:p>
        </w:tc>
        <w:tc>
          <w:tcPr>
            <w:tcW w:w="4240" w:type="dxa"/>
            <w:vAlign w:val="bottom"/>
          </w:tcPr>
          <w:p>
            <w:pPr>
              <w:jc w:val="center"/>
              <w:ind w:right="254"/>
              <w:spacing w:after="0"/>
              <w:rPr>
                <w:sz w:val="20"/>
                <w:szCs w:val="20"/>
                <w:color w:val="auto"/>
              </w:rPr>
            </w:pPr>
            <w:r>
              <w:rPr>
                <w:rFonts w:ascii="Arial" w:cs="Arial" w:eastAsia="Arial" w:hAnsi="Arial"/>
                <w:sz w:val="13"/>
                <w:szCs w:val="13"/>
                <w:color w:val="auto"/>
                <w:w w:val="93"/>
              </w:rPr>
              <w:t>(I.R.S. employer</w:t>
            </w:r>
          </w:p>
        </w:tc>
      </w:tr>
      <w:tr>
        <w:trPr>
          <w:trHeight w:val="165"/>
        </w:trPr>
        <w:tc>
          <w:tcPr>
            <w:tcW w:w="4240" w:type="dxa"/>
            <w:vAlign w:val="bottom"/>
          </w:tcPr>
          <w:p>
            <w:pPr>
              <w:jc w:val="center"/>
              <w:ind w:right="714"/>
              <w:spacing w:after="0"/>
              <w:rPr>
                <w:sz w:val="20"/>
                <w:szCs w:val="20"/>
                <w:color w:val="auto"/>
              </w:rPr>
            </w:pPr>
            <w:r>
              <w:rPr>
                <w:rFonts w:ascii="Arial" w:cs="Arial" w:eastAsia="Arial" w:hAnsi="Arial"/>
                <w:sz w:val="13"/>
                <w:szCs w:val="13"/>
                <w:color w:val="auto"/>
                <w:w w:val="92"/>
              </w:rPr>
              <w:t>if not a U.S. national bank)</w:t>
            </w:r>
          </w:p>
        </w:tc>
        <w:tc>
          <w:tcPr>
            <w:tcW w:w="2980" w:type="dxa"/>
            <w:vAlign w:val="bottom"/>
          </w:tcPr>
          <w:p>
            <w:pPr>
              <w:spacing w:after="0"/>
              <w:rPr>
                <w:sz w:val="14"/>
                <w:szCs w:val="14"/>
                <w:color w:val="auto"/>
              </w:rPr>
            </w:pPr>
          </w:p>
        </w:tc>
        <w:tc>
          <w:tcPr>
            <w:tcW w:w="4240" w:type="dxa"/>
            <w:vAlign w:val="bottom"/>
          </w:tcPr>
          <w:p>
            <w:pPr>
              <w:jc w:val="center"/>
              <w:ind w:right="274"/>
              <w:spacing w:after="0"/>
              <w:rPr>
                <w:sz w:val="20"/>
                <w:szCs w:val="20"/>
                <w:color w:val="auto"/>
              </w:rPr>
            </w:pPr>
            <w:r>
              <w:rPr>
                <w:rFonts w:ascii="Arial" w:cs="Arial" w:eastAsia="Arial" w:hAnsi="Arial"/>
                <w:sz w:val="13"/>
                <w:szCs w:val="13"/>
                <w:color w:val="auto"/>
                <w:w w:val="95"/>
              </w:rPr>
              <w:t>identification no.)</w:t>
            </w:r>
          </w:p>
        </w:tc>
      </w:tr>
      <w:tr>
        <w:trPr>
          <w:trHeight w:val="307"/>
        </w:trPr>
        <w:tc>
          <w:tcPr>
            <w:tcW w:w="4240" w:type="dxa"/>
            <w:vAlign w:val="bottom"/>
          </w:tcPr>
          <w:p>
            <w:pPr>
              <w:jc w:val="center"/>
              <w:ind w:right="734"/>
              <w:spacing w:after="0"/>
              <w:rPr>
                <w:sz w:val="20"/>
                <w:szCs w:val="20"/>
                <w:color w:val="auto"/>
              </w:rPr>
            </w:pPr>
            <w:r>
              <w:rPr>
                <w:rFonts w:ascii="Arial" w:cs="Arial" w:eastAsia="Arial" w:hAnsi="Arial"/>
                <w:sz w:val="13"/>
                <w:szCs w:val="13"/>
                <w:color w:val="auto"/>
                <w:w w:val="91"/>
              </w:rPr>
              <w:t>700 South Flower Street</w:t>
            </w:r>
          </w:p>
        </w:tc>
        <w:tc>
          <w:tcPr>
            <w:tcW w:w="29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57"/>
        </w:trPr>
        <w:tc>
          <w:tcPr>
            <w:tcW w:w="4240" w:type="dxa"/>
            <w:vAlign w:val="bottom"/>
          </w:tcPr>
          <w:p>
            <w:pPr>
              <w:jc w:val="center"/>
              <w:ind w:right="714"/>
              <w:spacing w:after="0"/>
              <w:rPr>
                <w:sz w:val="20"/>
                <w:szCs w:val="20"/>
                <w:color w:val="auto"/>
              </w:rPr>
            </w:pPr>
            <w:r>
              <w:rPr>
                <w:rFonts w:ascii="Arial" w:cs="Arial" w:eastAsia="Arial" w:hAnsi="Arial"/>
                <w:sz w:val="13"/>
                <w:szCs w:val="13"/>
                <w:color w:val="auto"/>
                <w:w w:val="90"/>
              </w:rPr>
              <w:t>Suite 500</w:t>
            </w:r>
          </w:p>
        </w:tc>
        <w:tc>
          <w:tcPr>
            <w:tcW w:w="2980" w:type="dxa"/>
            <w:vAlign w:val="bottom"/>
          </w:tcPr>
          <w:p>
            <w:pPr>
              <w:spacing w:after="0"/>
              <w:rPr>
                <w:sz w:val="13"/>
                <w:szCs w:val="13"/>
                <w:color w:val="auto"/>
              </w:rPr>
            </w:pPr>
          </w:p>
        </w:tc>
        <w:tc>
          <w:tcPr>
            <w:tcW w:w="4240" w:type="dxa"/>
            <w:vAlign w:val="bottom"/>
          </w:tcPr>
          <w:p>
            <w:pPr>
              <w:spacing w:after="0"/>
              <w:rPr>
                <w:sz w:val="13"/>
                <w:szCs w:val="13"/>
                <w:color w:val="auto"/>
              </w:rPr>
            </w:pPr>
          </w:p>
        </w:tc>
      </w:tr>
      <w:tr>
        <w:trPr>
          <w:trHeight w:val="157"/>
        </w:trPr>
        <w:tc>
          <w:tcPr>
            <w:tcW w:w="4240" w:type="dxa"/>
            <w:vAlign w:val="bottom"/>
          </w:tcPr>
          <w:p>
            <w:pPr>
              <w:jc w:val="center"/>
              <w:ind w:right="714"/>
              <w:spacing w:after="0"/>
              <w:rPr>
                <w:sz w:val="20"/>
                <w:szCs w:val="20"/>
                <w:color w:val="auto"/>
              </w:rPr>
            </w:pPr>
            <w:r>
              <w:rPr>
                <w:rFonts w:ascii="Arial" w:cs="Arial" w:eastAsia="Arial" w:hAnsi="Arial"/>
                <w:sz w:val="13"/>
                <w:szCs w:val="13"/>
                <w:color w:val="auto"/>
                <w:w w:val="94"/>
              </w:rPr>
              <w:t>Los Angeles, California</w:t>
            </w:r>
          </w:p>
        </w:tc>
        <w:tc>
          <w:tcPr>
            <w:tcW w:w="7220" w:type="dxa"/>
            <w:vAlign w:val="bottom"/>
            <w:gridSpan w:val="2"/>
          </w:tcPr>
          <w:p>
            <w:pPr>
              <w:jc w:val="center"/>
              <w:ind w:left="2554"/>
              <w:spacing w:after="0"/>
              <w:rPr>
                <w:sz w:val="20"/>
                <w:szCs w:val="20"/>
                <w:color w:val="auto"/>
              </w:rPr>
            </w:pPr>
            <w:r>
              <w:rPr>
                <w:rFonts w:ascii="Arial" w:cs="Arial" w:eastAsia="Arial" w:hAnsi="Arial"/>
                <w:sz w:val="13"/>
                <w:szCs w:val="13"/>
                <w:color w:val="auto"/>
                <w:w w:val="88"/>
              </w:rPr>
              <w:t>90017</w:t>
            </w:r>
          </w:p>
        </w:tc>
      </w:tr>
      <w:tr>
        <w:trPr>
          <w:trHeight w:val="165"/>
        </w:trPr>
        <w:tc>
          <w:tcPr>
            <w:tcW w:w="4240" w:type="dxa"/>
            <w:vAlign w:val="bottom"/>
          </w:tcPr>
          <w:p>
            <w:pPr>
              <w:jc w:val="center"/>
              <w:ind w:right="734"/>
              <w:spacing w:after="0"/>
              <w:rPr>
                <w:sz w:val="20"/>
                <w:szCs w:val="20"/>
                <w:color w:val="auto"/>
              </w:rPr>
            </w:pPr>
            <w:r>
              <w:rPr>
                <w:rFonts w:ascii="Arial" w:cs="Arial" w:eastAsia="Arial" w:hAnsi="Arial"/>
                <w:sz w:val="13"/>
                <w:szCs w:val="13"/>
                <w:color w:val="auto"/>
                <w:w w:val="93"/>
              </w:rPr>
              <w:t>(Address of principal executive offices)</w:t>
            </w:r>
          </w:p>
        </w:tc>
        <w:tc>
          <w:tcPr>
            <w:tcW w:w="2980" w:type="dxa"/>
            <w:vAlign w:val="bottom"/>
          </w:tcPr>
          <w:p>
            <w:pPr>
              <w:spacing w:after="0"/>
              <w:rPr>
                <w:sz w:val="14"/>
                <w:szCs w:val="14"/>
                <w:color w:val="auto"/>
              </w:rPr>
            </w:pPr>
          </w:p>
        </w:tc>
        <w:tc>
          <w:tcPr>
            <w:tcW w:w="4240" w:type="dxa"/>
            <w:vAlign w:val="bottom"/>
          </w:tcPr>
          <w:p>
            <w:pPr>
              <w:jc w:val="center"/>
              <w:ind w:right="254"/>
              <w:spacing w:after="0"/>
              <w:rPr>
                <w:sz w:val="20"/>
                <w:szCs w:val="20"/>
                <w:color w:val="auto"/>
              </w:rPr>
            </w:pPr>
            <w:r>
              <w:rPr>
                <w:rFonts w:ascii="Arial" w:cs="Arial" w:eastAsia="Arial" w:hAnsi="Arial"/>
                <w:sz w:val="13"/>
                <w:szCs w:val="13"/>
                <w:color w:val="auto"/>
                <w:w w:val="95"/>
              </w:rPr>
              <w:t>(Zip code)</w:t>
            </w:r>
          </w:p>
        </w:tc>
      </w:tr>
      <w:tr>
        <w:trPr>
          <w:trHeight w:val="218"/>
        </w:trPr>
        <w:tc>
          <w:tcPr>
            <w:tcW w:w="424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240" w:type="dxa"/>
            <w:vAlign w:val="bottom"/>
          </w:tcPr>
          <w:p>
            <w:pPr>
              <w:spacing w:after="0"/>
              <w:rPr>
                <w:sz w:val="18"/>
                <w:szCs w:val="18"/>
                <w:color w:val="auto"/>
              </w:rPr>
            </w:pPr>
          </w:p>
        </w:tc>
      </w:tr>
      <w:tr>
        <w:trPr>
          <w:trHeight w:val="266"/>
        </w:trPr>
        <w:tc>
          <w:tcPr>
            <w:tcW w:w="4240" w:type="dxa"/>
            <w:vAlign w:val="bottom"/>
          </w:tcPr>
          <w:p>
            <w:pPr>
              <w:spacing w:after="0"/>
              <w:rPr>
                <w:sz w:val="23"/>
                <w:szCs w:val="23"/>
                <w:color w:val="auto"/>
              </w:rPr>
            </w:pPr>
          </w:p>
        </w:tc>
        <w:tc>
          <w:tcPr>
            <w:tcW w:w="7220" w:type="dxa"/>
            <w:vAlign w:val="bottom"/>
            <w:gridSpan w:val="2"/>
          </w:tcPr>
          <w:p>
            <w:pPr>
              <w:jc w:val="center"/>
              <w:ind w:right="4154"/>
              <w:spacing w:after="0"/>
              <w:rPr>
                <w:sz w:val="20"/>
                <w:szCs w:val="20"/>
                <w:color w:val="auto"/>
              </w:rPr>
            </w:pPr>
            <w:r>
              <w:rPr>
                <w:rFonts w:ascii="Arial" w:cs="Arial" w:eastAsia="Arial" w:hAnsi="Arial"/>
                <w:sz w:val="13"/>
                <w:szCs w:val="13"/>
                <w:color w:val="auto"/>
                <w:w w:val="95"/>
              </w:rPr>
              <w:t>REPUBLIC SERVICES, INC.</w:t>
            </w:r>
          </w:p>
        </w:tc>
      </w:tr>
      <w:tr>
        <w:trPr>
          <w:trHeight w:val="165"/>
        </w:trPr>
        <w:tc>
          <w:tcPr>
            <w:tcW w:w="4240" w:type="dxa"/>
            <w:vAlign w:val="bottom"/>
          </w:tcPr>
          <w:p>
            <w:pPr>
              <w:spacing w:after="0"/>
              <w:rPr>
                <w:sz w:val="14"/>
                <w:szCs w:val="14"/>
                <w:color w:val="auto"/>
              </w:rPr>
            </w:pPr>
          </w:p>
        </w:tc>
        <w:tc>
          <w:tcPr>
            <w:tcW w:w="7220" w:type="dxa"/>
            <w:vAlign w:val="bottom"/>
            <w:gridSpan w:val="2"/>
          </w:tcPr>
          <w:p>
            <w:pPr>
              <w:jc w:val="center"/>
              <w:ind w:right="4174"/>
              <w:spacing w:after="0"/>
              <w:rPr>
                <w:sz w:val="20"/>
                <w:szCs w:val="20"/>
                <w:color w:val="auto"/>
              </w:rPr>
            </w:pPr>
            <w:r>
              <w:rPr>
                <w:rFonts w:ascii="Arial" w:cs="Arial" w:eastAsia="Arial" w:hAnsi="Arial"/>
                <w:sz w:val="13"/>
                <w:szCs w:val="13"/>
                <w:color w:val="auto"/>
                <w:w w:val="91"/>
              </w:rPr>
              <w:t>(Exact name of obligor as specified in its charter)</w:t>
            </w:r>
          </w:p>
        </w:tc>
      </w:tr>
      <w:tr>
        <w:trPr>
          <w:trHeight w:val="307"/>
        </w:trPr>
        <w:tc>
          <w:tcPr>
            <w:tcW w:w="4240" w:type="dxa"/>
            <w:vAlign w:val="bottom"/>
          </w:tcPr>
          <w:p>
            <w:pPr>
              <w:jc w:val="center"/>
              <w:ind w:right="714"/>
              <w:spacing w:after="0"/>
              <w:rPr>
                <w:sz w:val="20"/>
                <w:szCs w:val="20"/>
                <w:color w:val="auto"/>
              </w:rPr>
            </w:pPr>
            <w:r>
              <w:rPr>
                <w:rFonts w:ascii="Arial" w:cs="Arial" w:eastAsia="Arial" w:hAnsi="Arial"/>
                <w:sz w:val="13"/>
                <w:szCs w:val="13"/>
                <w:color w:val="auto"/>
                <w:w w:val="90"/>
              </w:rPr>
              <w:t>Delaware</w:t>
            </w:r>
          </w:p>
        </w:tc>
        <w:tc>
          <w:tcPr>
            <w:tcW w:w="7220" w:type="dxa"/>
            <w:vAlign w:val="bottom"/>
            <w:gridSpan w:val="2"/>
          </w:tcPr>
          <w:p>
            <w:pPr>
              <w:jc w:val="center"/>
              <w:ind w:left="2594"/>
              <w:spacing w:after="0"/>
              <w:rPr>
                <w:sz w:val="20"/>
                <w:szCs w:val="20"/>
                <w:color w:val="auto"/>
              </w:rPr>
            </w:pPr>
            <w:r>
              <w:rPr>
                <w:rFonts w:ascii="Arial" w:cs="Arial" w:eastAsia="Arial" w:hAnsi="Arial"/>
                <w:sz w:val="13"/>
                <w:szCs w:val="13"/>
                <w:color w:val="auto"/>
                <w:w w:val="92"/>
              </w:rPr>
              <w:t>65-0716904</w:t>
            </w:r>
          </w:p>
        </w:tc>
      </w:tr>
      <w:tr>
        <w:trPr>
          <w:trHeight w:val="157"/>
        </w:trPr>
        <w:tc>
          <w:tcPr>
            <w:tcW w:w="4240" w:type="dxa"/>
            <w:vAlign w:val="bottom"/>
          </w:tcPr>
          <w:p>
            <w:pPr>
              <w:jc w:val="center"/>
              <w:ind w:right="734"/>
              <w:spacing w:after="0"/>
              <w:rPr>
                <w:sz w:val="20"/>
                <w:szCs w:val="20"/>
                <w:color w:val="auto"/>
              </w:rPr>
            </w:pPr>
            <w:r>
              <w:rPr>
                <w:rFonts w:ascii="Arial" w:cs="Arial" w:eastAsia="Arial" w:hAnsi="Arial"/>
                <w:sz w:val="13"/>
                <w:szCs w:val="13"/>
                <w:color w:val="auto"/>
                <w:w w:val="93"/>
              </w:rPr>
              <w:t>(State or other jurisdiction of</w:t>
            </w:r>
          </w:p>
        </w:tc>
        <w:tc>
          <w:tcPr>
            <w:tcW w:w="2980" w:type="dxa"/>
            <w:vAlign w:val="bottom"/>
          </w:tcPr>
          <w:p>
            <w:pPr>
              <w:spacing w:after="0"/>
              <w:rPr>
                <w:sz w:val="13"/>
                <w:szCs w:val="13"/>
                <w:color w:val="auto"/>
              </w:rPr>
            </w:pPr>
          </w:p>
        </w:tc>
        <w:tc>
          <w:tcPr>
            <w:tcW w:w="4240" w:type="dxa"/>
            <w:vAlign w:val="bottom"/>
          </w:tcPr>
          <w:p>
            <w:pPr>
              <w:jc w:val="center"/>
              <w:ind w:right="254"/>
              <w:spacing w:after="0"/>
              <w:rPr>
                <w:sz w:val="20"/>
                <w:szCs w:val="20"/>
                <w:color w:val="auto"/>
              </w:rPr>
            </w:pPr>
            <w:r>
              <w:rPr>
                <w:rFonts w:ascii="Arial" w:cs="Arial" w:eastAsia="Arial" w:hAnsi="Arial"/>
                <w:sz w:val="13"/>
                <w:szCs w:val="13"/>
                <w:color w:val="auto"/>
                <w:w w:val="93"/>
              </w:rPr>
              <w:t>(I.R.S. employer</w:t>
            </w:r>
          </w:p>
        </w:tc>
      </w:tr>
      <w:tr>
        <w:trPr>
          <w:trHeight w:val="165"/>
        </w:trPr>
        <w:tc>
          <w:tcPr>
            <w:tcW w:w="4240" w:type="dxa"/>
            <w:vAlign w:val="bottom"/>
          </w:tcPr>
          <w:p>
            <w:pPr>
              <w:jc w:val="center"/>
              <w:ind w:right="714"/>
              <w:spacing w:after="0"/>
              <w:rPr>
                <w:sz w:val="20"/>
                <w:szCs w:val="20"/>
                <w:color w:val="auto"/>
              </w:rPr>
            </w:pPr>
            <w:r>
              <w:rPr>
                <w:rFonts w:ascii="Arial" w:cs="Arial" w:eastAsia="Arial" w:hAnsi="Arial"/>
                <w:sz w:val="13"/>
                <w:szCs w:val="13"/>
                <w:color w:val="auto"/>
                <w:w w:val="93"/>
              </w:rPr>
              <w:t>incorporation or organization)</w:t>
            </w:r>
          </w:p>
        </w:tc>
        <w:tc>
          <w:tcPr>
            <w:tcW w:w="2980" w:type="dxa"/>
            <w:vAlign w:val="bottom"/>
          </w:tcPr>
          <w:p>
            <w:pPr>
              <w:spacing w:after="0"/>
              <w:rPr>
                <w:sz w:val="14"/>
                <w:szCs w:val="14"/>
                <w:color w:val="auto"/>
              </w:rPr>
            </w:pPr>
          </w:p>
        </w:tc>
        <w:tc>
          <w:tcPr>
            <w:tcW w:w="4240" w:type="dxa"/>
            <w:vAlign w:val="bottom"/>
          </w:tcPr>
          <w:p>
            <w:pPr>
              <w:jc w:val="center"/>
              <w:ind w:right="274"/>
              <w:spacing w:after="0"/>
              <w:rPr>
                <w:sz w:val="20"/>
                <w:szCs w:val="20"/>
                <w:color w:val="auto"/>
              </w:rPr>
            </w:pPr>
            <w:r>
              <w:rPr>
                <w:rFonts w:ascii="Arial" w:cs="Arial" w:eastAsia="Arial" w:hAnsi="Arial"/>
                <w:sz w:val="13"/>
                <w:szCs w:val="13"/>
                <w:color w:val="auto"/>
                <w:w w:val="95"/>
              </w:rPr>
              <w:t>identification no.)</w:t>
            </w:r>
          </w:p>
        </w:tc>
      </w:tr>
      <w:tr>
        <w:trPr>
          <w:trHeight w:val="448"/>
        </w:trPr>
        <w:tc>
          <w:tcPr>
            <w:tcW w:w="424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3"/>
          <w:szCs w:val="13"/>
          <w:color w:val="auto"/>
        </w:rPr>
        <w:t>Additional Registrants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20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00" w:type="dxa"/>
            <w:vAlign w:val="bottom"/>
            <w:tcBorders>
              <w:bottom w:val="single" w:sz="8" w:color="auto"/>
            </w:tcBorders>
            <w:vMerge w:val="continue"/>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2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Alabama Recycling Services, Inc.</w:t>
            </w:r>
          </w:p>
        </w:tc>
        <w:tc>
          <w:tcPr>
            <w:tcW w:w="3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3"/>
              </w:rPr>
              <w:t>Alabama</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63-1125333</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Autauga County Landfill, LLC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Alabama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87-0708224</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GEK,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Alabama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63-1059042</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Allied Waste Industries (Arizona),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76-0353315</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Industries (Southwest),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86-0834266</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Allied Waste Systems of Arizona, LLC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20-4754255</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Apache Junction Landfill Corporation</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86-0807383</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Cactus Waste Systems, LLC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74-0193806</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Central Arizona Transfer,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20-3469072</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Mesa Disposal,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86-0641823</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Midway Development Company,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20-1234650</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Pinal County Landfill Corp.</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86-0834267</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Arizona Hauling, LLC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65-0872472</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Summit Waste Systems,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86-0940236</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Tri-State Refuse Corporation</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Arizona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86-0205736</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A D A J Corporation</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95-3996398</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of California,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86-0841277</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Allied Waste Transfer Services of California, LLC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20-4735721</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Atlas Transport,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95-2454199</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Bay Collection Services,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68-0423276</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Bay Environmental Management,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94-2547085</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Bay Landfills,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68-0423275</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Bay Leasing Company,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68-0206342</w:t>
            </w:r>
          </w:p>
        </w:tc>
        <w:tc>
          <w:tcPr>
            <w:tcW w:w="0" w:type="dxa"/>
            <w:vAlign w:val="bottom"/>
          </w:tcPr>
          <w:p>
            <w:pPr>
              <w:spacing w:after="0"/>
              <w:rPr>
                <w:sz w:val="1"/>
                <w:szCs w:val="1"/>
                <w:color w:val="auto"/>
              </w:rPr>
            </w:pPr>
          </w:p>
        </w:tc>
      </w:tr>
      <w:tr>
        <w:trPr>
          <w:trHeight w:val="294"/>
        </w:trPr>
        <w:tc>
          <w:tcPr>
            <w:tcW w:w="4200" w:type="dxa"/>
            <w:vAlign w:val="bottom"/>
          </w:tcPr>
          <w:p>
            <w:pPr>
              <w:spacing w:after="0"/>
              <w:rPr>
                <w:sz w:val="24"/>
                <w:szCs w:val="24"/>
                <w:color w:val="auto"/>
              </w:rPr>
            </w:pPr>
          </w:p>
        </w:tc>
        <w:tc>
          <w:tcPr>
            <w:tcW w:w="3140" w:type="dxa"/>
            <w:vAlign w:val="bottom"/>
          </w:tcPr>
          <w:p>
            <w:pPr>
              <w:jc w:val="right"/>
              <w:ind w:right="1434"/>
              <w:spacing w:after="0"/>
              <w:rPr>
                <w:sz w:val="20"/>
                <w:szCs w:val="20"/>
                <w:color w:val="auto"/>
              </w:rPr>
            </w:pPr>
            <w:r>
              <w:rPr>
                <w:rFonts w:ascii="Arial" w:cs="Arial" w:eastAsia="Arial" w:hAnsi="Arial"/>
                <w:sz w:val="13"/>
                <w:szCs w:val="13"/>
                <w:color w:val="auto"/>
              </w:rPr>
              <w:t>- 2 -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0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18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180" w:type="dxa"/>
            <w:vAlign w:val="bottom"/>
            <w:tcBorders>
              <w:bottom w:val="single" w:sz="8" w:color="auto"/>
            </w:tcBorders>
            <w:vMerge w:val="continue"/>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180" w:type="dxa"/>
            <w:vAlign w:val="bottom"/>
          </w:tcPr>
          <w:p>
            <w:pPr>
              <w:ind w:left="140"/>
              <w:spacing w:after="0" w:line="148" w:lineRule="exact"/>
              <w:rPr>
                <w:sz w:val="20"/>
                <w:szCs w:val="20"/>
                <w:color w:val="auto"/>
              </w:rPr>
            </w:pPr>
            <w:r>
              <w:rPr>
                <w:rFonts w:ascii="Arial" w:cs="Arial" w:eastAsia="Arial" w:hAnsi="Arial"/>
                <w:sz w:val="13"/>
                <w:szCs w:val="13"/>
                <w:color w:val="auto"/>
              </w:rPr>
              <w:t>Berkeley Sanitary Service, Inc.</w:t>
            </w:r>
          </w:p>
        </w:tc>
        <w:tc>
          <w:tcPr>
            <w:tcW w:w="3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color w:val="auto"/>
                <w:w w:val="98"/>
              </w:rPr>
              <w:t>California</w:t>
            </w:r>
          </w:p>
        </w:tc>
        <w:tc>
          <w:tcPr>
            <w:tcW w:w="3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color w:val="auto"/>
                <w:w w:val="89"/>
              </w:rPr>
              <w:t>68-0205653</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BLT Enterprises of Oxnard, Inc.</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77-0404336</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Borrego Landfill, Inc.</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33-0777844</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Browning-Ferris Industries of California, Inc.</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95-2772010</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Charter Evaporation Resource Recovery Systems</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68-0195486</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Crockett Sanitary Service, Inc.</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68-0395297</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Delta Container Corporation</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94-1751866</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Delta Paper Stock, Co.</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94-2523340</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Elder Creek Transfer &amp; Recovery, Inc.</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68-0461018</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Forward, Inc.</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94-1544481</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Golden Bear Transfer Services, Inc.</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20-1197062</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Imperial Landfill, Inc.</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86-0972399</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Independent Trucking Company</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94-1752713</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 Disposal Corp. of California</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94-2229685</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Keller Canyon Landfill Company</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77-0222614</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 Cañada Disposal Company, Inc.</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95-4108930</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Lathrop Sunrise Sanitation Corporation</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68-0349203</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Oceanside Waste &amp; Recycling Services</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95-4516562</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Otay Landfill, Inc.</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33-0777847</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Palomar Transfer Station, Inc.</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33-0777845</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Perdomo &amp; Sons, Inc.</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95-2759289</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Ramona Landfill, Inc.</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33-0777841</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RI/Alameda Corp.</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65-1049389</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Richmond Sanitary Service, Inc.</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68-0204974</w:t>
            </w:r>
          </w:p>
        </w:tc>
        <w:tc>
          <w:tcPr>
            <w:tcW w:w="0" w:type="dxa"/>
            <w:vAlign w:val="bottom"/>
          </w:tcPr>
          <w:p>
            <w:pPr>
              <w:spacing w:after="0"/>
              <w:rPr>
                <w:sz w:val="1"/>
                <w:szCs w:val="1"/>
                <w:color w:val="auto"/>
              </w:rPr>
            </w:pPr>
          </w:p>
        </w:tc>
      </w:tr>
      <w:tr>
        <w:trPr>
          <w:trHeight w:val="157"/>
        </w:trPr>
        <w:tc>
          <w:tcPr>
            <w:tcW w:w="4180" w:type="dxa"/>
            <w:vAlign w:val="bottom"/>
          </w:tcPr>
          <w:p>
            <w:pPr>
              <w:ind w:left="140"/>
              <w:spacing w:after="0"/>
              <w:rPr>
                <w:sz w:val="20"/>
                <w:szCs w:val="20"/>
                <w:color w:val="auto"/>
              </w:rPr>
            </w:pPr>
            <w:r>
              <w:rPr>
                <w:rFonts w:ascii="Arial" w:cs="Arial" w:eastAsia="Arial" w:hAnsi="Arial"/>
                <w:sz w:val="13"/>
                <w:szCs w:val="13"/>
                <w:color w:val="auto"/>
              </w:rPr>
              <w:t>San Diego Landfill Systems, LLC</w:t>
            </w: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20-2391637</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San Marcos NCRRF, Inc.</w:t>
            </w:r>
          </w:p>
        </w:tc>
        <w:tc>
          <w:tcPr>
            <w:tcW w:w="3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33-0777842</w:t>
            </w:r>
          </w:p>
        </w:tc>
        <w:tc>
          <w:tcPr>
            <w:tcW w:w="0" w:type="dxa"/>
            <w:vAlign w:val="bottom"/>
          </w:tcPr>
          <w:p>
            <w:pPr>
              <w:spacing w:after="0"/>
              <w:rPr>
                <w:sz w:val="1"/>
                <w:szCs w:val="1"/>
                <w:color w:val="auto"/>
              </w:rPr>
            </w:pPr>
          </w:p>
        </w:tc>
      </w:tr>
      <w:tr>
        <w:trPr>
          <w:trHeight w:val="294"/>
        </w:trPr>
        <w:tc>
          <w:tcPr>
            <w:tcW w:w="4180" w:type="dxa"/>
            <w:vAlign w:val="bottom"/>
          </w:tcPr>
          <w:p>
            <w:pPr>
              <w:spacing w:after="0"/>
              <w:rPr>
                <w:sz w:val="24"/>
                <w:szCs w:val="24"/>
                <w:color w:val="auto"/>
              </w:rPr>
            </w:pPr>
          </w:p>
        </w:tc>
        <w:tc>
          <w:tcPr>
            <w:tcW w:w="3160" w:type="dxa"/>
            <w:vAlign w:val="bottom"/>
          </w:tcPr>
          <w:p>
            <w:pPr>
              <w:jc w:val="right"/>
              <w:ind w:right="1434"/>
              <w:spacing w:after="0"/>
              <w:rPr>
                <w:sz w:val="20"/>
                <w:szCs w:val="20"/>
                <w:color w:val="auto"/>
              </w:rPr>
            </w:pPr>
            <w:r>
              <w:rPr>
                <w:rFonts w:ascii="Arial" w:cs="Arial" w:eastAsia="Arial" w:hAnsi="Arial"/>
                <w:sz w:val="13"/>
                <w:szCs w:val="13"/>
                <w:color w:val="auto"/>
              </w:rPr>
              <w:t>- 3 -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80" w:type="dxa"/>
            <w:vAlign w:val="bottom"/>
            <w:tcBorders>
              <w:bottom w:val="single" w:sz="8" w:color="808080"/>
            </w:tcBorders>
          </w:tcPr>
          <w:p>
            <w:pPr>
              <w:spacing w:after="0"/>
              <w:rPr>
                <w:sz w:val="14"/>
                <w:szCs w:val="14"/>
                <w:color w:val="auto"/>
              </w:rPr>
            </w:pPr>
          </w:p>
        </w:tc>
        <w:tc>
          <w:tcPr>
            <w:tcW w:w="31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32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320" w:type="dxa"/>
            <w:vAlign w:val="bottom"/>
            <w:tcBorders>
              <w:bottom w:val="single" w:sz="8" w:color="auto"/>
            </w:tcBorders>
            <w:vMerge w:val="continue"/>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320" w:type="dxa"/>
            <w:vAlign w:val="bottom"/>
          </w:tcPr>
          <w:p>
            <w:pPr>
              <w:ind w:left="140"/>
              <w:spacing w:after="0" w:line="148" w:lineRule="exact"/>
              <w:rPr>
                <w:sz w:val="20"/>
                <w:szCs w:val="20"/>
                <w:color w:val="auto"/>
              </w:rPr>
            </w:pPr>
            <w:r>
              <w:rPr>
                <w:rFonts w:ascii="Arial" w:cs="Arial" w:eastAsia="Arial" w:hAnsi="Arial"/>
                <w:sz w:val="13"/>
                <w:szCs w:val="13"/>
                <w:color w:val="auto"/>
              </w:rPr>
              <w:t>Solano Garbage Company</w:t>
            </w:r>
          </w:p>
        </w:tc>
        <w:tc>
          <w:tcPr>
            <w:tcW w:w="3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color w:val="auto"/>
                <w:w w:val="98"/>
              </w:rPr>
              <w:t>California</w:t>
            </w:r>
          </w:p>
        </w:tc>
        <w:tc>
          <w:tcPr>
            <w:tcW w:w="3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color w:val="auto"/>
                <w:w w:val="89"/>
              </w:rPr>
              <w:t>94-2537922</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Sunrise Sanitation Service,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94-2737713</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Sunset Disposal Service,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94-2449716</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Sycamore Landfill,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33-0777839</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West Contra Costa Energy Recovery Company</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68-0050806</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West Contra Costa Sanitary Landfill,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68-0206389</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West County Landfill,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68-0206346</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West County Resource Recovery,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68-0206339</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Zakaroff Services</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95-3941388</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Systems of Colorado,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Colorado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20-4911774</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Bunting Trash Service,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Colorado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84-0744234</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Denver RL North,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Colorado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86-1005476</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Frontier Waste Services (Colorado),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Colorado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91-2121802</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Colorado Hauling,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Colorado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65-0872366</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of Colorado I,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Colorado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65-0872372</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Abilene Landfill TX, LP</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26-0015748</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Allied Enviroengineering,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76-0294430</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Gas Recovery Systems,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86-0912667</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Allied Green Power,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59-3771629</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Nova Scotia,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86-0898257</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Allied Services,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86-0897719</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Alabama,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86-0836214</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Allied Waste Company,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76-0294431</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Environmental Management Group,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20-4987213</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Allied Waste Holdings (Canada) Ltd.</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86-0911064</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Industries,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88-0228636</w:t>
            </w:r>
          </w:p>
        </w:tc>
        <w:tc>
          <w:tcPr>
            <w:tcW w:w="0" w:type="dxa"/>
            <w:vAlign w:val="bottom"/>
          </w:tcPr>
          <w:p>
            <w:pPr>
              <w:spacing w:after="0"/>
              <w:rPr>
                <w:sz w:val="1"/>
                <w:szCs w:val="1"/>
                <w:color w:val="auto"/>
              </w:rPr>
            </w:pPr>
          </w:p>
        </w:tc>
      </w:tr>
      <w:tr>
        <w:trPr>
          <w:trHeight w:val="294"/>
        </w:trPr>
        <w:tc>
          <w:tcPr>
            <w:tcW w:w="4320" w:type="dxa"/>
            <w:vAlign w:val="bottom"/>
          </w:tcPr>
          <w:p>
            <w:pPr>
              <w:spacing w:after="0"/>
              <w:rPr>
                <w:sz w:val="24"/>
                <w:szCs w:val="24"/>
                <w:color w:val="auto"/>
              </w:rPr>
            </w:pPr>
          </w:p>
        </w:tc>
        <w:tc>
          <w:tcPr>
            <w:tcW w:w="3020" w:type="dxa"/>
            <w:vAlign w:val="bottom"/>
          </w:tcPr>
          <w:p>
            <w:pPr>
              <w:jc w:val="right"/>
              <w:ind w:right="1434"/>
              <w:spacing w:after="0"/>
              <w:rPr>
                <w:sz w:val="20"/>
                <w:szCs w:val="20"/>
                <w:color w:val="auto"/>
              </w:rPr>
            </w:pPr>
            <w:r>
              <w:rPr>
                <w:rFonts w:ascii="Arial" w:cs="Arial" w:eastAsia="Arial" w:hAnsi="Arial"/>
                <w:sz w:val="13"/>
                <w:szCs w:val="13"/>
                <w:color w:val="auto"/>
              </w:rPr>
              <w:t>- 4 -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32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420" w:type="dxa"/>
            <w:vAlign w:val="bottom"/>
            <w:tcBorders>
              <w:bottom w:val="single" w:sz="8" w:color="auto"/>
            </w:tcBorders>
            <w:vMerge w:val="continue"/>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420" w:type="dxa"/>
            <w:vAlign w:val="bottom"/>
          </w:tcPr>
          <w:p>
            <w:pPr>
              <w:ind w:left="140"/>
              <w:spacing w:after="0" w:line="148" w:lineRule="exact"/>
              <w:rPr>
                <w:sz w:val="20"/>
                <w:szCs w:val="20"/>
                <w:color w:val="auto"/>
              </w:rPr>
            </w:pPr>
            <w:r>
              <w:rPr>
                <w:rFonts w:ascii="Arial" w:cs="Arial" w:eastAsia="Arial" w:hAnsi="Arial"/>
                <w:sz w:val="13"/>
                <w:szCs w:val="13"/>
                <w:color w:val="auto"/>
              </w:rPr>
              <w:t>Allied Waste Landfill Holdings, Inc.</w:t>
            </w:r>
          </w:p>
        </w:tc>
        <w:tc>
          <w:tcPr>
            <w:tcW w:w="2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color w:val="auto"/>
                <w:w w:val="90"/>
              </w:rPr>
              <w:t>Delaware</w:t>
            </w:r>
          </w:p>
        </w:tc>
        <w:tc>
          <w:tcPr>
            <w:tcW w:w="3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color w:val="auto"/>
                <w:w w:val="89"/>
              </w:rPr>
              <w:t>52-2044846</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North America, Inc.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86-0843596</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Allied Waste of New Jersey-New York, LLC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86-0911491</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Recycling Services of New Hampshire, LLC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20-5406806</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Allied Waste Rural Sanitation, Inc.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91-1886463</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Services of Colorado, Inc.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26-1208222</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Allied Waste Services of North America, LLC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20-1838910</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Sycamore Landfill, LLC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30-0076497</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Allied Waste Systems Holdings, Inc.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59-2068174</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Systems of Indiana, LLC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20-8044243</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Allied Waste Systems, Inc.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36-2750252</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Transfer Services of Arizona, LLC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20-5130289</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Allied Waste Transfer Services of Rhode Island, LLC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20-5046235</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Transportation, Inc.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52-2044848</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American Disposal Services of Illinois, Inc.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13-3831976</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American Disposal Services of New Jersey, Inc.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36-4229718</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American Disposal Services of West Virginia, Inc.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36-4206387</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American Disposal Services, Inc.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13-3858494</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American Disposal Transfer Services of Illinois, Inc.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36-4210454</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Anson County Landfill NC, LLC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52-2044849</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Ariana, LLC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65-0886342</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Attwoods of North America, Inc.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98-0066273</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AWIN Leasing Company, Inc.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76-0351502</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AWIN Management, Inc.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76-0353318</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BBCO, Inc.</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20-2103652</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BFGSI, L.L.C.</w:t>
            </w:r>
          </w:p>
        </w:tc>
        <w:tc>
          <w:tcPr>
            <w:tcW w:w="2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294"/>
        </w:trPr>
        <w:tc>
          <w:tcPr>
            <w:tcW w:w="4420" w:type="dxa"/>
            <w:vAlign w:val="bottom"/>
          </w:tcPr>
          <w:p>
            <w:pPr>
              <w:spacing w:after="0"/>
              <w:rPr>
                <w:sz w:val="24"/>
                <w:szCs w:val="24"/>
                <w:color w:val="auto"/>
              </w:rPr>
            </w:pPr>
          </w:p>
        </w:tc>
        <w:tc>
          <w:tcPr>
            <w:tcW w:w="2920" w:type="dxa"/>
            <w:vAlign w:val="bottom"/>
          </w:tcPr>
          <w:p>
            <w:pPr>
              <w:jc w:val="right"/>
              <w:ind w:right="1434"/>
              <w:spacing w:after="0"/>
              <w:rPr>
                <w:sz w:val="20"/>
                <w:szCs w:val="20"/>
                <w:color w:val="auto"/>
              </w:rPr>
            </w:pPr>
            <w:r>
              <w:rPr>
                <w:rFonts w:ascii="Arial" w:cs="Arial" w:eastAsia="Arial" w:hAnsi="Arial"/>
                <w:sz w:val="13"/>
                <w:szCs w:val="13"/>
                <w:color w:val="auto"/>
              </w:rPr>
              <w:t>- 5 -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420" w:type="dxa"/>
            <w:vAlign w:val="bottom"/>
            <w:tcBorders>
              <w:bottom w:val="single" w:sz="8" w:color="808080"/>
            </w:tcBorders>
          </w:tcPr>
          <w:p>
            <w:pPr>
              <w:spacing w:after="0"/>
              <w:rPr>
                <w:sz w:val="14"/>
                <w:szCs w:val="14"/>
                <w:color w:val="auto"/>
              </w:rPr>
            </w:pPr>
          </w:p>
        </w:tc>
        <w:tc>
          <w:tcPr>
            <w:tcW w:w="29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66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2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660" w:type="dxa"/>
            <w:vAlign w:val="bottom"/>
            <w:tcBorders>
              <w:bottom w:val="single" w:sz="8" w:color="auto"/>
            </w:tcBorders>
            <w:vMerge w:val="continue"/>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660" w:type="dxa"/>
            <w:vAlign w:val="bottom"/>
          </w:tcPr>
          <w:p>
            <w:pPr>
              <w:ind w:left="140"/>
              <w:spacing w:after="0" w:line="148" w:lineRule="exact"/>
              <w:rPr>
                <w:sz w:val="20"/>
                <w:szCs w:val="20"/>
                <w:color w:val="auto"/>
              </w:rPr>
            </w:pPr>
            <w:r>
              <w:rPr>
                <w:rFonts w:ascii="Arial" w:cs="Arial" w:eastAsia="Arial" w:hAnsi="Arial"/>
                <w:sz w:val="13"/>
                <w:szCs w:val="13"/>
                <w:color w:val="auto"/>
              </w:rPr>
              <w:t>BFI Atlantic, Inc.</w:t>
            </w: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color w:val="auto"/>
                <w:w w:val="90"/>
              </w:rPr>
              <w:t>Delaware</w:t>
            </w:r>
          </w:p>
        </w:tc>
        <w:tc>
          <w:tcPr>
            <w:tcW w:w="3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color w:val="auto"/>
                <w:w w:val="89"/>
              </w:rPr>
              <w:t>76-0367890</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Energy Systems of Albany, Inc.</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76-0293880</w:t>
            </w: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BFI Energy Systems of Delaware County, Inc.</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76-0489490</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Energy Systems of Hempstead, Inc.</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76-0167169</w:t>
            </w: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BFI Energy Systems of Niagara II, Inc.</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86-0997176</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Energy Systems of Niagara, Inc.</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76-0346826</w:t>
            </w: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BFI Energy Systems of SEMASS, Inc.</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76-0489491</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Energy Systems of Southeastern Connecticut, Inc.</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76-0293894</w:t>
            </w:r>
          </w:p>
        </w:tc>
        <w:tc>
          <w:tcPr>
            <w:tcW w:w="0" w:type="dxa"/>
            <w:vAlign w:val="bottom"/>
          </w:tcPr>
          <w:p>
            <w:pPr>
              <w:spacing w:after="0"/>
              <w:rPr>
                <w:sz w:val="1"/>
                <w:szCs w:val="1"/>
                <w:color w:val="auto"/>
              </w:rPr>
            </w:pP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BFI Energy Systems of Southeastern Connecticut, Limited Partnership</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76-0353600</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International, Inc.</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98-0055699</w:t>
            </w: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BFI REF-FUEL, INC.</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76-0293907</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Trans River (GP), Inc.</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76-0490105</w:t>
            </w: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BFI Transfer Systems of Alabama, LLC</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86-1024458</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Transfer Systems of DC, LLC</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BFI Transfer Systems of Georgia, LLC</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86-1024457</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Transfer Systems of Maryland, LLC</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86-1026339</w:t>
            </w: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BFI Transfer Systems of Mississippi, LLC</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86-1026340</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Transfer Systems of Texas, LP</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86-1024535</w:t>
            </w: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BFI Transfer Systems of Virginia, LLC</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86-1024453</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Waste Services of Indiana, LP</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86-1024528</w:t>
            </w: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BFI Waste Services of Tennessee, LLC</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Waste Services of Texas, LP</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86-1024527</w:t>
            </w: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BFI Waste Services, LLC</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86-1006825</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Waste Systems of Alabama, LLC</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86-1024529</w:t>
            </w:r>
          </w:p>
        </w:tc>
        <w:tc>
          <w:tcPr>
            <w:tcW w:w="0" w:type="dxa"/>
            <w:vAlign w:val="bottom"/>
          </w:tcPr>
          <w:p>
            <w:pPr>
              <w:spacing w:after="0"/>
              <w:rPr>
                <w:sz w:val="1"/>
                <w:szCs w:val="1"/>
                <w:color w:val="auto"/>
              </w:rPr>
            </w:pPr>
          </w:p>
        </w:tc>
      </w:tr>
      <w:tr>
        <w:trPr>
          <w:trHeight w:val="165"/>
        </w:trPr>
        <w:tc>
          <w:tcPr>
            <w:tcW w:w="4660" w:type="dxa"/>
            <w:vAlign w:val="bottom"/>
          </w:tcPr>
          <w:p>
            <w:pPr>
              <w:ind w:left="140"/>
              <w:spacing w:after="0"/>
              <w:rPr>
                <w:sz w:val="20"/>
                <w:szCs w:val="20"/>
                <w:color w:val="auto"/>
              </w:rPr>
            </w:pPr>
            <w:r>
              <w:rPr>
                <w:rFonts w:ascii="Arial" w:cs="Arial" w:eastAsia="Arial" w:hAnsi="Arial"/>
                <w:sz w:val="13"/>
                <w:szCs w:val="13"/>
                <w:color w:val="auto"/>
              </w:rPr>
              <w:t>BFI Waste Systems of Arkansas, LLC</w:t>
            </w: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86-1024531</w:t>
            </w:r>
          </w:p>
        </w:tc>
        <w:tc>
          <w:tcPr>
            <w:tcW w:w="0" w:type="dxa"/>
            <w:vAlign w:val="bottom"/>
          </w:tcPr>
          <w:p>
            <w:pPr>
              <w:spacing w:after="0"/>
              <w:rPr>
                <w:sz w:val="1"/>
                <w:szCs w:val="1"/>
                <w:color w:val="auto"/>
              </w:rPr>
            </w:pPr>
          </w:p>
        </w:tc>
      </w:tr>
      <w:tr>
        <w:trPr>
          <w:trHeight w:val="286"/>
        </w:trPr>
        <w:tc>
          <w:tcPr>
            <w:tcW w:w="4660" w:type="dxa"/>
            <w:vAlign w:val="bottom"/>
          </w:tcPr>
          <w:p>
            <w:pPr>
              <w:spacing w:after="0"/>
              <w:rPr>
                <w:sz w:val="24"/>
                <w:szCs w:val="24"/>
                <w:color w:val="auto"/>
              </w:rPr>
            </w:pPr>
          </w:p>
        </w:tc>
        <w:tc>
          <w:tcPr>
            <w:tcW w:w="2680" w:type="dxa"/>
            <w:vAlign w:val="bottom"/>
          </w:tcPr>
          <w:p>
            <w:pPr>
              <w:jc w:val="right"/>
              <w:ind w:right="1434"/>
              <w:spacing w:after="0"/>
              <w:rPr>
                <w:sz w:val="20"/>
                <w:szCs w:val="20"/>
                <w:color w:val="auto"/>
              </w:rPr>
            </w:pPr>
            <w:r>
              <w:rPr>
                <w:rFonts w:ascii="Arial" w:cs="Arial" w:eastAsia="Arial" w:hAnsi="Arial"/>
                <w:sz w:val="13"/>
                <w:szCs w:val="13"/>
                <w:color w:val="auto"/>
              </w:rPr>
              <w:t>- 6 -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66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08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80" w:type="dxa"/>
            <w:vAlign w:val="bottom"/>
            <w:tcBorders>
              <w:bottom w:val="single" w:sz="8" w:color="auto"/>
            </w:tcBorders>
            <w:vMerge w:val="continue"/>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0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BFI Waste Systems of Georgia, LLC</w:t>
            </w:r>
          </w:p>
        </w:tc>
        <w:tc>
          <w:tcPr>
            <w:tcW w:w="3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86-1024530</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BFI Waste Systems of Indiana, LP</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86-1024534</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Waste Systems of Kentucky, LLC</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86-1024543</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BFI Waste Systems of Louisiana, LLC</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86-1024541</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Waste Systems of Mississippi, LLC</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86-1024539</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BFI Waste Systems of Missouri, LLC</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86-1024540</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Waste Systems of North America, LLC</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41-1696636</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BFI Waste Systems of North Carolina, LLC</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86-1024538</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Waste Systems of South Carolina, LLC</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BFI Waste Systems of Tennessee, LLC</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86-1024463</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Waste Systems of Virginia, LLC</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86-1024461</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Blue Ridge Landfill TX, LP</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86-1024533</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Bond County Landfill, Inc.</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86-0968446</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Brenham Total Roll-Offs, LP</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86-1038622</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Bridgeton Landfill, LLC</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86-0898487</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Bridgeton Transfer Station, LLC</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42-1583102</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Browning-Ferris Financial Services, Inc.</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76-0485106</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Browning-Ferris Industries of Florida, Inc.</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74-1819238</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Browning-Ferris Industries of Illinois, Inc.</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31-1697534</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Browning-Ferris Industries of Ohio, Inc.</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74-6186941</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Browning-Ferris Industries, LLC</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74-1673682</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Browning-Ferris Services, Inc.</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90-0112928</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Brunswick Waste Management Facility, LLC</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86-0898494</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Butler County Landfill, LLC</w:t>
            </w:r>
          </w:p>
        </w:tc>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86-0898479</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Camelot Landfill TX, LP</w:t>
            </w:r>
          </w:p>
        </w:tc>
        <w:tc>
          <w:tcPr>
            <w:tcW w:w="3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86-0913826</w:t>
            </w:r>
          </w:p>
        </w:tc>
        <w:tc>
          <w:tcPr>
            <w:tcW w:w="0" w:type="dxa"/>
            <w:vAlign w:val="bottom"/>
          </w:tcPr>
          <w:p>
            <w:pPr>
              <w:spacing w:after="0"/>
              <w:rPr>
                <w:sz w:val="1"/>
                <w:szCs w:val="1"/>
                <w:color w:val="auto"/>
              </w:rPr>
            </w:pPr>
          </w:p>
        </w:tc>
      </w:tr>
      <w:tr>
        <w:trPr>
          <w:trHeight w:val="165"/>
        </w:trPr>
        <w:tc>
          <w:tcPr>
            <w:tcW w:w="4080" w:type="dxa"/>
            <w:vAlign w:val="bottom"/>
          </w:tcPr>
          <w:p>
            <w:pPr>
              <w:ind w:left="140"/>
              <w:spacing w:after="0"/>
              <w:rPr>
                <w:sz w:val="20"/>
                <w:szCs w:val="20"/>
                <w:color w:val="auto"/>
              </w:rPr>
            </w:pPr>
            <w:r>
              <w:rPr>
                <w:rFonts w:ascii="Arial" w:cs="Arial" w:eastAsia="Arial" w:hAnsi="Arial"/>
                <w:sz w:val="13"/>
                <w:szCs w:val="13"/>
                <w:color w:val="auto"/>
              </w:rPr>
              <w:t>CC Landfill, Inc.</w:t>
            </w:r>
          </w:p>
        </w:tc>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86-0930050</w:t>
            </w:r>
          </w:p>
        </w:tc>
        <w:tc>
          <w:tcPr>
            <w:tcW w:w="0" w:type="dxa"/>
            <w:vAlign w:val="bottom"/>
          </w:tcPr>
          <w:p>
            <w:pPr>
              <w:spacing w:after="0"/>
              <w:rPr>
                <w:sz w:val="1"/>
                <w:szCs w:val="1"/>
                <w:color w:val="auto"/>
              </w:rPr>
            </w:pPr>
          </w:p>
        </w:tc>
      </w:tr>
      <w:tr>
        <w:trPr>
          <w:trHeight w:val="286"/>
        </w:trPr>
        <w:tc>
          <w:tcPr>
            <w:tcW w:w="4080" w:type="dxa"/>
            <w:vAlign w:val="bottom"/>
          </w:tcPr>
          <w:p>
            <w:pPr>
              <w:spacing w:after="0"/>
              <w:rPr>
                <w:sz w:val="24"/>
                <w:szCs w:val="24"/>
                <w:color w:val="auto"/>
              </w:rPr>
            </w:pPr>
          </w:p>
        </w:tc>
        <w:tc>
          <w:tcPr>
            <w:tcW w:w="3260" w:type="dxa"/>
            <w:vAlign w:val="bottom"/>
          </w:tcPr>
          <w:p>
            <w:pPr>
              <w:jc w:val="right"/>
              <w:ind w:right="1434"/>
              <w:spacing w:after="0"/>
              <w:rPr>
                <w:sz w:val="20"/>
                <w:szCs w:val="20"/>
                <w:color w:val="auto"/>
              </w:rPr>
            </w:pPr>
            <w:r>
              <w:rPr>
                <w:rFonts w:ascii="Arial" w:cs="Arial" w:eastAsia="Arial" w:hAnsi="Arial"/>
                <w:sz w:val="13"/>
                <w:szCs w:val="13"/>
                <w:color w:val="auto"/>
              </w:rPr>
              <w:t>- 7 -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8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16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160" w:type="dxa"/>
            <w:vAlign w:val="bottom"/>
            <w:tcBorders>
              <w:bottom w:val="single" w:sz="8" w:color="auto"/>
            </w:tcBorders>
            <w:vMerge w:val="continue"/>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1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Cefe Landfill TX, LP</w:t>
            </w:r>
          </w:p>
        </w:tc>
        <w:tc>
          <w:tcPr>
            <w:tcW w:w="3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20-2761828</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Chilton Landfill, LLC</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86-0979028</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Cocopah Landfill, Inc.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86-0979654</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Compactor Rental Systems of Delaware, Inc.</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65-0723614</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Consolidated Disposal Service, L.L.C.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65-0844469</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Continental Waste Industries, L.L.C.</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11-2909512</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Copper Mountain Landfill, Inc.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86-0980013</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County Disposal (Ohio), Inc.</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13-3831975</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County Disposal, Inc.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13-3831974</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County Landfill, Inc.</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13-3850472</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Courtney Ridge Landfill, LLC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86-0979799</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Crow Landfill TX, L.P.</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52-2044854</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 &amp; L Disposal, L.L.C.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37-1355114</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East Chicago Compost Facility, Inc.</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26-3472299</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 Leasing Company, LLC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86-1013760</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ECDC Environmental of Humboldt County, Inc.</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91-1901449</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ECDC Holdings, Inc.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86-0897722</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Ellis County Landfill TX, LP</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52-2044857</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Ellis Scott Landfill MO, LLC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52-2044859</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Environmental Development Corp.</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35-1783546</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Environtech, Inc.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36-3485658</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Envotech-Illinois L.L.C.</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37-1355113</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Evergreen Scavenger Service, Inc.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36-4179870</w:t>
            </w:r>
          </w:p>
        </w:tc>
        <w:tc>
          <w:tcPr>
            <w:tcW w:w="0" w:type="dxa"/>
            <w:vAlign w:val="bottom"/>
          </w:tcPr>
          <w:p>
            <w:pPr>
              <w:spacing w:after="0"/>
              <w:rPr>
                <w:sz w:val="1"/>
                <w:szCs w:val="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3"/>
                <w:szCs w:val="13"/>
                <w:color w:val="auto"/>
              </w:rPr>
              <w:t>Evergreen Scavenger Service, L.L.C.</w:t>
            </w: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36-4172002</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Forest View Landfill, LLC</w:t>
            </w:r>
          </w:p>
        </w:tc>
        <w:tc>
          <w:tcPr>
            <w:tcW w:w="3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86-0979824</w:t>
            </w:r>
          </w:p>
        </w:tc>
        <w:tc>
          <w:tcPr>
            <w:tcW w:w="0" w:type="dxa"/>
            <w:vAlign w:val="bottom"/>
          </w:tcPr>
          <w:p>
            <w:pPr>
              <w:spacing w:after="0"/>
              <w:rPr>
                <w:sz w:val="1"/>
                <w:szCs w:val="1"/>
                <w:color w:val="auto"/>
              </w:rPr>
            </w:pPr>
          </w:p>
        </w:tc>
      </w:tr>
      <w:tr>
        <w:trPr>
          <w:trHeight w:val="165"/>
        </w:trPr>
        <w:tc>
          <w:tcPr>
            <w:tcW w:w="4160" w:type="dxa"/>
            <w:vAlign w:val="bottom"/>
          </w:tcPr>
          <w:p>
            <w:pPr>
              <w:ind w:left="140"/>
              <w:spacing w:after="0"/>
              <w:rPr>
                <w:sz w:val="20"/>
                <w:szCs w:val="20"/>
                <w:color w:val="auto"/>
              </w:rPr>
            </w:pPr>
            <w:r>
              <w:rPr>
                <w:rFonts w:ascii="Arial" w:cs="Arial" w:eastAsia="Arial" w:hAnsi="Arial"/>
                <w:sz w:val="13"/>
                <w:szCs w:val="13"/>
                <w:color w:val="auto"/>
              </w:rPr>
              <w:t>Fort Worth Landfill TX, LP</w:t>
            </w:r>
          </w:p>
        </w:tc>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86-0899429</w:t>
            </w:r>
          </w:p>
        </w:tc>
        <w:tc>
          <w:tcPr>
            <w:tcW w:w="0" w:type="dxa"/>
            <w:vAlign w:val="bottom"/>
          </w:tcPr>
          <w:p>
            <w:pPr>
              <w:spacing w:after="0"/>
              <w:rPr>
                <w:sz w:val="1"/>
                <w:szCs w:val="1"/>
                <w:color w:val="auto"/>
              </w:rPr>
            </w:pPr>
          </w:p>
        </w:tc>
      </w:tr>
      <w:tr>
        <w:trPr>
          <w:trHeight w:val="286"/>
        </w:trPr>
        <w:tc>
          <w:tcPr>
            <w:tcW w:w="4160" w:type="dxa"/>
            <w:vAlign w:val="bottom"/>
          </w:tcPr>
          <w:p>
            <w:pPr>
              <w:spacing w:after="0"/>
              <w:rPr>
                <w:sz w:val="24"/>
                <w:szCs w:val="24"/>
                <w:color w:val="auto"/>
              </w:rPr>
            </w:pPr>
          </w:p>
        </w:tc>
        <w:tc>
          <w:tcPr>
            <w:tcW w:w="3180" w:type="dxa"/>
            <w:vAlign w:val="bottom"/>
          </w:tcPr>
          <w:p>
            <w:pPr>
              <w:jc w:val="right"/>
              <w:ind w:right="1434"/>
              <w:spacing w:after="0"/>
              <w:rPr>
                <w:sz w:val="20"/>
                <w:szCs w:val="20"/>
                <w:color w:val="auto"/>
              </w:rPr>
            </w:pPr>
            <w:r>
              <w:rPr>
                <w:rFonts w:ascii="Arial" w:cs="Arial" w:eastAsia="Arial" w:hAnsi="Arial"/>
                <w:sz w:val="13"/>
                <w:szCs w:val="13"/>
                <w:color w:val="auto"/>
              </w:rPr>
              <w:t>- 8 -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60" w:type="dxa"/>
            <w:vAlign w:val="bottom"/>
            <w:tcBorders>
              <w:bottom w:val="single" w:sz="8" w:color="808080"/>
            </w:tcBorders>
          </w:tcPr>
          <w:p>
            <w:pPr>
              <w:spacing w:after="0"/>
              <w:rPr>
                <w:sz w:val="14"/>
                <w:szCs w:val="14"/>
                <w:color w:val="auto"/>
              </w:rPr>
            </w:pPr>
          </w:p>
        </w:tc>
        <w:tc>
          <w:tcPr>
            <w:tcW w:w="31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02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20" w:type="dxa"/>
            <w:vAlign w:val="bottom"/>
            <w:tcBorders>
              <w:bottom w:val="single" w:sz="8" w:color="auto"/>
            </w:tcBorders>
            <w:vMerge w:val="continue"/>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Galveston County Landfill TX, LP</w:t>
            </w:r>
          </w:p>
        </w:tc>
        <w:tc>
          <w:tcPr>
            <w:tcW w:w="3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26-0015758</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General Refuse Rolloff Corp.</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52-2093347</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Georgia Recycling Services, Inc.</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58-2178434</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Giles Road Landfill TX, LP</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20-3365888</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Golden Triangle Landfill TX, LP</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26-0015711</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Great Lakes Disposal Service, Inc.</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36-2642310</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Great Plains Landfill OK, LLC</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52-2044861</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Greenwood Landfill TX, LP</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91-2098721</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Gulf West Landfill TX, LP</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26-0015867</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H Leasing Company, LLC</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86-1013761</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Itasca Landfill TX, LP</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26-0015841</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Jefferson City Landfill, LLC</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86-0898553</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Kandel Enterprises, LLC</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26-1602664</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Kerrville Landfill TX, LP</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26-0015826</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Lee County Landfill SC, LLC</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52-2044865</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Lemons Landfill, LLC</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86-0898495</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Lewisville Landfill TX, LP</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26-0015695</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Liberty Waste Holdings, Inc.</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52-2049620</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Liberty Waste Services Limited, L.L.C.</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34-1812746</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Liberty Waste Services of McCook, L.L.C.</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23-2883645</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Little Creek Landing, LLC</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68-0562490</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Local Sanitation of Rowan County, L.L.C.</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61-1342580</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Lucas County Land Development, Inc.</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86-1042740</w:t>
            </w:r>
          </w:p>
        </w:tc>
        <w:tc>
          <w:tcPr>
            <w:tcW w:w="0" w:type="dxa"/>
            <w:vAlign w:val="bottom"/>
          </w:tcPr>
          <w:p>
            <w:pPr>
              <w:spacing w:after="0"/>
              <w:rPr>
                <w:sz w:val="1"/>
                <w:szCs w:val="1"/>
                <w:color w:val="auto"/>
              </w:rPr>
            </w:pPr>
          </w:p>
        </w:tc>
      </w:tr>
      <w:tr>
        <w:trPr>
          <w:trHeight w:val="157"/>
        </w:trPr>
        <w:tc>
          <w:tcPr>
            <w:tcW w:w="4020" w:type="dxa"/>
            <w:vAlign w:val="bottom"/>
          </w:tcPr>
          <w:p>
            <w:pPr>
              <w:ind w:left="140"/>
              <w:spacing w:after="0"/>
              <w:rPr>
                <w:sz w:val="20"/>
                <w:szCs w:val="20"/>
                <w:color w:val="auto"/>
              </w:rPr>
            </w:pPr>
            <w:r>
              <w:rPr>
                <w:rFonts w:ascii="Arial" w:cs="Arial" w:eastAsia="Arial" w:hAnsi="Arial"/>
                <w:sz w:val="13"/>
                <w:szCs w:val="13"/>
                <w:color w:val="auto"/>
              </w:rPr>
              <w:t>Mars Road TX, LP</w:t>
            </w:r>
          </w:p>
        </w:tc>
        <w:tc>
          <w:tcPr>
            <w:tcW w:w="3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20-3905016</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McCarty Road Landfill TX, LP</w:t>
            </w:r>
          </w:p>
        </w:tc>
        <w:tc>
          <w:tcPr>
            <w:tcW w:w="3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26-0015687</w:t>
            </w:r>
          </w:p>
        </w:tc>
        <w:tc>
          <w:tcPr>
            <w:tcW w:w="0" w:type="dxa"/>
            <w:vAlign w:val="bottom"/>
          </w:tcPr>
          <w:p>
            <w:pPr>
              <w:spacing w:after="0"/>
              <w:rPr>
                <w:sz w:val="1"/>
                <w:szCs w:val="1"/>
                <w:color w:val="auto"/>
              </w:rPr>
            </w:pPr>
          </w:p>
        </w:tc>
      </w:tr>
      <w:tr>
        <w:trPr>
          <w:trHeight w:val="165"/>
        </w:trPr>
        <w:tc>
          <w:tcPr>
            <w:tcW w:w="4020" w:type="dxa"/>
            <w:vAlign w:val="bottom"/>
          </w:tcPr>
          <w:p>
            <w:pPr>
              <w:ind w:left="140"/>
              <w:spacing w:after="0"/>
              <w:rPr>
                <w:sz w:val="20"/>
                <w:szCs w:val="20"/>
                <w:color w:val="auto"/>
              </w:rPr>
            </w:pPr>
            <w:r>
              <w:rPr>
                <w:rFonts w:ascii="Arial" w:cs="Arial" w:eastAsia="Arial" w:hAnsi="Arial"/>
                <w:sz w:val="13"/>
                <w:szCs w:val="13"/>
                <w:color w:val="auto"/>
              </w:rPr>
              <w:t>Mesquite Landfill TX, LP</w:t>
            </w:r>
          </w:p>
        </w:tc>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86-0897693</w:t>
            </w:r>
          </w:p>
        </w:tc>
        <w:tc>
          <w:tcPr>
            <w:tcW w:w="0" w:type="dxa"/>
            <w:vAlign w:val="bottom"/>
          </w:tcPr>
          <w:p>
            <w:pPr>
              <w:spacing w:after="0"/>
              <w:rPr>
                <w:sz w:val="1"/>
                <w:szCs w:val="1"/>
                <w:color w:val="auto"/>
              </w:rPr>
            </w:pPr>
          </w:p>
        </w:tc>
      </w:tr>
      <w:tr>
        <w:trPr>
          <w:trHeight w:val="286"/>
        </w:trPr>
        <w:tc>
          <w:tcPr>
            <w:tcW w:w="4020" w:type="dxa"/>
            <w:vAlign w:val="bottom"/>
          </w:tcPr>
          <w:p>
            <w:pPr>
              <w:spacing w:after="0"/>
              <w:rPr>
                <w:sz w:val="24"/>
                <w:szCs w:val="24"/>
                <w:color w:val="auto"/>
              </w:rPr>
            </w:pPr>
          </w:p>
        </w:tc>
        <w:tc>
          <w:tcPr>
            <w:tcW w:w="3320" w:type="dxa"/>
            <w:vAlign w:val="bottom"/>
          </w:tcPr>
          <w:p>
            <w:pPr>
              <w:jc w:val="right"/>
              <w:ind w:right="1434"/>
              <w:spacing w:after="0"/>
              <w:rPr>
                <w:sz w:val="20"/>
                <w:szCs w:val="20"/>
                <w:color w:val="auto"/>
              </w:rPr>
            </w:pPr>
            <w:r>
              <w:rPr>
                <w:rFonts w:ascii="Arial" w:cs="Arial" w:eastAsia="Arial" w:hAnsi="Arial"/>
                <w:sz w:val="13"/>
                <w:szCs w:val="13"/>
                <w:color w:val="auto"/>
              </w:rPr>
              <w:t>- 9 -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20" w:type="dxa"/>
            <w:vAlign w:val="bottom"/>
            <w:tcBorders>
              <w:bottom w:val="single" w:sz="8" w:color="808080"/>
            </w:tcBorders>
          </w:tcPr>
          <w:p>
            <w:pPr>
              <w:spacing w:after="0"/>
              <w:rPr>
                <w:sz w:val="14"/>
                <w:szCs w:val="14"/>
                <w:color w:val="auto"/>
              </w:rPr>
            </w:pPr>
          </w:p>
        </w:tc>
        <w:tc>
          <w:tcPr>
            <w:tcW w:w="33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32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320" w:type="dxa"/>
            <w:vAlign w:val="bottom"/>
            <w:tcBorders>
              <w:bottom w:val="single" w:sz="8" w:color="auto"/>
            </w:tcBorders>
            <w:vMerge w:val="continue"/>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Mexia Landfill TX, LP</w:t>
            </w:r>
          </w:p>
        </w:tc>
        <w:tc>
          <w:tcPr>
            <w:tcW w:w="3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26-0015674</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Mountain Home Disposal,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94-3284171</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 Leasing Company,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86-1013762</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NationsWaste,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25-1774253</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Ncorp,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86-1013502</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New York Waste Services,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86-1005076</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Northeast Landfill,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72-1564964</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Ohio Republic Contracts, II,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65-1024354</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Ottawa County Landfill,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59-2068171</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Packerton Land Company,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23-2930927</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Panama Road Landfill, TX, L.P.</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86-1036043</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Pine Hill Farms Landfill TX, LP</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86-0899426</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Pinecrest Landfill OK,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52-2044866</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Pleasant Oaks Landfill TX, LP</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91-1927530</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Polk County Landfill,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86-1036041</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Financial LP,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65-1008378</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Financial, Limited Partnership</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65-1008373</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Group,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65-0984987</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Holding Company,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65-0984982</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of California Holding Company,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65-0984976</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California II,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65-0872373</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of Florida GP,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65-0963062</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Florida LP,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65-0963063</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of Florida, Limited Partnership</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65-0965470</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Georgia GP,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65-0963065</w:t>
            </w:r>
          </w:p>
        </w:tc>
        <w:tc>
          <w:tcPr>
            <w:tcW w:w="0" w:type="dxa"/>
            <w:vAlign w:val="bottom"/>
          </w:tcPr>
          <w:p>
            <w:pPr>
              <w:spacing w:after="0"/>
              <w:rPr>
                <w:sz w:val="1"/>
                <w:szCs w:val="1"/>
                <w:color w:val="auto"/>
              </w:rPr>
            </w:pPr>
          </w:p>
        </w:tc>
      </w:tr>
      <w:tr>
        <w:trPr>
          <w:trHeight w:val="165"/>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of Georgia LP, LLC</w:t>
            </w: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65-0963064</w:t>
            </w:r>
          </w:p>
        </w:tc>
        <w:tc>
          <w:tcPr>
            <w:tcW w:w="0" w:type="dxa"/>
            <w:vAlign w:val="bottom"/>
          </w:tcPr>
          <w:p>
            <w:pPr>
              <w:spacing w:after="0"/>
              <w:rPr>
                <w:sz w:val="1"/>
                <w:szCs w:val="1"/>
                <w:color w:val="auto"/>
              </w:rPr>
            </w:pPr>
          </w:p>
        </w:tc>
      </w:tr>
      <w:tr>
        <w:trPr>
          <w:trHeight w:val="286"/>
        </w:trPr>
        <w:tc>
          <w:tcPr>
            <w:tcW w:w="4320" w:type="dxa"/>
            <w:vAlign w:val="bottom"/>
          </w:tcPr>
          <w:p>
            <w:pPr>
              <w:spacing w:after="0"/>
              <w:rPr>
                <w:sz w:val="24"/>
                <w:szCs w:val="24"/>
                <w:color w:val="auto"/>
              </w:rPr>
            </w:pPr>
          </w:p>
        </w:tc>
        <w:tc>
          <w:tcPr>
            <w:tcW w:w="3020" w:type="dxa"/>
            <w:vAlign w:val="bottom"/>
          </w:tcPr>
          <w:p>
            <w:pPr>
              <w:jc w:val="right"/>
              <w:ind w:right="1394"/>
              <w:spacing w:after="0"/>
              <w:rPr>
                <w:sz w:val="20"/>
                <w:szCs w:val="20"/>
                <w:color w:val="auto"/>
              </w:rPr>
            </w:pPr>
            <w:r>
              <w:rPr>
                <w:rFonts w:ascii="Arial" w:cs="Arial" w:eastAsia="Arial" w:hAnsi="Arial"/>
                <w:sz w:val="13"/>
                <w:szCs w:val="13"/>
                <w:color w:val="auto"/>
              </w:rPr>
              <w:t>- 10 -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32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32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320" w:type="dxa"/>
            <w:vAlign w:val="bottom"/>
            <w:tcBorders>
              <w:bottom w:val="single" w:sz="8" w:color="auto"/>
            </w:tcBorders>
            <w:vMerge w:val="continue"/>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Republic Services of Georgia, Limited Partnership</w:t>
            </w:r>
          </w:p>
        </w:tc>
        <w:tc>
          <w:tcPr>
            <w:tcW w:w="3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65-0965473</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of Indiana LP,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65-1012407</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Indiana Transportation,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06-1642141</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of Indiana, Limited Partnership</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65-1012411</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Michigan Holding Company,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65-0984978</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of New Jersey,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65-1050939</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Pennsylvania,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65-1012129</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of South Carolina,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65-1023675</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Southern California,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65-1242656</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of Wisconsin GP,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65-0984993</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Wisconsin LP,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65-0984994</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of Wisconsin, Limited Partnership</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65-0984991</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Vasco Road,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65-0936716</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Waste Services of Southern California,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65-0845646</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Waste Services of Texas GP,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65-0964350</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Waste Services of Texas LP,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65-0963006</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Rio Grande Valley Landfill TX, LP</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26-0015192</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Risk Services,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76-0162247</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RITM,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51-0345295</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Royal Oaks Landfill TX, LP</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91-2098725</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Rubbish Control,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65-0844465</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RWS Transport, L.P.</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27-0061136</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 Leasing Company,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86-1013763</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Sand Valley Holdings,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51-0391894</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Sangamon Valley Landfill,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86-0970304</w:t>
            </w:r>
          </w:p>
        </w:tc>
        <w:tc>
          <w:tcPr>
            <w:tcW w:w="0" w:type="dxa"/>
            <w:vAlign w:val="bottom"/>
          </w:tcPr>
          <w:p>
            <w:pPr>
              <w:spacing w:after="0"/>
              <w:rPr>
                <w:sz w:val="1"/>
                <w:szCs w:val="1"/>
                <w:color w:val="auto"/>
              </w:rPr>
            </w:pPr>
          </w:p>
        </w:tc>
      </w:tr>
      <w:tr>
        <w:trPr>
          <w:trHeight w:val="165"/>
        </w:trPr>
        <w:tc>
          <w:tcPr>
            <w:tcW w:w="4320" w:type="dxa"/>
            <w:vAlign w:val="bottom"/>
          </w:tcPr>
          <w:p>
            <w:pPr>
              <w:ind w:left="140"/>
              <w:spacing w:after="0"/>
              <w:rPr>
                <w:sz w:val="20"/>
                <w:szCs w:val="20"/>
                <w:color w:val="auto"/>
              </w:rPr>
            </w:pPr>
            <w:r>
              <w:rPr>
                <w:rFonts w:ascii="Arial" w:cs="Arial" w:eastAsia="Arial" w:hAnsi="Arial"/>
                <w:sz w:val="13"/>
                <w:szCs w:val="13"/>
                <w:color w:val="auto"/>
              </w:rPr>
              <w:t>Show-Me Landfill, LLC</w:t>
            </w: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86-0898621</w:t>
            </w:r>
          </w:p>
        </w:tc>
        <w:tc>
          <w:tcPr>
            <w:tcW w:w="0" w:type="dxa"/>
            <w:vAlign w:val="bottom"/>
          </w:tcPr>
          <w:p>
            <w:pPr>
              <w:spacing w:after="0"/>
              <w:rPr>
                <w:sz w:val="1"/>
                <w:szCs w:val="1"/>
                <w:color w:val="auto"/>
              </w:rPr>
            </w:pPr>
          </w:p>
        </w:tc>
      </w:tr>
      <w:tr>
        <w:trPr>
          <w:trHeight w:val="286"/>
        </w:trPr>
        <w:tc>
          <w:tcPr>
            <w:tcW w:w="4320" w:type="dxa"/>
            <w:vAlign w:val="bottom"/>
          </w:tcPr>
          <w:p>
            <w:pPr>
              <w:spacing w:after="0"/>
              <w:rPr>
                <w:sz w:val="24"/>
                <w:szCs w:val="24"/>
                <w:color w:val="auto"/>
              </w:rPr>
            </w:pPr>
          </w:p>
        </w:tc>
        <w:tc>
          <w:tcPr>
            <w:tcW w:w="3020" w:type="dxa"/>
            <w:vAlign w:val="bottom"/>
          </w:tcPr>
          <w:p>
            <w:pPr>
              <w:jc w:val="right"/>
              <w:ind w:right="1394"/>
              <w:spacing w:after="0"/>
              <w:rPr>
                <w:sz w:val="20"/>
                <w:szCs w:val="20"/>
                <w:color w:val="auto"/>
              </w:rPr>
            </w:pPr>
            <w:r>
              <w:rPr>
                <w:rFonts w:ascii="Arial" w:cs="Arial" w:eastAsia="Arial" w:hAnsi="Arial"/>
                <w:sz w:val="13"/>
                <w:szCs w:val="13"/>
                <w:color w:val="auto"/>
              </w:rPr>
              <w:t>- 11 -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32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12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120" w:type="dxa"/>
            <w:vAlign w:val="bottom"/>
            <w:tcBorders>
              <w:bottom w:val="single" w:sz="8" w:color="auto"/>
            </w:tcBorders>
            <w:vMerge w:val="continue"/>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Southeast Landfill, LLC</w:t>
            </w:r>
          </w:p>
        </w:tc>
        <w:tc>
          <w:tcPr>
            <w:tcW w:w="3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86-0898482</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Southwest Landfill TX, LP</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26-0015177</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Standard Waste,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37-1049834</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Taylor Ridge Landfill,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86-0970061</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Tennessee Union County Landfill,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86-0980095</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Tessman Road Landfill TX, LP</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20-3365914</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Turkey Creek Landfill TX, LP</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86-0899439</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Victoria Landfill TX, LP</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26-0015157</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Wayne County Landfill IL,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52-2044868</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Webster Parish Landfill, L.L.C.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62-1772690</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Whispering Pines Landfill TX, LP</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26-0015118</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Willow Ridge Landfill, LLC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86-1004978</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Transfer Services of Florida, LLC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20-3534645</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Delta Dade Recycling Corp.</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Florida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65-1048925</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Delta Resources Corp.</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65-0891249</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Delta Site Development Corp.</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Florida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65-0936999</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Delta Waste Corp.</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65-0919421</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Envirocycle,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Florida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65-0243954</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Gulfcoast Waste Service,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65-0577644</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Manumit of Florida,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Florida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58-2065448</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Aviation,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65-0959331</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Schofield Corporation of Orlando</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Florida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59-3047860</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Hauling of Georgia,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Georgia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86-0842495</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Allied Waste Industries of Georgia,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Georgia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86-0842496</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Central Virginia Properties, LLC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Georgia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20-0767660</w:t>
            </w:r>
          </w:p>
        </w:tc>
        <w:tc>
          <w:tcPr>
            <w:tcW w:w="0" w:type="dxa"/>
            <w:vAlign w:val="bottom"/>
          </w:tcPr>
          <w:p>
            <w:pPr>
              <w:spacing w:after="0"/>
              <w:rPr>
                <w:sz w:val="1"/>
                <w:szCs w:val="1"/>
                <w:color w:val="auto"/>
              </w:rPr>
            </w:pPr>
          </w:p>
        </w:tc>
      </w:tr>
      <w:tr>
        <w:trPr>
          <w:trHeight w:val="165"/>
        </w:trPr>
        <w:tc>
          <w:tcPr>
            <w:tcW w:w="4120" w:type="dxa"/>
            <w:vAlign w:val="bottom"/>
          </w:tcPr>
          <w:p>
            <w:pPr>
              <w:ind w:left="140"/>
              <w:spacing w:after="0"/>
              <w:rPr>
                <w:sz w:val="20"/>
                <w:szCs w:val="20"/>
                <w:color w:val="auto"/>
              </w:rPr>
            </w:pPr>
            <w:r>
              <w:rPr>
                <w:rFonts w:ascii="Arial" w:cs="Arial" w:eastAsia="Arial" w:hAnsi="Arial"/>
                <w:sz w:val="13"/>
                <w:szCs w:val="13"/>
                <w:color w:val="auto"/>
              </w:rPr>
              <w:t>Gateway Landfill, LLC</w:t>
            </w: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Georgia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83-0337817</w:t>
            </w:r>
          </w:p>
        </w:tc>
        <w:tc>
          <w:tcPr>
            <w:tcW w:w="0" w:type="dxa"/>
            <w:vAlign w:val="bottom"/>
          </w:tcPr>
          <w:p>
            <w:pPr>
              <w:spacing w:after="0"/>
              <w:rPr>
                <w:sz w:val="1"/>
                <w:szCs w:val="1"/>
                <w:color w:val="auto"/>
              </w:rPr>
            </w:pPr>
          </w:p>
        </w:tc>
      </w:tr>
      <w:tr>
        <w:trPr>
          <w:trHeight w:val="286"/>
        </w:trPr>
        <w:tc>
          <w:tcPr>
            <w:tcW w:w="4120" w:type="dxa"/>
            <w:vAlign w:val="bottom"/>
          </w:tcPr>
          <w:p>
            <w:pPr>
              <w:spacing w:after="0"/>
              <w:rPr>
                <w:sz w:val="24"/>
                <w:szCs w:val="24"/>
                <w:color w:val="auto"/>
              </w:rPr>
            </w:pPr>
          </w:p>
        </w:tc>
        <w:tc>
          <w:tcPr>
            <w:tcW w:w="3220" w:type="dxa"/>
            <w:vAlign w:val="bottom"/>
          </w:tcPr>
          <w:p>
            <w:pPr>
              <w:jc w:val="right"/>
              <w:ind w:right="1394"/>
              <w:spacing w:after="0"/>
              <w:rPr>
                <w:sz w:val="20"/>
                <w:szCs w:val="20"/>
                <w:color w:val="auto"/>
              </w:rPr>
            </w:pPr>
            <w:r>
              <w:rPr>
                <w:rFonts w:ascii="Arial" w:cs="Arial" w:eastAsia="Arial" w:hAnsi="Arial"/>
                <w:sz w:val="13"/>
                <w:szCs w:val="13"/>
                <w:color w:val="auto"/>
              </w:rPr>
              <w:t>- 12 -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2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396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960" w:type="dxa"/>
            <w:vAlign w:val="bottom"/>
            <w:tcBorders>
              <w:bottom w:val="single" w:sz="8" w:color="auto"/>
            </w:tcBorders>
            <w:vMerge w:val="continue"/>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39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Golden Waste Disposal, Inc.</w:t>
            </w:r>
          </w:p>
        </w:tc>
        <w:tc>
          <w:tcPr>
            <w:tcW w:w="3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Georgia</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58-1849752</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Price &amp; Sons Recycling Company</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Georgia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65-0249986</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 &amp; S Recycling,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Georgia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58-2237428</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Wayne Developers, LLC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Georgia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26-0637318</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Ada County Development Company,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Idaho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20-0333823</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Allied Waste Services of Page,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2"/>
              </w:rPr>
              <w:t>Idaho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82-0336097</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American Sanitation,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Idaho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82-0469055</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ADS of Illinois,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36-4243045</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Industries of Illinois,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36-3915626</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Arc Disposal Company,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36-2386793</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Area Disposal,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36-3766465</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Borrow Pit Corp.</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Brickyard Disposal &amp; Recycling,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37-0948710</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CWI of Illinois,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38-3073435</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Environmental Reclamation Company</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37-1140323</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Fred Barbara Trucking Co.,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36-3030929</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Illinois Landfill,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35-1811975</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Illinois Recycling Services,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36-3587447</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Illinois Valley Recycling,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36-3754225</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Ingrum Waste Disposal,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36-4252595</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Kankakee Quarry,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71-0938626</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LandComp Corporation</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36-3813024</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Lee County Landfill,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37-1360924</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Liberty Waste Services of Illinois, L.L.C.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52-1960161</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Loop Recycling,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36-3107689</w:t>
            </w:r>
          </w:p>
        </w:tc>
        <w:tc>
          <w:tcPr>
            <w:tcW w:w="0" w:type="dxa"/>
            <w:vAlign w:val="bottom"/>
          </w:tcPr>
          <w:p>
            <w:pPr>
              <w:spacing w:after="0"/>
              <w:rPr>
                <w:sz w:val="1"/>
                <w:szCs w:val="1"/>
                <w:color w:val="auto"/>
              </w:rPr>
            </w:pPr>
          </w:p>
        </w:tc>
      </w:tr>
      <w:tr>
        <w:trPr>
          <w:trHeight w:val="165"/>
        </w:trPr>
        <w:tc>
          <w:tcPr>
            <w:tcW w:w="3960" w:type="dxa"/>
            <w:vAlign w:val="bottom"/>
          </w:tcPr>
          <w:p>
            <w:pPr>
              <w:ind w:left="140"/>
              <w:spacing w:after="0"/>
              <w:rPr>
                <w:sz w:val="20"/>
                <w:szCs w:val="20"/>
                <w:color w:val="auto"/>
              </w:rPr>
            </w:pPr>
            <w:r>
              <w:rPr>
                <w:rFonts w:ascii="Arial" w:cs="Arial" w:eastAsia="Arial" w:hAnsi="Arial"/>
                <w:sz w:val="13"/>
                <w:szCs w:val="13"/>
                <w:color w:val="auto"/>
              </w:rPr>
              <w:t>Loop Transfer, Incorporated</w:t>
            </w:r>
          </w:p>
        </w:tc>
        <w:tc>
          <w:tcPr>
            <w:tcW w:w="3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36-3376490</w:t>
            </w:r>
          </w:p>
        </w:tc>
        <w:tc>
          <w:tcPr>
            <w:tcW w:w="0" w:type="dxa"/>
            <w:vAlign w:val="bottom"/>
          </w:tcPr>
          <w:p>
            <w:pPr>
              <w:spacing w:after="0"/>
              <w:rPr>
                <w:sz w:val="1"/>
                <w:szCs w:val="1"/>
                <w:color w:val="auto"/>
              </w:rPr>
            </w:pPr>
          </w:p>
        </w:tc>
      </w:tr>
      <w:tr>
        <w:trPr>
          <w:trHeight w:val="286"/>
        </w:trPr>
        <w:tc>
          <w:tcPr>
            <w:tcW w:w="3960" w:type="dxa"/>
            <w:vAlign w:val="bottom"/>
          </w:tcPr>
          <w:p>
            <w:pPr>
              <w:spacing w:after="0"/>
              <w:rPr>
                <w:sz w:val="24"/>
                <w:szCs w:val="24"/>
                <w:color w:val="auto"/>
              </w:rPr>
            </w:pPr>
          </w:p>
        </w:tc>
        <w:tc>
          <w:tcPr>
            <w:tcW w:w="3380" w:type="dxa"/>
            <w:vAlign w:val="bottom"/>
          </w:tcPr>
          <w:p>
            <w:pPr>
              <w:jc w:val="right"/>
              <w:ind w:right="1394"/>
              <w:spacing w:after="0"/>
              <w:rPr>
                <w:sz w:val="20"/>
                <w:szCs w:val="20"/>
                <w:color w:val="auto"/>
              </w:rPr>
            </w:pPr>
            <w:r>
              <w:rPr>
                <w:rFonts w:ascii="Arial" w:cs="Arial" w:eastAsia="Arial" w:hAnsi="Arial"/>
                <w:sz w:val="13"/>
                <w:szCs w:val="13"/>
                <w:color w:val="auto"/>
              </w:rPr>
              <w:t>- 13 -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96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20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00" w:type="dxa"/>
            <w:vAlign w:val="bottom"/>
            <w:tcBorders>
              <w:bottom w:val="single" w:sz="8" w:color="auto"/>
            </w:tcBorders>
            <w:vMerge w:val="continue"/>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2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Northlake Transfer, Inc.</w:t>
            </w:r>
          </w:p>
        </w:tc>
        <w:tc>
          <w:tcPr>
            <w:tcW w:w="3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20-1513744</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RCS,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37-1270589</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Roxana Landfill,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43-1352176</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Saline County Landfill,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37-1208674</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Shred — All Recycling Systems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36-3583146</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Southern Illinois Regional Landfill,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22-3032671</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Streator Area Landfill,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36-3207276</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Suburban Transfer,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36-4048153</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Suburban Warehouse,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36-3714060</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Tri-State Recycling Services,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36-3768524</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Upper Rock Island County Landfill,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36-3159198</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Agricultural Acquisitions, LLC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20-5469750</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Industries of Northwest Indiana,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86-0807381</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Benton County Development Company</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45-0527882</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Clinton County Landfill Partnership</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20-0836700</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County Line Landfill Partnership</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86-0900027</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DTC Management,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35-2090758</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Illiana Disposal Partnership</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86-0900028</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Jasper County Development Company Partnership</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Indiana</w:t>
            </w: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Key Waste Indiana Partnership</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86-0900031</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Lake County C &amp; D Development Partnership</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86-1007828</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Newton County Landfill Partnership</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86-0899962</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Springfield Environmental General Partnership</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91-2078723</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Tippecanoe County Waste Services Partnership</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20-1305645</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Warrick County Development Company</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20-1429593</w:t>
            </w:r>
          </w:p>
        </w:tc>
        <w:tc>
          <w:tcPr>
            <w:tcW w:w="0" w:type="dxa"/>
            <w:vAlign w:val="bottom"/>
          </w:tcPr>
          <w:p>
            <w:pPr>
              <w:spacing w:after="0"/>
              <w:rPr>
                <w:sz w:val="1"/>
                <w:szCs w:val="1"/>
                <w:color w:val="auto"/>
              </w:rPr>
            </w:pPr>
          </w:p>
        </w:tc>
      </w:tr>
      <w:tr>
        <w:trPr>
          <w:trHeight w:val="165"/>
        </w:trPr>
        <w:tc>
          <w:tcPr>
            <w:tcW w:w="4200" w:type="dxa"/>
            <w:vAlign w:val="bottom"/>
          </w:tcPr>
          <w:p>
            <w:pPr>
              <w:ind w:left="140"/>
              <w:spacing w:after="0"/>
              <w:rPr>
                <w:sz w:val="20"/>
                <w:szCs w:val="20"/>
                <w:color w:val="auto"/>
              </w:rPr>
            </w:pPr>
            <w:r>
              <w:rPr>
                <w:rFonts w:ascii="Arial" w:cs="Arial" w:eastAsia="Arial" w:hAnsi="Arial"/>
                <w:sz w:val="13"/>
                <w:szCs w:val="13"/>
                <w:color w:val="auto"/>
              </w:rPr>
              <w:t>Wastehaul, Inc.</w:t>
            </w:r>
          </w:p>
        </w:tc>
        <w:tc>
          <w:tcPr>
            <w:tcW w:w="3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Indiana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35-1616387</w:t>
            </w:r>
          </w:p>
        </w:tc>
        <w:tc>
          <w:tcPr>
            <w:tcW w:w="0" w:type="dxa"/>
            <w:vAlign w:val="bottom"/>
          </w:tcPr>
          <w:p>
            <w:pPr>
              <w:spacing w:after="0"/>
              <w:rPr>
                <w:sz w:val="1"/>
                <w:szCs w:val="1"/>
                <w:color w:val="auto"/>
              </w:rPr>
            </w:pPr>
          </w:p>
        </w:tc>
      </w:tr>
      <w:tr>
        <w:trPr>
          <w:trHeight w:val="286"/>
        </w:trPr>
        <w:tc>
          <w:tcPr>
            <w:tcW w:w="4200" w:type="dxa"/>
            <w:vAlign w:val="bottom"/>
          </w:tcPr>
          <w:p>
            <w:pPr>
              <w:spacing w:after="0"/>
              <w:rPr>
                <w:sz w:val="24"/>
                <w:szCs w:val="24"/>
                <w:color w:val="auto"/>
              </w:rPr>
            </w:pPr>
          </w:p>
        </w:tc>
        <w:tc>
          <w:tcPr>
            <w:tcW w:w="3140" w:type="dxa"/>
            <w:vAlign w:val="bottom"/>
          </w:tcPr>
          <w:p>
            <w:pPr>
              <w:jc w:val="right"/>
              <w:ind w:right="1394"/>
              <w:spacing w:after="0"/>
              <w:rPr>
                <w:sz w:val="20"/>
                <w:szCs w:val="20"/>
                <w:color w:val="auto"/>
              </w:rPr>
            </w:pPr>
            <w:r>
              <w:rPr>
                <w:rFonts w:ascii="Arial" w:cs="Arial" w:eastAsia="Arial" w:hAnsi="Arial"/>
                <w:sz w:val="13"/>
                <w:szCs w:val="13"/>
                <w:color w:val="auto"/>
              </w:rPr>
              <w:t>- 14 -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0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14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140" w:type="dxa"/>
            <w:vAlign w:val="bottom"/>
            <w:tcBorders>
              <w:bottom w:val="single" w:sz="8" w:color="auto"/>
            </w:tcBorders>
            <w:vMerge w:val="continue"/>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1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Allied Waste Transfer Services of Iowa, LLC</w:t>
            </w:r>
          </w:p>
        </w:tc>
        <w:tc>
          <w:tcPr>
            <w:tcW w:w="3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4"/>
              </w:rPr>
              <w:t>Iowa</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20-2721565</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Jetter Disposal, Inc.</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Iowa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36-4221455</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American Disposal Services of Kansas, Inc.</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Kansas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48-0841017</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Resource Recovery, Inc.</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7"/>
              </w:rPr>
              <w:t>Kansas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48-1034034</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Sunset Disposal, Inc.</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Kansas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48-0915496</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Benson Valley Landfill General Partnership</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Kentucky</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20-3351757</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Blue Ridge Landfill General Partnership</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Kentucky</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91-2079015</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Green Valley Landfill General Partnership</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Kentucky</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91-2078719</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Morehead Landfill General Partnership</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Kentucky</w:t>
            </w: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Republic Services of Kentucky, LLC</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Kentucky</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65-0972931</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Crescent Acres Landfill, LLC</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Louisiana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20-3620449</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Frontier Waste Services of Louisiana L.L.C.</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Louisiana</w:t>
            </w: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Jefferson Parish Development Company, LLC</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Louisiana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20-3590498</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St. Bernard Parish Development Company, LLC</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Louisiana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20-3590527</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Browning-Ferris, Inc.</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Maryland</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74-1990096</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Calvert Trash Systems, Incorporated</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Maryland</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52-1701593</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Honeygo Run Reclamation Center, Inc.</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Maryland</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52-1781270</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Prince George’s County Landfill, LLC</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Maryland</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68-0564610</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Acquisition Two, Inc.</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Massachusetts</w:t>
            </w: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Allied Waste Services of Massachusetts, LLC</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7"/>
              </w:rPr>
              <w:t>Massachusetts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86-1024452</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Atlantic Waste Holding Company, Inc.</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Massachusetts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42-1548814</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BFI Transfer Systems of Massachusetts, LLC</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7"/>
              </w:rPr>
              <w:t>Massachusetts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86-1024454</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BFI Waste Systems of Massachusetts, LLC</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Massachusetts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86-1024544</w:t>
            </w:r>
          </w:p>
        </w:tc>
        <w:tc>
          <w:tcPr>
            <w:tcW w:w="0" w:type="dxa"/>
            <w:vAlign w:val="bottom"/>
          </w:tcPr>
          <w:p>
            <w:pPr>
              <w:spacing w:after="0"/>
              <w:rPr>
                <w:sz w:val="1"/>
                <w:szCs w:val="1"/>
                <w:color w:val="auto"/>
              </w:rPr>
            </w:pPr>
          </w:p>
        </w:tc>
      </w:tr>
      <w:tr>
        <w:trPr>
          <w:trHeight w:val="157"/>
        </w:trPr>
        <w:tc>
          <w:tcPr>
            <w:tcW w:w="4140" w:type="dxa"/>
            <w:vAlign w:val="bottom"/>
          </w:tcPr>
          <w:p>
            <w:pPr>
              <w:ind w:left="140"/>
              <w:spacing w:after="0"/>
              <w:rPr>
                <w:sz w:val="20"/>
                <w:szCs w:val="20"/>
                <w:color w:val="auto"/>
              </w:rPr>
            </w:pPr>
            <w:r>
              <w:rPr>
                <w:rFonts w:ascii="Arial" w:cs="Arial" w:eastAsia="Arial" w:hAnsi="Arial"/>
                <w:sz w:val="13"/>
                <w:szCs w:val="13"/>
                <w:color w:val="auto"/>
              </w:rPr>
              <w:t>Browning-Ferris Industries, Inc.</w:t>
            </w: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7"/>
              </w:rPr>
              <w:t>Massachusetts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04-1254350</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 P. McNamara Rubbish Removal, Inc.</w:t>
            </w:r>
          </w:p>
        </w:tc>
        <w:tc>
          <w:tcPr>
            <w:tcW w:w="3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Massachusetts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04-2400121</w:t>
            </w:r>
          </w:p>
        </w:tc>
        <w:tc>
          <w:tcPr>
            <w:tcW w:w="0" w:type="dxa"/>
            <w:vAlign w:val="bottom"/>
          </w:tcPr>
          <w:p>
            <w:pPr>
              <w:spacing w:after="0"/>
              <w:rPr>
                <w:sz w:val="1"/>
                <w:szCs w:val="1"/>
                <w:color w:val="auto"/>
              </w:rPr>
            </w:pPr>
          </w:p>
        </w:tc>
      </w:tr>
      <w:tr>
        <w:trPr>
          <w:trHeight w:val="165"/>
        </w:trPr>
        <w:tc>
          <w:tcPr>
            <w:tcW w:w="4140" w:type="dxa"/>
            <w:vAlign w:val="bottom"/>
          </w:tcPr>
          <w:p>
            <w:pPr>
              <w:ind w:left="140"/>
              <w:spacing w:after="0"/>
              <w:rPr>
                <w:sz w:val="20"/>
                <w:szCs w:val="20"/>
                <w:color w:val="auto"/>
              </w:rPr>
            </w:pPr>
            <w:r>
              <w:rPr>
                <w:rFonts w:ascii="Arial" w:cs="Arial" w:eastAsia="Arial" w:hAnsi="Arial"/>
                <w:sz w:val="13"/>
                <w:szCs w:val="13"/>
                <w:color w:val="auto"/>
              </w:rPr>
              <w:t>Vining Disposal Service, Inc.</w:t>
            </w:r>
          </w:p>
        </w:tc>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7"/>
              </w:rPr>
              <w:t>Massachusetts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04-2534061</w:t>
            </w:r>
          </w:p>
        </w:tc>
        <w:tc>
          <w:tcPr>
            <w:tcW w:w="0" w:type="dxa"/>
            <w:vAlign w:val="bottom"/>
          </w:tcPr>
          <w:p>
            <w:pPr>
              <w:spacing w:after="0"/>
              <w:rPr>
                <w:sz w:val="1"/>
                <w:szCs w:val="1"/>
                <w:color w:val="auto"/>
              </w:rPr>
            </w:pPr>
          </w:p>
        </w:tc>
      </w:tr>
      <w:tr>
        <w:trPr>
          <w:trHeight w:val="286"/>
        </w:trPr>
        <w:tc>
          <w:tcPr>
            <w:tcW w:w="4140" w:type="dxa"/>
            <w:vAlign w:val="bottom"/>
          </w:tcPr>
          <w:p>
            <w:pPr>
              <w:spacing w:after="0"/>
              <w:rPr>
                <w:sz w:val="24"/>
                <w:szCs w:val="24"/>
                <w:color w:val="auto"/>
              </w:rPr>
            </w:pPr>
          </w:p>
        </w:tc>
        <w:tc>
          <w:tcPr>
            <w:tcW w:w="3200" w:type="dxa"/>
            <w:vAlign w:val="bottom"/>
          </w:tcPr>
          <w:p>
            <w:pPr>
              <w:jc w:val="right"/>
              <w:ind w:right="1394"/>
              <w:spacing w:after="0"/>
              <w:rPr>
                <w:sz w:val="20"/>
                <w:szCs w:val="20"/>
                <w:color w:val="auto"/>
              </w:rPr>
            </w:pPr>
            <w:r>
              <w:rPr>
                <w:rFonts w:ascii="Arial" w:cs="Arial" w:eastAsia="Arial" w:hAnsi="Arial"/>
                <w:sz w:val="13"/>
                <w:szCs w:val="13"/>
                <w:color w:val="auto"/>
              </w:rPr>
              <w:t>- 15 -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4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06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60" w:type="dxa"/>
            <w:vAlign w:val="bottom"/>
            <w:tcBorders>
              <w:bottom w:val="single" w:sz="8" w:color="auto"/>
            </w:tcBorders>
            <w:vMerge w:val="continue"/>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0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Adrian Landfill, Inc.</w:t>
            </w:r>
          </w:p>
        </w:tc>
        <w:tc>
          <w:tcPr>
            <w:tcW w:w="3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38-1799679</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Allied Waste Systems of Michigan, LLC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20-3358409</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 &amp; C Expanded Sanitary Landfill, LLC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20-2540046</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Central Sanitary Landfill, Inc.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38-2917813</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Citizens Disposal, Inc.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38-2521526</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City-Star Services, Inc.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38-1841203</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Clarkston Disposal, Inc.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38-2872489</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Dinverno, Inc.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38-2318347</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Eagle Industries Leasing, Inc.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38-3188507</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FLL, Inc.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38-2679508</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 Van Dyken Disposal Inc.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38-2998205</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Harland’s Sanitary Landfill, Inc.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38-2016636</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Oakland Heights Development, Inc.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38-2388322</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Reliable Disposal, Inc.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38-2301483</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Michigan Hauling, LLC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65-0872289</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Republic Services of Michigan I, LLC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65-0872399</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Michigan II, LLC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65-0872398</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Republic Services of Michigan III, LLC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65-0872397</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Michigan IV, LLC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65-0872396</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Republic Services of Michigan V, LLC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65-0872395</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 Holdings, Inc.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38-3244832</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Sanitary Disposal Service, Inc.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38-2283539</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Sauk Trail Development, Inc.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38-2489474</w:t>
            </w:r>
          </w:p>
        </w:tc>
        <w:tc>
          <w:tcPr>
            <w:tcW w:w="0" w:type="dxa"/>
            <w:vAlign w:val="bottom"/>
          </w:tcPr>
          <w:p>
            <w:pPr>
              <w:spacing w:after="0"/>
              <w:rPr>
                <w:sz w:val="1"/>
                <w:szCs w:val="1"/>
                <w:color w:val="auto"/>
              </w:rPr>
            </w:pPr>
          </w:p>
        </w:tc>
      </w:tr>
      <w:tr>
        <w:trPr>
          <w:trHeight w:val="157"/>
        </w:trPr>
        <w:tc>
          <w:tcPr>
            <w:tcW w:w="4060" w:type="dxa"/>
            <w:vAlign w:val="bottom"/>
          </w:tcPr>
          <w:p>
            <w:pPr>
              <w:ind w:left="140"/>
              <w:spacing w:after="0"/>
              <w:rPr>
                <w:sz w:val="20"/>
                <w:szCs w:val="20"/>
                <w:color w:val="auto"/>
              </w:rPr>
            </w:pPr>
            <w:r>
              <w:rPr>
                <w:rFonts w:ascii="Arial" w:cs="Arial" w:eastAsia="Arial" w:hAnsi="Arial"/>
                <w:sz w:val="13"/>
                <w:szCs w:val="13"/>
                <w:color w:val="auto"/>
              </w:rPr>
              <w:t>Standard Disposal Services, Inc.</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38-2261256</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Standard Environmental Services, Inc.</w:t>
            </w:r>
          </w:p>
        </w:tc>
        <w:tc>
          <w:tcPr>
            <w:tcW w:w="3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38-3353218</w:t>
            </w:r>
          </w:p>
        </w:tc>
        <w:tc>
          <w:tcPr>
            <w:tcW w:w="0" w:type="dxa"/>
            <w:vAlign w:val="bottom"/>
          </w:tcPr>
          <w:p>
            <w:pPr>
              <w:spacing w:after="0"/>
              <w:rPr>
                <w:sz w:val="1"/>
                <w:szCs w:val="1"/>
                <w:color w:val="auto"/>
              </w:rPr>
            </w:pPr>
          </w:p>
        </w:tc>
      </w:tr>
      <w:tr>
        <w:trPr>
          <w:trHeight w:val="165"/>
        </w:trPr>
        <w:tc>
          <w:tcPr>
            <w:tcW w:w="4060" w:type="dxa"/>
            <w:vAlign w:val="bottom"/>
          </w:tcPr>
          <w:p>
            <w:pPr>
              <w:ind w:left="140"/>
              <w:spacing w:after="0"/>
              <w:rPr>
                <w:sz w:val="20"/>
                <w:szCs w:val="20"/>
                <w:color w:val="auto"/>
              </w:rPr>
            </w:pPr>
            <w:r>
              <w:rPr>
                <w:rFonts w:ascii="Arial" w:cs="Arial" w:eastAsia="Arial" w:hAnsi="Arial"/>
                <w:sz w:val="13"/>
                <w:szCs w:val="13"/>
                <w:color w:val="auto"/>
              </w:rPr>
              <w:t>Tay-Ban Corporation</w:t>
            </w:r>
          </w:p>
        </w:tc>
        <w:tc>
          <w:tcPr>
            <w:tcW w:w="3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Michigan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38-2605338</w:t>
            </w: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3280" w:type="dxa"/>
            <w:vAlign w:val="bottom"/>
          </w:tcPr>
          <w:p>
            <w:pPr>
              <w:jc w:val="right"/>
              <w:ind w:right="1394"/>
              <w:spacing w:after="0"/>
              <w:rPr>
                <w:sz w:val="20"/>
                <w:szCs w:val="20"/>
                <w:color w:val="auto"/>
              </w:rPr>
            </w:pPr>
            <w:r>
              <w:rPr>
                <w:rFonts w:ascii="Arial" w:cs="Arial" w:eastAsia="Arial" w:hAnsi="Arial"/>
                <w:sz w:val="13"/>
                <w:szCs w:val="13"/>
                <w:color w:val="auto"/>
              </w:rPr>
              <w:t>- 16 -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6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22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20" w:type="dxa"/>
            <w:vAlign w:val="bottom"/>
            <w:tcBorders>
              <w:bottom w:val="single" w:sz="8" w:color="auto"/>
            </w:tcBorders>
            <w:vMerge w:val="continue"/>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2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Tri-County Refuse Service, Inc.</w:t>
            </w:r>
          </w:p>
        </w:tc>
        <w:tc>
          <w:tcPr>
            <w:tcW w:w="3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6"/>
              </w:rPr>
              <w:t>Michigan</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38-3293469</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Woodlake Sanitary Service, Inc.</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Minnesota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41-0673360</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Hancock County Development Company, LLC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Mississippi</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20-3546528</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Harrison County Landfill, LLC</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Mississippi</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72-1569826</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Jackson County Landfill, LLC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Mississippi</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86-1055245</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Mississippi Waste Paper Company</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Mississippi</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64-0817153</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Autoshred, Inc.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Missouri</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43-1030222</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Belleville Landfill, Inc.</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Missouri</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37-1037997</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CWI of Missouri, Inc.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Missouri</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43-1527951</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Missouri City Landfill, LLC</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Missouri</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47-0921988</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Rock Road Industries, Inc.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Missouri</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43-1509575</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St. Joseph Landfill, LLC</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Missouri</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20-1475879</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Tate’s Transfer Systems, Inc.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Missouri</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43-1587860</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Thomas Disposal Service, Inc.</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Missouri</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43-1058393</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Systems of Montana, LLC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Montana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20-4777694</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Oscar’s Collection System of Fremont, Inc.</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9"/>
              </w:rPr>
              <w:t>Nebraska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47-0756617</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Browning-Ferris Industries Chemical Services, Inc.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Nevada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74-1362353</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Republic Dumpco, Inc.</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9"/>
              </w:rPr>
              <w:t>Nevada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65-0772299</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Environmental Technologies, Inc.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Nevada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65-0768398</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Republic Silver State Disposal, Inc.</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9"/>
              </w:rPr>
              <w:t>Nevada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65-0768402</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Transfer Systems of New Jersey, LLC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86-0982078</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Allied Waste of New Jersey, Inc.</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22-3525350</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Systems of New Jersey, LLC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86-0982077</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American Materials Recycling Corp.</w:t>
            </w: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22-3211753</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Automated Modular Systems, Inc.</w:t>
            </w:r>
          </w:p>
        </w:tc>
        <w:tc>
          <w:tcPr>
            <w:tcW w:w="3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22-2830098</w:t>
            </w:r>
          </w:p>
        </w:tc>
        <w:tc>
          <w:tcPr>
            <w:tcW w:w="0" w:type="dxa"/>
            <w:vAlign w:val="bottom"/>
          </w:tcPr>
          <w:p>
            <w:pPr>
              <w:spacing w:after="0"/>
              <w:rPr>
                <w:sz w:val="1"/>
                <w:szCs w:val="1"/>
                <w:color w:val="auto"/>
              </w:rPr>
            </w:pPr>
          </w:p>
        </w:tc>
      </w:tr>
      <w:tr>
        <w:trPr>
          <w:trHeight w:val="165"/>
        </w:trPr>
        <w:tc>
          <w:tcPr>
            <w:tcW w:w="4220" w:type="dxa"/>
            <w:vAlign w:val="bottom"/>
          </w:tcPr>
          <w:p>
            <w:pPr>
              <w:ind w:left="140"/>
              <w:spacing w:after="0"/>
              <w:rPr>
                <w:sz w:val="20"/>
                <w:szCs w:val="20"/>
                <w:color w:val="auto"/>
              </w:rPr>
            </w:pPr>
            <w:r>
              <w:rPr>
                <w:rFonts w:ascii="Arial" w:cs="Arial" w:eastAsia="Arial" w:hAnsi="Arial"/>
                <w:sz w:val="13"/>
                <w:szCs w:val="13"/>
                <w:color w:val="auto"/>
              </w:rPr>
              <w:t>BFI Energy Systems of Essex County, Inc.</w:t>
            </w:r>
          </w:p>
        </w:tc>
        <w:tc>
          <w:tcPr>
            <w:tcW w:w="3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76-0167158</w:t>
            </w:r>
          </w:p>
        </w:tc>
        <w:tc>
          <w:tcPr>
            <w:tcW w:w="0" w:type="dxa"/>
            <w:vAlign w:val="bottom"/>
          </w:tcPr>
          <w:p>
            <w:pPr>
              <w:spacing w:after="0"/>
              <w:rPr>
                <w:sz w:val="1"/>
                <w:szCs w:val="1"/>
                <w:color w:val="auto"/>
              </w:rPr>
            </w:pPr>
          </w:p>
        </w:tc>
      </w:tr>
      <w:tr>
        <w:trPr>
          <w:trHeight w:val="286"/>
        </w:trPr>
        <w:tc>
          <w:tcPr>
            <w:tcW w:w="4220" w:type="dxa"/>
            <w:vAlign w:val="bottom"/>
          </w:tcPr>
          <w:p>
            <w:pPr>
              <w:spacing w:after="0"/>
              <w:rPr>
                <w:sz w:val="24"/>
                <w:szCs w:val="24"/>
                <w:color w:val="auto"/>
              </w:rPr>
            </w:pPr>
          </w:p>
        </w:tc>
        <w:tc>
          <w:tcPr>
            <w:tcW w:w="3120" w:type="dxa"/>
            <w:vAlign w:val="bottom"/>
          </w:tcPr>
          <w:p>
            <w:pPr>
              <w:jc w:val="right"/>
              <w:ind w:right="1394"/>
              <w:spacing w:after="0"/>
              <w:rPr>
                <w:sz w:val="20"/>
                <w:szCs w:val="20"/>
                <w:color w:val="auto"/>
              </w:rPr>
            </w:pPr>
            <w:r>
              <w:rPr>
                <w:rFonts w:ascii="Arial" w:cs="Arial" w:eastAsia="Arial" w:hAnsi="Arial"/>
                <w:sz w:val="13"/>
                <w:szCs w:val="13"/>
                <w:color w:val="auto"/>
              </w:rPr>
              <w:t>- 17 -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2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32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320" w:type="dxa"/>
            <w:vAlign w:val="bottom"/>
            <w:tcBorders>
              <w:bottom w:val="single" w:sz="8" w:color="auto"/>
            </w:tcBorders>
            <w:vMerge w:val="continue"/>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BFI Transfer Systems of New Jersey, Inc.</w:t>
            </w:r>
          </w:p>
        </w:tc>
        <w:tc>
          <w:tcPr>
            <w:tcW w:w="3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8"/>
              </w:rPr>
              <w:t>New Jersey</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22-3308380</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BFI Waste Systems of New Jersey,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22-1755133</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Browning-Ferris Industries of New Jersey,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22-2095920</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Louis Pinto &amp; Son, Inc., Sanitation Contractors</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22-1947106</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Newco Waste Systems of New Jersey,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16-1188724</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Tom Luciano’s Disposal Service,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22-2035629</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Solid Waste Recyclers,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New Jersey</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22-2647500</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Allied Waste Industries (New Mexico),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New Mexico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85-0444394</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Niagara Falls Landfill,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20-4809296</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Allied Waste of Long Island,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New York</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86-0896185</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Transfer Services of New York,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20-3651091</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American Transfer Company,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New York</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11-3189094</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Browning-Ferris Industries of New York,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14-1496692</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CECOS International,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New York</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16-1069544</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Island Waste Services Ltd.</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11-2815030</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Menands Environmental Solutions,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New York</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20-1644884</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Tricil (N.Y.), Inc.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16-0875255</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Waste Services of New York,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New York</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22-3515302</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Wayne County Land Development,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20-1687434</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Allied Waste Systems of North Carolina, LLC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North Carolina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20-3626667</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Transfer Services of North Carolina,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North Carolina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20-3147983</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Lake Norman Landfill,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North Carolina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56-2076617</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North Carolina,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North Carolina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65-0972930</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Republic Services Real Estate Holding, Inc.</w:t>
            </w: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North Carolina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65-1024362</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Transfer Services of Lima, LLC</w:t>
            </w:r>
          </w:p>
        </w:tc>
        <w:tc>
          <w:tcPr>
            <w:tcW w:w="3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20-3880719</w:t>
            </w:r>
          </w:p>
        </w:tc>
        <w:tc>
          <w:tcPr>
            <w:tcW w:w="0" w:type="dxa"/>
            <w:vAlign w:val="bottom"/>
          </w:tcPr>
          <w:p>
            <w:pPr>
              <w:spacing w:after="0"/>
              <w:rPr>
                <w:sz w:val="1"/>
                <w:szCs w:val="1"/>
                <w:color w:val="auto"/>
              </w:rPr>
            </w:pPr>
          </w:p>
        </w:tc>
      </w:tr>
      <w:tr>
        <w:trPr>
          <w:trHeight w:val="165"/>
        </w:trPr>
        <w:tc>
          <w:tcPr>
            <w:tcW w:w="4320" w:type="dxa"/>
            <w:vAlign w:val="bottom"/>
          </w:tcPr>
          <w:p>
            <w:pPr>
              <w:ind w:left="140"/>
              <w:spacing w:after="0"/>
              <w:rPr>
                <w:sz w:val="20"/>
                <w:szCs w:val="20"/>
                <w:color w:val="auto"/>
              </w:rPr>
            </w:pPr>
            <w:r>
              <w:rPr>
                <w:rFonts w:ascii="Arial" w:cs="Arial" w:eastAsia="Arial" w:hAnsi="Arial"/>
                <w:sz w:val="13"/>
                <w:szCs w:val="13"/>
                <w:color w:val="auto"/>
              </w:rPr>
              <w:t>AWIN Leasing II, LLC</w:t>
            </w: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86-1015694</w:t>
            </w:r>
          </w:p>
        </w:tc>
        <w:tc>
          <w:tcPr>
            <w:tcW w:w="0" w:type="dxa"/>
            <w:vAlign w:val="bottom"/>
          </w:tcPr>
          <w:p>
            <w:pPr>
              <w:spacing w:after="0"/>
              <w:rPr>
                <w:sz w:val="1"/>
                <w:szCs w:val="1"/>
                <w:color w:val="auto"/>
              </w:rPr>
            </w:pPr>
          </w:p>
        </w:tc>
      </w:tr>
      <w:tr>
        <w:trPr>
          <w:trHeight w:val="286"/>
        </w:trPr>
        <w:tc>
          <w:tcPr>
            <w:tcW w:w="4320" w:type="dxa"/>
            <w:vAlign w:val="bottom"/>
          </w:tcPr>
          <w:p>
            <w:pPr>
              <w:spacing w:after="0"/>
              <w:rPr>
                <w:sz w:val="24"/>
                <w:szCs w:val="24"/>
                <w:color w:val="auto"/>
              </w:rPr>
            </w:pPr>
          </w:p>
        </w:tc>
        <w:tc>
          <w:tcPr>
            <w:tcW w:w="3020" w:type="dxa"/>
            <w:vAlign w:val="bottom"/>
          </w:tcPr>
          <w:p>
            <w:pPr>
              <w:jc w:val="right"/>
              <w:ind w:right="1394"/>
              <w:spacing w:after="0"/>
              <w:rPr>
                <w:sz w:val="20"/>
                <w:szCs w:val="20"/>
                <w:color w:val="auto"/>
              </w:rPr>
            </w:pPr>
            <w:r>
              <w:rPr>
                <w:rFonts w:ascii="Arial" w:cs="Arial" w:eastAsia="Arial" w:hAnsi="Arial"/>
                <w:sz w:val="13"/>
                <w:szCs w:val="13"/>
                <w:color w:val="auto"/>
              </w:rPr>
              <w:t>- 18 -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32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396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960" w:type="dxa"/>
            <w:vAlign w:val="bottom"/>
            <w:tcBorders>
              <w:bottom w:val="single" w:sz="8" w:color="auto"/>
            </w:tcBorders>
            <w:vMerge w:val="continue"/>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39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Carbon Limestone Landfill, LLC</w:t>
            </w:r>
          </w:p>
        </w:tc>
        <w:tc>
          <w:tcPr>
            <w:tcW w:w="3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20-2059890</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Celina Landfill,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31-0813291</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Cherokee Run Landfill,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31-1061009</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County Environmental Landfill, LLC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20-2060052</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County Land Development Landfill, LLC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20-2059973</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Dempsey Waste Systems II,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91-2094398</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Refuse Service of Ohio, L.L.C.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Lorain County Landfill, LLC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20-2059931</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Lucas County Landfill, LLC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20-2060013</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Noble Road Landfill,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34-1625432</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Ohio Republic Contracts,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65-1024359</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Port Clinton Landfill,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20-1095124</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Preble County Landfill,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81-0579596</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R.C. Miller Enterprises,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34-1727361</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R.C. Miller Refuse Service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34-1041193</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Republic Ohio Contracts, LLC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Ohio Hauling, LLC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65-0872369</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Republic Services of Ohio I, LLC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65-0872405</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Ohio II, LLC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65-0872404</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Republic Services of Ohio III, LLC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65-0872403</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Services of Ohio IV, LLC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65-0872402</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Ross Bros. Waste &amp; Recycling Co.</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31-1362843</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The Ecology Group,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31-1370194</w:t>
            </w:r>
          </w:p>
        </w:tc>
        <w:tc>
          <w:tcPr>
            <w:tcW w:w="0" w:type="dxa"/>
            <w:vAlign w:val="bottom"/>
          </w:tcPr>
          <w:p>
            <w:pPr>
              <w:spacing w:after="0"/>
              <w:rPr>
                <w:sz w:val="1"/>
                <w:szCs w:val="1"/>
                <w:color w:val="auto"/>
              </w:rPr>
            </w:pPr>
          </w:p>
        </w:tc>
      </w:tr>
      <w:tr>
        <w:trPr>
          <w:trHeight w:val="157"/>
        </w:trPr>
        <w:tc>
          <w:tcPr>
            <w:tcW w:w="3960" w:type="dxa"/>
            <w:vAlign w:val="bottom"/>
          </w:tcPr>
          <w:p>
            <w:pPr>
              <w:ind w:left="140"/>
              <w:spacing w:after="0"/>
              <w:rPr>
                <w:sz w:val="20"/>
                <w:szCs w:val="20"/>
                <w:color w:val="auto"/>
              </w:rPr>
            </w:pPr>
            <w:r>
              <w:rPr>
                <w:rFonts w:ascii="Arial" w:cs="Arial" w:eastAsia="Arial" w:hAnsi="Arial"/>
                <w:sz w:val="13"/>
                <w:szCs w:val="13"/>
                <w:color w:val="auto"/>
              </w:rPr>
              <w:t>Williams County Landfill Inc.</w:t>
            </w: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34-1167514</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ADS, Inc.</w:t>
            </w:r>
          </w:p>
        </w:tc>
        <w:tc>
          <w:tcPr>
            <w:tcW w:w="3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Oklahoma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73-1379293</w:t>
            </w:r>
          </w:p>
        </w:tc>
        <w:tc>
          <w:tcPr>
            <w:tcW w:w="0" w:type="dxa"/>
            <w:vAlign w:val="bottom"/>
          </w:tcPr>
          <w:p>
            <w:pPr>
              <w:spacing w:after="0"/>
              <w:rPr>
                <w:sz w:val="1"/>
                <w:szCs w:val="1"/>
                <w:color w:val="auto"/>
              </w:rPr>
            </w:pPr>
          </w:p>
        </w:tc>
      </w:tr>
      <w:tr>
        <w:trPr>
          <w:trHeight w:val="165"/>
        </w:trPr>
        <w:tc>
          <w:tcPr>
            <w:tcW w:w="3960" w:type="dxa"/>
            <w:vAlign w:val="bottom"/>
          </w:tcPr>
          <w:p>
            <w:pPr>
              <w:ind w:left="140"/>
              <w:spacing w:after="0"/>
              <w:rPr>
                <w:sz w:val="20"/>
                <w:szCs w:val="20"/>
                <w:color w:val="auto"/>
              </w:rPr>
            </w:pPr>
            <w:r>
              <w:rPr>
                <w:rFonts w:ascii="Arial" w:cs="Arial" w:eastAsia="Arial" w:hAnsi="Arial"/>
                <w:sz w:val="13"/>
                <w:szCs w:val="13"/>
                <w:color w:val="auto"/>
              </w:rPr>
              <w:t>Allied Waste Services of Stillwater, Inc.</w:t>
            </w:r>
          </w:p>
        </w:tc>
        <w:tc>
          <w:tcPr>
            <w:tcW w:w="3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1"/>
              </w:rPr>
              <w:t>Oklahoma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73-1286140</w:t>
            </w:r>
          </w:p>
        </w:tc>
        <w:tc>
          <w:tcPr>
            <w:tcW w:w="0" w:type="dxa"/>
            <w:vAlign w:val="bottom"/>
          </w:tcPr>
          <w:p>
            <w:pPr>
              <w:spacing w:after="0"/>
              <w:rPr>
                <w:sz w:val="1"/>
                <w:szCs w:val="1"/>
                <w:color w:val="auto"/>
              </w:rPr>
            </w:pPr>
          </w:p>
        </w:tc>
      </w:tr>
      <w:tr>
        <w:trPr>
          <w:trHeight w:val="286"/>
        </w:trPr>
        <w:tc>
          <w:tcPr>
            <w:tcW w:w="3960" w:type="dxa"/>
            <w:vAlign w:val="bottom"/>
          </w:tcPr>
          <w:p>
            <w:pPr>
              <w:spacing w:after="0"/>
              <w:rPr>
                <w:sz w:val="24"/>
                <w:szCs w:val="24"/>
                <w:color w:val="auto"/>
              </w:rPr>
            </w:pPr>
          </w:p>
        </w:tc>
        <w:tc>
          <w:tcPr>
            <w:tcW w:w="3380" w:type="dxa"/>
            <w:vAlign w:val="bottom"/>
          </w:tcPr>
          <w:p>
            <w:pPr>
              <w:jc w:val="right"/>
              <w:ind w:right="1394"/>
              <w:spacing w:after="0"/>
              <w:rPr>
                <w:sz w:val="20"/>
                <w:szCs w:val="20"/>
                <w:color w:val="auto"/>
              </w:rPr>
            </w:pPr>
            <w:r>
              <w:rPr>
                <w:rFonts w:ascii="Arial" w:cs="Arial" w:eastAsia="Arial" w:hAnsi="Arial"/>
                <w:sz w:val="13"/>
                <w:szCs w:val="13"/>
                <w:color w:val="auto"/>
              </w:rPr>
              <w:t>- 19 -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96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2" w:right="21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12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120" w:type="dxa"/>
            <w:vAlign w:val="bottom"/>
            <w:tcBorders>
              <w:bottom w:val="single" w:sz="8" w:color="auto"/>
            </w:tcBorders>
            <w:vMerge w:val="continue"/>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American Disposal Services of Missouri, Inc.</w:t>
            </w:r>
          </w:p>
        </w:tc>
        <w:tc>
          <w:tcPr>
            <w:tcW w:w="3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1"/>
              </w:rPr>
              <w:t>Oklahoma</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73-1417578</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BFI Waste Systems of Oklahoma, LLC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1"/>
              </w:rPr>
              <w:t>Oklahoma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86-1024464</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Oklahoma City Landfill, L.L.C.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Oklahoma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86-0901510</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Pittsburg County Landfill,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1"/>
              </w:rPr>
              <w:t>Oklahoma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73-1379294</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Agri-Tech, Inc. of Oregon</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93-0831569</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Albany — Lebanon Sanitation,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93-0593828</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Transfer Services of Oregon, LLC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20-4682479</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Bio-Med of Oregon,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93-0666288</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Capitol Recycling and Disposal,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93-1197641</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Corvallis Disposal Co.</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93-0422468</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Dallas Disposal Co.</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93-0686961</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Grants Pass Sanitation,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93-1149631</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Keller Drop Box,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93-0775047</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McInnis Waste Systems,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93-1100152</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Peltier Real Estate Company</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93-0622305</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Portable Storage Co.</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93-0677497</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Rossman Sanitary Service,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93-0524701</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Source Recycling,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93-0676813</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Disposal Service,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93-0625022</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Valley Landfills,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93-0623113</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Waste Control Systems,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93-0608475</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WDTR,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93-0970896</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Willamette Resources, Inc.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93-0636217</w:t>
            </w:r>
          </w:p>
        </w:tc>
        <w:tc>
          <w:tcPr>
            <w:tcW w:w="0" w:type="dxa"/>
            <w:vAlign w:val="bottom"/>
          </w:tcPr>
          <w:p>
            <w:pPr>
              <w:spacing w:after="0"/>
              <w:rPr>
                <w:sz w:val="1"/>
                <w:szCs w:val="1"/>
                <w:color w:val="auto"/>
              </w:rPr>
            </w:pPr>
          </w:p>
        </w:tc>
      </w:tr>
      <w:tr>
        <w:trPr>
          <w:trHeight w:val="157"/>
        </w:trPr>
        <w:tc>
          <w:tcPr>
            <w:tcW w:w="4120" w:type="dxa"/>
            <w:vAlign w:val="bottom"/>
          </w:tcPr>
          <w:p>
            <w:pPr>
              <w:ind w:left="140"/>
              <w:spacing w:after="0"/>
              <w:rPr>
                <w:sz w:val="20"/>
                <w:szCs w:val="20"/>
                <w:color w:val="auto"/>
              </w:rPr>
            </w:pPr>
            <w:r>
              <w:rPr>
                <w:rFonts w:ascii="Arial" w:cs="Arial" w:eastAsia="Arial" w:hAnsi="Arial"/>
                <w:sz w:val="13"/>
                <w:szCs w:val="13"/>
                <w:color w:val="auto"/>
              </w:rPr>
              <w:t>Allied Acquisition Pennsylvania, Inc.</w:t>
            </w:r>
          </w:p>
        </w:tc>
        <w:tc>
          <w:tcPr>
            <w:tcW w:w="3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Pennsylvania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52-2038566</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Allied Waste Systems of Pennsylvania, LLC</w:t>
            </w:r>
          </w:p>
        </w:tc>
        <w:tc>
          <w:tcPr>
            <w:tcW w:w="3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86-1020961</w:t>
            </w:r>
          </w:p>
        </w:tc>
        <w:tc>
          <w:tcPr>
            <w:tcW w:w="0" w:type="dxa"/>
            <w:vAlign w:val="bottom"/>
          </w:tcPr>
          <w:p>
            <w:pPr>
              <w:spacing w:after="0"/>
              <w:rPr>
                <w:sz w:val="1"/>
                <w:szCs w:val="1"/>
                <w:color w:val="auto"/>
              </w:rPr>
            </w:pPr>
          </w:p>
        </w:tc>
      </w:tr>
      <w:tr>
        <w:trPr>
          <w:trHeight w:val="165"/>
        </w:trPr>
        <w:tc>
          <w:tcPr>
            <w:tcW w:w="4120" w:type="dxa"/>
            <w:vAlign w:val="bottom"/>
          </w:tcPr>
          <w:p>
            <w:pPr>
              <w:ind w:left="140"/>
              <w:spacing w:after="0"/>
              <w:rPr>
                <w:sz w:val="20"/>
                <w:szCs w:val="20"/>
                <w:color w:val="auto"/>
              </w:rPr>
            </w:pPr>
            <w:r>
              <w:rPr>
                <w:rFonts w:ascii="Arial" w:cs="Arial" w:eastAsia="Arial" w:hAnsi="Arial"/>
                <w:sz w:val="13"/>
                <w:szCs w:val="13"/>
                <w:color w:val="auto"/>
              </w:rPr>
              <w:t>BFI Transfer Systems of Pennsylvania, LLC</w:t>
            </w: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Pennsylvania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86-1024460</w:t>
            </w:r>
          </w:p>
        </w:tc>
        <w:tc>
          <w:tcPr>
            <w:tcW w:w="0" w:type="dxa"/>
            <w:vAlign w:val="bottom"/>
          </w:tcPr>
          <w:p>
            <w:pPr>
              <w:spacing w:after="0"/>
              <w:rPr>
                <w:sz w:val="1"/>
                <w:szCs w:val="1"/>
                <w:color w:val="auto"/>
              </w:rPr>
            </w:pPr>
          </w:p>
        </w:tc>
      </w:tr>
      <w:tr>
        <w:trPr>
          <w:trHeight w:val="286"/>
        </w:trPr>
        <w:tc>
          <w:tcPr>
            <w:tcW w:w="4120" w:type="dxa"/>
            <w:vAlign w:val="bottom"/>
          </w:tcPr>
          <w:p>
            <w:pPr>
              <w:spacing w:after="0"/>
              <w:rPr>
                <w:sz w:val="24"/>
                <w:szCs w:val="24"/>
                <w:color w:val="auto"/>
              </w:rPr>
            </w:pPr>
          </w:p>
        </w:tc>
        <w:tc>
          <w:tcPr>
            <w:tcW w:w="3220" w:type="dxa"/>
            <w:vAlign w:val="bottom"/>
          </w:tcPr>
          <w:p>
            <w:pPr>
              <w:jc w:val="right"/>
              <w:ind w:right="1394"/>
              <w:spacing w:after="0"/>
              <w:rPr>
                <w:sz w:val="20"/>
                <w:szCs w:val="20"/>
                <w:color w:val="auto"/>
              </w:rPr>
            </w:pPr>
            <w:r>
              <w:rPr>
                <w:rFonts w:ascii="Arial" w:cs="Arial" w:eastAsia="Arial" w:hAnsi="Arial"/>
                <w:sz w:val="13"/>
                <w:szCs w:val="13"/>
                <w:color w:val="auto"/>
              </w:rPr>
              <w:t>- 20 -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2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5"/>
              </w:rPr>
              <w:t>State or Other Jurisdiction of</w:t>
            </w:r>
          </w:p>
        </w:tc>
        <w:tc>
          <w:tcPr>
            <w:tcW w:w="34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420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00" w:type="dxa"/>
            <w:vAlign w:val="bottom"/>
            <w:tcBorders>
              <w:bottom w:val="single" w:sz="8" w:color="auto"/>
            </w:tcBorders>
            <w:vMerge w:val="continue"/>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42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BFI Waste Services of Pennsylvania, LLC</w:t>
            </w:r>
          </w:p>
        </w:tc>
        <w:tc>
          <w:tcPr>
            <w:tcW w:w="3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Pennsylvania</w:t>
            </w:r>
          </w:p>
        </w:tc>
        <w:tc>
          <w:tcPr>
            <w:tcW w:w="2060" w:type="dxa"/>
            <w:vAlign w:val="bottom"/>
            <w:gridSpan w:val="2"/>
            <w:shd w:val="clear" w:color="auto" w:fill="CCEEFF"/>
          </w:tcPr>
          <w:p>
            <w:pPr>
              <w:jc w:val="center"/>
              <w:ind w:left="294"/>
              <w:spacing w:after="0" w:line="148" w:lineRule="exact"/>
              <w:rPr>
                <w:sz w:val="20"/>
                <w:szCs w:val="20"/>
                <w:color w:val="auto"/>
              </w:rPr>
            </w:pPr>
            <w:r>
              <w:rPr>
                <w:rFonts w:ascii="Arial" w:cs="Arial" w:eastAsia="Arial" w:hAnsi="Arial"/>
                <w:sz w:val="13"/>
                <w:szCs w:val="13"/>
                <w:color w:val="auto"/>
                <w:w w:val="89"/>
              </w:rPr>
              <w:t>86-1020962</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Greenridge Reclamation, LLC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Pennsylvania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86-1026336</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Greenridge Waste Services, LLC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86-1026337</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McCusker Recycling,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Pennsylvania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23-2558840</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Morgan Landfill Company,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23-2645522</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Flint Hill Road, LLC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South Carolina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86-1014460</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NationsWaste Catawba Regional Landfill,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South Carolina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58-2376936</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Allied Waste Industries of Tennessee,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3"/>
              </w:rPr>
              <w:t>Tennessee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62-1589834</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Barker Brothers Waste, Incorporated</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Tennessee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62-1119788</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Browning-Ferris Industries of Tennessee,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3"/>
              </w:rPr>
              <w:t>Tennessee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62-0566788</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Madison County Development, LLC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Tennessee</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20-1187869</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Northwest Tennessee Disposal Corporation</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3"/>
              </w:rPr>
              <w:t>Tennessee</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22-3091901</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Action Disposal,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Texas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74-2679234</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Desarrollo del Rancho La Gloria TX, LP</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4"/>
              </w:rPr>
              <w:t>Texas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81-0636822</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El Centro Landfill, L.P.</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Texas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75-3088544</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Frontier Waste Services, L.P.</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4"/>
              </w:rPr>
              <w:t>Texas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76-0604271</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Republic Waste Services of Texas, Ltd.</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Texas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65-0963067</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South Central Texas Land Co. TX, LP</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84"/>
              </w:rPr>
              <w:t>Texas</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81-0363867</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Roll-Offs, L.L.C.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Texas</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74-2895613</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Allied Waste Transfer Services of Utah,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Utah</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20-2298486</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ECDC Environmental, L.C.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Utah</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87-0507247</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Frontier Waste Services (Utah), LLC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Utah</w:t>
            </w: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Wasatch Regional Landfill, Inc.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Utah</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20-0960443</w:t>
            </w:r>
          </w:p>
        </w:tc>
        <w:tc>
          <w:tcPr>
            <w:tcW w:w="0" w:type="dxa"/>
            <w:vAlign w:val="bottom"/>
          </w:tcPr>
          <w:p>
            <w:pPr>
              <w:spacing w:after="0"/>
              <w:rPr>
                <w:sz w:val="1"/>
                <w:szCs w:val="1"/>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3"/>
                <w:szCs w:val="13"/>
                <w:color w:val="auto"/>
              </w:rPr>
              <w:t>623 Landfill, Inc.</w:t>
            </w: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Virginia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59-3800507</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Cumberland County Development Company, LLC</w:t>
            </w:r>
          </w:p>
        </w:tc>
        <w:tc>
          <w:tcPr>
            <w:tcW w:w="3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Virginia</w:t>
            </w:r>
          </w:p>
        </w:tc>
        <w:tc>
          <w:tcPr>
            <w:tcW w:w="2060" w:type="dxa"/>
            <w:vAlign w:val="bottom"/>
            <w:gridSpan w:val="2"/>
            <w:shd w:val="clear" w:color="auto" w:fill="CCEEFF"/>
          </w:tcPr>
          <w:p>
            <w:pPr>
              <w:jc w:val="center"/>
              <w:ind w:left="294"/>
              <w:spacing w:after="0"/>
              <w:rPr>
                <w:sz w:val="20"/>
                <w:szCs w:val="20"/>
                <w:color w:val="auto"/>
              </w:rPr>
            </w:pPr>
            <w:r>
              <w:rPr>
                <w:rFonts w:ascii="Arial" w:cs="Arial" w:eastAsia="Arial" w:hAnsi="Arial"/>
                <w:sz w:val="13"/>
                <w:szCs w:val="13"/>
                <w:color w:val="auto"/>
                <w:w w:val="89"/>
              </w:rPr>
              <w:t>20-1645866</w:t>
            </w:r>
          </w:p>
        </w:tc>
        <w:tc>
          <w:tcPr>
            <w:tcW w:w="0" w:type="dxa"/>
            <w:vAlign w:val="bottom"/>
          </w:tcPr>
          <w:p>
            <w:pPr>
              <w:spacing w:after="0"/>
              <w:rPr>
                <w:sz w:val="1"/>
                <w:szCs w:val="1"/>
                <w:color w:val="auto"/>
              </w:rPr>
            </w:pPr>
          </w:p>
        </w:tc>
      </w:tr>
      <w:tr>
        <w:trPr>
          <w:trHeight w:val="165"/>
        </w:trPr>
        <w:tc>
          <w:tcPr>
            <w:tcW w:w="4200" w:type="dxa"/>
            <w:vAlign w:val="bottom"/>
          </w:tcPr>
          <w:p>
            <w:pPr>
              <w:ind w:left="140"/>
              <w:spacing w:after="0"/>
              <w:rPr>
                <w:sz w:val="20"/>
                <w:szCs w:val="20"/>
                <w:color w:val="auto"/>
              </w:rPr>
            </w:pPr>
            <w:r>
              <w:rPr>
                <w:rFonts w:ascii="Arial" w:cs="Arial" w:eastAsia="Arial" w:hAnsi="Arial"/>
                <w:sz w:val="13"/>
                <w:szCs w:val="13"/>
                <w:color w:val="auto"/>
              </w:rPr>
              <w:t>Obscurity Land Development, LLC</w:t>
            </w:r>
          </w:p>
        </w:tc>
        <w:tc>
          <w:tcPr>
            <w:tcW w:w="3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Virginia</w:t>
            </w:r>
          </w:p>
        </w:tc>
        <w:tc>
          <w:tcPr>
            <w:tcW w:w="2060" w:type="dxa"/>
            <w:vAlign w:val="bottom"/>
            <w:gridSpan w:val="2"/>
          </w:tcPr>
          <w:p>
            <w:pPr>
              <w:jc w:val="center"/>
              <w:ind w:left="294"/>
              <w:spacing w:after="0"/>
              <w:rPr>
                <w:sz w:val="20"/>
                <w:szCs w:val="20"/>
                <w:color w:val="auto"/>
              </w:rPr>
            </w:pPr>
            <w:r>
              <w:rPr>
                <w:rFonts w:ascii="Arial" w:cs="Arial" w:eastAsia="Arial" w:hAnsi="Arial"/>
                <w:sz w:val="13"/>
                <w:szCs w:val="13"/>
                <w:color w:val="auto"/>
                <w:w w:val="89"/>
              </w:rPr>
              <w:t>20-5046288</w:t>
            </w:r>
          </w:p>
        </w:tc>
        <w:tc>
          <w:tcPr>
            <w:tcW w:w="0" w:type="dxa"/>
            <w:vAlign w:val="bottom"/>
          </w:tcPr>
          <w:p>
            <w:pPr>
              <w:spacing w:after="0"/>
              <w:rPr>
                <w:sz w:val="1"/>
                <w:szCs w:val="1"/>
                <w:color w:val="auto"/>
              </w:rPr>
            </w:pPr>
          </w:p>
        </w:tc>
      </w:tr>
      <w:tr>
        <w:trPr>
          <w:trHeight w:val="286"/>
        </w:trPr>
        <w:tc>
          <w:tcPr>
            <w:tcW w:w="4200" w:type="dxa"/>
            <w:vAlign w:val="bottom"/>
          </w:tcPr>
          <w:p>
            <w:pPr>
              <w:spacing w:after="0"/>
              <w:rPr>
                <w:sz w:val="24"/>
                <w:szCs w:val="24"/>
                <w:color w:val="auto"/>
              </w:rPr>
            </w:pPr>
          </w:p>
        </w:tc>
        <w:tc>
          <w:tcPr>
            <w:tcW w:w="3140" w:type="dxa"/>
            <w:vAlign w:val="bottom"/>
          </w:tcPr>
          <w:p>
            <w:pPr>
              <w:jc w:val="right"/>
              <w:ind w:right="1394"/>
              <w:spacing w:after="0"/>
              <w:rPr>
                <w:sz w:val="20"/>
                <w:szCs w:val="20"/>
                <w:color w:val="auto"/>
              </w:rPr>
            </w:pPr>
            <w:r>
              <w:rPr>
                <w:rFonts w:ascii="Arial" w:cs="Arial" w:eastAsia="Arial" w:hAnsi="Arial"/>
                <w:sz w:val="13"/>
                <w:szCs w:val="13"/>
                <w:color w:val="auto"/>
              </w:rPr>
              <w:t>- 21 -</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0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115"/>
        </w:trPr>
        <w:tc>
          <w:tcPr>
            <w:tcW w:w="7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5"/>
              </w:rPr>
              <w:t>State or Other Jurisdiction of</w:t>
            </w: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08"/>
        </w:trPr>
        <w:tc>
          <w:tcPr>
            <w:tcW w:w="7340" w:type="dxa"/>
            <w:vAlign w:val="bottom"/>
            <w:vMerge w:val="restart"/>
          </w:tcPr>
          <w:p>
            <w:pPr>
              <w:spacing w:after="0"/>
              <w:rPr>
                <w:sz w:val="20"/>
                <w:szCs w:val="20"/>
                <w:color w:val="auto"/>
              </w:rPr>
            </w:pPr>
            <w:r>
              <w:rPr>
                <w:rFonts w:ascii="Arial" w:cs="Arial" w:eastAsia="Arial" w:hAnsi="Arial"/>
                <w:sz w:val="10"/>
                <w:szCs w:val="10"/>
                <w:b w:val="1"/>
                <w:bCs w:val="1"/>
                <w:color w:val="auto"/>
              </w:rPr>
              <w:t>Guarantor/ Registrant Name</w:t>
            </w:r>
          </w:p>
        </w:tc>
        <w:tc>
          <w:tcPr>
            <w:tcW w:w="340" w:type="dxa"/>
            <w:vAlign w:val="bottom"/>
          </w:tcPr>
          <w:p>
            <w:pPr>
              <w:spacing w:after="0"/>
              <w:rPr>
                <w:sz w:val="9"/>
                <w:szCs w:val="9"/>
                <w:color w:val="auto"/>
              </w:rPr>
            </w:pPr>
          </w:p>
        </w:tc>
        <w:tc>
          <w:tcPr>
            <w:tcW w:w="206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8"/>
              </w:rPr>
              <w:t>Incorporation or</w:t>
            </w: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340" w:type="dxa"/>
            <w:vAlign w:val="bottom"/>
            <w:tcBorders>
              <w:bottom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Organization</w:t>
            </w:r>
          </w:p>
        </w:tc>
        <w:tc>
          <w:tcPr>
            <w:tcW w:w="3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Identification Number</w:t>
            </w:r>
          </w:p>
        </w:tc>
        <w:tc>
          <w:tcPr>
            <w:tcW w:w="0" w:type="dxa"/>
            <w:vAlign w:val="bottom"/>
          </w:tcPr>
          <w:p>
            <w:pPr>
              <w:spacing w:after="0"/>
              <w:rPr>
                <w:sz w:val="1"/>
                <w:szCs w:val="1"/>
                <w:color w:val="auto"/>
              </w:rPr>
            </w:pPr>
          </w:p>
        </w:tc>
      </w:tr>
      <w:tr>
        <w:trPr>
          <w:trHeight w:val="147"/>
        </w:trPr>
        <w:tc>
          <w:tcPr>
            <w:tcW w:w="73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Republic Services of Virginia, LLC</w:t>
            </w:r>
          </w:p>
        </w:tc>
        <w:tc>
          <w:tcPr>
            <w:tcW w:w="34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320"/>
              <w:spacing w:after="0" w:line="148" w:lineRule="exact"/>
              <w:rPr>
                <w:sz w:val="20"/>
                <w:szCs w:val="20"/>
                <w:color w:val="auto"/>
              </w:rPr>
            </w:pPr>
            <w:r>
              <w:rPr>
                <w:rFonts w:ascii="Arial" w:cs="Arial" w:eastAsia="Arial" w:hAnsi="Arial"/>
                <w:sz w:val="13"/>
                <w:szCs w:val="13"/>
                <w:color w:val="auto"/>
                <w:w w:val="96"/>
              </w:rPr>
              <w:t>Virginia</w:t>
            </w: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9"/>
              </w:rPr>
              <w:t>65-0976277</w:t>
            </w:r>
          </w:p>
        </w:tc>
        <w:tc>
          <w:tcPr>
            <w:tcW w:w="0" w:type="dxa"/>
            <w:vAlign w:val="bottom"/>
          </w:tcPr>
          <w:p>
            <w:pPr>
              <w:spacing w:after="0"/>
              <w:rPr>
                <w:sz w:val="1"/>
                <w:szCs w:val="1"/>
                <w:color w:val="auto"/>
              </w:rPr>
            </w:pP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Rabanco Companies</w:t>
            </w:r>
          </w:p>
        </w:tc>
        <w:tc>
          <w:tcPr>
            <w:tcW w:w="340" w:type="dxa"/>
            <w:vAlign w:val="bottom"/>
          </w:tcPr>
          <w:p>
            <w:pPr>
              <w:spacing w:after="0"/>
              <w:rPr>
                <w:sz w:val="13"/>
                <w:szCs w:val="13"/>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Washington</w:t>
            </w:r>
          </w:p>
        </w:tc>
        <w:tc>
          <w:tcPr>
            <w:tcW w:w="1720" w:type="dxa"/>
            <w:vAlign w:val="bottom"/>
          </w:tcPr>
          <w:p>
            <w:pPr>
              <w:jc w:val="center"/>
              <w:spacing w:after="0"/>
              <w:rPr>
                <w:sz w:val="20"/>
                <w:szCs w:val="20"/>
                <w:color w:val="auto"/>
              </w:rPr>
            </w:pPr>
            <w:r>
              <w:rPr>
                <w:rFonts w:ascii="Arial" w:cs="Arial" w:eastAsia="Arial" w:hAnsi="Arial"/>
                <w:sz w:val="13"/>
                <w:szCs w:val="13"/>
                <w:color w:val="auto"/>
                <w:w w:val="89"/>
              </w:rPr>
              <w:t>91-1312267</w:t>
            </w: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Rabanco Recycling, Inc.</w:t>
            </w: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90"/>
              </w:rPr>
              <w:t>Washington</w:t>
            </w: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91-1406993</w:t>
            </w:r>
          </w:p>
        </w:tc>
        <w:tc>
          <w:tcPr>
            <w:tcW w:w="0" w:type="dxa"/>
            <w:vAlign w:val="bottom"/>
          </w:tcPr>
          <w:p>
            <w:pPr>
              <w:spacing w:after="0"/>
              <w:rPr>
                <w:sz w:val="1"/>
                <w:szCs w:val="1"/>
                <w:color w:val="auto"/>
              </w:rPr>
            </w:pP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Rabanco, Ltd.</w:t>
            </w:r>
          </w:p>
        </w:tc>
        <w:tc>
          <w:tcPr>
            <w:tcW w:w="340" w:type="dxa"/>
            <w:vAlign w:val="bottom"/>
          </w:tcPr>
          <w:p>
            <w:pPr>
              <w:spacing w:after="0"/>
              <w:rPr>
                <w:sz w:val="13"/>
                <w:szCs w:val="13"/>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Washington</w:t>
            </w:r>
          </w:p>
        </w:tc>
        <w:tc>
          <w:tcPr>
            <w:tcW w:w="1720" w:type="dxa"/>
            <w:vAlign w:val="bottom"/>
          </w:tcPr>
          <w:p>
            <w:pPr>
              <w:jc w:val="center"/>
              <w:spacing w:after="0"/>
              <w:rPr>
                <w:sz w:val="20"/>
                <w:szCs w:val="20"/>
                <w:color w:val="auto"/>
              </w:rPr>
            </w:pPr>
            <w:r>
              <w:rPr>
                <w:rFonts w:ascii="Arial" w:cs="Arial" w:eastAsia="Arial" w:hAnsi="Arial"/>
                <w:sz w:val="13"/>
                <w:szCs w:val="13"/>
                <w:color w:val="auto"/>
                <w:w w:val="89"/>
              </w:rPr>
              <w:t>91-0714701</w:t>
            </w: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WJR Environmental, Inc.</w:t>
            </w: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90"/>
              </w:rPr>
              <w:t>Washington</w:t>
            </w: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91-1525369</w:t>
            </w:r>
          </w:p>
        </w:tc>
        <w:tc>
          <w:tcPr>
            <w:tcW w:w="0" w:type="dxa"/>
            <w:vAlign w:val="bottom"/>
          </w:tcPr>
          <w:p>
            <w:pPr>
              <w:spacing w:after="0"/>
              <w:rPr>
                <w:sz w:val="1"/>
                <w:szCs w:val="1"/>
                <w:color w:val="auto"/>
              </w:rPr>
            </w:pPr>
          </w:p>
        </w:tc>
      </w:tr>
      <w:tr>
        <w:trPr>
          <w:trHeight w:val="165"/>
        </w:trPr>
        <w:tc>
          <w:tcPr>
            <w:tcW w:w="7340" w:type="dxa"/>
            <w:vAlign w:val="bottom"/>
          </w:tcPr>
          <w:p>
            <w:pPr>
              <w:ind w:left="140"/>
              <w:spacing w:after="0"/>
              <w:rPr>
                <w:sz w:val="20"/>
                <w:szCs w:val="20"/>
                <w:color w:val="auto"/>
              </w:rPr>
            </w:pPr>
            <w:r>
              <w:rPr>
                <w:rFonts w:ascii="Arial" w:cs="Arial" w:eastAsia="Arial" w:hAnsi="Arial"/>
                <w:sz w:val="13"/>
                <w:szCs w:val="13"/>
                <w:color w:val="auto"/>
              </w:rPr>
              <w:t>Sandy Hollow Landfill Corp.</w:t>
            </w:r>
          </w:p>
        </w:tc>
        <w:tc>
          <w:tcPr>
            <w:tcW w:w="340" w:type="dxa"/>
            <w:vAlign w:val="bottom"/>
          </w:tcPr>
          <w:p>
            <w:pPr>
              <w:spacing w:after="0"/>
              <w:rPr>
                <w:sz w:val="14"/>
                <w:szCs w:val="14"/>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3"/>
                <w:szCs w:val="13"/>
                <w:color w:val="auto"/>
                <w:w w:val="93"/>
              </w:rPr>
              <w:t>West Virginia</w:t>
            </w:r>
          </w:p>
        </w:tc>
        <w:tc>
          <w:tcPr>
            <w:tcW w:w="1720" w:type="dxa"/>
            <w:vAlign w:val="bottom"/>
          </w:tcPr>
          <w:p>
            <w:pPr>
              <w:jc w:val="center"/>
              <w:spacing w:after="0"/>
              <w:rPr>
                <w:sz w:val="20"/>
                <w:szCs w:val="20"/>
                <w:color w:val="auto"/>
              </w:rPr>
            </w:pPr>
            <w:r>
              <w:rPr>
                <w:rFonts w:ascii="Arial" w:cs="Arial" w:eastAsia="Arial" w:hAnsi="Arial"/>
                <w:sz w:val="13"/>
                <w:szCs w:val="13"/>
                <w:color w:val="auto"/>
                <w:w w:val="89"/>
              </w:rPr>
              <w:t>22-3017041</w:t>
            </w:r>
          </w:p>
        </w:tc>
        <w:tc>
          <w:tcPr>
            <w:tcW w:w="0" w:type="dxa"/>
            <w:vAlign w:val="bottom"/>
          </w:tcPr>
          <w:p>
            <w:pPr>
              <w:spacing w:after="0"/>
              <w:rPr>
                <w:sz w:val="1"/>
                <w:szCs w:val="1"/>
                <w:color w:val="auto"/>
              </w:rPr>
            </w:pPr>
          </w:p>
        </w:tc>
      </w:tr>
      <w:tr>
        <w:trPr>
          <w:trHeight w:val="298"/>
        </w:trPr>
        <w:tc>
          <w:tcPr>
            <w:tcW w:w="7340" w:type="dxa"/>
            <w:vAlign w:val="bottom"/>
          </w:tcPr>
          <w:p>
            <w:pPr>
              <w:jc w:val="center"/>
              <w:ind w:right="3816"/>
              <w:spacing w:after="0"/>
              <w:rPr>
                <w:sz w:val="20"/>
                <w:szCs w:val="20"/>
                <w:color w:val="auto"/>
              </w:rPr>
            </w:pPr>
            <w:r>
              <w:rPr>
                <w:rFonts w:ascii="Arial" w:cs="Arial" w:eastAsia="Arial" w:hAnsi="Arial"/>
                <w:sz w:val="13"/>
                <w:szCs w:val="13"/>
                <w:color w:val="auto"/>
                <w:w w:val="95"/>
              </w:rPr>
              <w:t>18500 North Allied Way</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340" w:type="dxa"/>
            <w:vAlign w:val="bottom"/>
          </w:tcPr>
          <w:p>
            <w:pPr>
              <w:jc w:val="center"/>
              <w:ind w:right="3836"/>
              <w:spacing w:after="0"/>
              <w:rPr>
                <w:sz w:val="20"/>
                <w:szCs w:val="20"/>
                <w:color w:val="auto"/>
              </w:rPr>
            </w:pPr>
            <w:r>
              <w:rPr>
                <w:rFonts w:ascii="Arial" w:cs="Arial" w:eastAsia="Arial" w:hAnsi="Arial"/>
                <w:sz w:val="13"/>
                <w:szCs w:val="13"/>
                <w:color w:val="auto"/>
                <w:w w:val="93"/>
              </w:rPr>
              <w:t>Phoenix, Arizona</w:t>
            </w:r>
          </w:p>
        </w:tc>
        <w:tc>
          <w:tcPr>
            <w:tcW w:w="2060" w:type="dxa"/>
            <w:vAlign w:val="bottom"/>
            <w:gridSpan w:val="2"/>
          </w:tcPr>
          <w:p>
            <w:pPr>
              <w:jc w:val="right"/>
              <w:ind w:right="18"/>
              <w:spacing w:after="0"/>
              <w:rPr>
                <w:sz w:val="20"/>
                <w:szCs w:val="20"/>
                <w:color w:val="auto"/>
              </w:rPr>
            </w:pPr>
            <w:r>
              <w:rPr>
                <w:rFonts w:ascii="Arial" w:cs="Arial" w:eastAsia="Arial" w:hAnsi="Arial"/>
                <w:sz w:val="13"/>
                <w:szCs w:val="13"/>
                <w:color w:val="auto"/>
              </w:rPr>
              <w:t>85054</w:t>
            </w: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40" w:type="dxa"/>
            <w:vAlign w:val="bottom"/>
          </w:tcPr>
          <w:p>
            <w:pPr>
              <w:jc w:val="center"/>
              <w:ind w:right="3836"/>
              <w:spacing w:after="0"/>
              <w:rPr>
                <w:sz w:val="20"/>
                <w:szCs w:val="20"/>
                <w:color w:val="auto"/>
              </w:rPr>
            </w:pPr>
            <w:r>
              <w:rPr>
                <w:rFonts w:ascii="Arial" w:cs="Arial" w:eastAsia="Arial" w:hAnsi="Arial"/>
                <w:sz w:val="13"/>
                <w:szCs w:val="13"/>
                <w:color w:val="auto"/>
                <w:w w:val="93"/>
              </w:rPr>
              <w:t>(Address of principal executive offices)</w:t>
            </w:r>
          </w:p>
        </w:tc>
        <w:tc>
          <w:tcPr>
            <w:tcW w:w="340" w:type="dxa"/>
            <w:vAlign w:val="bottom"/>
          </w:tcPr>
          <w:p>
            <w:pPr>
              <w:spacing w:after="0"/>
              <w:rPr>
                <w:sz w:val="14"/>
                <w:szCs w:val="14"/>
                <w:color w:val="auto"/>
              </w:rPr>
            </w:pPr>
          </w:p>
        </w:tc>
        <w:tc>
          <w:tcPr>
            <w:tcW w:w="2060" w:type="dxa"/>
            <w:vAlign w:val="bottom"/>
            <w:gridSpan w:val="2"/>
          </w:tcPr>
          <w:p>
            <w:pPr>
              <w:ind w:left="1220"/>
              <w:spacing w:after="0"/>
              <w:rPr>
                <w:sz w:val="20"/>
                <w:szCs w:val="20"/>
                <w:color w:val="auto"/>
              </w:rPr>
            </w:pPr>
            <w:r>
              <w:rPr>
                <w:rFonts w:ascii="Arial" w:cs="Arial" w:eastAsia="Arial" w:hAnsi="Arial"/>
                <w:sz w:val="13"/>
                <w:szCs w:val="13"/>
                <w:color w:val="auto"/>
              </w:rPr>
              <w:t>(Zip code)</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138430</wp:posOffset>
            </wp:positionV>
            <wp:extent cx="1891030"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Debt Securities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 Guarantees of Debt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7284085"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7284085"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302" w:name="page303"/>
    <w:bookmarkEnd w:id="302"/>
    <w:p>
      <w:pPr>
        <w:ind w:left="461" w:hanging="461"/>
        <w:spacing w:after="0"/>
        <w:tabs>
          <w:tab w:leader="none" w:pos="461"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General information. Furnish the following information as to the trustee:</w:t>
      </w:r>
    </w:p>
    <w:p>
      <w:pPr>
        <w:spacing w:after="0" w:line="86" w:lineRule="exact"/>
        <w:rPr>
          <w:rFonts w:ascii="Arial" w:cs="Arial" w:eastAsia="Arial" w:hAnsi="Arial"/>
          <w:sz w:val="13"/>
          <w:szCs w:val="13"/>
          <w:b w:val="1"/>
          <w:bCs w:val="1"/>
          <w:color w:val="auto"/>
        </w:rPr>
      </w:pPr>
    </w:p>
    <w:p>
      <w:pPr>
        <w:ind w:left="901" w:hanging="449"/>
        <w:spacing w:after="0"/>
        <w:tabs>
          <w:tab w:leader="none" w:pos="901" w:val="left"/>
        </w:tabs>
        <w:numPr>
          <w:ilvl w:val="1"/>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Name and address of each examining or supervising authority to which it is subject.</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21"/>
        </w:trPr>
        <w:tc>
          <w:tcPr>
            <w:tcW w:w="5360" w:type="dxa"/>
            <w:vAlign w:val="bottom"/>
            <w:tcBorders>
              <w:bottom w:val="single" w:sz="8" w:color="auto"/>
            </w:tcBorders>
          </w:tcPr>
          <w:p>
            <w:pPr>
              <w:ind w:left="3080"/>
              <w:spacing w:after="0"/>
              <w:rPr>
                <w:sz w:val="20"/>
                <w:szCs w:val="20"/>
                <w:color w:val="auto"/>
              </w:rPr>
            </w:pPr>
            <w:r>
              <w:rPr>
                <w:rFonts w:ascii="Arial" w:cs="Arial" w:eastAsia="Arial" w:hAnsi="Arial"/>
                <w:sz w:val="10"/>
                <w:szCs w:val="10"/>
                <w:color w:val="auto"/>
              </w:rPr>
              <w:t>Name</w:t>
            </w:r>
          </w:p>
        </w:tc>
        <w:tc>
          <w:tcPr>
            <w:tcW w:w="6100" w:type="dxa"/>
            <w:vAlign w:val="bottom"/>
            <w:tcBorders>
              <w:bottom w:val="single" w:sz="8" w:color="auto"/>
            </w:tcBorders>
          </w:tcPr>
          <w:p>
            <w:pPr>
              <w:ind w:left="3700"/>
              <w:spacing w:after="0"/>
              <w:rPr>
                <w:sz w:val="20"/>
                <w:szCs w:val="20"/>
                <w:color w:val="auto"/>
              </w:rPr>
            </w:pPr>
            <w:r>
              <w:rPr>
                <w:rFonts w:ascii="Arial" w:cs="Arial" w:eastAsia="Arial" w:hAnsi="Arial"/>
                <w:sz w:val="10"/>
                <w:szCs w:val="10"/>
                <w:color w:val="auto"/>
              </w:rPr>
              <w:t>Address</w:t>
            </w:r>
          </w:p>
        </w:tc>
      </w:tr>
      <w:tr>
        <w:trPr>
          <w:trHeight w:val="156"/>
        </w:trPr>
        <w:tc>
          <w:tcPr>
            <w:tcW w:w="5360" w:type="dxa"/>
            <w:vAlign w:val="bottom"/>
          </w:tcPr>
          <w:p>
            <w:pPr>
              <w:spacing w:after="0"/>
              <w:rPr>
                <w:sz w:val="20"/>
                <w:szCs w:val="20"/>
                <w:color w:val="auto"/>
              </w:rPr>
            </w:pPr>
            <w:r>
              <w:rPr>
                <w:rFonts w:ascii="Arial" w:cs="Arial" w:eastAsia="Arial" w:hAnsi="Arial"/>
                <w:sz w:val="13"/>
                <w:szCs w:val="13"/>
                <w:color w:val="auto"/>
              </w:rPr>
              <w:t>Comptroller of the Currency United States Department of the Treasury</w:t>
            </w:r>
          </w:p>
        </w:tc>
        <w:tc>
          <w:tcPr>
            <w:tcW w:w="6100" w:type="dxa"/>
            <w:vAlign w:val="bottom"/>
          </w:tcPr>
          <w:p>
            <w:pPr>
              <w:ind w:left="1640"/>
              <w:spacing w:after="0"/>
              <w:rPr>
                <w:sz w:val="20"/>
                <w:szCs w:val="20"/>
                <w:color w:val="auto"/>
              </w:rPr>
            </w:pPr>
            <w:r>
              <w:rPr>
                <w:rFonts w:ascii="Arial" w:cs="Arial" w:eastAsia="Arial" w:hAnsi="Arial"/>
                <w:sz w:val="13"/>
                <w:szCs w:val="13"/>
                <w:color w:val="auto"/>
              </w:rPr>
              <w:t>Washington, D.C. 20219</w:t>
            </w:r>
          </w:p>
        </w:tc>
      </w:tr>
      <w:tr>
        <w:trPr>
          <w:trHeight w:val="315"/>
        </w:trPr>
        <w:tc>
          <w:tcPr>
            <w:tcW w:w="5360" w:type="dxa"/>
            <w:vAlign w:val="bottom"/>
          </w:tcPr>
          <w:p>
            <w:pPr>
              <w:spacing w:after="0"/>
              <w:rPr>
                <w:sz w:val="20"/>
                <w:szCs w:val="20"/>
                <w:color w:val="auto"/>
              </w:rPr>
            </w:pPr>
            <w:r>
              <w:rPr>
                <w:rFonts w:ascii="Arial" w:cs="Arial" w:eastAsia="Arial" w:hAnsi="Arial"/>
                <w:sz w:val="13"/>
                <w:szCs w:val="13"/>
                <w:color w:val="auto"/>
              </w:rPr>
              <w:t>Federal Reserve Bank</w:t>
            </w:r>
          </w:p>
        </w:tc>
        <w:tc>
          <w:tcPr>
            <w:tcW w:w="6100" w:type="dxa"/>
            <w:vAlign w:val="bottom"/>
          </w:tcPr>
          <w:p>
            <w:pPr>
              <w:ind w:left="1640"/>
              <w:spacing w:after="0"/>
              <w:rPr>
                <w:sz w:val="20"/>
                <w:szCs w:val="20"/>
                <w:color w:val="auto"/>
              </w:rPr>
            </w:pPr>
            <w:r>
              <w:rPr>
                <w:rFonts w:ascii="Arial" w:cs="Arial" w:eastAsia="Arial" w:hAnsi="Arial"/>
                <w:sz w:val="13"/>
                <w:szCs w:val="13"/>
                <w:color w:val="auto"/>
              </w:rPr>
              <w:t>San Francisco, California 94105</w:t>
            </w:r>
          </w:p>
        </w:tc>
      </w:tr>
      <w:tr>
        <w:trPr>
          <w:trHeight w:val="315"/>
        </w:trPr>
        <w:tc>
          <w:tcPr>
            <w:tcW w:w="5360" w:type="dxa"/>
            <w:vAlign w:val="bottom"/>
          </w:tcPr>
          <w:p>
            <w:pPr>
              <w:spacing w:after="0"/>
              <w:rPr>
                <w:sz w:val="20"/>
                <w:szCs w:val="20"/>
                <w:color w:val="auto"/>
              </w:rPr>
            </w:pPr>
            <w:r>
              <w:rPr>
                <w:rFonts w:ascii="Arial" w:cs="Arial" w:eastAsia="Arial" w:hAnsi="Arial"/>
                <w:sz w:val="13"/>
                <w:szCs w:val="13"/>
                <w:color w:val="auto"/>
              </w:rPr>
              <w:t>Federal Deposit Insurance Corporation</w:t>
            </w:r>
          </w:p>
        </w:tc>
        <w:tc>
          <w:tcPr>
            <w:tcW w:w="6100" w:type="dxa"/>
            <w:vAlign w:val="bottom"/>
          </w:tcPr>
          <w:p>
            <w:pPr>
              <w:ind w:left="1640"/>
              <w:spacing w:after="0"/>
              <w:rPr>
                <w:sz w:val="20"/>
                <w:szCs w:val="20"/>
                <w:color w:val="auto"/>
              </w:rPr>
            </w:pPr>
            <w:r>
              <w:rPr>
                <w:rFonts w:ascii="Arial" w:cs="Arial" w:eastAsia="Arial" w:hAnsi="Arial"/>
                <w:sz w:val="13"/>
                <w:szCs w:val="13"/>
                <w:color w:val="auto"/>
              </w:rPr>
              <w:t>Washington, D.C. 20429</w:t>
            </w:r>
          </w:p>
        </w:tc>
      </w:tr>
    </w:tbl>
    <w:p>
      <w:pPr>
        <w:spacing w:after="0" w:line="67" w:lineRule="exact"/>
        <w:rPr>
          <w:sz w:val="20"/>
          <w:szCs w:val="20"/>
          <w:color w:val="auto"/>
        </w:rPr>
      </w:pPr>
    </w:p>
    <w:p>
      <w:pPr>
        <w:ind w:left="901" w:hanging="449"/>
        <w:spacing w:after="0"/>
        <w:tabs>
          <w:tab w:leader="none" w:pos="901" w:val="left"/>
        </w:tabs>
        <w:numPr>
          <w:ilvl w:val="0"/>
          <w:numId w:val="124"/>
        </w:numPr>
        <w:rPr>
          <w:rFonts w:ascii="Arial" w:cs="Arial" w:eastAsia="Arial" w:hAnsi="Arial"/>
          <w:sz w:val="13"/>
          <w:szCs w:val="13"/>
          <w:b w:val="1"/>
          <w:bCs w:val="1"/>
          <w:color w:val="auto"/>
        </w:rPr>
      </w:pPr>
      <w:r>
        <w:rPr>
          <w:rFonts w:ascii="Arial" w:cs="Arial" w:eastAsia="Arial" w:hAnsi="Arial"/>
          <w:sz w:val="13"/>
          <w:szCs w:val="13"/>
          <w:b w:val="1"/>
          <w:bCs w:val="1"/>
          <w:color w:val="auto"/>
        </w:rPr>
        <w:t>Whether it is authorized to exercise corporate trust powers.</w:t>
      </w:r>
    </w:p>
    <w:p>
      <w:pPr>
        <w:spacing w:after="0" w:line="90" w:lineRule="exact"/>
        <w:rPr>
          <w:sz w:val="20"/>
          <w:szCs w:val="20"/>
          <w:color w:val="auto"/>
        </w:rPr>
      </w:pPr>
    </w:p>
    <w:p>
      <w:pPr>
        <w:ind w:left="461"/>
        <w:spacing w:after="0"/>
        <w:rPr>
          <w:sz w:val="20"/>
          <w:szCs w:val="20"/>
          <w:color w:val="auto"/>
        </w:rPr>
      </w:pPr>
      <w:r>
        <w:rPr>
          <w:rFonts w:ascii="Arial" w:cs="Arial" w:eastAsia="Arial" w:hAnsi="Arial"/>
          <w:sz w:val="13"/>
          <w:szCs w:val="13"/>
          <w:color w:val="auto"/>
        </w:rPr>
        <w:t>Yes.</w:t>
      </w:r>
    </w:p>
    <w:p>
      <w:pPr>
        <w:spacing w:after="0" w:line="92" w:lineRule="exact"/>
        <w:rPr>
          <w:sz w:val="20"/>
          <w:szCs w:val="20"/>
          <w:color w:val="auto"/>
        </w:rPr>
      </w:pPr>
    </w:p>
    <w:p>
      <w:pPr>
        <w:ind w:left="461" w:hanging="461"/>
        <w:spacing w:after="0"/>
        <w:tabs>
          <w:tab w:leader="none" w:pos="461" w:val="left"/>
        </w:tabs>
        <w:numPr>
          <w:ilvl w:val="0"/>
          <w:numId w:val="125"/>
        </w:numPr>
        <w:rPr>
          <w:rFonts w:ascii="Arial" w:cs="Arial" w:eastAsia="Arial" w:hAnsi="Arial"/>
          <w:sz w:val="13"/>
          <w:szCs w:val="13"/>
          <w:b w:val="1"/>
          <w:bCs w:val="1"/>
          <w:color w:val="auto"/>
        </w:rPr>
      </w:pPr>
      <w:r>
        <w:rPr>
          <w:rFonts w:ascii="Arial" w:cs="Arial" w:eastAsia="Arial" w:hAnsi="Arial"/>
          <w:sz w:val="13"/>
          <w:szCs w:val="13"/>
          <w:b w:val="1"/>
          <w:bCs w:val="1"/>
          <w:color w:val="auto"/>
        </w:rPr>
        <w:t>Affiliations with Obligor.</w:t>
      </w:r>
    </w:p>
    <w:p>
      <w:pPr>
        <w:spacing w:after="0" w:line="96"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If the obligor is an affiliate of the trustee, describe each such affiliation.</w:t>
      </w:r>
    </w:p>
    <w:p>
      <w:pPr>
        <w:spacing w:after="0" w:line="100" w:lineRule="exact"/>
        <w:rPr>
          <w:sz w:val="20"/>
          <w:szCs w:val="20"/>
          <w:color w:val="auto"/>
        </w:rPr>
      </w:pPr>
    </w:p>
    <w:p>
      <w:pPr>
        <w:ind w:left="461"/>
        <w:spacing w:after="0"/>
        <w:rPr>
          <w:sz w:val="20"/>
          <w:szCs w:val="20"/>
          <w:color w:val="auto"/>
        </w:rPr>
      </w:pPr>
      <w:r>
        <w:rPr>
          <w:rFonts w:ascii="Arial" w:cs="Arial" w:eastAsia="Arial" w:hAnsi="Arial"/>
          <w:sz w:val="13"/>
          <w:szCs w:val="13"/>
          <w:color w:val="auto"/>
        </w:rPr>
        <w:t>None.</w:t>
      </w:r>
    </w:p>
    <w:p>
      <w:pPr>
        <w:spacing w:after="0" w:line="92" w:lineRule="exact"/>
        <w:rPr>
          <w:sz w:val="20"/>
          <w:szCs w:val="20"/>
          <w:color w:val="auto"/>
        </w:rPr>
      </w:pPr>
    </w:p>
    <w:p>
      <w:pPr>
        <w:ind w:left="461" w:hanging="461"/>
        <w:spacing w:after="0"/>
        <w:tabs>
          <w:tab w:leader="none" w:pos="461"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List of Exhibits.</w:t>
      </w:r>
    </w:p>
    <w:p>
      <w:pPr>
        <w:spacing w:after="0" w:line="96" w:lineRule="exact"/>
        <w:rPr>
          <w:rFonts w:ascii="Arial" w:cs="Arial" w:eastAsia="Arial" w:hAnsi="Arial"/>
          <w:sz w:val="13"/>
          <w:szCs w:val="13"/>
          <w:b w:val="1"/>
          <w:bCs w:val="1"/>
          <w:color w:val="auto"/>
        </w:rPr>
      </w:pPr>
    </w:p>
    <w:p>
      <w:pPr>
        <w:ind w:left="461" w:right="160"/>
        <w:spacing w:after="0" w:line="283" w:lineRule="auto"/>
        <w:rPr>
          <w:rFonts w:ascii="Arial" w:cs="Arial" w:eastAsia="Arial" w:hAnsi="Arial"/>
          <w:sz w:val="13"/>
          <w:szCs w:val="13"/>
          <w:b w:val="1"/>
          <w:bCs w:val="1"/>
          <w:color w:val="auto"/>
        </w:rPr>
      </w:pPr>
      <w:r>
        <w:rPr>
          <w:rFonts w:ascii="Arial" w:cs="Arial" w:eastAsia="Arial" w:hAnsi="Arial"/>
          <w:sz w:val="13"/>
          <w:szCs w:val="13"/>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44" w:lineRule="exact"/>
        <w:rPr>
          <w:rFonts w:ascii="Arial" w:cs="Arial" w:eastAsia="Arial" w:hAnsi="Arial"/>
          <w:sz w:val="13"/>
          <w:szCs w:val="13"/>
          <w:b w:val="1"/>
          <w:bCs w:val="1"/>
          <w:color w:val="auto"/>
        </w:rPr>
      </w:pPr>
    </w:p>
    <w:p>
      <w:pPr>
        <w:ind w:left="901" w:right="480" w:hanging="449"/>
        <w:spacing w:after="0" w:line="276" w:lineRule="auto"/>
        <w:tabs>
          <w:tab w:leader="none" w:pos="901" w:val="left"/>
        </w:tabs>
        <w:numPr>
          <w:ilvl w:val="1"/>
          <w:numId w:val="126"/>
        </w:numPr>
        <w:rPr>
          <w:rFonts w:ascii="Arial" w:cs="Arial" w:eastAsia="Arial" w:hAnsi="Arial"/>
          <w:sz w:val="13"/>
          <w:szCs w:val="13"/>
          <w:color w:val="auto"/>
        </w:rPr>
      </w:pPr>
      <w:r>
        <w:rPr>
          <w:rFonts w:ascii="Arial" w:cs="Arial" w:eastAsia="Arial" w:hAnsi="Arial"/>
          <w:sz w:val="13"/>
          <w:szCs w:val="13"/>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126"/>
        </w:numPr>
        <w:rPr>
          <w:rFonts w:ascii="Arial" w:cs="Arial" w:eastAsia="Arial" w:hAnsi="Arial"/>
          <w:sz w:val="13"/>
          <w:szCs w:val="13"/>
          <w:color w:val="auto"/>
        </w:rPr>
      </w:pPr>
      <w:r>
        <w:rPr>
          <w:rFonts w:ascii="Arial" w:cs="Arial" w:eastAsia="Arial" w:hAnsi="Arial"/>
          <w:sz w:val="13"/>
          <w:szCs w:val="13"/>
          <w:color w:val="auto"/>
        </w:rPr>
        <w:t>A copy of certificate of authority of the trustee to commence business. (Exhibit 2 to Form T-1 filed with Registration Statement No.</w:t>
      </w:r>
    </w:p>
    <w:p>
      <w:pPr>
        <w:spacing w:after="0" w:line="96" w:lineRule="exact"/>
        <w:rPr>
          <w:rFonts w:ascii="Arial" w:cs="Arial" w:eastAsia="Arial" w:hAnsi="Arial"/>
          <w:sz w:val="13"/>
          <w:szCs w:val="13"/>
          <w:color w:val="auto"/>
        </w:rPr>
      </w:pPr>
    </w:p>
    <w:p>
      <w:pPr>
        <w:ind w:left="901"/>
        <w:spacing w:after="0"/>
        <w:rPr>
          <w:rFonts w:ascii="Arial" w:cs="Arial" w:eastAsia="Arial" w:hAnsi="Arial"/>
          <w:sz w:val="13"/>
          <w:szCs w:val="13"/>
          <w:color w:val="auto"/>
        </w:rPr>
      </w:pPr>
      <w:r>
        <w:rPr>
          <w:rFonts w:ascii="Arial" w:cs="Arial" w:eastAsia="Arial" w:hAnsi="Arial"/>
          <w:sz w:val="13"/>
          <w:szCs w:val="13"/>
          <w:color w:val="auto"/>
        </w:rPr>
        <w:t>333-121948).</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126"/>
        </w:numPr>
        <w:rPr>
          <w:rFonts w:ascii="Arial" w:cs="Arial" w:eastAsia="Arial" w:hAnsi="Arial"/>
          <w:sz w:val="13"/>
          <w:szCs w:val="13"/>
          <w:color w:val="auto"/>
        </w:rPr>
      </w:pPr>
      <w:r>
        <w:rPr>
          <w:rFonts w:ascii="Arial" w:cs="Arial" w:eastAsia="Arial" w:hAnsi="Arial"/>
          <w:sz w:val="13"/>
          <w:szCs w:val="13"/>
          <w:color w:val="auto"/>
        </w:rPr>
        <w:t>A copy of the authorization of the trustee to exercise corporate trust powers (Exhibit 3 to Form T-1 filed with Registration Statement No. 333-152875).</w:t>
      </w:r>
    </w:p>
    <w:p>
      <w:pPr>
        <w:spacing w:after="0" w:line="145" w:lineRule="exact"/>
        <w:rPr>
          <w:rFonts w:ascii="Arial" w:cs="Arial" w:eastAsia="Arial" w:hAnsi="Arial"/>
          <w:sz w:val="13"/>
          <w:szCs w:val="13"/>
          <w:color w:val="auto"/>
        </w:rPr>
      </w:pPr>
    </w:p>
    <w:p>
      <w:pPr>
        <w:ind w:left="5661" w:hanging="68"/>
        <w:spacing w:after="0"/>
        <w:tabs>
          <w:tab w:leader="none" w:pos="5661" w:val="left"/>
        </w:tabs>
        <w:numPr>
          <w:ilvl w:val="2"/>
          <w:numId w:val="126"/>
        </w:numPr>
        <w:rPr>
          <w:rFonts w:ascii="Arial" w:cs="Arial" w:eastAsia="Arial" w:hAnsi="Arial"/>
          <w:sz w:val="13"/>
          <w:szCs w:val="13"/>
          <w:color w:val="auto"/>
        </w:rPr>
      </w:pPr>
      <w:r>
        <w:rPr>
          <w:rFonts w:ascii="Arial" w:cs="Arial" w:eastAsia="Arial" w:hAnsi="Arial"/>
          <w:sz w:val="13"/>
          <w:szCs w:val="13"/>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303" w:name="page304"/>
    <w:bookmarkEnd w:id="303"/>
    <w:p>
      <w:pPr>
        <w:ind w:left="449" w:hanging="449"/>
        <w:spacing w:after="0"/>
        <w:tabs>
          <w:tab w:leader="none" w:pos="449" w:val="left"/>
        </w:tabs>
        <w:numPr>
          <w:ilvl w:val="0"/>
          <w:numId w:val="127"/>
        </w:numPr>
        <w:rPr>
          <w:rFonts w:ascii="Arial" w:cs="Arial" w:eastAsia="Arial" w:hAnsi="Arial"/>
          <w:sz w:val="13"/>
          <w:szCs w:val="13"/>
          <w:color w:val="auto"/>
        </w:rPr>
      </w:pPr>
      <w:r>
        <w:rPr>
          <w:rFonts w:ascii="Arial" w:cs="Arial" w:eastAsia="Arial" w:hAnsi="Arial"/>
          <w:sz w:val="13"/>
          <w:szCs w:val="13"/>
          <w:color w:val="auto"/>
        </w:rPr>
        <w:t>A copy of the existing by-laws of the trustee (Exhibit 4 to Form T-1 filed with Registration Statement No. 333-162713).</w:t>
      </w:r>
    </w:p>
    <w:p>
      <w:pPr>
        <w:spacing w:after="0" w:line="96" w:lineRule="exact"/>
        <w:rPr>
          <w:sz w:val="20"/>
          <w:szCs w:val="20"/>
          <w:color w:val="auto"/>
        </w:rPr>
      </w:pPr>
    </w:p>
    <w:p>
      <w:pPr>
        <w:ind w:left="449" w:hanging="449"/>
        <w:spacing w:after="0"/>
        <w:tabs>
          <w:tab w:leader="none" w:pos="449"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consent of the trustee required by Section 321(b) of the Act (Exhibit 6 to Form T-1 filed with Registration Statement No. 333-152875).</w:t>
      </w:r>
    </w:p>
    <w:p>
      <w:pPr>
        <w:spacing w:after="0" w:line="107" w:lineRule="exact"/>
        <w:rPr>
          <w:rFonts w:ascii="Arial" w:cs="Arial" w:eastAsia="Arial" w:hAnsi="Arial"/>
          <w:sz w:val="12"/>
          <w:szCs w:val="12"/>
          <w:color w:val="auto"/>
        </w:rPr>
      </w:pPr>
    </w:p>
    <w:p>
      <w:pPr>
        <w:ind w:left="449" w:hanging="449"/>
        <w:spacing w:after="0"/>
        <w:tabs>
          <w:tab w:leader="none" w:pos="449" w:val="left"/>
        </w:tabs>
        <w:numPr>
          <w:ilvl w:val="0"/>
          <w:numId w:val="128"/>
        </w:numPr>
        <w:rPr>
          <w:rFonts w:ascii="Arial" w:cs="Arial" w:eastAsia="Arial" w:hAnsi="Arial"/>
          <w:sz w:val="11"/>
          <w:szCs w:val="11"/>
          <w:color w:val="auto"/>
        </w:rPr>
      </w:pPr>
      <w:r>
        <w:rPr>
          <w:rFonts w:ascii="Arial" w:cs="Arial" w:eastAsia="Arial" w:hAnsi="Arial"/>
          <w:sz w:val="11"/>
          <w:szCs w:val="11"/>
          <w:color w:val="auto"/>
        </w:rPr>
        <w:t>A copy of the latest report of condition of the Trustee published pursuant to law or to the requirements of its supervising or examining authority.</w:t>
      </w:r>
    </w:p>
    <w:p>
      <w:pPr>
        <w:spacing w:after="0" w:line="247" w:lineRule="exact"/>
        <w:rPr>
          <w:rFonts w:ascii="Arial" w:cs="Arial" w:eastAsia="Arial" w:hAnsi="Arial"/>
          <w:sz w:val="11"/>
          <w:szCs w:val="11"/>
          <w:color w:val="auto"/>
        </w:rPr>
      </w:pPr>
    </w:p>
    <w:p>
      <w:pPr>
        <w:ind w:left="5209" w:hanging="68"/>
        <w:spacing w:after="0"/>
        <w:tabs>
          <w:tab w:leader="none" w:pos="5209" w:val="left"/>
        </w:tabs>
        <w:numPr>
          <w:ilvl w:val="1"/>
          <w:numId w:val="128"/>
        </w:numPr>
        <w:rPr>
          <w:rFonts w:ascii="Arial" w:cs="Arial" w:eastAsia="Arial" w:hAnsi="Arial"/>
          <w:sz w:val="13"/>
          <w:szCs w:val="13"/>
          <w:color w:val="auto"/>
        </w:rPr>
      </w:pPr>
      <w:r>
        <w:rPr>
          <w:rFonts w:ascii="Arial" w:cs="Arial" w:eastAsia="Arial" w:hAnsi="Arial"/>
          <w:sz w:val="13"/>
          <w:szCs w:val="13"/>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107315</wp:posOffset>
            </wp:positionV>
            <wp:extent cx="7290435" cy="190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88"/>
          </w:cols>
          <w:pgMar w:left="671" w:top="721" w:right="1440" w:bottom="1440" w:gutter="0" w:footer="0" w:header="0"/>
        </w:sectPr>
      </w:pPr>
    </w:p>
    <w:bookmarkStart w:id="304" w:name="page305"/>
    <w:bookmarkEnd w:id="304"/>
    <w:p>
      <w:pPr>
        <w:jc w:val="center"/>
        <w:ind w:right="-379"/>
        <w:spacing w:after="0"/>
        <w:rPr>
          <w:sz w:val="20"/>
          <w:szCs w:val="20"/>
          <w:color w:val="auto"/>
        </w:rPr>
      </w:pPr>
      <w:r>
        <w:rPr>
          <w:rFonts w:ascii="Arial" w:cs="Arial" w:eastAsia="Arial" w:hAnsi="Arial"/>
          <w:sz w:val="13"/>
          <w:szCs w:val="13"/>
          <w:color w:val="auto"/>
        </w:rPr>
        <w:t>SIGNATURE</w:t>
      </w:r>
    </w:p>
    <w:p>
      <w:pPr>
        <w:spacing w:after="0" w:line="86" w:lineRule="exact"/>
        <w:rPr>
          <w:sz w:val="20"/>
          <w:szCs w:val="20"/>
          <w:color w:val="auto"/>
        </w:rPr>
      </w:pPr>
    </w:p>
    <w:p>
      <w:pPr>
        <w:ind w:firstLine="164"/>
        <w:spacing w:after="0" w:line="320" w:lineRule="auto"/>
        <w:rPr>
          <w:sz w:val="20"/>
          <w:szCs w:val="20"/>
          <w:color w:val="auto"/>
        </w:rPr>
      </w:pPr>
      <w:r>
        <w:rPr>
          <w:rFonts w:ascii="Arial" w:cs="Arial" w:eastAsia="Arial" w:hAnsi="Arial"/>
          <w:sz w:val="12"/>
          <w:szCs w:val="12"/>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Jacksonville, and State of Florida, on the 30th day of April, 2010.</w:t>
      </w:r>
    </w:p>
    <w:p>
      <w:pPr>
        <w:spacing w:after="0" w:line="104"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THE BANK OF NEW YORK MELLON</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TRUST COMPANY, N.A.</w:t>
      </w:r>
    </w:p>
    <w:p>
      <w:pPr>
        <w:spacing w:after="0" w:line="158"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GERALDINE CRESWELL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10795</wp:posOffset>
            </wp:positionV>
            <wp:extent cx="2559050"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5905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GERALDINE CRESWELL</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VICE PRESIDENT</w:t>
      </w: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80"/>
          </w:cols>
          <w:pgMar w:left="220" w:top="956" w:right="599" w:bottom="1440" w:gutter="0" w:footer="0" w:header="0"/>
        </w:sectPr>
      </w:pPr>
    </w:p>
    <w:bookmarkStart w:id="305" w:name="page306"/>
    <w:bookmarkEnd w:id="305"/>
    <w:p>
      <w:pPr>
        <w:jc w:val="right"/>
        <w:spacing w:after="0"/>
        <w:rPr>
          <w:sz w:val="20"/>
          <w:szCs w:val="20"/>
          <w:color w:val="auto"/>
        </w:rPr>
      </w:pPr>
      <w:r>
        <w:rPr>
          <w:rFonts w:ascii="Arial" w:cs="Arial" w:eastAsia="Arial" w:hAnsi="Arial"/>
          <w:sz w:val="13"/>
          <w:szCs w:val="13"/>
          <w:b w:val="1"/>
          <w:bCs w:val="1"/>
          <w:color w:val="auto"/>
        </w:rPr>
        <w:t>EXHIBIT 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Report of Condition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BANK OF NEW YORK MELLON TRUST COMPANY, N.A.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 700 South Flower Street, Suite 200, Los Angeles, CA 90017</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At the close of business December 31, 2009, published in accordance with Federal regulatory authority instructions.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0"/>
                <w:szCs w:val="10"/>
                <w:color w:val="auto"/>
              </w:rPr>
              <w:t>Dollar Amounts</w:t>
            </w:r>
          </w:p>
        </w:tc>
      </w:tr>
      <w:tr>
        <w:trPr>
          <w:trHeight w:val="121"/>
        </w:trPr>
        <w:tc>
          <w:tcPr>
            <w:tcW w:w="47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in Thousands</w:t>
            </w:r>
          </w:p>
        </w:tc>
      </w:tr>
      <w:tr>
        <w:trPr>
          <w:trHeight w:val="147"/>
        </w:trPr>
        <w:tc>
          <w:tcPr>
            <w:tcW w:w="4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ASSETS</w:t>
            </w:r>
          </w:p>
        </w:tc>
        <w:tc>
          <w:tcPr>
            <w:tcW w:w="58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314"/>
        </w:trPr>
        <w:tc>
          <w:tcPr>
            <w:tcW w:w="4720" w:type="dxa"/>
            <w:vAlign w:val="bottom"/>
          </w:tcPr>
          <w:p>
            <w:pPr>
              <w:spacing w:after="0"/>
              <w:rPr>
                <w:sz w:val="20"/>
                <w:szCs w:val="20"/>
                <w:color w:val="auto"/>
              </w:rPr>
            </w:pPr>
            <w:r>
              <w:rPr>
                <w:rFonts w:ascii="Arial" w:cs="Arial" w:eastAsia="Arial" w:hAnsi="Arial"/>
                <w:sz w:val="13"/>
                <w:szCs w:val="13"/>
                <w:color w:val="auto"/>
              </w:rPr>
              <w:t>Cash and balances due from depository institutions:</w:t>
            </w:r>
          </w:p>
        </w:tc>
        <w:tc>
          <w:tcPr>
            <w:tcW w:w="5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8"/>
        </w:trPr>
        <w:tc>
          <w:tcPr>
            <w:tcW w:w="47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Noninterest-bearing balances and currency and coin</w:t>
            </w:r>
          </w:p>
        </w:tc>
        <w:tc>
          <w:tcPr>
            <w:tcW w:w="6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1,576</w:t>
            </w:r>
          </w:p>
        </w:tc>
      </w:tr>
      <w:tr>
        <w:trPr>
          <w:trHeight w:val="157"/>
        </w:trPr>
        <w:tc>
          <w:tcPr>
            <w:tcW w:w="4720" w:type="dxa"/>
            <w:vAlign w:val="bottom"/>
          </w:tcPr>
          <w:p>
            <w:pPr>
              <w:ind w:left="440"/>
              <w:spacing w:after="0"/>
              <w:rPr>
                <w:sz w:val="20"/>
                <w:szCs w:val="20"/>
                <w:color w:val="auto"/>
              </w:rPr>
            </w:pPr>
            <w:r>
              <w:rPr>
                <w:rFonts w:ascii="Arial" w:cs="Arial" w:eastAsia="Arial" w:hAnsi="Arial"/>
                <w:sz w:val="13"/>
                <w:szCs w:val="13"/>
                <w:color w:val="auto"/>
              </w:rPr>
              <w:t>Interest-bearing balances</w:t>
            </w:r>
          </w:p>
        </w:tc>
        <w:tc>
          <w:tcPr>
            <w:tcW w:w="6740" w:type="dxa"/>
            <w:vAlign w:val="bottom"/>
            <w:gridSpan w:val="3"/>
          </w:tcPr>
          <w:p>
            <w:pPr>
              <w:jc w:val="right"/>
              <w:ind w:right="120"/>
              <w:spacing w:after="0"/>
              <w:rPr>
                <w:sz w:val="20"/>
                <w:szCs w:val="20"/>
                <w:color w:val="auto"/>
              </w:rPr>
            </w:pPr>
            <w:r>
              <w:rPr>
                <w:rFonts w:ascii="Arial" w:cs="Arial" w:eastAsia="Arial" w:hAnsi="Arial"/>
                <w:sz w:val="13"/>
                <w:szCs w:val="13"/>
                <w:color w:val="auto"/>
              </w:rPr>
              <w:t>267</w:t>
            </w:r>
          </w:p>
        </w:tc>
      </w:tr>
      <w:tr>
        <w:trPr>
          <w:trHeight w:val="157"/>
        </w:trPr>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Securities:</w:t>
            </w:r>
          </w:p>
        </w:tc>
        <w:tc>
          <w:tcPr>
            <w:tcW w:w="58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4720" w:type="dxa"/>
            <w:vAlign w:val="bottom"/>
          </w:tcPr>
          <w:p>
            <w:pPr>
              <w:ind w:left="440"/>
              <w:spacing w:after="0"/>
              <w:rPr>
                <w:sz w:val="20"/>
                <w:szCs w:val="20"/>
                <w:color w:val="auto"/>
              </w:rPr>
            </w:pPr>
            <w:r>
              <w:rPr>
                <w:rFonts w:ascii="Arial" w:cs="Arial" w:eastAsia="Arial" w:hAnsi="Arial"/>
                <w:sz w:val="13"/>
                <w:szCs w:val="13"/>
                <w:color w:val="auto"/>
              </w:rPr>
              <w:t>Held-to-maturity securities</w:t>
            </w:r>
          </w:p>
        </w:tc>
        <w:tc>
          <w:tcPr>
            <w:tcW w:w="6740" w:type="dxa"/>
            <w:vAlign w:val="bottom"/>
            <w:gridSpan w:val="3"/>
          </w:tcPr>
          <w:p>
            <w:pPr>
              <w:jc w:val="right"/>
              <w:ind w:right="120"/>
              <w:spacing w:after="0"/>
              <w:rPr>
                <w:sz w:val="20"/>
                <w:szCs w:val="20"/>
                <w:color w:val="auto"/>
              </w:rPr>
            </w:pPr>
            <w:r>
              <w:rPr>
                <w:rFonts w:ascii="Arial" w:cs="Arial" w:eastAsia="Arial" w:hAnsi="Arial"/>
                <w:sz w:val="13"/>
                <w:szCs w:val="13"/>
                <w:color w:val="auto"/>
              </w:rPr>
              <w:t>16</w:t>
            </w:r>
          </w:p>
        </w:tc>
      </w:tr>
      <w:tr>
        <w:trPr>
          <w:trHeight w:val="157"/>
        </w:trPr>
        <w:tc>
          <w:tcPr>
            <w:tcW w:w="47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Available-for-sale securities</w:t>
            </w:r>
          </w:p>
        </w:tc>
        <w:tc>
          <w:tcPr>
            <w:tcW w:w="6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601,754</w:t>
            </w:r>
          </w:p>
        </w:tc>
      </w:tr>
      <w:tr>
        <w:trPr>
          <w:trHeight w:val="157"/>
        </w:trPr>
        <w:tc>
          <w:tcPr>
            <w:tcW w:w="4720" w:type="dxa"/>
            <w:vAlign w:val="bottom"/>
          </w:tcPr>
          <w:p>
            <w:pPr>
              <w:spacing w:after="0"/>
              <w:rPr>
                <w:sz w:val="20"/>
                <w:szCs w:val="20"/>
                <w:color w:val="auto"/>
              </w:rPr>
            </w:pPr>
            <w:r>
              <w:rPr>
                <w:rFonts w:ascii="Arial" w:cs="Arial" w:eastAsia="Arial" w:hAnsi="Arial"/>
                <w:sz w:val="13"/>
                <w:szCs w:val="13"/>
                <w:color w:val="auto"/>
              </w:rPr>
              <w:t>Federal funds sold and securities purchased under agreements to resell:</w:t>
            </w:r>
          </w:p>
        </w:tc>
        <w:tc>
          <w:tcPr>
            <w:tcW w:w="5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7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Federal funds sold</w:t>
            </w:r>
          </w:p>
        </w:tc>
        <w:tc>
          <w:tcPr>
            <w:tcW w:w="6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78,000</w:t>
            </w:r>
          </w:p>
        </w:tc>
      </w:tr>
      <w:tr>
        <w:trPr>
          <w:trHeight w:val="157"/>
        </w:trPr>
        <w:tc>
          <w:tcPr>
            <w:tcW w:w="4720" w:type="dxa"/>
            <w:vAlign w:val="bottom"/>
          </w:tcPr>
          <w:p>
            <w:pPr>
              <w:ind w:left="440"/>
              <w:spacing w:after="0"/>
              <w:rPr>
                <w:sz w:val="20"/>
                <w:szCs w:val="20"/>
                <w:color w:val="auto"/>
              </w:rPr>
            </w:pPr>
            <w:r>
              <w:rPr>
                <w:rFonts w:ascii="Arial" w:cs="Arial" w:eastAsia="Arial" w:hAnsi="Arial"/>
                <w:sz w:val="13"/>
                <w:szCs w:val="13"/>
                <w:color w:val="auto"/>
              </w:rPr>
              <w:t>Securities purchased under agreements to resell</w:t>
            </w:r>
          </w:p>
        </w:tc>
        <w:tc>
          <w:tcPr>
            <w:tcW w:w="6740" w:type="dxa"/>
            <w:vAlign w:val="bottom"/>
            <w:gridSpan w:val="3"/>
          </w:tcPr>
          <w:p>
            <w:pPr>
              <w:jc w:val="right"/>
              <w:ind w:right="120"/>
              <w:spacing w:after="0"/>
              <w:rPr>
                <w:sz w:val="20"/>
                <w:szCs w:val="20"/>
                <w:color w:val="auto"/>
              </w:rPr>
            </w:pPr>
            <w:r>
              <w:rPr>
                <w:rFonts w:ascii="Arial" w:cs="Arial" w:eastAsia="Arial" w:hAnsi="Arial"/>
                <w:sz w:val="13"/>
                <w:szCs w:val="13"/>
                <w:color w:val="auto"/>
              </w:rPr>
              <w:t>0</w:t>
            </w:r>
          </w:p>
        </w:tc>
      </w:tr>
      <w:tr>
        <w:trPr>
          <w:trHeight w:val="157"/>
        </w:trPr>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Loans and lease financing receivables:</w:t>
            </w:r>
          </w:p>
        </w:tc>
        <w:tc>
          <w:tcPr>
            <w:tcW w:w="58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4720" w:type="dxa"/>
            <w:vAlign w:val="bottom"/>
          </w:tcPr>
          <w:p>
            <w:pPr>
              <w:ind w:left="440"/>
              <w:spacing w:after="0"/>
              <w:rPr>
                <w:sz w:val="20"/>
                <w:szCs w:val="20"/>
                <w:color w:val="auto"/>
              </w:rPr>
            </w:pPr>
            <w:r>
              <w:rPr>
                <w:rFonts w:ascii="Arial" w:cs="Arial" w:eastAsia="Arial" w:hAnsi="Arial"/>
                <w:sz w:val="13"/>
                <w:szCs w:val="13"/>
                <w:color w:val="auto"/>
              </w:rPr>
              <w:t>Loans and leases held for sale</w:t>
            </w:r>
          </w:p>
        </w:tc>
        <w:tc>
          <w:tcPr>
            <w:tcW w:w="6740" w:type="dxa"/>
            <w:vAlign w:val="bottom"/>
            <w:gridSpan w:val="3"/>
          </w:tcPr>
          <w:p>
            <w:pPr>
              <w:jc w:val="right"/>
              <w:ind w:right="120"/>
              <w:spacing w:after="0"/>
              <w:rPr>
                <w:sz w:val="20"/>
                <w:szCs w:val="20"/>
                <w:color w:val="auto"/>
              </w:rPr>
            </w:pPr>
            <w:r>
              <w:rPr>
                <w:rFonts w:ascii="Arial" w:cs="Arial" w:eastAsia="Arial" w:hAnsi="Arial"/>
                <w:sz w:val="13"/>
                <w:szCs w:val="13"/>
                <w:color w:val="auto"/>
              </w:rPr>
              <w:t>0</w:t>
            </w:r>
          </w:p>
        </w:tc>
      </w:tr>
      <w:tr>
        <w:trPr>
          <w:trHeight w:val="157"/>
        </w:trPr>
        <w:tc>
          <w:tcPr>
            <w:tcW w:w="47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Loans and leases, net of unearned income</w:t>
            </w:r>
          </w:p>
        </w:tc>
        <w:tc>
          <w:tcPr>
            <w:tcW w:w="5860" w:type="dxa"/>
            <w:vAlign w:val="bottom"/>
            <w:shd w:val="clear" w:color="auto" w:fill="CCEEFF"/>
          </w:tcPr>
          <w:p>
            <w:pPr>
              <w:jc w:val="right"/>
              <w:ind w:right="854"/>
              <w:spacing w:after="0"/>
              <w:rPr>
                <w:sz w:val="20"/>
                <w:szCs w:val="20"/>
                <w:color w:val="auto"/>
              </w:rPr>
            </w:pPr>
            <w:r>
              <w:rPr>
                <w:rFonts w:ascii="Arial" w:cs="Arial" w:eastAsia="Arial" w:hAnsi="Arial"/>
                <w:sz w:val="13"/>
                <w:szCs w:val="13"/>
                <w:color w:val="auto"/>
              </w:rPr>
              <w:t>0</w:t>
            </w: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4720" w:type="dxa"/>
            <w:vAlign w:val="bottom"/>
          </w:tcPr>
          <w:p>
            <w:pPr>
              <w:ind w:left="440"/>
              <w:spacing w:after="0"/>
              <w:rPr>
                <w:sz w:val="20"/>
                <w:szCs w:val="20"/>
                <w:color w:val="auto"/>
              </w:rPr>
            </w:pPr>
            <w:r>
              <w:rPr>
                <w:rFonts w:ascii="Arial" w:cs="Arial" w:eastAsia="Arial" w:hAnsi="Arial"/>
                <w:sz w:val="13"/>
                <w:szCs w:val="13"/>
                <w:color w:val="auto"/>
              </w:rPr>
              <w:t>LESS: Allowance for loan and lease losses</w:t>
            </w:r>
          </w:p>
        </w:tc>
        <w:tc>
          <w:tcPr>
            <w:tcW w:w="5860" w:type="dxa"/>
            <w:vAlign w:val="bottom"/>
          </w:tcPr>
          <w:p>
            <w:pPr>
              <w:jc w:val="right"/>
              <w:ind w:right="854"/>
              <w:spacing w:after="0"/>
              <w:rPr>
                <w:sz w:val="20"/>
                <w:szCs w:val="20"/>
                <w:color w:val="auto"/>
              </w:rPr>
            </w:pPr>
            <w:r>
              <w:rPr>
                <w:rFonts w:ascii="Arial" w:cs="Arial" w:eastAsia="Arial" w:hAnsi="Arial"/>
                <w:sz w:val="13"/>
                <w:szCs w:val="13"/>
                <w:color w:val="auto"/>
              </w:rPr>
              <w:t>0</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7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Loans and leases, net of unearned income and allowance</w:t>
            </w:r>
          </w:p>
        </w:tc>
        <w:tc>
          <w:tcPr>
            <w:tcW w:w="6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w:t>
            </w:r>
          </w:p>
        </w:tc>
      </w:tr>
      <w:tr>
        <w:trPr>
          <w:trHeight w:val="157"/>
        </w:trPr>
        <w:tc>
          <w:tcPr>
            <w:tcW w:w="4720" w:type="dxa"/>
            <w:vAlign w:val="bottom"/>
          </w:tcPr>
          <w:p>
            <w:pPr>
              <w:spacing w:after="0"/>
              <w:rPr>
                <w:sz w:val="20"/>
                <w:szCs w:val="20"/>
                <w:color w:val="auto"/>
              </w:rPr>
            </w:pPr>
            <w:r>
              <w:rPr>
                <w:rFonts w:ascii="Arial" w:cs="Arial" w:eastAsia="Arial" w:hAnsi="Arial"/>
                <w:sz w:val="13"/>
                <w:szCs w:val="13"/>
                <w:color w:val="auto"/>
              </w:rPr>
              <w:t>Trading assets</w:t>
            </w:r>
          </w:p>
        </w:tc>
        <w:tc>
          <w:tcPr>
            <w:tcW w:w="6740" w:type="dxa"/>
            <w:vAlign w:val="bottom"/>
            <w:gridSpan w:val="3"/>
          </w:tcPr>
          <w:p>
            <w:pPr>
              <w:jc w:val="right"/>
              <w:ind w:right="120"/>
              <w:spacing w:after="0"/>
              <w:rPr>
                <w:sz w:val="20"/>
                <w:szCs w:val="20"/>
                <w:color w:val="auto"/>
              </w:rPr>
            </w:pPr>
            <w:r>
              <w:rPr>
                <w:rFonts w:ascii="Arial" w:cs="Arial" w:eastAsia="Arial" w:hAnsi="Arial"/>
                <w:sz w:val="13"/>
                <w:szCs w:val="13"/>
                <w:color w:val="auto"/>
              </w:rPr>
              <w:t>0</w:t>
            </w:r>
          </w:p>
        </w:tc>
      </w:tr>
      <w:tr>
        <w:trPr>
          <w:trHeight w:val="157"/>
        </w:trPr>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Premises and fixed assets (including capitalized leases)</w:t>
            </w:r>
          </w:p>
        </w:tc>
        <w:tc>
          <w:tcPr>
            <w:tcW w:w="6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11,186</w:t>
            </w:r>
          </w:p>
        </w:tc>
      </w:tr>
      <w:tr>
        <w:trPr>
          <w:trHeight w:val="157"/>
        </w:trPr>
        <w:tc>
          <w:tcPr>
            <w:tcW w:w="4720" w:type="dxa"/>
            <w:vAlign w:val="bottom"/>
          </w:tcPr>
          <w:p>
            <w:pPr>
              <w:spacing w:after="0"/>
              <w:rPr>
                <w:sz w:val="20"/>
                <w:szCs w:val="20"/>
                <w:color w:val="auto"/>
              </w:rPr>
            </w:pPr>
            <w:r>
              <w:rPr>
                <w:rFonts w:ascii="Arial" w:cs="Arial" w:eastAsia="Arial" w:hAnsi="Arial"/>
                <w:sz w:val="13"/>
                <w:szCs w:val="13"/>
                <w:color w:val="auto"/>
              </w:rPr>
              <w:t>Other real estate owned</w:t>
            </w:r>
          </w:p>
        </w:tc>
        <w:tc>
          <w:tcPr>
            <w:tcW w:w="6740" w:type="dxa"/>
            <w:vAlign w:val="bottom"/>
            <w:gridSpan w:val="3"/>
          </w:tcPr>
          <w:p>
            <w:pPr>
              <w:jc w:val="right"/>
              <w:ind w:right="120"/>
              <w:spacing w:after="0"/>
              <w:rPr>
                <w:sz w:val="20"/>
                <w:szCs w:val="20"/>
                <w:color w:val="auto"/>
              </w:rPr>
            </w:pPr>
            <w:r>
              <w:rPr>
                <w:rFonts w:ascii="Arial" w:cs="Arial" w:eastAsia="Arial" w:hAnsi="Arial"/>
                <w:sz w:val="13"/>
                <w:szCs w:val="13"/>
                <w:color w:val="auto"/>
              </w:rPr>
              <w:t>0</w:t>
            </w:r>
          </w:p>
        </w:tc>
      </w:tr>
      <w:tr>
        <w:trPr>
          <w:trHeight w:val="157"/>
        </w:trPr>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unconsolidated subsidiaries and associated companies</w:t>
            </w:r>
          </w:p>
        </w:tc>
        <w:tc>
          <w:tcPr>
            <w:tcW w:w="6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r>
      <w:tr>
        <w:trPr>
          <w:trHeight w:val="157"/>
        </w:trPr>
        <w:tc>
          <w:tcPr>
            <w:tcW w:w="4720" w:type="dxa"/>
            <w:vAlign w:val="bottom"/>
          </w:tcPr>
          <w:p>
            <w:pPr>
              <w:spacing w:after="0"/>
              <w:rPr>
                <w:sz w:val="20"/>
                <w:szCs w:val="20"/>
                <w:color w:val="auto"/>
              </w:rPr>
            </w:pPr>
            <w:r>
              <w:rPr>
                <w:rFonts w:ascii="Arial" w:cs="Arial" w:eastAsia="Arial" w:hAnsi="Arial"/>
                <w:sz w:val="13"/>
                <w:szCs w:val="13"/>
                <w:color w:val="auto"/>
              </w:rPr>
              <w:t>Direct and indirect investments in real estate ventures</w:t>
            </w:r>
          </w:p>
        </w:tc>
        <w:tc>
          <w:tcPr>
            <w:tcW w:w="6740" w:type="dxa"/>
            <w:vAlign w:val="bottom"/>
            <w:gridSpan w:val="3"/>
          </w:tcPr>
          <w:p>
            <w:pPr>
              <w:jc w:val="right"/>
              <w:ind w:right="120"/>
              <w:spacing w:after="0"/>
              <w:rPr>
                <w:sz w:val="20"/>
                <w:szCs w:val="20"/>
                <w:color w:val="auto"/>
              </w:rPr>
            </w:pPr>
            <w:r>
              <w:rPr>
                <w:rFonts w:ascii="Arial" w:cs="Arial" w:eastAsia="Arial" w:hAnsi="Arial"/>
                <w:sz w:val="13"/>
                <w:szCs w:val="13"/>
                <w:color w:val="auto"/>
              </w:rPr>
              <w:t>0</w:t>
            </w:r>
          </w:p>
        </w:tc>
      </w:tr>
      <w:tr>
        <w:trPr>
          <w:trHeight w:val="157"/>
        </w:trPr>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58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4720" w:type="dxa"/>
            <w:vAlign w:val="bottom"/>
          </w:tcPr>
          <w:p>
            <w:pPr>
              <w:ind w:left="300"/>
              <w:spacing w:after="0"/>
              <w:rPr>
                <w:sz w:val="20"/>
                <w:szCs w:val="20"/>
                <w:color w:val="auto"/>
              </w:rPr>
            </w:pPr>
            <w:r>
              <w:rPr>
                <w:rFonts w:ascii="Arial" w:cs="Arial" w:eastAsia="Arial" w:hAnsi="Arial"/>
                <w:sz w:val="13"/>
                <w:szCs w:val="13"/>
                <w:color w:val="auto"/>
              </w:rPr>
              <w:t>Goodwill</w:t>
            </w:r>
          </w:p>
        </w:tc>
        <w:tc>
          <w:tcPr>
            <w:tcW w:w="6740" w:type="dxa"/>
            <w:vAlign w:val="bottom"/>
            <w:gridSpan w:val="3"/>
          </w:tcPr>
          <w:p>
            <w:pPr>
              <w:jc w:val="right"/>
              <w:ind w:right="120"/>
              <w:spacing w:after="0"/>
              <w:rPr>
                <w:sz w:val="20"/>
                <w:szCs w:val="20"/>
                <w:color w:val="auto"/>
              </w:rPr>
            </w:pPr>
            <w:r>
              <w:rPr>
                <w:rFonts w:ascii="Arial" w:cs="Arial" w:eastAsia="Arial" w:hAnsi="Arial"/>
                <w:sz w:val="13"/>
                <w:szCs w:val="13"/>
                <w:color w:val="auto"/>
              </w:rPr>
              <w:t>856,313</w:t>
            </w:r>
          </w:p>
        </w:tc>
      </w:tr>
      <w:tr>
        <w:trPr>
          <w:trHeight w:val="157"/>
        </w:trPr>
        <w:tc>
          <w:tcPr>
            <w:tcW w:w="4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intangible assets</w:t>
            </w:r>
          </w:p>
        </w:tc>
        <w:tc>
          <w:tcPr>
            <w:tcW w:w="6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244,779</w:t>
            </w:r>
          </w:p>
        </w:tc>
      </w:tr>
      <w:tr>
        <w:trPr>
          <w:trHeight w:val="157"/>
        </w:trPr>
        <w:tc>
          <w:tcPr>
            <w:tcW w:w="4720" w:type="dxa"/>
            <w:vAlign w:val="bottom"/>
          </w:tcPr>
          <w:p>
            <w:pPr>
              <w:spacing w:after="0"/>
              <w:rPr>
                <w:sz w:val="20"/>
                <w:szCs w:val="20"/>
                <w:color w:val="auto"/>
              </w:rPr>
            </w:pPr>
            <w:r>
              <w:rPr>
                <w:rFonts w:ascii="Arial" w:cs="Arial" w:eastAsia="Arial" w:hAnsi="Arial"/>
                <w:sz w:val="13"/>
                <w:szCs w:val="13"/>
                <w:color w:val="auto"/>
              </w:rPr>
              <w:t>Other assets</w:t>
            </w:r>
          </w:p>
        </w:tc>
        <w:tc>
          <w:tcPr>
            <w:tcW w:w="58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154,682</w:t>
            </w:r>
          </w:p>
        </w:tc>
      </w:tr>
      <w:tr>
        <w:trPr>
          <w:trHeight w:val="20"/>
        </w:trPr>
        <w:tc>
          <w:tcPr>
            <w:tcW w:w="47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58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   1,948,575</w:t>
            </w:r>
          </w:p>
        </w:tc>
      </w:tr>
      <w:tr>
        <w:trPr>
          <w:trHeight w:val="303"/>
        </w:trPr>
        <w:tc>
          <w:tcPr>
            <w:tcW w:w="4720" w:type="dxa"/>
            <w:vAlign w:val="bottom"/>
          </w:tcPr>
          <w:p>
            <w:pPr>
              <w:spacing w:after="0"/>
              <w:rPr>
                <w:sz w:val="24"/>
                <w:szCs w:val="24"/>
                <w:color w:val="auto"/>
              </w:rPr>
            </w:pPr>
          </w:p>
        </w:tc>
        <w:tc>
          <w:tcPr>
            <w:tcW w:w="5860" w:type="dxa"/>
            <w:vAlign w:val="bottom"/>
          </w:tcPr>
          <w:p>
            <w:pPr>
              <w:jc w:val="right"/>
              <w:ind w:right="4754"/>
              <w:spacing w:after="0"/>
              <w:rPr>
                <w:sz w:val="20"/>
                <w:szCs w:val="20"/>
                <w:color w:val="auto"/>
              </w:rPr>
            </w:pPr>
            <w:r>
              <w:rPr>
                <w:rFonts w:ascii="Arial" w:cs="Arial" w:eastAsia="Arial" w:hAnsi="Arial"/>
                <w:sz w:val="13"/>
                <w:szCs w:val="13"/>
                <w:color w:val="auto"/>
              </w:rPr>
              <w:t>1</w:t>
            </w: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4720" w:type="dxa"/>
            <w:vAlign w:val="bottom"/>
            <w:tcBorders>
              <w:bottom w:val="single" w:sz="8" w:color="808080"/>
            </w:tcBorders>
          </w:tcPr>
          <w:p>
            <w:pPr>
              <w:spacing w:after="0"/>
              <w:rPr>
                <w:sz w:val="14"/>
                <w:szCs w:val="14"/>
                <w:color w:val="auto"/>
              </w:rPr>
            </w:pPr>
          </w:p>
        </w:tc>
        <w:tc>
          <w:tcPr>
            <w:tcW w:w="58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Dollar Amounts</w:t>
            </w:r>
          </w:p>
        </w:tc>
        <w:tc>
          <w:tcPr>
            <w:tcW w:w="0" w:type="dxa"/>
            <w:vAlign w:val="bottom"/>
          </w:tcPr>
          <w:p>
            <w:pPr>
              <w:spacing w:after="0"/>
              <w:rPr>
                <w:sz w:val="1"/>
                <w:szCs w:val="1"/>
                <w:color w:val="auto"/>
              </w:rPr>
            </w:pPr>
          </w:p>
        </w:tc>
      </w:tr>
      <w:tr>
        <w:trPr>
          <w:trHeight w:val="121"/>
        </w:trPr>
        <w:tc>
          <w:tcPr>
            <w:tcW w:w="6920" w:type="dxa"/>
            <w:vAlign w:val="bottom"/>
            <w:gridSpan w:val="2"/>
            <w:vMerge w:val="restart"/>
          </w:tcPr>
          <w:p>
            <w:pPr>
              <w:spacing w:after="0"/>
              <w:rPr>
                <w:sz w:val="20"/>
                <w:szCs w:val="20"/>
                <w:color w:val="auto"/>
              </w:rPr>
            </w:pPr>
            <w:r>
              <w:rPr>
                <w:rFonts w:ascii="Arial" w:cs="Arial" w:eastAsia="Arial" w:hAnsi="Arial"/>
                <w:sz w:val="13"/>
                <w:szCs w:val="13"/>
                <w:color w:val="auto"/>
              </w:rPr>
              <w:t>LIABILITIES</w:t>
            </w:r>
          </w:p>
        </w:tc>
        <w:tc>
          <w:tcPr>
            <w:tcW w:w="366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color w:val="auto"/>
                <w:w w:val="93"/>
              </w:rPr>
              <w:t>in Thousands</w:t>
            </w:r>
          </w:p>
        </w:tc>
        <w:tc>
          <w:tcPr>
            <w:tcW w:w="0" w:type="dxa"/>
            <w:vAlign w:val="bottom"/>
          </w:tcPr>
          <w:p>
            <w:pPr>
              <w:spacing w:after="0"/>
              <w:rPr>
                <w:sz w:val="1"/>
                <w:szCs w:val="1"/>
                <w:color w:val="auto"/>
              </w:rPr>
            </w:pPr>
          </w:p>
        </w:tc>
      </w:tr>
      <w:tr>
        <w:trPr>
          <w:trHeight w:val="146"/>
        </w:trPr>
        <w:tc>
          <w:tcPr>
            <w:tcW w:w="6920" w:type="dxa"/>
            <w:vAlign w:val="bottom"/>
            <w:gridSpan w:val="2"/>
            <w:vMerge w:val="continue"/>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69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Deposits:</w:t>
            </w:r>
          </w:p>
        </w:tc>
        <w:tc>
          <w:tcPr>
            <w:tcW w:w="3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3"/>
                <w:szCs w:val="13"/>
                <w:color w:val="auto"/>
              </w:rPr>
              <w:t>In domestic offices</w:t>
            </w:r>
          </w:p>
        </w:tc>
        <w:tc>
          <w:tcPr>
            <w:tcW w:w="4420" w:type="dxa"/>
            <w:vAlign w:val="bottom"/>
            <w:gridSpan w:val="2"/>
          </w:tcPr>
          <w:p>
            <w:pPr>
              <w:jc w:val="right"/>
              <w:spacing w:after="0"/>
              <w:rPr>
                <w:sz w:val="20"/>
                <w:szCs w:val="20"/>
                <w:color w:val="auto"/>
              </w:rPr>
            </w:pPr>
            <w:r>
              <w:rPr>
                <w:rFonts w:ascii="Arial" w:cs="Arial" w:eastAsia="Arial" w:hAnsi="Arial"/>
                <w:sz w:val="13"/>
                <w:szCs w:val="13"/>
                <w:color w:val="auto"/>
              </w:rPr>
              <w:t>532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Noninterest-bearing</w:t>
            </w:r>
          </w:p>
        </w:tc>
        <w:tc>
          <w:tcPr>
            <w:tcW w:w="3660" w:type="dxa"/>
            <w:vAlign w:val="bottom"/>
            <w:shd w:val="clear" w:color="auto" w:fill="CCEEFF"/>
          </w:tcPr>
          <w:p>
            <w:pPr>
              <w:jc w:val="right"/>
              <w:ind w:right="794"/>
              <w:spacing w:after="0"/>
              <w:rPr>
                <w:sz w:val="20"/>
                <w:szCs w:val="20"/>
                <w:color w:val="auto"/>
              </w:rPr>
            </w:pPr>
            <w:r>
              <w:rPr>
                <w:rFonts w:ascii="Arial" w:cs="Arial" w:eastAsia="Arial" w:hAnsi="Arial"/>
                <w:sz w:val="13"/>
                <w:szCs w:val="13"/>
                <w:color w:val="auto"/>
              </w:rPr>
              <w:t>532</w:t>
            </w: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ind w:left="420"/>
              <w:spacing w:after="0"/>
              <w:rPr>
                <w:sz w:val="20"/>
                <w:szCs w:val="20"/>
                <w:color w:val="auto"/>
              </w:rPr>
            </w:pPr>
            <w:r>
              <w:rPr>
                <w:rFonts w:ascii="Arial" w:cs="Arial" w:eastAsia="Arial" w:hAnsi="Arial"/>
                <w:sz w:val="13"/>
                <w:szCs w:val="13"/>
                <w:color w:val="auto"/>
              </w:rPr>
              <w:t>Interest-bearing</w:t>
            </w:r>
          </w:p>
        </w:tc>
        <w:tc>
          <w:tcPr>
            <w:tcW w:w="3660" w:type="dxa"/>
            <w:vAlign w:val="bottom"/>
          </w:tcPr>
          <w:p>
            <w:pPr>
              <w:jc w:val="right"/>
              <w:ind w:right="814"/>
              <w:spacing w:after="0"/>
              <w:rPr>
                <w:sz w:val="20"/>
                <w:szCs w:val="20"/>
                <w:color w:val="auto"/>
              </w:rPr>
            </w:pPr>
            <w:r>
              <w:rPr>
                <w:rFonts w:ascii="Arial" w:cs="Arial" w:eastAsia="Arial" w:hAnsi="Arial"/>
                <w:sz w:val="13"/>
                <w:szCs w:val="13"/>
                <w:color w:val="auto"/>
              </w:rPr>
              <w:t>0</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Not applicable</w:t>
            </w:r>
          </w:p>
        </w:tc>
        <w:tc>
          <w:tcPr>
            <w:tcW w:w="3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Federal funds purchased and securities sold under agreements to repurchase:</w:t>
            </w:r>
          </w:p>
        </w:tc>
        <w:tc>
          <w:tcPr>
            <w:tcW w:w="3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Federal funds purchased</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ind w:left="420"/>
              <w:spacing w:after="0"/>
              <w:rPr>
                <w:sz w:val="20"/>
                <w:szCs w:val="20"/>
                <w:color w:val="auto"/>
              </w:rPr>
            </w:pPr>
            <w:r>
              <w:rPr>
                <w:rFonts w:ascii="Arial" w:cs="Arial" w:eastAsia="Arial" w:hAnsi="Arial"/>
                <w:sz w:val="13"/>
                <w:szCs w:val="13"/>
                <w:color w:val="auto"/>
              </w:rPr>
              <w:t>Securities sold under agreements to repurchase</w:t>
            </w:r>
          </w:p>
        </w:tc>
        <w:tc>
          <w:tcPr>
            <w:tcW w:w="442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Trading liabilities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Other borrowed money:</w:t>
            </w:r>
          </w:p>
        </w:tc>
        <w:tc>
          <w:tcPr>
            <w:tcW w:w="3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(includes mortgage indebtedness and obligations under capitalized leases)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268,691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Not applicable</w:t>
            </w:r>
          </w:p>
        </w:tc>
        <w:tc>
          <w:tcPr>
            <w:tcW w:w="3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Not applicable</w:t>
            </w:r>
          </w:p>
        </w:tc>
        <w:tc>
          <w:tcPr>
            <w:tcW w:w="3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Subordinated notes and debentures</w:t>
            </w:r>
          </w:p>
        </w:tc>
        <w:tc>
          <w:tcPr>
            <w:tcW w:w="442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219,066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Total liabilities</w:t>
            </w:r>
          </w:p>
        </w:tc>
        <w:tc>
          <w:tcPr>
            <w:tcW w:w="4420" w:type="dxa"/>
            <w:vAlign w:val="bottom"/>
            <w:gridSpan w:val="2"/>
          </w:tcPr>
          <w:p>
            <w:pPr>
              <w:jc w:val="right"/>
              <w:spacing w:after="0"/>
              <w:rPr>
                <w:sz w:val="20"/>
                <w:szCs w:val="20"/>
                <w:color w:val="auto"/>
              </w:rPr>
            </w:pPr>
            <w:r>
              <w:rPr>
                <w:rFonts w:ascii="Arial" w:cs="Arial" w:eastAsia="Arial" w:hAnsi="Arial"/>
                <w:sz w:val="13"/>
                <w:szCs w:val="13"/>
                <w:color w:val="auto"/>
              </w:rPr>
              <w:t>488,289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Not Applicable</w:t>
            </w:r>
          </w:p>
        </w:tc>
        <w:tc>
          <w:tcPr>
            <w:tcW w:w="3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6920" w:type="dxa"/>
            <w:vAlign w:val="bottom"/>
            <w:gridSpan w:val="2"/>
          </w:tcPr>
          <w:p>
            <w:pPr>
              <w:spacing w:after="0"/>
              <w:rPr>
                <w:sz w:val="20"/>
                <w:szCs w:val="20"/>
                <w:color w:val="auto"/>
              </w:rPr>
            </w:pPr>
            <w:r>
              <w:rPr>
                <w:rFonts w:ascii="Arial" w:cs="Arial" w:eastAsia="Arial" w:hAnsi="Arial"/>
                <w:sz w:val="13"/>
                <w:szCs w:val="13"/>
                <w:color w:val="auto"/>
              </w:rPr>
              <w:t>EQUITY CAPITAL</w:t>
            </w:r>
          </w:p>
        </w:tc>
        <w:tc>
          <w:tcPr>
            <w:tcW w:w="3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69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Perpetual preferred stock and related surplus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Common stock</w:t>
            </w:r>
          </w:p>
        </w:tc>
        <w:tc>
          <w:tcPr>
            <w:tcW w:w="44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Surplus (exclude all surplus related to preferred stock)</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1,121,520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Not Applicable</w:t>
            </w:r>
          </w:p>
        </w:tc>
        <w:tc>
          <w:tcPr>
            <w:tcW w:w="3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337,084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ind w:left="120"/>
              <w:spacing w:after="0"/>
              <w:rPr>
                <w:sz w:val="20"/>
                <w:szCs w:val="20"/>
                <w:color w:val="auto"/>
              </w:rPr>
            </w:pPr>
            <w:r>
              <w:rPr>
                <w:rFonts w:ascii="Arial" w:cs="Arial" w:eastAsia="Arial" w:hAnsi="Arial"/>
                <w:sz w:val="13"/>
                <w:szCs w:val="13"/>
                <w:color w:val="auto"/>
              </w:rPr>
              <w:t>Accumulated other comprehensive income</w:t>
            </w:r>
          </w:p>
        </w:tc>
        <w:tc>
          <w:tcPr>
            <w:tcW w:w="4420" w:type="dxa"/>
            <w:vAlign w:val="bottom"/>
            <w:gridSpan w:val="2"/>
          </w:tcPr>
          <w:p>
            <w:pPr>
              <w:jc w:val="right"/>
              <w:spacing w:after="0"/>
              <w:rPr>
                <w:sz w:val="20"/>
                <w:szCs w:val="20"/>
                <w:color w:val="auto"/>
              </w:rPr>
            </w:pPr>
            <w:r>
              <w:rPr>
                <w:rFonts w:ascii="Arial" w:cs="Arial" w:eastAsia="Arial" w:hAnsi="Arial"/>
                <w:sz w:val="13"/>
                <w:szCs w:val="13"/>
                <w:color w:val="auto"/>
              </w:rPr>
              <w:t>682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equity capital components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Not Available</w:t>
            </w:r>
          </w:p>
        </w:tc>
        <w:tc>
          <w:tcPr>
            <w:tcW w:w="3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bank equity capital</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1,460,286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Pr>
          <w:p>
            <w:pPr>
              <w:ind w:left="120"/>
              <w:spacing w:after="0"/>
              <w:rPr>
                <w:sz w:val="20"/>
                <w:szCs w:val="20"/>
                <w:color w:val="auto"/>
              </w:rPr>
            </w:pPr>
            <w:r>
              <w:rPr>
                <w:rFonts w:ascii="Arial" w:cs="Arial" w:eastAsia="Arial" w:hAnsi="Arial"/>
                <w:sz w:val="13"/>
                <w:szCs w:val="13"/>
                <w:color w:val="auto"/>
              </w:rPr>
              <w:t>Noncontrolling (minority) interests in consolidated subsidiaries</w:t>
            </w:r>
          </w:p>
        </w:tc>
        <w:tc>
          <w:tcPr>
            <w:tcW w:w="442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Total equity capital</w:t>
            </w:r>
          </w:p>
        </w:tc>
        <w:tc>
          <w:tcPr>
            <w:tcW w:w="36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1,460,286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920" w:type="dxa"/>
            <w:vAlign w:val="bottom"/>
            <w:gridSpan w:val="2"/>
          </w:tcPr>
          <w:p>
            <w:pPr>
              <w:spacing w:after="0"/>
              <w:rPr>
                <w:sz w:val="20"/>
                <w:szCs w:val="20"/>
                <w:color w:val="auto"/>
              </w:rPr>
            </w:pPr>
            <w:r>
              <w:rPr>
                <w:rFonts w:ascii="Arial" w:cs="Arial" w:eastAsia="Arial" w:hAnsi="Arial"/>
                <w:sz w:val="13"/>
                <w:szCs w:val="13"/>
                <w:color w:val="auto"/>
              </w:rPr>
              <w:t>Total liabilities and equity capital</w:t>
            </w:r>
          </w:p>
        </w:tc>
        <w:tc>
          <w:tcPr>
            <w:tcW w:w="36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1,948,575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I, Karen Bayz, Managing Director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49" w:lineRule="exact"/>
        <w:rPr>
          <w:sz w:val="20"/>
          <w:szCs w:val="20"/>
          <w:color w:val="auto"/>
        </w:rPr>
      </w:pPr>
    </w:p>
    <w:p>
      <w:pPr>
        <w:ind w:left="160"/>
        <w:spacing w:after="0"/>
        <w:tabs>
          <w:tab w:leader="none" w:pos="920" w:val="left"/>
          <w:tab w:leader="none" w:pos="1140" w:val="left"/>
        </w:tabs>
        <w:rPr>
          <w:sz w:val="20"/>
          <w:szCs w:val="20"/>
          <w:color w:val="auto"/>
        </w:rPr>
      </w:pPr>
      <w:r>
        <w:rPr>
          <w:rFonts w:ascii="Arial" w:cs="Arial" w:eastAsia="Arial" w:hAnsi="Arial"/>
          <w:sz w:val="13"/>
          <w:szCs w:val="13"/>
          <w:color w:val="auto"/>
        </w:rPr>
        <w:t>Karen Bayz</w:t>
        <w:tab/>
        <w:t>)</w:t>
      </w:r>
      <w:r>
        <w:rPr>
          <w:sz w:val="20"/>
          <w:szCs w:val="20"/>
          <w:color w:val="auto"/>
        </w:rPr>
        <w:tab/>
      </w:r>
      <w:r>
        <w:rPr>
          <w:rFonts w:ascii="Arial" w:cs="Arial" w:eastAsia="Arial" w:hAnsi="Arial"/>
          <w:sz w:val="12"/>
          <w:szCs w:val="12"/>
          <w:color w:val="auto"/>
        </w:rPr>
        <w:t>Managing Director</w:t>
      </w:r>
    </w:p>
    <w:p>
      <w:pPr>
        <w:spacing w:after="0" w:line="86" w:lineRule="exact"/>
        <w:rPr>
          <w:sz w:val="20"/>
          <w:szCs w:val="20"/>
          <w:color w:val="auto"/>
        </w:rPr>
      </w:pPr>
    </w:p>
    <w:p>
      <w:pPr>
        <w:ind w:right="100" w:firstLine="161"/>
        <w:spacing w:after="0" w:line="276" w:lineRule="auto"/>
        <w:rPr>
          <w:sz w:val="20"/>
          <w:szCs w:val="20"/>
          <w:color w:val="auto"/>
        </w:rPr>
      </w:pPr>
      <w:r>
        <w:rPr>
          <w:rFonts w:ascii="Arial" w:cs="Arial" w:eastAsia="Arial" w:hAnsi="Arial"/>
          <w:sz w:val="13"/>
          <w:szCs w:val="13"/>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60"/>
          </w:cols>
          <w:pgMar w:left="220" w:top="866" w:right="219" w:bottom="1440" w:gutter="0" w:footer="0" w:header="0"/>
        </w:sectPr>
      </w:pPr>
    </w:p>
    <w:p>
      <w:pPr>
        <w:spacing w:after="0" w:line="128" w:lineRule="exact"/>
        <w:rPr>
          <w:sz w:val="20"/>
          <w:szCs w:val="20"/>
          <w:color w:val="auto"/>
        </w:rPr>
      </w:pPr>
    </w:p>
    <w:p>
      <w:pPr>
        <w:ind w:left="160" w:right="140"/>
        <w:spacing w:after="0" w:line="296" w:lineRule="auto"/>
        <w:rPr>
          <w:sz w:val="20"/>
          <w:szCs w:val="20"/>
          <w:color w:val="auto"/>
        </w:rPr>
      </w:pPr>
      <w:r>
        <w:rPr>
          <w:rFonts w:ascii="Arial" w:cs="Arial" w:eastAsia="Arial" w:hAnsi="Arial"/>
          <w:sz w:val="12"/>
          <w:szCs w:val="12"/>
          <w:color w:val="auto"/>
        </w:rPr>
        <w:t>Troy Kilpatrick, President Frank P. Sulzberger, MD William D. Lindelof, MD</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1"/>
          <w:szCs w:val="11"/>
          <w:color w:val="auto"/>
        </w:rPr>
        <w:t>Directors (Trustees)</w:t>
      </w:r>
    </w:p>
    <w:p>
      <w:pPr>
        <w:spacing w:after="0" w:line="325" w:lineRule="exact"/>
        <w:rPr>
          <w:sz w:val="20"/>
          <w:szCs w:val="20"/>
          <w:color w:val="auto"/>
        </w:rPr>
      </w:pPr>
    </w:p>
    <w:p>
      <w:pPr>
        <w:sectPr>
          <w:pgSz w:w="11900" w:h="16838" w:orient="portrait"/>
          <w:cols w:equalWidth="0" w:num="3">
            <w:col w:w="1660" w:space="720"/>
            <w:col w:w="40" w:space="620"/>
            <w:col w:w="8420"/>
          </w:cols>
          <w:pgMar w:left="220" w:top="866" w:right="219"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460"/>
          </w:cols>
          <w:pgMar w:left="220" w:top="866" w:right="219" w:bottom="1440" w:gutter="0" w:footer="0" w:header="0"/>
          <w:type w:val="continuous"/>
        </w:sectPr>
      </w:pPr>
    </w:p>
    <w:bookmarkStart w:id="307" w:name="page308"/>
    <w:bookmarkEnd w:id="307"/>
    <w:p>
      <w:pPr>
        <w:jc w:val="right"/>
        <w:spacing w:after="0"/>
        <w:rPr>
          <w:sz w:val="20"/>
          <w:szCs w:val="20"/>
          <w:color w:val="auto"/>
        </w:rPr>
      </w:pPr>
      <w:r>
        <w:rPr>
          <w:rFonts w:ascii="Arial" w:cs="Arial" w:eastAsia="Arial" w:hAnsi="Arial"/>
          <w:sz w:val="13"/>
          <w:szCs w:val="13"/>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284085"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wp:posOffset>
            </wp:positionV>
            <wp:extent cx="7284085"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rPr>
              <w:t>SECURITIES AND EXCHANGE COMMISSION</w:t>
            </w:r>
          </w:p>
        </w:tc>
        <w:tc>
          <w:tcPr>
            <w:tcW w:w="3920" w:type="dxa"/>
            <w:vAlign w:val="bottom"/>
          </w:tcPr>
          <w:p>
            <w:pPr>
              <w:spacing w:after="0"/>
              <w:rPr>
                <w:sz w:val="13"/>
                <w:szCs w:val="13"/>
                <w:color w:val="auto"/>
              </w:rPr>
            </w:pPr>
          </w:p>
        </w:tc>
      </w:tr>
      <w:tr>
        <w:trPr>
          <w:trHeight w:val="169"/>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0"/>
              </w:rPr>
              <w:t>Washington, D.C. 20549</w:t>
            </w:r>
          </w:p>
        </w:tc>
        <w:tc>
          <w:tcPr>
            <w:tcW w:w="3920" w:type="dxa"/>
            <w:vAlign w:val="bottom"/>
          </w:tcPr>
          <w:p>
            <w:pPr>
              <w:spacing w:after="0"/>
              <w:rPr>
                <w:sz w:val="14"/>
                <w:szCs w:val="14"/>
                <w:color w:val="auto"/>
              </w:rPr>
            </w:pPr>
          </w:p>
        </w:tc>
      </w:tr>
      <w:tr>
        <w:trPr>
          <w:trHeight w:val="208"/>
        </w:trPr>
        <w:tc>
          <w:tcPr>
            <w:tcW w:w="42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74"/>
        </w:trPr>
        <w:tc>
          <w:tcPr>
            <w:tcW w:w="4240" w:type="dxa"/>
            <w:vAlign w:val="bottom"/>
          </w:tcPr>
          <w:p>
            <w:pPr>
              <w:spacing w:after="0"/>
              <w:rPr>
                <w:sz w:val="23"/>
                <w:szCs w:val="23"/>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rPr>
              <w:t>FORM T-1</w:t>
            </w:r>
          </w:p>
        </w:tc>
        <w:tc>
          <w:tcPr>
            <w:tcW w:w="3920" w:type="dxa"/>
            <w:vAlign w:val="bottom"/>
          </w:tcPr>
          <w:p>
            <w:pPr>
              <w:spacing w:after="0"/>
              <w:rPr>
                <w:sz w:val="23"/>
                <w:szCs w:val="23"/>
                <w:color w:val="auto"/>
              </w:rPr>
            </w:pPr>
          </w:p>
        </w:tc>
      </w:tr>
      <w:tr>
        <w:trPr>
          <w:trHeight w:val="224"/>
        </w:trPr>
        <w:tc>
          <w:tcPr>
            <w:tcW w:w="4240" w:type="dxa"/>
            <w:vAlign w:val="bottom"/>
          </w:tcPr>
          <w:p>
            <w:pPr>
              <w:spacing w:after="0"/>
              <w:rPr>
                <w:sz w:val="19"/>
                <w:szCs w:val="19"/>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rPr>
              <w:t>STATEMENT OF ELIGIBILITY UNDER</w:t>
            </w:r>
          </w:p>
        </w:tc>
        <w:tc>
          <w:tcPr>
            <w:tcW w:w="3920" w:type="dxa"/>
            <w:vAlign w:val="bottom"/>
          </w:tcPr>
          <w:p>
            <w:pPr>
              <w:spacing w:after="0"/>
              <w:rPr>
                <w:sz w:val="19"/>
                <w:szCs w:val="19"/>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rPr>
              <w:t>THE TRUST INDENTURE ACT OF 1939 OF A</w:t>
            </w:r>
          </w:p>
        </w:tc>
        <w:tc>
          <w:tcPr>
            <w:tcW w:w="3920" w:type="dxa"/>
            <w:vAlign w:val="bottom"/>
          </w:tcPr>
          <w:p>
            <w:pPr>
              <w:spacing w:after="0"/>
              <w:rPr>
                <w:sz w:val="13"/>
                <w:szCs w:val="13"/>
                <w:color w:val="auto"/>
              </w:rPr>
            </w:pPr>
          </w:p>
        </w:tc>
      </w:tr>
      <w:tr>
        <w:trPr>
          <w:trHeight w:val="161"/>
        </w:trPr>
        <w:tc>
          <w:tcPr>
            <w:tcW w:w="7540" w:type="dxa"/>
            <w:vAlign w:val="bottom"/>
            <w:gridSpan w:val="7"/>
          </w:tcPr>
          <w:p>
            <w:pPr>
              <w:jc w:val="center"/>
              <w:ind w:left="3854"/>
              <w:spacing w:after="0"/>
              <w:rPr>
                <w:sz w:val="20"/>
                <w:szCs w:val="20"/>
                <w:color w:val="auto"/>
              </w:rPr>
            </w:pPr>
            <w:r>
              <w:rPr>
                <w:rFonts w:ascii="Arial" w:cs="Arial" w:eastAsia="Arial" w:hAnsi="Arial"/>
                <w:sz w:val="13"/>
                <w:szCs w:val="13"/>
                <w:b w:val="1"/>
                <w:bCs w:val="1"/>
                <w:color w:val="auto"/>
              </w:rPr>
              <w:t>CORPORATION DESIGNATED TO ACT AS TRUSTEE</w:t>
            </w:r>
          </w:p>
        </w:tc>
        <w:tc>
          <w:tcPr>
            <w:tcW w:w="3920" w:type="dxa"/>
            <w:vAlign w:val="bottom"/>
          </w:tcPr>
          <w:p>
            <w:pPr>
              <w:spacing w:after="0"/>
              <w:rPr>
                <w:sz w:val="14"/>
                <w:szCs w:val="14"/>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color w:val="auto"/>
                <w:w w:val="96"/>
              </w:rPr>
              <w:t>Check if an Application to Determine Eligibility of</w:t>
            </w:r>
          </w:p>
        </w:tc>
        <w:tc>
          <w:tcPr>
            <w:tcW w:w="3920" w:type="dxa"/>
            <w:vAlign w:val="bottom"/>
          </w:tcPr>
          <w:p>
            <w:pPr>
              <w:spacing w:after="0"/>
              <w:rPr>
                <w:sz w:val="13"/>
                <w:szCs w:val="13"/>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89"/>
              </w:rPr>
              <w:t>a Trustee Pursuant to Section 305(b)(2)</w:t>
            </w:r>
          </w:p>
        </w:tc>
        <w:tc>
          <w:tcPr>
            <w:tcW w:w="3920" w:type="dxa"/>
            <w:vAlign w:val="bottom"/>
          </w:tcPr>
          <w:p>
            <w:pPr>
              <w:spacing w:after="0"/>
              <w:rPr>
                <w:sz w:val="14"/>
                <w:szCs w:val="14"/>
                <w:color w:val="auto"/>
              </w:rPr>
            </w:pPr>
          </w:p>
        </w:tc>
      </w:tr>
      <w:tr>
        <w:trPr>
          <w:trHeight w:val="218"/>
        </w:trPr>
        <w:tc>
          <w:tcPr>
            <w:tcW w:w="42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66"/>
        </w:trPr>
        <w:tc>
          <w:tcPr>
            <w:tcW w:w="4240" w:type="dxa"/>
            <w:vAlign w:val="bottom"/>
          </w:tcPr>
          <w:p>
            <w:pPr>
              <w:spacing w:after="0"/>
              <w:rPr>
                <w:sz w:val="23"/>
                <w:szCs w:val="2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rPr>
              <w:t>U.S. BANK NATIONAL ASSOCIATION</w:t>
            </w:r>
          </w:p>
        </w:tc>
        <w:tc>
          <w:tcPr>
            <w:tcW w:w="3920" w:type="dxa"/>
            <w:vAlign w:val="bottom"/>
          </w:tcPr>
          <w:p>
            <w:pPr>
              <w:spacing w:after="0"/>
              <w:rPr>
                <w:sz w:val="23"/>
                <w:szCs w:val="23"/>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color w:val="auto"/>
                <w:w w:val="90"/>
              </w:rPr>
              <w:t>(Exact name of Trustee as specified in its charter)</w:t>
            </w:r>
          </w:p>
        </w:tc>
        <w:tc>
          <w:tcPr>
            <w:tcW w:w="3920" w:type="dxa"/>
            <w:vAlign w:val="bottom"/>
          </w:tcPr>
          <w:p>
            <w:pPr>
              <w:spacing w:after="0"/>
              <w:rPr>
                <w:sz w:val="14"/>
                <w:szCs w:val="14"/>
                <w:color w:val="auto"/>
              </w:rPr>
            </w:pPr>
          </w:p>
        </w:tc>
      </w:tr>
      <w:tr>
        <w:trPr>
          <w:trHeight w:val="228"/>
        </w:trPr>
        <w:tc>
          <w:tcPr>
            <w:tcW w:w="7220" w:type="dxa"/>
            <w:vAlign w:val="bottom"/>
            <w:gridSpan w:val="6"/>
          </w:tcPr>
          <w:p>
            <w:pPr>
              <w:jc w:val="right"/>
              <w:ind w:right="1160"/>
              <w:spacing w:after="0"/>
              <w:rPr>
                <w:sz w:val="20"/>
                <w:szCs w:val="20"/>
                <w:color w:val="auto"/>
              </w:rPr>
            </w:pPr>
            <w:r>
              <w:rPr>
                <w:rFonts w:ascii="Arial" w:cs="Arial" w:eastAsia="Arial" w:hAnsi="Arial"/>
                <w:sz w:val="13"/>
                <w:szCs w:val="13"/>
                <w:b w:val="1"/>
                <w:bCs w:val="1"/>
                <w:color w:val="auto"/>
              </w:rPr>
              <w:t>31-0841368</w:t>
            </w:r>
          </w:p>
        </w:tc>
        <w:tc>
          <w:tcPr>
            <w:tcW w:w="32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5"/>
              </w:rPr>
              <w:t>I.R.S. Employer Identification No.</w:t>
            </w:r>
          </w:p>
        </w:tc>
        <w:tc>
          <w:tcPr>
            <w:tcW w:w="3920" w:type="dxa"/>
            <w:vAlign w:val="bottom"/>
          </w:tcPr>
          <w:p>
            <w:pPr>
              <w:spacing w:after="0"/>
              <w:rPr>
                <w:sz w:val="14"/>
                <w:szCs w:val="14"/>
                <w:color w:val="auto"/>
              </w:rPr>
            </w:pPr>
          </w:p>
        </w:tc>
      </w:tr>
      <w:tr>
        <w:trPr>
          <w:trHeight w:val="307"/>
        </w:trPr>
        <w:tc>
          <w:tcPr>
            <w:tcW w:w="7540" w:type="dxa"/>
            <w:vAlign w:val="bottom"/>
            <w:gridSpan w:val="7"/>
          </w:tcPr>
          <w:p>
            <w:pPr>
              <w:jc w:val="center"/>
              <w:ind w:right="2100"/>
              <w:spacing w:after="0"/>
              <w:rPr>
                <w:sz w:val="20"/>
                <w:szCs w:val="20"/>
                <w:color w:val="auto"/>
              </w:rPr>
            </w:pPr>
            <w:r>
              <w:rPr>
                <w:rFonts w:ascii="Arial" w:cs="Arial" w:eastAsia="Arial" w:hAnsi="Arial"/>
                <w:sz w:val="13"/>
                <w:szCs w:val="13"/>
                <w:color w:val="auto"/>
                <w:w w:val="96"/>
              </w:rPr>
              <w:t>800 Nicollet Mall</w:t>
            </w:r>
          </w:p>
        </w:tc>
        <w:tc>
          <w:tcPr>
            <w:tcW w:w="3920" w:type="dxa"/>
            <w:vAlign w:val="bottom"/>
          </w:tcPr>
          <w:p>
            <w:pPr>
              <w:spacing w:after="0"/>
              <w:rPr>
                <w:sz w:val="24"/>
                <w:szCs w:val="24"/>
                <w:color w:val="auto"/>
              </w:rPr>
            </w:pPr>
          </w:p>
        </w:tc>
      </w:tr>
      <w:tr>
        <w:trPr>
          <w:trHeight w:val="165"/>
        </w:trPr>
        <w:tc>
          <w:tcPr>
            <w:tcW w:w="7540" w:type="dxa"/>
            <w:vAlign w:val="bottom"/>
            <w:gridSpan w:val="7"/>
          </w:tcPr>
          <w:p>
            <w:pPr>
              <w:jc w:val="center"/>
              <w:ind w:right="2100"/>
              <w:spacing w:after="0"/>
              <w:rPr>
                <w:sz w:val="20"/>
                <w:szCs w:val="20"/>
                <w:color w:val="auto"/>
              </w:rPr>
            </w:pPr>
            <w:r>
              <w:rPr>
                <w:rFonts w:ascii="Arial" w:cs="Arial" w:eastAsia="Arial" w:hAnsi="Arial"/>
                <w:sz w:val="13"/>
                <w:szCs w:val="13"/>
                <w:color w:val="auto"/>
                <w:w w:val="93"/>
              </w:rPr>
              <w:t>Minneapolis, Minnesota</w:t>
            </w:r>
          </w:p>
        </w:tc>
        <w:tc>
          <w:tcPr>
            <w:tcW w:w="3920" w:type="dxa"/>
            <w:vAlign w:val="bottom"/>
          </w:tcPr>
          <w:p>
            <w:pPr>
              <w:jc w:val="right"/>
              <w:ind w:right="2494"/>
              <w:spacing w:after="0"/>
              <w:rPr>
                <w:sz w:val="20"/>
                <w:szCs w:val="20"/>
                <w:color w:val="auto"/>
              </w:rPr>
            </w:pPr>
            <w:r>
              <w:rPr>
                <w:rFonts w:ascii="Arial" w:cs="Arial" w:eastAsia="Arial" w:hAnsi="Arial"/>
                <w:sz w:val="13"/>
                <w:szCs w:val="13"/>
                <w:color w:val="auto"/>
              </w:rPr>
              <w:t>55402</w:t>
            </w:r>
          </w:p>
        </w:tc>
      </w:tr>
      <w:tr>
        <w:trPr>
          <w:trHeight w:val="155"/>
        </w:trPr>
        <w:tc>
          <w:tcPr>
            <w:tcW w:w="54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3"/>
              </w:rPr>
              <w:t>(Address of principal executive offices)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top w:val="single" w:sz="8" w:color="auto"/>
            </w:tcBorders>
            <w:gridSpan w:val="2"/>
          </w:tcPr>
          <w:p>
            <w:pPr>
              <w:spacing w:after="0"/>
              <w:rPr>
                <w:sz w:val="13"/>
                <w:szCs w:val="13"/>
                <w:color w:val="auto"/>
              </w:rPr>
            </w:pPr>
          </w:p>
        </w:tc>
        <w:tc>
          <w:tcPr>
            <w:tcW w:w="3920" w:type="dxa"/>
            <w:vAlign w:val="bottom"/>
            <w:tcBorders>
              <w:top w:val="single" w:sz="8" w:color="auto"/>
            </w:tcBorders>
          </w:tcPr>
          <w:p>
            <w:pPr>
              <w:jc w:val="center"/>
              <w:ind w:right="1434"/>
              <w:spacing w:after="0"/>
              <w:rPr>
                <w:sz w:val="20"/>
                <w:szCs w:val="20"/>
                <w:color w:val="auto"/>
              </w:rPr>
            </w:pPr>
            <w:r>
              <w:rPr>
                <w:rFonts w:ascii="Arial" w:cs="Arial" w:eastAsia="Arial" w:hAnsi="Arial"/>
                <w:sz w:val="13"/>
                <w:szCs w:val="13"/>
                <w:color w:val="auto"/>
                <w:w w:val="94"/>
              </w:rPr>
              <w:t>(Zip Code)</w:t>
            </w:r>
          </w:p>
        </w:tc>
      </w:tr>
      <w:tr>
        <w:trPr>
          <w:trHeight w:val="377"/>
        </w:trPr>
        <w:tc>
          <w:tcPr>
            <w:tcW w:w="4240" w:type="dxa"/>
            <w:vAlign w:val="bottom"/>
          </w:tcPr>
          <w:p>
            <w:pPr>
              <w:spacing w:after="0"/>
              <w:rPr>
                <w:sz w:val="24"/>
                <w:szCs w:val="24"/>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color w:val="auto"/>
                <w:w w:val="93"/>
              </w:rPr>
              <w:t>Brenda D. Black</w:t>
            </w:r>
          </w:p>
        </w:tc>
        <w:tc>
          <w:tcPr>
            <w:tcW w:w="3920" w:type="dxa"/>
            <w:vAlign w:val="bottom"/>
          </w:tcPr>
          <w:p>
            <w:pPr>
              <w:spacing w:after="0"/>
              <w:rPr>
                <w:sz w:val="24"/>
                <w:szCs w:val="24"/>
                <w:color w:val="auto"/>
              </w:rPr>
            </w:pPr>
          </w:p>
        </w:tc>
      </w:tr>
      <w:tr>
        <w:trPr>
          <w:trHeight w:val="155"/>
        </w:trPr>
        <w:tc>
          <w:tcPr>
            <w:tcW w:w="4240" w:type="dxa"/>
            <w:vAlign w:val="bottom"/>
          </w:tcPr>
          <w:p>
            <w:pPr>
              <w:spacing w:after="0"/>
              <w:rPr>
                <w:sz w:val="13"/>
                <w:szCs w:val="1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color w:val="auto"/>
                <w:w w:val="93"/>
              </w:rPr>
              <w:t>U.S. Bank National Association</w:t>
            </w:r>
          </w:p>
        </w:tc>
        <w:tc>
          <w:tcPr>
            <w:tcW w:w="3920" w:type="dxa"/>
            <w:vAlign w:val="bottom"/>
          </w:tcPr>
          <w:p>
            <w:pPr>
              <w:spacing w:after="0"/>
              <w:rPr>
                <w:sz w:val="13"/>
                <w:szCs w:val="13"/>
                <w:color w:val="auto"/>
              </w:rPr>
            </w:pPr>
          </w:p>
        </w:tc>
      </w:tr>
      <w:tr>
        <w:trPr>
          <w:trHeight w:val="159"/>
        </w:trPr>
        <w:tc>
          <w:tcPr>
            <w:tcW w:w="4240" w:type="dxa"/>
            <w:vAlign w:val="bottom"/>
          </w:tcPr>
          <w:p>
            <w:pPr>
              <w:spacing w:after="0"/>
              <w:rPr>
                <w:sz w:val="13"/>
                <w:szCs w:val="1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color w:val="auto"/>
                <w:w w:val="93"/>
              </w:rPr>
              <w:t>101 North First Avenue, 16</w:t>
            </w:r>
            <w:r>
              <w:rPr>
                <w:rFonts w:ascii="Arial" w:cs="Arial" w:eastAsia="Arial" w:hAnsi="Arial"/>
                <w:sz w:val="11"/>
                <w:szCs w:val="11"/>
                <w:color w:val="auto"/>
                <w:w w:val="93"/>
              </w:rPr>
              <w:t>th</w:t>
            </w:r>
            <w:r>
              <w:rPr>
                <w:rFonts w:ascii="Arial" w:cs="Arial" w:eastAsia="Arial" w:hAnsi="Arial"/>
                <w:sz w:val="13"/>
                <w:szCs w:val="13"/>
                <w:color w:val="auto"/>
                <w:w w:val="93"/>
              </w:rPr>
              <w:t xml:space="preserve"> Floor</w:t>
            </w:r>
          </w:p>
        </w:tc>
        <w:tc>
          <w:tcPr>
            <w:tcW w:w="3920" w:type="dxa"/>
            <w:vAlign w:val="bottom"/>
          </w:tcPr>
          <w:p>
            <w:pPr>
              <w:spacing w:after="0"/>
              <w:rPr>
                <w:sz w:val="13"/>
                <w:szCs w:val="13"/>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2"/>
              </w:rPr>
              <w:t>Phoenix, AZ 85003</w:t>
            </w:r>
          </w:p>
        </w:tc>
        <w:tc>
          <w:tcPr>
            <w:tcW w:w="3920" w:type="dxa"/>
            <w:vAlign w:val="bottom"/>
          </w:tcPr>
          <w:p>
            <w:pPr>
              <w:spacing w:after="0"/>
              <w:rPr>
                <w:sz w:val="13"/>
                <w:szCs w:val="13"/>
                <w:color w:val="auto"/>
              </w:rPr>
            </w:pPr>
          </w:p>
        </w:tc>
      </w:tr>
      <w:tr>
        <w:trPr>
          <w:trHeight w:val="157"/>
        </w:trPr>
        <w:tc>
          <w:tcPr>
            <w:tcW w:w="7220" w:type="dxa"/>
            <w:vAlign w:val="bottom"/>
            <w:gridSpan w:val="6"/>
          </w:tcPr>
          <w:p>
            <w:pPr>
              <w:jc w:val="right"/>
              <w:ind w:right="1080"/>
              <w:spacing w:after="0"/>
              <w:rPr>
                <w:sz w:val="20"/>
                <w:szCs w:val="20"/>
                <w:color w:val="auto"/>
              </w:rPr>
            </w:pPr>
            <w:r>
              <w:rPr>
                <w:rFonts w:ascii="Arial" w:cs="Arial" w:eastAsia="Arial" w:hAnsi="Arial"/>
                <w:sz w:val="13"/>
                <w:szCs w:val="13"/>
                <w:color w:val="auto"/>
              </w:rPr>
              <w:t>(602) 257-5331</w:t>
            </w:r>
          </w:p>
        </w:tc>
        <w:tc>
          <w:tcPr>
            <w:tcW w:w="32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165"/>
        </w:trPr>
        <w:tc>
          <w:tcPr>
            <w:tcW w:w="7540" w:type="dxa"/>
            <w:vAlign w:val="bottom"/>
            <w:gridSpan w:val="7"/>
          </w:tcPr>
          <w:p>
            <w:pPr>
              <w:jc w:val="center"/>
              <w:ind w:left="3854"/>
              <w:spacing w:after="0"/>
              <w:rPr>
                <w:sz w:val="20"/>
                <w:szCs w:val="20"/>
                <w:color w:val="auto"/>
              </w:rPr>
            </w:pPr>
            <w:r>
              <w:rPr>
                <w:rFonts w:ascii="Arial" w:cs="Arial" w:eastAsia="Arial" w:hAnsi="Arial"/>
                <w:sz w:val="13"/>
                <w:szCs w:val="13"/>
                <w:color w:val="auto"/>
                <w:w w:val="89"/>
              </w:rPr>
              <w:t>(Name, address and telephone number of agent for service)</w:t>
            </w:r>
          </w:p>
        </w:tc>
        <w:tc>
          <w:tcPr>
            <w:tcW w:w="3920" w:type="dxa"/>
            <w:vAlign w:val="bottom"/>
          </w:tcPr>
          <w:p>
            <w:pPr>
              <w:spacing w:after="0"/>
              <w:rPr>
                <w:sz w:val="14"/>
                <w:szCs w:val="14"/>
                <w:color w:val="auto"/>
              </w:rPr>
            </w:pPr>
          </w:p>
        </w:tc>
      </w:tr>
      <w:tr>
        <w:trPr>
          <w:trHeight w:val="228"/>
        </w:trPr>
        <w:tc>
          <w:tcPr>
            <w:tcW w:w="4240" w:type="dxa"/>
            <w:vAlign w:val="bottom"/>
          </w:tcPr>
          <w:p>
            <w:pPr>
              <w:spacing w:after="0"/>
              <w:rPr>
                <w:sz w:val="19"/>
                <w:szCs w:val="19"/>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2"/>
              </w:rPr>
              <w:t>Republic Services, Inc.</w:t>
            </w:r>
          </w:p>
        </w:tc>
        <w:tc>
          <w:tcPr>
            <w:tcW w:w="3920" w:type="dxa"/>
            <w:vAlign w:val="bottom"/>
          </w:tcPr>
          <w:p>
            <w:pPr>
              <w:spacing w:after="0"/>
              <w:rPr>
                <w:sz w:val="19"/>
                <w:szCs w:val="19"/>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1"/>
              </w:rPr>
              <w:t>(Exact name of obligor as specified in its charter)</w:t>
            </w:r>
          </w:p>
        </w:tc>
        <w:tc>
          <w:tcPr>
            <w:tcW w:w="3920" w:type="dxa"/>
            <w:vAlign w:val="bottom"/>
          </w:tcPr>
          <w:p>
            <w:pPr>
              <w:spacing w:after="0"/>
              <w:rPr>
                <w:sz w:val="14"/>
                <w:szCs w:val="14"/>
                <w:color w:val="auto"/>
              </w:rPr>
            </w:pPr>
          </w:p>
        </w:tc>
      </w:tr>
      <w:tr>
        <w:trPr>
          <w:trHeight w:val="315"/>
        </w:trPr>
        <w:tc>
          <w:tcPr>
            <w:tcW w:w="7540" w:type="dxa"/>
            <w:vAlign w:val="bottom"/>
            <w:gridSpan w:val="7"/>
          </w:tcPr>
          <w:p>
            <w:pPr>
              <w:jc w:val="center"/>
              <w:ind w:right="2000"/>
              <w:spacing w:after="0"/>
              <w:rPr>
                <w:sz w:val="20"/>
                <w:szCs w:val="20"/>
                <w:color w:val="auto"/>
              </w:rPr>
            </w:pPr>
            <w:r>
              <w:rPr>
                <w:rFonts w:ascii="Arial" w:cs="Arial" w:eastAsia="Arial" w:hAnsi="Arial"/>
                <w:sz w:val="13"/>
                <w:szCs w:val="13"/>
                <w:color w:val="auto"/>
                <w:w w:val="90"/>
              </w:rPr>
              <w:t>Delaware</w:t>
            </w:r>
          </w:p>
        </w:tc>
        <w:tc>
          <w:tcPr>
            <w:tcW w:w="3920" w:type="dxa"/>
            <w:vAlign w:val="bottom"/>
          </w:tcPr>
          <w:p>
            <w:pPr>
              <w:jc w:val="right"/>
              <w:ind w:right="2394"/>
              <w:spacing w:after="0"/>
              <w:rPr>
                <w:sz w:val="20"/>
                <w:szCs w:val="20"/>
                <w:color w:val="auto"/>
              </w:rPr>
            </w:pPr>
            <w:r>
              <w:rPr>
                <w:rFonts w:ascii="Arial" w:cs="Arial" w:eastAsia="Arial" w:hAnsi="Arial"/>
                <w:sz w:val="13"/>
                <w:szCs w:val="13"/>
                <w:color w:val="auto"/>
              </w:rPr>
              <w:t>65-0716904</w:t>
            </w:r>
          </w:p>
        </w:tc>
      </w:tr>
      <w:tr>
        <w:trPr>
          <w:trHeight w:val="155"/>
        </w:trPr>
        <w:tc>
          <w:tcPr>
            <w:tcW w:w="556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color w:val="auto"/>
                <w:w w:val="93"/>
              </w:rPr>
              <w:t>(State or other jurisdiction of incorporation or organization)</w:t>
            </w:r>
          </w:p>
        </w:tc>
        <w:tc>
          <w:tcPr>
            <w:tcW w:w="340" w:type="dxa"/>
            <w:vAlign w:val="bottom"/>
          </w:tcPr>
          <w:p>
            <w:pPr>
              <w:spacing w:after="0"/>
              <w:rPr>
                <w:sz w:val="13"/>
                <w:szCs w:val="13"/>
                <w:color w:val="auto"/>
              </w:rPr>
            </w:pPr>
          </w:p>
        </w:tc>
        <w:tc>
          <w:tcPr>
            <w:tcW w:w="1640" w:type="dxa"/>
            <w:vAlign w:val="bottom"/>
            <w:tcBorders>
              <w:top w:val="single" w:sz="8" w:color="auto"/>
            </w:tcBorders>
            <w:gridSpan w:val="3"/>
          </w:tcPr>
          <w:p>
            <w:pPr>
              <w:spacing w:after="0"/>
              <w:rPr>
                <w:sz w:val="13"/>
                <w:szCs w:val="13"/>
                <w:color w:val="auto"/>
              </w:rPr>
            </w:pPr>
          </w:p>
        </w:tc>
        <w:tc>
          <w:tcPr>
            <w:tcW w:w="3920" w:type="dxa"/>
            <w:vAlign w:val="bottom"/>
            <w:tcBorders>
              <w:top w:val="single" w:sz="8" w:color="auto"/>
            </w:tcBorders>
          </w:tcPr>
          <w:p>
            <w:pPr>
              <w:jc w:val="center"/>
              <w:ind w:right="1554"/>
              <w:spacing w:after="0"/>
              <w:rPr>
                <w:sz w:val="20"/>
                <w:szCs w:val="20"/>
                <w:color w:val="auto"/>
              </w:rPr>
            </w:pPr>
            <w:r>
              <w:rPr>
                <w:rFonts w:ascii="Arial" w:cs="Arial" w:eastAsia="Arial" w:hAnsi="Arial"/>
                <w:sz w:val="13"/>
                <w:szCs w:val="13"/>
                <w:color w:val="auto"/>
                <w:w w:val="94"/>
              </w:rPr>
              <w:t>(I.R.S. Employer Identification No.)</w:t>
            </w:r>
          </w:p>
        </w:tc>
      </w:tr>
      <w:tr>
        <w:trPr>
          <w:trHeight w:val="306"/>
        </w:trPr>
        <w:tc>
          <w:tcPr>
            <w:tcW w:w="7540" w:type="dxa"/>
            <w:vAlign w:val="bottom"/>
            <w:gridSpan w:val="7"/>
          </w:tcPr>
          <w:p>
            <w:pPr>
              <w:jc w:val="center"/>
              <w:ind w:right="2000"/>
              <w:spacing w:after="0"/>
              <w:rPr>
                <w:sz w:val="20"/>
                <w:szCs w:val="20"/>
                <w:color w:val="auto"/>
              </w:rPr>
            </w:pPr>
            <w:r>
              <w:rPr>
                <w:rFonts w:ascii="Arial" w:cs="Arial" w:eastAsia="Arial" w:hAnsi="Arial"/>
                <w:sz w:val="13"/>
                <w:szCs w:val="13"/>
                <w:color w:val="auto"/>
                <w:w w:val="94"/>
              </w:rPr>
              <w:t>18500 North Allied Way, Phoenix, AZ</w:t>
            </w:r>
          </w:p>
        </w:tc>
        <w:tc>
          <w:tcPr>
            <w:tcW w:w="3920" w:type="dxa"/>
            <w:vAlign w:val="bottom"/>
          </w:tcPr>
          <w:p>
            <w:pPr>
              <w:jc w:val="right"/>
              <w:ind w:right="2554"/>
              <w:spacing w:after="0"/>
              <w:rPr>
                <w:sz w:val="20"/>
                <w:szCs w:val="20"/>
                <w:color w:val="auto"/>
              </w:rPr>
            </w:pPr>
            <w:r>
              <w:rPr>
                <w:rFonts w:ascii="Arial" w:cs="Arial" w:eastAsia="Arial" w:hAnsi="Arial"/>
                <w:sz w:val="13"/>
                <w:szCs w:val="13"/>
                <w:color w:val="auto"/>
              </w:rPr>
              <w:t>85054</w:t>
            </w:r>
          </w:p>
        </w:tc>
      </w:tr>
      <w:tr>
        <w:trPr>
          <w:trHeight w:val="155"/>
        </w:trPr>
        <w:tc>
          <w:tcPr>
            <w:tcW w:w="556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3"/>
              </w:rPr>
              <w:t>(Address of Principal Executive Offices)</w:t>
            </w:r>
          </w:p>
        </w:tc>
        <w:tc>
          <w:tcPr>
            <w:tcW w:w="340" w:type="dxa"/>
            <w:vAlign w:val="bottom"/>
          </w:tcPr>
          <w:p>
            <w:pPr>
              <w:spacing w:after="0"/>
              <w:rPr>
                <w:sz w:val="13"/>
                <w:szCs w:val="13"/>
                <w:color w:val="auto"/>
              </w:rPr>
            </w:pPr>
          </w:p>
        </w:tc>
        <w:tc>
          <w:tcPr>
            <w:tcW w:w="1640" w:type="dxa"/>
            <w:vAlign w:val="bottom"/>
            <w:tcBorders>
              <w:top w:val="single" w:sz="8" w:color="auto"/>
            </w:tcBorders>
            <w:gridSpan w:val="3"/>
          </w:tcPr>
          <w:p>
            <w:pPr>
              <w:spacing w:after="0"/>
              <w:rPr>
                <w:sz w:val="13"/>
                <w:szCs w:val="13"/>
                <w:color w:val="auto"/>
              </w:rPr>
            </w:pPr>
          </w:p>
        </w:tc>
        <w:tc>
          <w:tcPr>
            <w:tcW w:w="3920" w:type="dxa"/>
            <w:vAlign w:val="bottom"/>
            <w:tcBorders>
              <w:top w:val="single" w:sz="8" w:color="auto"/>
            </w:tcBorders>
          </w:tcPr>
          <w:p>
            <w:pPr>
              <w:jc w:val="center"/>
              <w:ind w:right="1554"/>
              <w:spacing w:after="0"/>
              <w:rPr>
                <w:sz w:val="20"/>
                <w:szCs w:val="20"/>
                <w:color w:val="auto"/>
              </w:rPr>
            </w:pPr>
            <w:r>
              <w:rPr>
                <w:rFonts w:ascii="Arial" w:cs="Arial" w:eastAsia="Arial" w:hAnsi="Arial"/>
                <w:sz w:val="13"/>
                <w:szCs w:val="13"/>
                <w:color w:val="auto"/>
                <w:w w:val="94"/>
              </w:rPr>
              <w:t>(Zip Code)</w:t>
            </w:r>
          </w:p>
        </w:tc>
      </w:tr>
      <w:tr>
        <w:trPr>
          <w:trHeight w:val="220"/>
        </w:trPr>
        <w:tc>
          <w:tcPr>
            <w:tcW w:w="4240" w:type="dxa"/>
            <w:vAlign w:val="bottom"/>
          </w:tcPr>
          <w:p>
            <w:pPr>
              <w:spacing w:after="0"/>
              <w:rPr>
                <w:sz w:val="19"/>
                <w:szCs w:val="19"/>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88"/>
              </w:rPr>
              <w:t>Debt Securities</w:t>
            </w:r>
          </w:p>
        </w:tc>
        <w:tc>
          <w:tcPr>
            <w:tcW w:w="3920" w:type="dxa"/>
            <w:vAlign w:val="bottom"/>
          </w:tcPr>
          <w:p>
            <w:pPr>
              <w:spacing w:after="0"/>
              <w:rPr>
                <w:sz w:val="19"/>
                <w:szCs w:val="19"/>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2"/>
              </w:rPr>
              <w:t>(Title of the Indenture Securities)</w:t>
            </w:r>
          </w:p>
        </w:tc>
        <w:tc>
          <w:tcPr>
            <w:tcW w:w="3920" w:type="dxa"/>
            <w:vAlign w:val="bottom"/>
          </w:tcPr>
          <w:p>
            <w:pPr>
              <w:spacing w:after="0"/>
              <w:rPr>
                <w:sz w:val="14"/>
                <w:szCs w:val="14"/>
                <w:color w:val="auto"/>
              </w:rPr>
            </w:pPr>
          </w:p>
        </w:tc>
      </w:tr>
      <w:tr>
        <w:trPr>
          <w:trHeight w:val="168"/>
        </w:trPr>
        <w:tc>
          <w:tcPr>
            <w:tcW w:w="4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r>
      <w:tr>
        <w:trPr>
          <w:trHeight w:val="447"/>
        </w:trPr>
        <w:tc>
          <w:tcPr>
            <w:tcW w:w="42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308" w:name="page309"/>
    <w:bookmarkEnd w:id="308"/>
    <w:p>
      <w:pPr>
        <w:jc w:val="center"/>
        <w:ind w:right="-20"/>
        <w:spacing w:after="0"/>
        <w:rPr>
          <w:sz w:val="20"/>
          <w:szCs w:val="20"/>
          <w:color w:val="auto"/>
        </w:rPr>
      </w:pPr>
      <w:r>
        <w:rPr>
          <w:rFonts w:ascii="Arial" w:cs="Arial" w:eastAsia="Arial" w:hAnsi="Arial"/>
          <w:sz w:val="13"/>
          <w:szCs w:val="13"/>
          <w:b w:val="1"/>
          <w:bCs w:val="1"/>
          <w:u w:val="single" w:color="auto"/>
          <w:color w:val="auto"/>
        </w:rPr>
        <w:t>FORM T-1</w:t>
      </w:r>
    </w:p>
    <w:p>
      <w:pPr>
        <w:spacing w:after="0" w:line="86" w:lineRule="exact"/>
        <w:rPr>
          <w:sz w:val="20"/>
          <w:szCs w:val="20"/>
          <w:color w:val="auto"/>
        </w:rPr>
      </w:pPr>
    </w:p>
    <w:p>
      <w:pPr>
        <w:ind w:left="1"/>
        <w:spacing w:after="0"/>
        <w:tabs>
          <w:tab w:leader="none" w:pos="481"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GENERAL INFORMATION</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Furnish the following information as to the Trustee.</w:t>
      </w:r>
    </w:p>
    <w:p>
      <w:pPr>
        <w:spacing w:after="0" w:line="90" w:lineRule="exact"/>
        <w:rPr>
          <w:sz w:val="20"/>
          <w:szCs w:val="20"/>
          <w:color w:val="auto"/>
        </w:rPr>
      </w:pPr>
    </w:p>
    <w:p>
      <w:pPr>
        <w:ind w:left="901" w:hanging="449"/>
        <w:spacing w:after="0"/>
        <w:tabs>
          <w:tab w:leader="none" w:pos="901" w:val="left"/>
        </w:tabs>
        <w:numPr>
          <w:ilvl w:val="0"/>
          <w:numId w:val="129"/>
        </w:numPr>
        <w:rPr>
          <w:rFonts w:ascii="Arial" w:cs="Arial" w:eastAsia="Arial" w:hAnsi="Arial"/>
          <w:sz w:val="13"/>
          <w:szCs w:val="13"/>
          <w:color w:val="auto"/>
        </w:rPr>
      </w:pPr>
      <w:r>
        <w:rPr>
          <w:rFonts w:ascii="Arial" w:cs="Arial" w:eastAsia="Arial" w:hAnsi="Arial"/>
          <w:sz w:val="13"/>
          <w:szCs w:val="13"/>
          <w:i w:val="1"/>
          <w:iCs w:val="1"/>
          <w:color w:val="auto"/>
        </w:rPr>
        <w:t>Name and address of each examining or supervising authority to which it is subject.</w:t>
      </w:r>
    </w:p>
    <w:p>
      <w:pPr>
        <w:spacing w:after="0" w:line="96" w:lineRule="exact"/>
        <w:rPr>
          <w:sz w:val="20"/>
          <w:szCs w:val="20"/>
          <w:color w:val="auto"/>
        </w:rPr>
      </w:pPr>
    </w:p>
    <w:p>
      <w:pPr>
        <w:ind w:left="1061"/>
        <w:spacing w:after="0"/>
        <w:rPr>
          <w:sz w:val="20"/>
          <w:szCs w:val="20"/>
          <w:color w:val="auto"/>
        </w:rPr>
      </w:pPr>
      <w:r>
        <w:rPr>
          <w:rFonts w:ascii="Arial" w:cs="Arial" w:eastAsia="Arial" w:hAnsi="Arial"/>
          <w:sz w:val="13"/>
          <w:szCs w:val="13"/>
          <w:color w:val="auto"/>
        </w:rPr>
        <w:t>Comptroller of the Currency</w:t>
      </w:r>
    </w:p>
    <w:p>
      <w:pPr>
        <w:spacing w:after="0" w:line="15" w:lineRule="exact"/>
        <w:rPr>
          <w:sz w:val="20"/>
          <w:szCs w:val="20"/>
          <w:color w:val="auto"/>
        </w:rPr>
      </w:pPr>
    </w:p>
    <w:p>
      <w:pPr>
        <w:ind w:left="1061"/>
        <w:spacing w:after="0"/>
        <w:rPr>
          <w:sz w:val="20"/>
          <w:szCs w:val="20"/>
          <w:color w:val="auto"/>
        </w:rPr>
      </w:pPr>
      <w:r>
        <w:rPr>
          <w:rFonts w:ascii="Arial" w:cs="Arial" w:eastAsia="Arial" w:hAnsi="Arial"/>
          <w:sz w:val="13"/>
          <w:szCs w:val="13"/>
          <w:color w:val="auto"/>
        </w:rPr>
        <w:t>Washington, D.C.</w:t>
      </w:r>
    </w:p>
    <w:p>
      <w:pPr>
        <w:spacing w:after="0" w:line="89" w:lineRule="exact"/>
        <w:rPr>
          <w:sz w:val="20"/>
          <w:szCs w:val="20"/>
          <w:color w:val="auto"/>
        </w:rPr>
      </w:pPr>
    </w:p>
    <w:p>
      <w:pPr>
        <w:ind w:left="901" w:hanging="449"/>
        <w:spacing w:after="0"/>
        <w:tabs>
          <w:tab w:leader="none" w:pos="901" w:val="left"/>
        </w:tabs>
        <w:numPr>
          <w:ilvl w:val="0"/>
          <w:numId w:val="130"/>
        </w:numPr>
        <w:rPr>
          <w:rFonts w:ascii="Arial" w:cs="Arial" w:eastAsia="Arial" w:hAnsi="Arial"/>
          <w:sz w:val="13"/>
          <w:szCs w:val="13"/>
          <w:color w:val="auto"/>
        </w:rPr>
      </w:pPr>
      <w:r>
        <w:rPr>
          <w:rFonts w:ascii="Arial" w:cs="Arial" w:eastAsia="Arial" w:hAnsi="Arial"/>
          <w:sz w:val="13"/>
          <w:szCs w:val="13"/>
          <w:i w:val="1"/>
          <w:iCs w:val="1"/>
          <w:color w:val="auto"/>
        </w:rPr>
        <w:t>Whether it is authorized to exercise corporate trust powers.</w:t>
      </w:r>
    </w:p>
    <w:p>
      <w:pPr>
        <w:spacing w:after="0" w:line="96" w:lineRule="exact"/>
        <w:rPr>
          <w:sz w:val="20"/>
          <w:szCs w:val="20"/>
          <w:color w:val="auto"/>
        </w:rPr>
      </w:pPr>
    </w:p>
    <w:p>
      <w:pPr>
        <w:ind w:left="1101"/>
        <w:spacing w:after="0"/>
        <w:rPr>
          <w:sz w:val="20"/>
          <w:szCs w:val="20"/>
          <w:color w:val="auto"/>
        </w:rPr>
      </w:pPr>
      <w:r>
        <w:rPr>
          <w:rFonts w:ascii="Arial" w:cs="Arial" w:eastAsia="Arial" w:hAnsi="Arial"/>
          <w:sz w:val="13"/>
          <w:szCs w:val="13"/>
          <w:color w:val="auto"/>
        </w:rPr>
        <w:t>Trustee is authorized to exercise corporate trust powers.</w:t>
      </w:r>
    </w:p>
    <w:p>
      <w:pPr>
        <w:spacing w:after="0" w:line="82" w:lineRule="exact"/>
        <w:rPr>
          <w:sz w:val="20"/>
          <w:szCs w:val="20"/>
          <w:color w:val="auto"/>
        </w:rPr>
      </w:pPr>
    </w:p>
    <w:p>
      <w:pPr>
        <w:ind w:left="1"/>
        <w:spacing w:after="0"/>
        <w:tabs>
          <w:tab w:leader="none" w:pos="481"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 xml:space="preserve">AFFILIATIONS WITH OBLIGOR. </w:t>
      </w:r>
      <w:r>
        <w:rPr>
          <w:rFonts w:ascii="Arial" w:cs="Arial" w:eastAsia="Arial" w:hAnsi="Arial"/>
          <w:sz w:val="12"/>
          <w:szCs w:val="12"/>
          <w:i w:val="1"/>
          <w:iCs w:val="1"/>
          <w:color w:val="auto"/>
        </w:rPr>
        <w:t>If the obligor is an affiliate of the Trustee, describe each such affiliation.</w:t>
      </w:r>
    </w:p>
    <w:p>
      <w:pPr>
        <w:spacing w:after="0" w:line="100" w:lineRule="exact"/>
        <w:rPr>
          <w:sz w:val="20"/>
          <w:szCs w:val="20"/>
          <w:color w:val="auto"/>
        </w:rPr>
      </w:pPr>
    </w:p>
    <w:p>
      <w:pPr>
        <w:ind w:left="661"/>
        <w:spacing w:after="0"/>
        <w:rPr>
          <w:sz w:val="20"/>
          <w:szCs w:val="20"/>
          <w:color w:val="auto"/>
        </w:rPr>
      </w:pPr>
      <w:r>
        <w:rPr>
          <w:rFonts w:ascii="Arial" w:cs="Arial" w:eastAsia="Arial" w:hAnsi="Arial"/>
          <w:sz w:val="13"/>
          <w:szCs w:val="13"/>
          <w:color w:val="auto"/>
        </w:rPr>
        <w:t>None</w:t>
      </w:r>
    </w:p>
    <w:p>
      <w:pPr>
        <w:spacing w:after="0" w:line="86" w:lineRule="exact"/>
        <w:rPr>
          <w:sz w:val="20"/>
          <w:szCs w:val="20"/>
          <w:color w:val="auto"/>
        </w:rPr>
      </w:pPr>
    </w:p>
    <w:p>
      <w:pPr>
        <w:ind w:left="461"/>
        <w:spacing w:after="0"/>
        <w:rPr>
          <w:sz w:val="20"/>
          <w:szCs w:val="20"/>
          <w:color w:val="auto"/>
        </w:rPr>
      </w:pPr>
      <w:r>
        <w:rPr>
          <w:rFonts w:ascii="Arial" w:cs="Arial" w:eastAsia="Arial" w:hAnsi="Arial"/>
          <w:sz w:val="12"/>
          <w:szCs w:val="12"/>
          <w:i w:val="1"/>
          <w:iCs w:val="1"/>
          <w:color w:val="auto"/>
        </w:rPr>
        <w:t>In answering this item, the trustee has relied, in part, upon information furnished by the obligor and the underwriters, and has also examined its own books and records for the purpose of answering this item.</w:t>
      </w:r>
    </w:p>
    <w:p>
      <w:pPr>
        <w:spacing w:after="0" w:line="94" w:lineRule="exact"/>
        <w:rPr>
          <w:sz w:val="20"/>
          <w:szCs w:val="20"/>
          <w:color w:val="auto"/>
        </w:rPr>
      </w:pPr>
    </w:p>
    <w:p>
      <w:pPr>
        <w:ind w:left="1"/>
        <w:spacing w:after="0"/>
        <w:tabs>
          <w:tab w:leader="none" w:pos="681" w:val="left"/>
        </w:tabs>
        <w:rPr>
          <w:sz w:val="20"/>
          <w:szCs w:val="20"/>
          <w:color w:val="auto"/>
        </w:rPr>
      </w:pPr>
      <w:r>
        <w:rPr>
          <w:rFonts w:ascii="Arial" w:cs="Arial" w:eastAsia="Arial" w:hAnsi="Arial"/>
          <w:sz w:val="13"/>
          <w:szCs w:val="13"/>
          <w:b w:val="1"/>
          <w:bCs w:val="1"/>
          <w:color w:val="auto"/>
        </w:rPr>
        <w:t>Items 3-15</w:t>
      </w:r>
      <w:r>
        <w:rPr>
          <w:sz w:val="20"/>
          <w:szCs w:val="20"/>
          <w:color w:val="auto"/>
        </w:rPr>
        <w:tab/>
      </w:r>
      <w:r>
        <w:rPr>
          <w:rFonts w:ascii="Arial" w:cs="Arial" w:eastAsia="Arial" w:hAnsi="Arial"/>
          <w:sz w:val="11"/>
          <w:szCs w:val="11"/>
          <w:i w:val="1"/>
          <w:iCs w:val="1"/>
          <w:color w:val="auto"/>
        </w:rPr>
        <w:t>Items 3-15 are not applicable because to the best of the Trustee’s knowledge, the obligor is not in default under any Indenture for which the Trustee acts as Trustee.</w:t>
      </w:r>
    </w:p>
    <w:p>
      <w:pPr>
        <w:spacing w:after="0" w:line="86" w:lineRule="exact"/>
        <w:rPr>
          <w:sz w:val="20"/>
          <w:szCs w:val="20"/>
          <w:color w:val="auto"/>
        </w:rPr>
      </w:pPr>
    </w:p>
    <w:p>
      <w:pPr>
        <w:ind w:left="1"/>
        <w:spacing w:after="0"/>
        <w:tabs>
          <w:tab w:leader="none" w:pos="541"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2"/>
          <w:szCs w:val="12"/>
          <w:b w:val="1"/>
          <w:bCs w:val="1"/>
          <w:color w:val="auto"/>
        </w:rPr>
        <w:t xml:space="preserve">LIST OF EXHIBITS: </w:t>
      </w:r>
      <w:r>
        <w:rPr>
          <w:rFonts w:ascii="Arial" w:cs="Arial" w:eastAsia="Arial" w:hAnsi="Arial"/>
          <w:sz w:val="12"/>
          <w:szCs w:val="12"/>
          <w:i w:val="1"/>
          <w:iCs w:val="1"/>
          <w:color w:val="auto"/>
        </w:rPr>
        <w:t>List below all exhibits filed as a part of this statement of eligibility and qualification.</w:t>
      </w:r>
    </w:p>
    <w:p>
      <w:pPr>
        <w:spacing w:after="0" w:line="90" w:lineRule="exact"/>
        <w:rPr>
          <w:sz w:val="20"/>
          <w:szCs w:val="20"/>
          <w:color w:val="auto"/>
        </w:rPr>
      </w:pPr>
    </w:p>
    <w:p>
      <w:pPr>
        <w:ind w:left="901" w:hanging="449"/>
        <w:spacing w:after="0"/>
        <w:tabs>
          <w:tab w:leader="none" w:pos="901" w:val="left"/>
        </w:tabs>
        <w:numPr>
          <w:ilvl w:val="1"/>
          <w:numId w:val="131"/>
        </w:numPr>
        <w:rPr>
          <w:rFonts w:ascii="Arial" w:cs="Arial" w:eastAsia="Arial" w:hAnsi="Arial"/>
          <w:sz w:val="13"/>
          <w:szCs w:val="13"/>
          <w:color w:val="auto"/>
        </w:rPr>
      </w:pPr>
      <w:r>
        <w:rPr>
          <w:rFonts w:ascii="Arial" w:cs="Arial" w:eastAsia="Arial" w:hAnsi="Arial"/>
          <w:sz w:val="13"/>
          <w:szCs w:val="13"/>
          <w:color w:val="auto"/>
        </w:rPr>
        <w:t>A copy of the Articles of Association of the Trustee.*</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131"/>
        </w:numPr>
        <w:rPr>
          <w:rFonts w:ascii="Arial" w:cs="Arial" w:eastAsia="Arial" w:hAnsi="Arial"/>
          <w:sz w:val="13"/>
          <w:szCs w:val="13"/>
          <w:color w:val="auto"/>
        </w:rPr>
      </w:pPr>
      <w:r>
        <w:rPr>
          <w:rFonts w:ascii="Arial" w:cs="Arial" w:eastAsia="Arial" w:hAnsi="Arial"/>
          <w:sz w:val="13"/>
          <w:szCs w:val="13"/>
          <w:color w:val="auto"/>
        </w:rPr>
        <w:t>A copy of the certificate of authority of the Trustee to commence business.*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131"/>
        </w:numPr>
        <w:rPr>
          <w:rFonts w:ascii="Arial" w:cs="Arial" w:eastAsia="Arial" w:hAnsi="Arial"/>
          <w:sz w:val="13"/>
          <w:szCs w:val="13"/>
          <w:color w:val="auto"/>
        </w:rPr>
      </w:pPr>
      <w:r>
        <w:rPr>
          <w:rFonts w:ascii="Arial" w:cs="Arial" w:eastAsia="Arial" w:hAnsi="Arial"/>
          <w:sz w:val="13"/>
          <w:szCs w:val="13"/>
          <w:color w:val="auto"/>
        </w:rPr>
        <w:t>A copy of the certificate of authority of the Trustee to exercise corporate trust powers.*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131"/>
        </w:numPr>
        <w:rPr>
          <w:rFonts w:ascii="Arial" w:cs="Arial" w:eastAsia="Arial" w:hAnsi="Arial"/>
          <w:sz w:val="13"/>
          <w:szCs w:val="13"/>
          <w:color w:val="auto"/>
        </w:rPr>
      </w:pPr>
      <w:r>
        <w:rPr>
          <w:rFonts w:ascii="Arial" w:cs="Arial" w:eastAsia="Arial" w:hAnsi="Arial"/>
          <w:sz w:val="13"/>
          <w:szCs w:val="13"/>
          <w:color w:val="auto"/>
        </w:rPr>
        <w:t>A copy of the existing bylaws of the Trustee.**</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131"/>
        </w:numPr>
        <w:rPr>
          <w:rFonts w:ascii="Arial" w:cs="Arial" w:eastAsia="Arial" w:hAnsi="Arial"/>
          <w:sz w:val="13"/>
          <w:szCs w:val="13"/>
          <w:color w:val="auto"/>
        </w:rPr>
      </w:pPr>
      <w:r>
        <w:rPr>
          <w:rFonts w:ascii="Arial" w:cs="Arial" w:eastAsia="Arial" w:hAnsi="Arial"/>
          <w:sz w:val="13"/>
          <w:szCs w:val="13"/>
          <w:color w:val="auto"/>
        </w:rPr>
        <w:t>A copy of each Indenture referred to in Item 4. Not applicable.</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131"/>
        </w:numPr>
        <w:rPr>
          <w:rFonts w:ascii="Arial" w:cs="Arial" w:eastAsia="Arial" w:hAnsi="Arial"/>
          <w:sz w:val="13"/>
          <w:szCs w:val="13"/>
          <w:color w:val="auto"/>
        </w:rPr>
      </w:pPr>
      <w:r>
        <w:rPr>
          <w:rFonts w:ascii="Arial" w:cs="Arial" w:eastAsia="Arial" w:hAnsi="Arial"/>
          <w:sz w:val="13"/>
          <w:szCs w:val="13"/>
          <w:color w:val="auto"/>
        </w:rPr>
        <w:t>The consent of the Trustee required by Section 321(b) of the Trust Indenture Act of 1939, attached hereto as Exhibit 6.</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131"/>
        </w:numPr>
        <w:rPr>
          <w:rFonts w:ascii="Arial" w:cs="Arial" w:eastAsia="Arial" w:hAnsi="Arial"/>
          <w:sz w:val="12"/>
          <w:szCs w:val="12"/>
          <w:color w:val="auto"/>
        </w:rPr>
      </w:pPr>
      <w:r>
        <w:rPr>
          <w:rFonts w:ascii="Arial" w:cs="Arial" w:eastAsia="Arial" w:hAnsi="Arial"/>
          <w:sz w:val="12"/>
          <w:szCs w:val="12"/>
          <w:color w:val="auto"/>
        </w:rPr>
        <w:t>A copy of the latest report of condition of the trustee published pursuant to law or the requirements of its supervising or examining authority is annexed hereto as Exhibit 7 and made a part hereof.</w:t>
      </w:r>
    </w:p>
    <w:p>
      <w:pPr>
        <w:spacing w:after="0" w:line="294"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1"/>
          <w:szCs w:val="11"/>
          <w:color w:val="auto"/>
        </w:rPr>
        <w:t>Incorporated by reference to Registration Number 333-128217.</w:t>
      </w:r>
    </w:p>
    <w:p>
      <w:pPr>
        <w:spacing w:after="0" w:line="56" w:lineRule="exact"/>
        <w:rPr>
          <w:rFonts w:ascii="Arial" w:cs="Arial" w:eastAsia="Arial" w:hAnsi="Arial"/>
          <w:sz w:val="12"/>
          <w:szCs w:val="12"/>
          <w:color w:val="auto"/>
        </w:rPr>
      </w:pPr>
    </w:p>
    <w:p>
      <w:pPr>
        <w:jc w:val="both"/>
        <w:ind w:left="461"/>
        <w:spacing w:after="0" w:line="264" w:lineRule="auto"/>
        <w:rPr>
          <w:rFonts w:ascii="Arial" w:cs="Arial" w:eastAsia="Arial" w:hAnsi="Arial"/>
          <w:sz w:val="12"/>
          <w:szCs w:val="12"/>
          <w:color w:val="auto"/>
        </w:rPr>
      </w:pPr>
      <w:r>
        <w:rPr>
          <w:rFonts w:ascii="Arial" w:cs="Arial" w:eastAsia="Arial" w:hAnsi="Arial"/>
          <w:sz w:val="13"/>
          <w:szCs w:val="13"/>
          <w:color w:val="auto"/>
        </w:rPr>
        <w:t>Copies of the Articles of Association of the trustee, as now in effect, a certificate of authority to commence business and a certificate of authority to exercise corporate trust powers are on file with the Securities and Exchange Commission as Exhibits with corresponding exhibit numbers to the Form T-1 of Revlon Consumer Products Corporation, filed pursuant to Section 305(b)(2) of the Trust Indenture Act of 1939, as amended, on November 15, 2005 (Registration No. 333-128217), and are incorporated herein by reference.</w:t>
      </w:r>
    </w:p>
    <w:p>
      <w:pPr>
        <w:spacing w:after="0" w:line="27" w:lineRule="exact"/>
        <w:rPr>
          <w:rFonts w:ascii="Arial" w:cs="Arial" w:eastAsia="Arial" w:hAnsi="Arial"/>
          <w:sz w:val="12"/>
          <w:szCs w:val="12"/>
          <w:color w:val="auto"/>
        </w:rPr>
      </w:pPr>
    </w:p>
    <w:p>
      <w:pPr>
        <w:ind w:left="461" w:hanging="461"/>
        <w:spacing w:after="0"/>
        <w:tabs>
          <w:tab w:leader="none" w:pos="461"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Incorporated by reference to Registration Number 333-159463.</w:t>
      </w:r>
    </w:p>
    <w:p>
      <w:pPr>
        <w:spacing w:after="0" w:line="56" w:lineRule="exact"/>
        <w:rPr>
          <w:rFonts w:ascii="Arial" w:cs="Arial" w:eastAsia="Arial" w:hAnsi="Arial"/>
          <w:sz w:val="13"/>
          <w:szCs w:val="13"/>
          <w:color w:val="auto"/>
        </w:rPr>
      </w:pPr>
    </w:p>
    <w:p>
      <w:pPr>
        <w:ind w:left="461" w:right="320"/>
        <w:spacing w:after="0" w:line="320" w:lineRule="auto"/>
        <w:rPr>
          <w:rFonts w:ascii="Arial" w:cs="Arial" w:eastAsia="Arial" w:hAnsi="Arial"/>
          <w:sz w:val="13"/>
          <w:szCs w:val="13"/>
          <w:color w:val="auto"/>
        </w:rPr>
      </w:pPr>
      <w:r>
        <w:rPr>
          <w:rFonts w:ascii="Arial" w:cs="Arial" w:eastAsia="Arial" w:hAnsi="Arial"/>
          <w:sz w:val="12"/>
          <w:szCs w:val="12"/>
          <w:color w:val="auto"/>
        </w:rPr>
        <w:t>Copies of the existing bylaws of the Trustee, amended March 4, 2009, are on file with the Securities and Exchange Commission as Exhibits with corresponding exhibit numbers to the Form T-1 of Magma Design Automation Inc. filed pursuant to Section 305(b) (2) of the Trust Indenture Act of 1939, as amended, on August 24, 2009,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-857885</wp:posOffset>
            </wp:positionV>
            <wp:extent cx="1310640"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1064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249555</wp:posOffset>
            </wp:positionV>
            <wp:extent cx="7290435" cy="190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309" w:name="page310"/>
    <w:bookmarkEnd w:id="309"/>
    <w:p>
      <w:pPr>
        <w:jc w:val="center"/>
        <w:ind w:right="-19"/>
        <w:spacing w:after="0"/>
        <w:rPr>
          <w:sz w:val="20"/>
          <w:szCs w:val="20"/>
          <w:color w:val="auto"/>
        </w:rPr>
      </w:pPr>
      <w:r>
        <w:rPr>
          <w:rFonts w:ascii="Arial" w:cs="Arial" w:eastAsia="Arial" w:hAnsi="Arial"/>
          <w:sz w:val="13"/>
          <w:szCs w:val="13"/>
          <w:b w:val="1"/>
          <w:bCs w:val="1"/>
          <w:color w:val="auto"/>
        </w:rPr>
        <w:t>SIGNATURE</w:t>
      </w:r>
    </w:p>
    <w:p>
      <w:pPr>
        <w:spacing w:after="0" w:line="90"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Phoenix, State of Arizona on the 30th of April, 2010.</w:t>
      </w:r>
    </w:p>
    <w:p>
      <w:pPr>
        <w:spacing w:after="0" w:line="132"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U.S. BANK NATIONAL ASSOCIATION</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Brenda D.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Brenda D. Black</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310" w:name="page311"/>
    <w:bookmarkEnd w:id="310"/>
    <w:p>
      <w:pPr>
        <w:jc w:val="center"/>
        <w:ind w:right="-199"/>
        <w:spacing w:after="0"/>
        <w:rPr>
          <w:sz w:val="20"/>
          <w:szCs w:val="20"/>
          <w:color w:val="auto"/>
        </w:rPr>
      </w:pPr>
      <w:r>
        <w:rPr>
          <w:rFonts w:ascii="Arial" w:cs="Arial" w:eastAsia="Arial" w:hAnsi="Arial"/>
          <w:sz w:val="13"/>
          <w:szCs w:val="13"/>
          <w:b w:val="1"/>
          <w:bCs w:val="1"/>
          <w:u w:val="single" w:color="auto"/>
          <w:color w:val="auto"/>
        </w:rPr>
        <w:t>Exhibit 6</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CONSENT</w:t>
      </w:r>
    </w:p>
    <w:p>
      <w:pPr>
        <w:spacing w:after="0" w:line="90"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Dated: April 30, 2010</w:t>
      </w:r>
    </w:p>
    <w:p>
      <w:pPr>
        <w:spacing w:after="0" w:line="161"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U.S. BANK NATIONAL ASSOCIATION</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Brenda D.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Brenda D. Black</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220" w:top="736" w:right="41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Exhibit 7</w:t>
            </w:r>
          </w:p>
        </w:tc>
        <w:tc>
          <w:tcPr>
            <w:tcW w:w="46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6540" w:type="dxa"/>
            <w:vAlign w:val="bottom"/>
            <w:gridSpan w:val="4"/>
          </w:tcPr>
          <w:p>
            <w:pPr>
              <w:jc w:val="center"/>
              <w:ind w:right="3311"/>
              <w:spacing w:after="0"/>
              <w:rPr>
                <w:sz w:val="20"/>
                <w:szCs w:val="20"/>
                <w:color w:val="auto"/>
              </w:rPr>
            </w:pPr>
            <w:r>
              <w:rPr>
                <w:rFonts w:ascii="Arial" w:cs="Arial" w:eastAsia="Arial" w:hAnsi="Arial"/>
                <w:sz w:val="13"/>
                <w:szCs w:val="13"/>
                <w:b w:val="1"/>
                <w:bCs w:val="1"/>
                <w:color w:val="auto"/>
                <w:w w:val="90"/>
              </w:rPr>
              <w:t>U.S. Bank National Association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6540" w:type="dxa"/>
            <w:vAlign w:val="bottom"/>
            <w:gridSpan w:val="4"/>
          </w:tcPr>
          <w:p>
            <w:pPr>
              <w:jc w:val="center"/>
              <w:ind w:right="3311"/>
              <w:spacing w:after="0"/>
              <w:rPr>
                <w:sz w:val="20"/>
                <w:szCs w:val="20"/>
                <w:color w:val="auto"/>
              </w:rPr>
            </w:pPr>
            <w:r>
              <w:rPr>
                <w:rFonts w:ascii="Arial" w:cs="Arial" w:eastAsia="Arial" w:hAnsi="Arial"/>
                <w:sz w:val="13"/>
                <w:szCs w:val="13"/>
                <w:b w:val="1"/>
                <w:bCs w:val="1"/>
                <w:color w:val="auto"/>
                <w:w w:val="91"/>
              </w:rPr>
              <w:t>Statement of Financial Condition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540" w:type="dxa"/>
            <w:vAlign w:val="bottom"/>
            <w:gridSpan w:val="4"/>
          </w:tcPr>
          <w:p>
            <w:pPr>
              <w:jc w:val="center"/>
              <w:ind w:right="3291"/>
              <w:spacing w:after="0"/>
              <w:rPr>
                <w:sz w:val="20"/>
                <w:szCs w:val="20"/>
                <w:color w:val="auto"/>
              </w:rPr>
            </w:pPr>
            <w:r>
              <w:rPr>
                <w:rFonts w:ascii="Arial" w:cs="Arial" w:eastAsia="Arial" w:hAnsi="Arial"/>
                <w:sz w:val="13"/>
                <w:szCs w:val="13"/>
                <w:b w:val="1"/>
                <w:bCs w:val="1"/>
                <w:color w:val="auto"/>
                <w:w w:val="90"/>
              </w:rPr>
              <w:t>As of 12/31/2009</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200" w:type="dxa"/>
            <w:vAlign w:val="bottom"/>
            <w:gridSpan w:val="3"/>
          </w:tcPr>
          <w:p>
            <w:pPr>
              <w:jc w:val="center"/>
              <w:ind w:right="4631"/>
              <w:spacing w:after="0"/>
              <w:rPr>
                <w:sz w:val="20"/>
                <w:szCs w:val="20"/>
                <w:color w:val="auto"/>
              </w:rPr>
            </w:pPr>
            <w:r>
              <w:rPr>
                <w:rFonts w:ascii="Arial" w:cs="Arial" w:eastAsia="Arial" w:hAnsi="Arial"/>
                <w:sz w:val="13"/>
                <w:szCs w:val="13"/>
                <w:b w:val="1"/>
                <w:bCs w:val="1"/>
                <w:color w:val="auto"/>
                <w:w w:val="90"/>
              </w:rPr>
              <w:t>($000’s)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Cash and Due from Depository Institutions</w:t>
            </w:r>
          </w:p>
        </w:tc>
        <w:tc>
          <w:tcPr>
            <w:tcW w:w="65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6,198,904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Federal Reserve Stock</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Securities</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43,054,635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Federal Funds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3,431,853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Loans &amp; Lease Financing Receivables</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1"/>
              </w:rPr>
              <w:t>189,772,027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Fixed Assets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3,681,749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Intangible Assets</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13,399,731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Assets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16,837,231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tcPr>
          <w:p>
            <w:pPr>
              <w:ind w:left="280"/>
              <w:spacing w:after="0"/>
              <w:rPr>
                <w:sz w:val="20"/>
                <w:szCs w:val="20"/>
                <w:color w:val="auto"/>
              </w:rPr>
            </w:pPr>
            <w:r>
              <w:rPr>
                <w:rFonts w:ascii="Arial" w:cs="Arial" w:eastAsia="Arial" w:hAnsi="Arial"/>
                <w:sz w:val="13"/>
                <w:szCs w:val="13"/>
                <w:b w:val="1"/>
                <w:bCs w:val="1"/>
                <w:color w:val="auto"/>
              </w:rPr>
              <w:t>Total Assets</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276,376,130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Deposits</w:t>
            </w:r>
          </w:p>
        </w:tc>
        <w:tc>
          <w:tcPr>
            <w:tcW w:w="65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194,253,182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Fed Funds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1,328,575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Treasury Demand Notes</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8,820,111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Trading Liabilities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345,396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Other Borrowed Money</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31,068,244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Acceptances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Subordinated Notes and Debentures</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7,629,967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Liabilities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6,705,043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b w:val="1"/>
                <w:bCs w:val="1"/>
                <w:color w:val="auto"/>
              </w:rPr>
              <w:t>Total Liabilities</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1"/>
              </w:rPr>
              <w:t>250,150,518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Equity</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Minority Interest in Subsidiaries</w:t>
            </w:r>
          </w:p>
        </w:tc>
        <w:tc>
          <w:tcPr>
            <w:tcW w:w="65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Common and Preferred Stock</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Surplus</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12,642,020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Undivided Profits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11,935,945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Noncontrolling (minority) interests in consolidated subsidiaries</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1,629,447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Equity Capital</w:t>
            </w:r>
          </w:p>
        </w:tc>
        <w:tc>
          <w:tcPr>
            <w:tcW w:w="65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26,225,612</w:t>
            </w:r>
          </w:p>
        </w:tc>
        <w:tc>
          <w:tcPr>
            <w:tcW w:w="0" w:type="dxa"/>
            <w:vAlign w:val="bottom"/>
          </w:tcPr>
          <w:p>
            <w:pPr>
              <w:spacing w:after="0"/>
              <w:rPr>
                <w:sz w:val="1"/>
                <w:szCs w:val="1"/>
                <w:color w:val="auto"/>
              </w:rPr>
            </w:pPr>
          </w:p>
        </w:tc>
      </w:tr>
      <w:tr>
        <w:trPr>
          <w:trHeight w:val="313"/>
        </w:trPr>
        <w:tc>
          <w:tcPr>
            <w:tcW w:w="414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 and Equity Capital</w:t>
            </w:r>
          </w:p>
        </w:tc>
        <w:tc>
          <w:tcPr>
            <w:tcW w:w="6540" w:type="dxa"/>
            <w:vAlign w:val="bottom"/>
            <w:gridSpan w:val="4"/>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1"/>
              </w:rPr>
              <w:t>276,376,130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60" w:type="dxa"/>
            <w:vAlign w:val="bottom"/>
            <w:gridSpan w:val="2"/>
          </w:tcPr>
          <w:p>
            <w:pPr>
              <w:jc w:val="right"/>
              <w:ind w:right="174"/>
              <w:spacing w:after="0"/>
              <w:rPr>
                <w:sz w:val="20"/>
                <w:szCs w:val="20"/>
                <w:color w:val="auto"/>
              </w:rPr>
            </w:pPr>
            <w:r>
              <w:rPr>
                <w:rFonts w:ascii="Arial" w:cs="Arial" w:eastAsia="Arial" w:hAnsi="Arial"/>
                <w:sz w:val="13"/>
                <w:szCs w:val="13"/>
                <w:color w:val="auto"/>
              </w:rPr>
              <w:t>4</w:t>
            </w:r>
          </w:p>
        </w:tc>
        <w:tc>
          <w:tcPr>
            <w:tcW w:w="4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60"/>
      </w:cols>
      <w:pgMar w:left="220" w:top="7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1)"/>
      <w:numFmt w:val="decimal"/>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1)"/>
      <w:numFmt w:val="decimal"/>
      <w:start w:val="1"/>
    </w:lvl>
  </w:abstractNum>
  <w:abstractNum w:abstractNumId="8">
    <w:nsid w:val="98A3148"/>
    <w:multiLevelType w:val="hybridMultilevel"/>
    <w:lvl w:ilvl="0">
      <w:lvlJc w:val="left"/>
      <w:lvlText w:val="(%1)"/>
      <w:numFmt w:val="decimal"/>
      <w:start w:val="1"/>
    </w:lvl>
  </w:abstractNum>
  <w:abstractNum w:abstractNumId="9">
    <w:nsid w:val="799D0247"/>
    <w:multiLevelType w:val="hybridMultilevel"/>
    <w:lvl w:ilvl="0">
      <w:lvlJc w:val="left"/>
      <w:lvlText w:val="(%1)"/>
      <w:numFmt w:val="decimal"/>
      <w:start w:val="1"/>
    </w:lvl>
  </w:abstractNum>
  <w:abstractNum w:abstractNumId="10">
    <w:nsid w:val="6B94764"/>
    <w:multiLevelType w:val="hybridMultilevel"/>
    <w:lvl w:ilvl="0">
      <w:lvlJc w:val="left"/>
      <w:lvlText w:val="(%1)"/>
      <w:numFmt w:val="decimal"/>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1)"/>
      <w:numFmt w:val="lowerLetter"/>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1)"/>
      <w:numFmt w:val="lowerRoman"/>
      <w:start w:val="3"/>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1)"/>
      <w:numFmt w:val="decimal"/>
      <w:start w:val="1"/>
    </w:lvl>
  </w:abstractNum>
  <w:abstractNum w:abstractNumId="27">
    <w:nsid w:val="68EB2F63"/>
    <w:multiLevelType w:val="hybridMultilevel"/>
    <w:lvl w:ilvl="0">
      <w:lvlJc w:val="left"/>
      <w:lvlText w:val="(%1)"/>
      <w:numFmt w:val="lowerLetter"/>
      <w:start w:val="1"/>
    </w:lvl>
  </w:abstractNum>
  <w:abstractNum w:abstractNumId="28">
    <w:nsid w:val="4962813B"/>
    <w:multiLevelType w:val="hybridMultilevel"/>
    <w:lvl w:ilvl="0">
      <w:lvlJc w:val="left"/>
      <w:lvlText w:val="(%1)"/>
      <w:numFmt w:val="lowerRoman"/>
      <w:start w:val="1"/>
    </w:lvl>
  </w:abstractNum>
  <w:abstractNum w:abstractNumId="29">
    <w:nsid w:val="60B6DF70"/>
    <w:multiLevelType w:val="hybridMultilevel"/>
    <w:lvl w:ilvl="0">
      <w:lvlJc w:val="left"/>
      <w:lvlText w:val="(%1)"/>
      <w:numFmt w:val="lowerLetter"/>
      <w:start w:val="2"/>
    </w:lvl>
  </w:abstractNum>
  <w:abstractNum w:abstractNumId="30">
    <w:nsid w:val="6A5EE64"/>
    <w:multiLevelType w:val="hybridMultilevel"/>
    <w:lvl w:ilvl="0">
      <w:lvlJc w:val="left"/>
      <w:lvlText w:val="(%1)"/>
      <w:numFmt w:val="lowerLetter"/>
      <w:start w:val="1"/>
    </w:lvl>
  </w:abstractNum>
  <w:abstractNum w:abstractNumId="31">
    <w:nsid w:val="14330624"/>
    <w:multiLevelType w:val="hybridMultilevel"/>
    <w:lvl w:ilvl="0">
      <w:lvlJc w:val="left"/>
      <w:lvlText w:val="(%1)"/>
      <w:numFmt w:val="lowerLetter"/>
      <w:start w:val="2"/>
    </w:lvl>
  </w:abstractNum>
  <w:abstractNum w:abstractNumId="32">
    <w:nsid w:val="7FFFCA11"/>
    <w:multiLevelType w:val="hybridMultilevel"/>
    <w:lvl w:ilvl="0">
      <w:lvlJc w:val="left"/>
      <w:lvlText w:val="(%1)"/>
      <w:numFmt w:val="lowerLetter"/>
      <w:start w:val="2"/>
    </w:lvl>
  </w:abstractNum>
  <w:abstractNum w:abstractNumId="33">
    <w:nsid w:val="1A27709E"/>
    <w:multiLevelType w:val="hybridMultilevel"/>
    <w:lvl w:ilvl="0">
      <w:lvlJc w:val="left"/>
      <w:lvlText w:val="(%1)"/>
      <w:numFmt w:val="lowerLetter"/>
      <w:start w:val="1"/>
    </w:lvl>
  </w:abstractNum>
  <w:abstractNum w:abstractNumId="34">
    <w:nsid w:val="71EA1109"/>
    <w:multiLevelType w:val="hybridMultilevel"/>
    <w:lvl w:ilvl="0">
      <w:lvlJc w:val="left"/>
      <w:lvlText w:val="(%1)"/>
      <w:numFmt w:val="lowerRoman"/>
      <w:start w:val="3"/>
    </w:lvl>
  </w:abstractNum>
  <w:abstractNum w:abstractNumId="35">
    <w:nsid w:val="100F59DC"/>
    <w:multiLevelType w:val="hybridMultilevel"/>
    <w:lvl w:ilvl="0">
      <w:lvlJc w:val="left"/>
      <w:lvlText w:val="(%1)"/>
      <w:numFmt w:val="lowerLetter"/>
      <w:start w:val="2"/>
    </w:lvl>
  </w:abstractNum>
  <w:abstractNum w:abstractNumId="36">
    <w:nsid w:val="7FB7E0AA"/>
    <w:multiLevelType w:val="hybridMultilevel"/>
    <w:lvl w:ilvl="0">
      <w:lvlJc w:val="left"/>
      <w:lvlText w:val="(%1)"/>
      <w:numFmt w:val="lowerLetter"/>
      <w:start w:val="3"/>
    </w:lvl>
  </w:abstractNum>
  <w:abstractNum w:abstractNumId="37">
    <w:nsid w:val="6EB5BD4"/>
    <w:multiLevelType w:val="hybridMultilevel"/>
    <w:lvl w:ilvl="0">
      <w:lvlJc w:val="left"/>
      <w:lvlText w:val="(%1)"/>
      <w:numFmt w:val="lowerLetter"/>
      <w:start w:val="1"/>
    </w:lvl>
  </w:abstractNum>
  <w:abstractNum w:abstractNumId="38">
    <w:nsid w:val="6F6DD9AC"/>
    <w:multiLevelType w:val="hybridMultilevel"/>
    <w:lvl w:ilvl="0">
      <w:lvlJc w:val="left"/>
      <w:lvlText w:val="(%1)"/>
      <w:numFmt w:val="lowerLetter"/>
      <w:start w:val="1"/>
    </w:lvl>
  </w:abstractNum>
  <w:abstractNum w:abstractNumId="39">
    <w:nsid w:val="94211F2"/>
    <w:multiLevelType w:val="hybridMultilevel"/>
    <w:lvl w:ilvl="0">
      <w:lvlJc w:val="left"/>
      <w:lvlText w:val="(%1)"/>
      <w:numFmt w:val="lowerLetter"/>
      <w:start w:val="1"/>
    </w:lvl>
  </w:abstractNum>
  <w:abstractNum w:abstractNumId="40">
    <w:nsid w:val="885E1B"/>
    <w:multiLevelType w:val="hybridMultilevel"/>
    <w:lvl w:ilvl="0">
      <w:lvlJc w:val="left"/>
      <w:lvlText w:val="(%1)"/>
      <w:numFmt w:val="lowerRoman"/>
      <w:start w:val="2"/>
    </w:lvl>
  </w:abstractNum>
  <w:abstractNum w:abstractNumId="41">
    <w:nsid w:val="76272110"/>
    <w:multiLevelType w:val="hybridMultilevel"/>
    <w:lvl w:ilvl="0">
      <w:lvlJc w:val="left"/>
      <w:lvlText w:val="(%1)"/>
      <w:numFmt w:val="lowerLetter"/>
      <w:start w:val="3"/>
    </w:lvl>
  </w:abstractNum>
  <w:abstractNum w:abstractNumId="42">
    <w:nsid w:val="4C04A8AF"/>
    <w:multiLevelType w:val="hybridMultilevel"/>
    <w:lvl w:ilvl="0">
      <w:lvlJc w:val="left"/>
      <w:lvlText w:val="(%1)"/>
      <w:numFmt w:val="lowerRoman"/>
      <w:start w:val="3"/>
    </w:lvl>
  </w:abstractNum>
  <w:abstractNum w:abstractNumId="43">
    <w:nsid w:val="1716703B"/>
    <w:multiLevelType w:val="hybridMultilevel"/>
    <w:lvl w:ilvl="0">
      <w:lvlJc w:val="left"/>
      <w:lvlText w:val="(%1)"/>
      <w:numFmt w:val="lowerRoman"/>
      <w:start w:val="1"/>
    </w:lvl>
  </w:abstractNum>
  <w:abstractNum w:abstractNumId="44">
    <w:nsid w:val="14E17E33"/>
    <w:multiLevelType w:val="hybridMultilevel"/>
    <w:lvl w:ilvl="0">
      <w:lvlJc w:val="left"/>
      <w:lvlText w:val="(%1)"/>
      <w:numFmt w:val="lowerLetter"/>
      <w:start w:val="2"/>
    </w:lvl>
  </w:abstractNum>
  <w:abstractNum w:abstractNumId="45">
    <w:nsid w:val="3222E7CD"/>
    <w:multiLevelType w:val="hybridMultilevel"/>
    <w:lvl w:ilvl="0">
      <w:lvlJc w:val="left"/>
      <w:lvlText w:val="(%1)"/>
      <w:numFmt w:val="lowerLetter"/>
      <w:start w:val="1"/>
    </w:lvl>
  </w:abstractNum>
  <w:abstractNum w:abstractNumId="46">
    <w:nsid w:val="74DE0EE3"/>
    <w:multiLevelType w:val="hybridMultilevel"/>
    <w:lvl w:ilvl="0">
      <w:lvlJc w:val="left"/>
      <w:lvlText w:val="(%1)"/>
      <w:numFmt w:val="lowerLetter"/>
      <w:start w:val="2"/>
    </w:lvl>
  </w:abstractNum>
  <w:abstractNum w:abstractNumId="47">
    <w:nsid w:val="68EBC550"/>
    <w:multiLevelType w:val="hybridMultilevel"/>
    <w:lvl w:ilvl="0">
      <w:lvlJc w:val="left"/>
      <w:lvlText w:val="(%1)"/>
      <w:numFmt w:val="lowerLetter"/>
      <w:start w:val="1"/>
    </w:lvl>
  </w:abstractNum>
  <w:abstractNum w:abstractNumId="48">
    <w:nsid w:val="2DF6D648"/>
    <w:multiLevelType w:val="hybridMultilevel"/>
    <w:lvl w:ilvl="0">
      <w:lvlJc w:val="left"/>
      <w:lvlText w:val="(%1)"/>
      <w:numFmt w:val="lowerLetter"/>
      <w:start w:val="2"/>
    </w:lvl>
  </w:abstractNum>
  <w:abstractNum w:abstractNumId="49">
    <w:nsid w:val="46B7D447"/>
    <w:multiLevelType w:val="hybridMultilevel"/>
    <w:lvl w:ilvl="0">
      <w:lvlJc w:val="left"/>
      <w:lvlText w:val="(%1)"/>
      <w:numFmt w:val="lowerLetter"/>
      <w:start w:val="2"/>
    </w:lvl>
  </w:abstractNum>
  <w:abstractNum w:abstractNumId="50">
    <w:nsid w:val="4A2AC315"/>
    <w:multiLevelType w:val="hybridMultilevel"/>
    <w:lvl w:ilvl="0">
      <w:lvlJc w:val="left"/>
      <w:lvlText w:val="(%1)"/>
      <w:numFmt w:val="lowerLetter"/>
      <w:start w:val="1"/>
    </w:lvl>
  </w:abstractNum>
  <w:abstractNum w:abstractNumId="51">
    <w:nsid w:val="39EE015C"/>
    <w:multiLevelType w:val="hybridMultilevel"/>
    <w:lvl w:ilvl="0">
      <w:lvlJc w:val="left"/>
      <w:lvlText w:val="(%1)"/>
      <w:numFmt w:val="lowerLetter"/>
      <w:start w:val="2"/>
    </w:lvl>
  </w:abstractNum>
  <w:abstractNum w:abstractNumId="52">
    <w:nsid w:val="57FC4FBB"/>
    <w:multiLevelType w:val="hybridMultilevel"/>
    <w:lvl w:ilvl="0">
      <w:lvlJc w:val="left"/>
      <w:lvlText w:val="(%1)"/>
      <w:numFmt w:val="lowerLetter"/>
      <w:start w:val="1"/>
    </w:lvl>
  </w:abstractNum>
  <w:abstractNum w:abstractNumId="53">
    <w:nsid w:val="CC1016F"/>
    <w:multiLevelType w:val="hybridMultilevel"/>
    <w:lvl w:ilvl="0">
      <w:lvlJc w:val="left"/>
      <w:lvlText w:val="(%1)"/>
      <w:numFmt w:val="lowerRoman"/>
      <w:start w:val="2"/>
    </w:lvl>
  </w:abstractNum>
  <w:abstractNum w:abstractNumId="54">
    <w:nsid w:val="43F18422"/>
    <w:multiLevelType w:val="hybridMultilevel"/>
    <w:lvl w:ilvl="0">
      <w:lvlJc w:val="left"/>
      <w:lvlText w:val="(%1)"/>
      <w:numFmt w:val="lowerLetter"/>
      <w:start w:val="1"/>
    </w:lvl>
  </w:abstractNum>
  <w:abstractNum w:abstractNumId="55">
    <w:nsid w:val="60EF0119"/>
    <w:multiLevelType w:val="hybridMultilevel"/>
    <w:lvl w:ilvl="0">
      <w:lvlJc w:val="left"/>
      <w:lvlText w:val="(%1)"/>
      <w:numFmt w:val="lowerLetter"/>
      <w:start w:val="2"/>
    </w:lvl>
  </w:abstractNum>
  <w:abstractNum w:abstractNumId="56">
    <w:nsid w:val="26F324BA"/>
    <w:multiLevelType w:val="hybridMultilevel"/>
    <w:lvl w:ilvl="0">
      <w:lvlJc w:val="left"/>
      <w:lvlText w:val="(%1)"/>
      <w:numFmt w:val="lowerLetter"/>
      <w:start w:val="2"/>
    </w:lvl>
  </w:abstractNum>
  <w:abstractNum w:abstractNumId="57">
    <w:nsid w:val="7F01579B"/>
    <w:multiLevelType w:val="hybridMultilevel"/>
    <w:lvl w:ilvl="0">
      <w:lvlJc w:val="left"/>
      <w:lvlText w:val="(%1)"/>
      <w:numFmt w:val="lowerRoman"/>
      <w:start w:val="3"/>
    </w:lvl>
  </w:abstractNum>
  <w:abstractNum w:abstractNumId="58">
    <w:nsid w:val="49DA307D"/>
    <w:multiLevelType w:val="hybridMultilevel"/>
    <w:lvl w:ilvl="0">
      <w:lvlJc w:val="left"/>
      <w:lvlText w:val="(%1)"/>
      <w:numFmt w:val="lowerLetter"/>
      <w:start w:val="1"/>
    </w:lvl>
  </w:abstractNum>
  <w:abstractNum w:abstractNumId="59">
    <w:nsid w:val="7055A5F5"/>
    <w:multiLevelType w:val="hybridMultilevel"/>
    <w:lvl w:ilvl="0">
      <w:lvlJc w:val="left"/>
      <w:lvlText w:val="(%1)"/>
      <w:numFmt w:val="lowerLetter"/>
      <w:start w:val="2"/>
    </w:lvl>
  </w:abstractNum>
  <w:abstractNum w:abstractNumId="60">
    <w:nsid w:val="5FB8370B"/>
    <w:multiLevelType w:val="hybridMultilevel"/>
    <w:lvl w:ilvl="0">
      <w:lvlJc w:val="left"/>
      <w:lvlText w:val="(%1)"/>
      <w:numFmt w:val="lowerLetter"/>
      <w:start w:val="1"/>
    </w:lvl>
  </w:abstractNum>
  <w:abstractNum w:abstractNumId="61">
    <w:nsid w:val="50801EE1"/>
    <w:multiLevelType w:val="hybridMultilevel"/>
    <w:lvl w:ilvl="0">
      <w:lvlJc w:val="left"/>
      <w:lvlText w:val="(%1)"/>
      <w:numFmt w:val="lowerLetter"/>
      <w:start w:val="1"/>
    </w:lvl>
  </w:abstractNum>
  <w:abstractNum w:abstractNumId="62">
    <w:nsid w:val="488AC1A"/>
    <w:multiLevelType w:val="hybridMultilevel"/>
    <w:lvl w:ilvl="0">
      <w:lvlJc w:val="left"/>
      <w:lvlText w:val="(%1)"/>
      <w:numFmt w:val="lowerRoman"/>
      <w:start w:val="1"/>
    </w:lvl>
  </w:abstractNum>
  <w:abstractNum w:abstractNumId="63">
    <w:nsid w:val="5FB8011C"/>
    <w:multiLevelType w:val="hybridMultilevel"/>
    <w:lvl w:ilvl="0">
      <w:lvlJc w:val="left"/>
      <w:lvlText w:val="(%1)"/>
      <w:numFmt w:val="lowerLetter"/>
      <w:start w:val="2"/>
    </w:lvl>
  </w:abstractNum>
  <w:abstractNum w:abstractNumId="64">
    <w:nsid w:val="6AA78F7F"/>
    <w:multiLevelType w:val="hybridMultilevel"/>
    <w:lvl w:ilvl="0">
      <w:lvlJc w:val="left"/>
      <w:lvlText w:val="(%1)"/>
      <w:numFmt w:val="lowerLetter"/>
      <w:start w:val="1"/>
    </w:lvl>
  </w:abstractNum>
  <w:abstractNum w:abstractNumId="65">
    <w:nsid w:val="7672BD23"/>
    <w:multiLevelType w:val="hybridMultilevel"/>
    <w:lvl w:ilvl="0">
      <w:lvlJc w:val="left"/>
      <w:lvlText w:val="(%1)"/>
      <w:numFmt w:val="lowerRoman"/>
      <w:start w:val="1"/>
    </w:lvl>
  </w:abstractNum>
  <w:abstractNum w:abstractNumId="66">
    <w:nsid w:val="6FC75AF8"/>
    <w:multiLevelType w:val="hybridMultilevel"/>
    <w:lvl w:ilvl="0">
      <w:lvlJc w:val="left"/>
      <w:lvlText w:val="(%1)"/>
      <w:numFmt w:val="lowerLetter"/>
      <w:start w:val="3"/>
    </w:lvl>
  </w:abstractNum>
  <w:abstractNum w:abstractNumId="67">
    <w:nsid w:val="6A5F7029"/>
    <w:multiLevelType w:val="hybridMultilevel"/>
    <w:lvl w:ilvl="0">
      <w:lvlJc w:val="left"/>
      <w:lvlText w:val="(%1)"/>
      <w:numFmt w:val="lowerRoman"/>
      <w:start w:val="1"/>
    </w:lvl>
  </w:abstractNum>
  <w:abstractNum w:abstractNumId="68">
    <w:nsid w:val="7D5E18F8"/>
    <w:multiLevelType w:val="hybridMultilevel"/>
    <w:lvl w:ilvl="0">
      <w:lvlJc w:val="left"/>
      <w:lvlText w:val="(%1)"/>
      <w:numFmt w:val="lowerLetter"/>
      <w:start w:val="2"/>
    </w:lvl>
  </w:abstractNum>
  <w:abstractNum w:abstractNumId="69">
    <w:nsid w:val="5F3534A4"/>
    <w:multiLevelType w:val="hybridMultilevel"/>
    <w:lvl w:ilvl="0">
      <w:lvlJc w:val="left"/>
      <w:lvlText w:val="(%1)"/>
      <w:numFmt w:val="lowerLetter"/>
      <w:start w:val="1"/>
    </w:lvl>
  </w:abstractNum>
  <w:abstractNum w:abstractNumId="70">
    <w:nsid w:val="73A1821B"/>
    <w:multiLevelType w:val="hybridMultilevel"/>
    <w:lvl w:ilvl="0">
      <w:lvlJc w:val="left"/>
      <w:lvlText w:val="(%1)"/>
      <w:numFmt w:val="decimal"/>
      <w:start w:val="1"/>
    </w:lvl>
    <w:lvl w:ilvl="1">
      <w:lvlJc w:val="left"/>
      <w:lvlText w:val="(%2)"/>
      <w:numFmt w:val="lowerRoman"/>
      <w:start w:val="1"/>
    </w:lvl>
  </w:abstractNum>
  <w:abstractNum w:abstractNumId="71">
    <w:nsid w:val="7DE67713"/>
    <w:multiLevelType w:val="hybridMultilevel"/>
    <w:lvl w:ilvl="0">
      <w:lvlJc w:val="left"/>
      <w:lvlText w:val="(%1)"/>
      <w:numFmt w:val="lowerRoman"/>
      <w:start w:val="3"/>
    </w:lvl>
  </w:abstractNum>
  <w:abstractNum w:abstractNumId="72">
    <w:nsid w:val="555C55B5"/>
    <w:multiLevelType w:val="hybridMultilevel"/>
    <w:lvl w:ilvl="0">
      <w:lvlJc w:val="left"/>
      <w:lvlText w:val="(%1)"/>
      <w:numFmt w:val="decimal"/>
      <w:start w:val="2"/>
    </w:lvl>
    <w:lvl w:ilvl="1">
      <w:lvlJc w:val="left"/>
      <w:lvlText w:val="(%2)"/>
      <w:numFmt w:val="lowerRoman"/>
      <w:start w:val="1"/>
    </w:lvl>
  </w:abstractNum>
  <w:abstractNum w:abstractNumId="73">
    <w:nsid w:val="3FA62ACA"/>
    <w:multiLevelType w:val="hybridMultilevel"/>
    <w:lvl w:ilvl="0">
      <w:lvlJc w:val="left"/>
      <w:lvlText w:val="%1"/>
      <w:numFmt w:val="decimal"/>
      <w:start w:val="1"/>
    </w:lvl>
    <w:lvl w:ilvl="1">
      <w:lvlJc w:val="left"/>
      <w:lvlText w:val="(%2)"/>
      <w:numFmt w:val="lowerRoman"/>
      <w:start w:val="3"/>
    </w:lvl>
  </w:abstractNum>
  <w:abstractNum w:abstractNumId="74">
    <w:nsid w:val="14FCE74E"/>
    <w:multiLevelType w:val="hybridMultilevel"/>
    <w:lvl w:ilvl="0">
      <w:lvlJc w:val="left"/>
      <w:lvlText w:val="(%1)"/>
      <w:numFmt w:val="decimal"/>
      <w:start w:val="6"/>
    </w:lvl>
    <w:lvl w:ilvl="1">
      <w:lvlJc w:val="left"/>
      <w:lvlText w:val="%2"/>
      <w:numFmt w:val="lowerRoman"/>
      <w:start w:val="1"/>
    </w:lvl>
  </w:abstractNum>
  <w:abstractNum w:abstractNumId="75">
    <w:nsid w:val="6A3DD3E8"/>
    <w:multiLevelType w:val="hybridMultilevel"/>
    <w:lvl w:ilvl="0">
      <w:lvlJc w:val="left"/>
      <w:lvlText w:val="*"/>
      <w:numFmt w:val="bullet"/>
      <w:start w:val="1"/>
    </w:lvl>
  </w:abstractNum>
  <w:abstractNum w:abstractNumId="76">
    <w:nsid w:val="71C91298"/>
    <w:multiLevelType w:val="hybridMultilevel"/>
    <w:lvl w:ilvl="0">
      <w:lvlJc w:val="left"/>
      <w:lvlText w:val="%1)"/>
      <w:numFmt w:val="lowerLetter"/>
      <w:start w:val="1"/>
    </w:lvl>
  </w:abstractNum>
  <w:abstractNum w:abstractNumId="77">
    <w:nsid w:val="9DAF632"/>
    <w:multiLevelType w:val="hybridMultilevel"/>
    <w:lvl w:ilvl="0">
      <w:lvlJc w:val="left"/>
      <w:lvlText w:val="%1)"/>
      <w:numFmt w:val="lowerLetter"/>
      <w:start w:val="4"/>
    </w:lvl>
  </w:abstractNum>
  <w:abstractNum w:abstractNumId="78">
    <w:nsid w:val="53299938"/>
    <w:multiLevelType w:val="hybridMultilevel"/>
    <w:lvl w:ilvl="0">
      <w:lvlJc w:val="left"/>
      <w:lvlText w:val="%1)"/>
      <w:numFmt w:val="lowerLetter"/>
      <w:start w:val="8"/>
    </w:lvl>
  </w:abstractNum>
  <w:abstractNum w:abstractNumId="79">
    <w:nsid w:val="1FBFE8E0"/>
    <w:multiLevelType w:val="hybridMultilevel"/>
    <w:lvl w:ilvl="0">
      <w:lvlJc w:val="left"/>
      <w:lvlText w:val="%1)"/>
      <w:numFmt w:val="lowerLetter"/>
      <w:start w:val="13"/>
    </w:lvl>
  </w:abstractNum>
  <w:abstractNum w:abstractNumId="80">
    <w:nsid w:val="5092CA79"/>
    <w:multiLevelType w:val="hybridMultilevel"/>
    <w:lvl w:ilvl="0">
      <w:lvlJc w:val="left"/>
      <w:lvlText w:val="%1"/>
      <w:numFmt w:val="lowerRoman"/>
      <w:start w:val="1"/>
    </w:lvl>
    <w:lvl w:ilvl="1">
      <w:lvlJc w:val="left"/>
      <w:lvlText w:val="%2)"/>
      <w:numFmt w:val="lowerLetter"/>
      <w:start w:val="15"/>
    </w:lvl>
  </w:abstractNum>
  <w:abstractNum w:abstractNumId="81">
    <w:nsid w:val="1D545C4D"/>
    <w:multiLevelType w:val="hybridMultilevel"/>
    <w:lvl w:ilvl="0">
      <w:lvlJc w:val="left"/>
      <w:lvlText w:val="(%1)"/>
      <w:numFmt w:val="lowerRoman"/>
      <w:start w:val="2"/>
    </w:lvl>
    <w:lvl w:ilvl="1">
      <w:lvlJc w:val="left"/>
      <w:lvlText w:val="%2"/>
      <w:numFmt w:val="lowerLetter"/>
      <w:start w:val="1"/>
    </w:lvl>
  </w:abstractNum>
  <w:abstractNum w:abstractNumId="82">
    <w:nsid w:val="59ADEA3D"/>
    <w:multiLevelType w:val="hybridMultilevel"/>
    <w:lvl w:ilvl="0">
      <w:lvlJc w:val="left"/>
      <w:lvlText w:val="%1)"/>
      <w:numFmt w:val="lowerLetter"/>
      <w:start w:val="17"/>
    </w:lvl>
  </w:abstractNum>
  <w:abstractNum w:abstractNumId="83">
    <w:nsid w:val="288F1A34"/>
    <w:multiLevelType w:val="hybridMultilevel"/>
    <w:lvl w:ilvl="0">
      <w:lvlJc w:val="left"/>
      <w:lvlText w:val="%1)"/>
      <w:numFmt w:val="lowerLetter"/>
      <w:start w:val="21"/>
    </w:lvl>
  </w:abstractNum>
  <w:abstractNum w:abstractNumId="84">
    <w:nsid w:val="2A155DBC"/>
    <w:multiLevelType w:val="hybridMultilevel"/>
    <w:lvl w:ilvl="0">
      <w:lvlJc w:val="left"/>
      <w:lvlText w:val="%1)"/>
      <w:numFmt w:val="lowerLetter"/>
      <w:start w:val="27"/>
    </w:lvl>
  </w:abstractNum>
  <w:abstractNum w:abstractNumId="85">
    <w:nsid w:val="1D9F6E5F"/>
    <w:multiLevelType w:val="hybridMultilevel"/>
    <w:lvl w:ilvl="0">
      <w:lvlJc w:val="left"/>
      <w:lvlText w:val="%1)"/>
      <w:numFmt w:val="lowerLetter"/>
      <w:start w:val="28"/>
    </w:lvl>
  </w:abstractNum>
  <w:abstractNum w:abstractNumId="86">
    <w:nsid w:val="97E1B4E"/>
    <w:multiLevelType w:val="hybridMultilevel"/>
    <w:lvl w:ilvl="0">
      <w:lvlJc w:val="left"/>
      <w:lvlText w:val="%1)"/>
      <w:numFmt w:val="lowerLetter"/>
      <w:start w:val="31"/>
    </w:lvl>
  </w:abstractNum>
  <w:abstractNum w:abstractNumId="87">
    <w:nsid w:val="51088277"/>
    <w:multiLevelType w:val="hybridMultilevel"/>
    <w:lvl w:ilvl="0">
      <w:lvlJc w:val="left"/>
      <w:lvlText w:val="%1)"/>
      <w:numFmt w:val="lowerLetter"/>
      <w:start w:val="34"/>
    </w:lvl>
  </w:abstractNum>
  <w:abstractNum w:abstractNumId="88">
    <w:nsid w:val="1CA0C5FA"/>
    <w:multiLevelType w:val="hybridMultilevel"/>
    <w:lvl w:ilvl="0">
      <w:lvlJc w:val="left"/>
      <w:lvlText w:val="%1)"/>
      <w:numFmt w:val="lowerLetter"/>
      <w:start w:val="1"/>
    </w:lvl>
  </w:abstractNum>
  <w:abstractNum w:abstractNumId="89">
    <w:nsid w:val="53584BCB"/>
    <w:multiLevelType w:val="hybridMultilevel"/>
    <w:lvl w:ilvl="0">
      <w:lvlJc w:val="left"/>
      <w:lvlText w:val="%1)"/>
      <w:numFmt w:val="lowerLetter"/>
      <w:start w:val="3"/>
    </w:lvl>
  </w:abstractNum>
  <w:abstractNum w:abstractNumId="90">
    <w:nsid w:val="415E286C"/>
    <w:multiLevelType w:val="hybridMultilevel"/>
    <w:lvl w:ilvl="0">
      <w:lvlJc w:val="left"/>
      <w:lvlText w:val="%1)"/>
      <w:numFmt w:val="lowerLetter"/>
      <w:start w:val="5"/>
    </w:lvl>
  </w:abstractNum>
  <w:abstractNum w:abstractNumId="91">
    <w:nsid w:val="7C58FD05"/>
    <w:multiLevelType w:val="hybridMultilevel"/>
    <w:lvl w:ilvl="0">
      <w:lvlJc w:val="left"/>
      <w:lvlText w:val="%1"/>
      <w:numFmt w:val="lowerRoman"/>
      <w:start w:val="1"/>
    </w:lvl>
    <w:lvl w:ilvl="1">
      <w:lvlJc w:val="left"/>
      <w:lvlText w:val="%2)"/>
      <w:numFmt w:val="lowerLetter"/>
      <w:start w:val="1"/>
    </w:lvl>
  </w:abstractNum>
  <w:abstractNum w:abstractNumId="92">
    <w:nsid w:val="23D86AAC"/>
    <w:multiLevelType w:val="hybridMultilevel"/>
    <w:lvl w:ilvl="0">
      <w:lvlJc w:val="left"/>
      <w:lvlText w:val="(%1)"/>
      <w:numFmt w:val="lowerRoman"/>
      <w:start w:val="10"/>
    </w:lvl>
    <w:lvl w:ilvl="1">
      <w:lvlJc w:val="left"/>
      <w:lvlText w:val="%2"/>
      <w:numFmt w:val="lowerLetter"/>
      <w:start w:val="1"/>
    </w:lvl>
  </w:abstractNum>
  <w:abstractNum w:abstractNumId="93">
    <w:nsid w:val="45E6D486"/>
    <w:multiLevelType w:val="hybridMultilevel"/>
    <w:lvl w:ilvl="0">
      <w:lvlJc w:val="left"/>
      <w:lvlText w:val="%1)"/>
      <w:numFmt w:val="lowerLetter"/>
      <w:start w:val="2"/>
    </w:lvl>
  </w:abstractNum>
  <w:abstractNum w:abstractNumId="94">
    <w:nsid w:val="5C10FE21"/>
    <w:multiLevelType w:val="hybridMultilevel"/>
    <w:lvl w:ilvl="0">
      <w:lvlJc w:val="left"/>
      <w:lvlText w:val="%1)"/>
      <w:numFmt w:val="lowerLetter"/>
      <w:start w:val="3"/>
    </w:lvl>
  </w:abstractNum>
  <w:abstractNum w:abstractNumId="95">
    <w:nsid w:val="E7FFA2B"/>
    <w:multiLevelType w:val="hybridMultilevel"/>
    <w:lvl w:ilvl="0">
      <w:lvlJc w:val="left"/>
      <w:lvlText w:val="%1)"/>
      <w:numFmt w:val="lowerLetter"/>
      <w:start w:val="5"/>
    </w:lvl>
  </w:abstractNum>
  <w:abstractNum w:abstractNumId="96">
    <w:nsid w:val="3C5991AA"/>
    <w:multiLevelType w:val="hybridMultilevel"/>
    <w:lvl w:ilvl="0">
      <w:lvlJc w:val="left"/>
      <w:lvlText w:val="%1)"/>
      <w:numFmt w:val="lowerLetter"/>
      <w:start w:val="9"/>
    </w:lvl>
  </w:abstractNum>
  <w:abstractNum w:abstractNumId="97">
    <w:nsid w:val="4BD8591A"/>
    <w:multiLevelType w:val="hybridMultilevel"/>
    <w:lvl w:ilvl="0">
      <w:lvlJc w:val="left"/>
      <w:lvlText w:val="(%1)"/>
      <w:numFmt w:val="lowerRoman"/>
      <w:start w:val="2"/>
    </w:lvl>
  </w:abstractNum>
  <w:abstractNum w:abstractNumId="98">
    <w:nsid w:val="78DF6A55"/>
    <w:multiLevelType w:val="hybridMultilevel"/>
    <w:lvl w:ilvl="0">
      <w:lvlJc w:val="left"/>
      <w:lvlText w:val="%1)"/>
      <w:numFmt w:val="lowerLetter"/>
      <w:start w:val="1"/>
    </w:lvl>
    <w:lvl w:ilvl="1">
      <w:lvlJc w:val="left"/>
      <w:lvlText w:val="(%2)"/>
      <w:numFmt w:val="lowerRoman"/>
      <w:start w:val="1"/>
    </w:lvl>
  </w:abstractNum>
  <w:abstractNum w:abstractNumId="99">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00">
    <w:nsid w:val="2B0D8DBE"/>
    <w:multiLevelType w:val="hybridMultilevel"/>
    <w:lvl w:ilvl="0">
      <w:lvlJc w:val="left"/>
      <w:lvlText w:val="(%1)"/>
      <w:numFmt w:val="decimal"/>
      <w:start w:val="2"/>
    </w:lvl>
    <w:lvl w:ilvl="1">
      <w:lvlJc w:val="left"/>
      <w:lvlText w:val="%2)"/>
      <w:numFmt w:val="lowerLetter"/>
      <w:start w:val="5"/>
    </w:lvl>
    <w:lvl w:ilvl="2">
      <w:lvlJc w:val="left"/>
      <w:lvlText w:val="%3"/>
      <w:numFmt w:val="lowerRoman"/>
      <w:start w:val="1"/>
    </w:lvl>
  </w:abstractNum>
  <w:abstractNum w:abstractNumId="101">
    <w:nsid w:val="6C80EC70"/>
    <w:multiLevelType w:val="hybridMultilevel"/>
    <w:lvl w:ilvl="0">
      <w:lvlJc w:val="left"/>
      <w:lvlText w:val="%1)"/>
      <w:numFmt w:val="lowerLetter"/>
      <w:start w:val="7"/>
    </w:lvl>
    <w:lvl w:ilvl="1">
      <w:lvlJc w:val="left"/>
      <w:lvlText w:val="(%2)"/>
      <w:numFmt w:val="lowerRoman"/>
      <w:start w:val="1"/>
    </w:lvl>
  </w:abstractNum>
  <w:abstractNum w:abstractNumId="102">
    <w:nsid w:val="379E21B5"/>
    <w:multiLevelType w:val="hybridMultilevel"/>
    <w:lvl w:ilvl="0">
      <w:lvlJc w:val="left"/>
      <w:lvlText w:val="(%1)"/>
      <w:numFmt w:val="upperLetter"/>
      <w:start w:val="1"/>
    </w:lvl>
  </w:abstractNum>
  <w:abstractNum w:abstractNumId="103">
    <w:nsid w:val="69E373"/>
    <w:multiLevelType w:val="hybridMultilevel"/>
    <w:lvl w:ilvl="0">
      <w:lvlJc w:val="left"/>
      <w:lvlText w:val="(%1)"/>
      <w:numFmt w:val="lowerLetter"/>
      <w:start w:val="1"/>
    </w:lvl>
  </w:abstractNum>
  <w:abstractNum w:abstractNumId="104">
    <w:nsid w:val="2C27173B"/>
    <w:multiLevelType w:val="hybridMultilevel"/>
    <w:lvl w:ilvl="0">
      <w:lvlJc w:val="left"/>
      <w:lvlText w:val="(%1)"/>
      <w:numFmt w:val="lowerLetter"/>
      <w:start w:val="2"/>
    </w:lvl>
  </w:abstractNum>
  <w:abstractNum w:abstractNumId="105">
    <w:nsid w:val="4C9B0904"/>
    <w:multiLevelType w:val="hybridMultilevel"/>
    <w:lvl w:ilvl="0">
      <w:lvlJc w:val="left"/>
      <w:lvlText w:val="(%1)"/>
      <w:numFmt w:val="lowerLetter"/>
      <w:start w:val="3"/>
    </w:lvl>
  </w:abstractNum>
  <w:abstractNum w:abstractNumId="106">
    <w:nsid w:val="6AA7B75C"/>
    <w:multiLevelType w:val="hybridMultilevel"/>
    <w:lvl w:ilvl="0">
      <w:lvlJc w:val="left"/>
      <w:lvlText w:val="(%1)"/>
      <w:numFmt w:val="lowerRoman"/>
      <w:start w:val="2"/>
    </w:lvl>
  </w:abstractNum>
  <w:abstractNum w:abstractNumId="107">
    <w:nsid w:val="1DF029D3"/>
    <w:multiLevelType w:val="hybridMultilevel"/>
    <w:lvl w:ilvl="0">
      <w:lvlJc w:val="left"/>
      <w:lvlText w:val="(%1)"/>
      <w:numFmt w:val="lowerRoman"/>
      <w:start w:val="1"/>
    </w:lvl>
  </w:abstractNum>
  <w:abstractNum w:abstractNumId="108">
    <w:nsid w:val="5675FF36"/>
    <w:multiLevelType w:val="hybridMultilevel"/>
    <w:lvl w:ilvl="0">
      <w:lvlJc w:val="left"/>
      <w:lvlText w:val="(%1)"/>
      <w:numFmt w:val="lowerRoman"/>
      <w:start w:val="2"/>
    </w:lvl>
  </w:abstractNum>
  <w:abstractNum w:abstractNumId="109">
    <w:nsid w:val="3DD15094"/>
    <w:multiLevelType w:val="hybridMultilevel"/>
    <w:lvl w:ilvl="0">
      <w:lvlJc w:val="left"/>
      <w:lvlText w:val="(%1)"/>
      <w:numFmt w:val="lowerRoman"/>
      <w:start w:val="1"/>
    </w:lvl>
  </w:abstractNum>
  <w:abstractNum w:abstractNumId="110">
    <w:nsid w:val="3DB012B3"/>
    <w:multiLevelType w:val="hybridMultilevel"/>
    <w:lvl w:ilvl="0">
      <w:lvlJc w:val="left"/>
      <w:lvlText w:val="(%1)"/>
      <w:numFmt w:val="lowerRoman"/>
      <w:start w:val="6"/>
    </w:lvl>
  </w:abstractNum>
  <w:abstractNum w:abstractNumId="111">
    <w:nsid w:val="2708C9AF"/>
    <w:multiLevelType w:val="hybridMultilevel"/>
    <w:lvl w:ilvl="0">
      <w:lvlJc w:val="left"/>
      <w:lvlText w:val="(%1)"/>
      <w:numFmt w:val="lowerRoman"/>
      <w:start w:val="11"/>
    </w:lvl>
  </w:abstractNum>
  <w:abstractNum w:abstractNumId="112">
    <w:nsid w:val="5B25ACE2"/>
    <w:multiLevelType w:val="hybridMultilevel"/>
    <w:lvl w:ilvl="0">
      <w:lvlJc w:val="left"/>
      <w:lvlText w:val="(%1)"/>
      <w:numFmt w:val="lowerRoman"/>
      <w:start w:val="14"/>
    </w:lvl>
  </w:abstractNum>
  <w:abstractNum w:abstractNumId="113">
    <w:nsid w:val="175DFCF0"/>
    <w:multiLevelType w:val="hybridMultilevel"/>
    <w:lvl w:ilvl="0">
      <w:lvlJc w:val="left"/>
      <w:lvlText w:val="(%1)"/>
      <w:numFmt w:val="lowerRoman"/>
      <w:start w:val="15"/>
    </w:lvl>
  </w:abstractNum>
  <w:abstractNum w:abstractNumId="114">
    <w:nsid w:val="4F97E3E4"/>
    <w:multiLevelType w:val="hybridMultilevel"/>
    <w:lvl w:ilvl="0">
      <w:lvlJc w:val="left"/>
      <w:lvlText w:val="(%1)"/>
      <w:numFmt w:val="lowerRoman"/>
      <w:start w:val="1"/>
    </w:lvl>
  </w:abstractNum>
  <w:abstractNum w:abstractNumId="115">
    <w:nsid w:val="53B0A9E"/>
    <w:multiLevelType w:val="hybridMultilevel"/>
    <w:lvl w:ilvl="0">
      <w:lvlJc w:val="left"/>
      <w:lvlText w:val="(%1)"/>
      <w:numFmt w:val="decimal"/>
      <w:start w:val="1"/>
    </w:lvl>
  </w:abstractNum>
  <w:abstractNum w:abstractNumId="116">
    <w:nsid w:val="34FD6B4F"/>
    <w:multiLevelType w:val="hybridMultilevel"/>
    <w:lvl w:ilvl="0">
      <w:lvlJc w:val="left"/>
      <w:lvlText w:val="(%1)"/>
      <w:numFmt w:val="lowerRoman"/>
      <w:start w:val="1"/>
    </w:lvl>
  </w:abstractNum>
  <w:abstractNum w:abstractNumId="117">
    <w:nsid w:val="5915FF32"/>
    <w:multiLevelType w:val="hybridMultilevel"/>
    <w:lvl w:ilvl="0">
      <w:lvlJc w:val="left"/>
      <w:lvlText w:val="%1."/>
      <w:numFmt w:val="decimal"/>
      <w:start w:val="1"/>
    </w:lvl>
  </w:abstractNum>
  <w:abstractNum w:abstractNumId="118">
    <w:nsid w:val="56438D15"/>
    <w:multiLevelType w:val="hybridMultilevel"/>
    <w:lvl w:ilvl="0">
      <w:lvlJc w:val="left"/>
      <w:lvlText w:val="(%1)"/>
      <w:numFmt w:val="lowerLetter"/>
      <w:start w:val="4"/>
    </w:lvl>
  </w:abstractNum>
  <w:abstractNum w:abstractNumId="119">
    <w:nsid w:val="519E3149"/>
    <w:multiLevelType w:val="hybridMultilevel"/>
    <w:lvl w:ilvl="0">
      <w:lvlJc w:val="left"/>
      <w:lvlText w:val="%1."/>
      <w:numFmt w:val="decimal"/>
      <w:start w:val="2"/>
    </w:lvl>
  </w:abstractNum>
  <w:abstractNum w:abstractNumId="120">
    <w:nsid w:val="2C6E4AFD"/>
    <w:multiLevelType w:val="hybridMultilevel"/>
    <w:lvl w:ilvl="0">
      <w:lvlJc w:val="left"/>
      <w:lvlText w:val="%1."/>
      <w:numFmt w:val="decimal"/>
      <w:start w:val="4"/>
    </w:lvl>
  </w:abstractNum>
  <w:abstractNum w:abstractNumId="121">
    <w:nsid w:val="17A1B582"/>
    <w:multiLevelType w:val="hybridMultilevel"/>
    <w:lvl w:ilvl="0">
      <w:lvlJc w:val="left"/>
      <w:lvlText w:val="%1."/>
      <w:numFmt w:val="decimal"/>
      <w:start w:val="5"/>
    </w:lvl>
  </w:abstractNum>
  <w:abstractNum w:abstractNumId="122">
    <w:nsid w:val="4DF72E4E"/>
    <w:multiLevelType w:val="hybridMultilevel"/>
    <w:lvl w:ilvl="0">
      <w:lvlJc w:val="left"/>
      <w:lvlText w:val="%1."/>
      <w:numFmt w:val="decimal"/>
      <w:start w:val="1"/>
    </w:lvl>
    <w:lvl w:ilvl="1">
      <w:lvlJc w:val="left"/>
      <w:lvlText w:val="(%2)"/>
      <w:numFmt w:val="lowerLetter"/>
      <w:start w:val="1"/>
    </w:lvl>
  </w:abstractNum>
  <w:abstractNum w:abstractNumId="123">
    <w:nsid w:val="5046B5A9"/>
    <w:multiLevelType w:val="hybridMultilevel"/>
    <w:lvl w:ilvl="0">
      <w:lvlJc w:val="left"/>
      <w:lvlText w:val="(%1)"/>
      <w:numFmt w:val="lowerLetter"/>
      <w:start w:val="2"/>
    </w:lvl>
  </w:abstractNum>
  <w:abstractNum w:abstractNumId="124">
    <w:nsid w:val="5D888A08"/>
    <w:multiLevelType w:val="hybridMultilevel"/>
    <w:lvl w:ilvl="0">
      <w:lvlJc w:val="left"/>
      <w:lvlText w:val="%1."/>
      <w:numFmt w:val="decimal"/>
      <w:start w:val="2"/>
    </w:lvl>
  </w:abstractNum>
  <w:abstractNum w:abstractNumId="125">
    <w:nsid w:val="2A082C70"/>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126">
    <w:nsid w:val="5EC6AFD4"/>
    <w:multiLevelType w:val="hybridMultilevel"/>
    <w:lvl w:ilvl="0">
      <w:lvlJc w:val="left"/>
      <w:lvlText w:val="%1."/>
      <w:numFmt w:val="decimal"/>
      <w:start w:val="4"/>
    </w:lvl>
  </w:abstractNum>
  <w:abstractNum w:abstractNumId="127">
    <w:nsid w:val="19E21BB2"/>
    <w:multiLevelType w:val="hybridMultilevel"/>
    <w:lvl w:ilvl="0">
      <w:lvlJc w:val="left"/>
      <w:lvlText w:val="%1."/>
      <w:numFmt w:val="decimal"/>
      <w:start w:val="6"/>
    </w:lvl>
    <w:lvl w:ilvl="1">
      <w:lvlJc w:val="left"/>
      <w:lvlText w:val="-"/>
      <w:numFmt w:val="bullet"/>
      <w:start w:val="1"/>
    </w:lvl>
  </w:abstractNum>
  <w:abstractNum w:abstractNumId="128">
    <w:nsid w:val="75E0858A"/>
    <w:multiLevelType w:val="hybridMultilevel"/>
    <w:lvl w:ilvl="0">
      <w:lvlJc w:val="left"/>
      <w:lvlText w:val="%1)"/>
      <w:numFmt w:val="lowerLetter"/>
      <w:start w:val="1"/>
    </w:lvl>
  </w:abstractNum>
  <w:abstractNum w:abstractNumId="129">
    <w:nsid w:val="57A61A29"/>
    <w:multiLevelType w:val="hybridMultilevel"/>
    <w:lvl w:ilvl="0">
      <w:lvlJc w:val="left"/>
      <w:lvlText w:val="%1)"/>
      <w:numFmt w:val="lowerLetter"/>
      <w:start w:val="2"/>
    </w:lvl>
  </w:abstractNum>
  <w:abstractNum w:abstractNumId="130">
    <w:nsid w:val="5399C654"/>
    <w:multiLevelType w:val="hybridMultilevel"/>
    <w:lvl w:ilvl="0">
      <w:lvlJc w:val="left"/>
      <w:lvlText w:val="*"/>
      <w:numFmt w:val="bullet"/>
      <w:start w:val="1"/>
    </w:lvl>
    <w:lvl w:ilvl="1">
      <w:lvlJc w:val="left"/>
      <w:lvlText w:val="%2."/>
      <w:numFmt w:val="decimal"/>
      <w:start w:val="1"/>
    </w:lvl>
  </w:abstractNum>
  <w:abstractNum w:abstractNumId="131">
    <w:nsid w:val="20EE134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2019-12-16T15:06:41Z</dcterms:created>
  <dcterms:modified xsi:type="dcterms:W3CDTF">2019-12-16T15:06:41Z</dcterms:modified>
</cp:coreProperties>
</file>