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Republic Services,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720" w:type="dxa"/>
            <w:vAlign w:val="bottom"/>
          </w:tcPr>
          <w:p>
            <w:pPr>
              <w:jc w:val="center"/>
              <w:ind w:right="159"/>
              <w:spacing w:after="0"/>
              <w:rPr>
                <w:sz w:val="20"/>
                <w:szCs w:val="20"/>
                <w:color w:val="auto"/>
              </w:rPr>
            </w:pPr>
            <w:r>
              <w:rPr>
                <w:rFonts w:ascii="Arial" w:cs="Arial" w:eastAsia="Arial" w:hAnsi="Arial"/>
                <w:sz w:val="18"/>
                <w:szCs w:val="18"/>
                <w:b w:val="1"/>
                <w:bCs w:val="1"/>
                <w:color w:val="auto"/>
                <w:w w:val="91"/>
              </w:rPr>
              <w:t>Delaware</w:t>
            </w:r>
          </w:p>
        </w:tc>
        <w:tc>
          <w:tcPr>
            <w:tcW w:w="4640" w:type="dxa"/>
            <w:vAlign w:val="bottom"/>
          </w:tcPr>
          <w:p>
            <w:pPr>
              <w:jc w:val="right"/>
              <w:ind w:right="39"/>
              <w:spacing w:after="0"/>
              <w:rPr>
                <w:sz w:val="20"/>
                <w:szCs w:val="20"/>
                <w:color w:val="auto"/>
              </w:rPr>
            </w:pPr>
            <w:r>
              <w:rPr>
                <w:rFonts w:ascii="Arial" w:cs="Arial" w:eastAsia="Arial" w:hAnsi="Arial"/>
                <w:sz w:val="18"/>
                <w:szCs w:val="18"/>
                <w:b w:val="1"/>
                <w:bCs w:val="1"/>
                <w:color w:val="auto"/>
              </w:rPr>
              <w:t>65-0716904</w:t>
            </w:r>
          </w:p>
        </w:tc>
      </w:tr>
      <w:tr>
        <w:trPr>
          <w:trHeight w:val="148"/>
        </w:trPr>
        <w:tc>
          <w:tcPr>
            <w:tcW w:w="27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640" w:type="dxa"/>
            <w:vAlign w:val="bottom"/>
          </w:tcPr>
          <w:p>
            <w:pPr>
              <w:jc w:val="center"/>
              <w:ind w:left="34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2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incorporation or organization)</w:t>
            </w:r>
          </w:p>
        </w:tc>
        <w:tc>
          <w:tcPr>
            <w:tcW w:w="4640" w:type="dxa"/>
            <w:vAlign w:val="bottom"/>
          </w:tcPr>
          <w:p>
            <w:pPr>
              <w:jc w:val="center"/>
              <w:ind w:left="3439"/>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2720" w:type="dxa"/>
            <w:vAlign w:val="bottom"/>
          </w:tcPr>
          <w:p>
            <w:pPr>
              <w:jc w:val="center"/>
              <w:ind w:right="159"/>
              <w:spacing w:after="0"/>
              <w:rPr>
                <w:sz w:val="20"/>
                <w:szCs w:val="20"/>
                <w:color w:val="auto"/>
              </w:rPr>
            </w:pPr>
            <w:r>
              <w:rPr>
                <w:rFonts w:ascii="Arial" w:cs="Arial" w:eastAsia="Arial" w:hAnsi="Arial"/>
                <w:sz w:val="18"/>
                <w:szCs w:val="18"/>
                <w:b w:val="1"/>
                <w:bCs w:val="1"/>
                <w:color w:val="auto"/>
                <w:w w:val="92"/>
              </w:rPr>
              <w:t>18500 North Allied Way</w:t>
            </w:r>
          </w:p>
        </w:tc>
        <w:tc>
          <w:tcPr>
            <w:tcW w:w="4640" w:type="dxa"/>
            <w:vAlign w:val="bottom"/>
          </w:tcPr>
          <w:p>
            <w:pPr>
              <w:spacing w:after="0"/>
              <w:rPr>
                <w:sz w:val="24"/>
                <w:szCs w:val="24"/>
                <w:color w:val="auto"/>
              </w:rPr>
            </w:pPr>
          </w:p>
        </w:tc>
      </w:tr>
      <w:tr>
        <w:trPr>
          <w:trHeight w:val="225"/>
        </w:trPr>
        <w:tc>
          <w:tcPr>
            <w:tcW w:w="272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Phoenix, Arizona</w:t>
            </w:r>
          </w:p>
        </w:tc>
        <w:tc>
          <w:tcPr>
            <w:tcW w:w="4640" w:type="dxa"/>
            <w:vAlign w:val="bottom"/>
          </w:tcPr>
          <w:p>
            <w:pPr>
              <w:jc w:val="right"/>
              <w:ind w:right="259"/>
              <w:spacing w:after="0"/>
              <w:rPr>
                <w:sz w:val="20"/>
                <w:szCs w:val="20"/>
                <w:color w:val="auto"/>
              </w:rPr>
            </w:pPr>
            <w:r>
              <w:rPr>
                <w:rFonts w:ascii="Arial" w:cs="Arial" w:eastAsia="Arial" w:hAnsi="Arial"/>
                <w:sz w:val="18"/>
                <w:szCs w:val="18"/>
                <w:b w:val="1"/>
                <w:bCs w:val="1"/>
                <w:color w:val="auto"/>
              </w:rPr>
              <w:t>85054</w:t>
            </w:r>
          </w:p>
        </w:tc>
      </w:tr>
      <w:tr>
        <w:trPr>
          <w:trHeight w:val="186"/>
        </w:trPr>
        <w:tc>
          <w:tcPr>
            <w:tcW w:w="27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640" w:type="dxa"/>
            <w:vAlign w:val="bottom"/>
          </w:tcPr>
          <w:p>
            <w:pPr>
              <w:jc w:val="center"/>
              <w:ind w:left="3439"/>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2720" w:type="dxa"/>
            <w:vAlign w:val="bottom"/>
          </w:tcPr>
          <w:p>
            <w:pPr>
              <w:spacing w:after="0"/>
              <w:rPr>
                <w:sz w:val="24"/>
                <w:szCs w:val="24"/>
                <w:color w:val="auto"/>
              </w:rPr>
            </w:pPr>
          </w:p>
        </w:tc>
        <w:tc>
          <w:tcPr>
            <w:tcW w:w="4640" w:type="dxa"/>
            <w:vAlign w:val="bottom"/>
          </w:tcPr>
          <w:p>
            <w:pPr>
              <w:jc w:val="center"/>
              <w:ind w:right="2079"/>
              <w:spacing w:after="0"/>
              <w:rPr>
                <w:sz w:val="20"/>
                <w:szCs w:val="20"/>
                <w:color w:val="auto"/>
              </w:rPr>
            </w:pPr>
            <w:r>
              <w:rPr>
                <w:rFonts w:ascii="Arial" w:cs="Arial" w:eastAsia="Arial" w:hAnsi="Arial"/>
                <w:sz w:val="18"/>
                <w:szCs w:val="18"/>
                <w:b w:val="1"/>
                <w:bCs w:val="1"/>
                <w:color w:val="auto"/>
                <w:w w:val="89"/>
              </w:rPr>
              <w:t>Republic Services, Inc.</w:t>
            </w:r>
          </w:p>
        </w:tc>
      </w:tr>
      <w:tr>
        <w:trPr>
          <w:trHeight w:val="212"/>
        </w:trPr>
        <w:tc>
          <w:tcPr>
            <w:tcW w:w="2720" w:type="dxa"/>
            <w:vAlign w:val="bottom"/>
          </w:tcPr>
          <w:p>
            <w:pPr>
              <w:spacing w:after="0"/>
              <w:rPr>
                <w:sz w:val="18"/>
                <w:szCs w:val="18"/>
                <w:color w:val="auto"/>
              </w:rPr>
            </w:pPr>
          </w:p>
        </w:tc>
        <w:tc>
          <w:tcPr>
            <w:tcW w:w="4640" w:type="dxa"/>
            <w:vAlign w:val="bottom"/>
          </w:tcPr>
          <w:p>
            <w:pPr>
              <w:jc w:val="center"/>
              <w:ind w:right="2059"/>
              <w:spacing w:after="0"/>
              <w:rPr>
                <w:sz w:val="20"/>
                <w:szCs w:val="20"/>
                <w:color w:val="auto"/>
              </w:rPr>
            </w:pPr>
            <w:r>
              <w:rPr>
                <w:rFonts w:ascii="Arial" w:cs="Arial" w:eastAsia="Arial" w:hAnsi="Arial"/>
                <w:sz w:val="18"/>
                <w:szCs w:val="18"/>
                <w:b w:val="1"/>
                <w:bCs w:val="1"/>
                <w:color w:val="auto"/>
                <w:w w:val="89"/>
              </w:rPr>
              <w:t>2021 Stock Incentive Plan</w:t>
            </w:r>
          </w:p>
        </w:tc>
      </w:tr>
      <w:tr>
        <w:trPr>
          <w:trHeight w:val="186"/>
        </w:trPr>
        <w:tc>
          <w:tcPr>
            <w:tcW w:w="2720" w:type="dxa"/>
            <w:vAlign w:val="bottom"/>
          </w:tcPr>
          <w:p>
            <w:pPr>
              <w:spacing w:after="0"/>
              <w:rPr>
                <w:sz w:val="16"/>
                <w:szCs w:val="16"/>
                <w:color w:val="auto"/>
              </w:rPr>
            </w:pPr>
          </w:p>
        </w:tc>
        <w:tc>
          <w:tcPr>
            <w:tcW w:w="4640" w:type="dxa"/>
            <w:vAlign w:val="bottom"/>
          </w:tcPr>
          <w:p>
            <w:pPr>
              <w:jc w:val="center"/>
              <w:ind w:right="2079"/>
              <w:spacing w:after="0"/>
              <w:rPr>
                <w:sz w:val="20"/>
                <w:szCs w:val="20"/>
                <w:color w:val="auto"/>
              </w:rPr>
            </w:pPr>
            <w:r>
              <w:rPr>
                <w:rFonts w:ascii="Arial" w:cs="Arial" w:eastAsia="Arial" w:hAnsi="Arial"/>
                <w:sz w:val="14"/>
                <w:szCs w:val="14"/>
                <w:b w:val="1"/>
                <w:bCs w:val="1"/>
                <w:color w:val="auto"/>
                <w:w w:val="95"/>
              </w:rPr>
              <w:t>(Full title of the plan)</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Catharine D. Ellingsen,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Chief Legal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Ethics &amp; Compliance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Officer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18500 North Allied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(480) 627-2700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Kerry S. Burke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Covington &amp; Burling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CityCenter, 850 Tenth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20001-4956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Amount 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 (2)</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12,800,000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$89.66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$1,147,648,000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$125,208.40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29" w:right="439" w:bottom="28" w:gutter="0" w:footer="0" w:header="0"/>
        </w:sectPr>
      </w:pPr>
    </w:p>
    <w:bookmarkStart w:id="1" w:name="page2"/>
    <w:bookmarkEnd w:id="1"/>
    <w:p>
      <w:pPr>
        <w:ind w:left="424" w:hanging="424"/>
        <w:spacing w:after="0" w:line="271"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Relates to common stock to be issued pursuant to the Republic Services, Inc. 2021 Stock Incentive Plan (the “</w:t>
      </w:r>
      <w:r>
        <w:rPr>
          <w:rFonts w:ascii="Arial" w:cs="Arial" w:eastAsia="Arial" w:hAnsi="Arial"/>
          <w:sz w:val="17"/>
          <w:szCs w:val="17"/>
          <w:u w:val="single" w:color="auto"/>
          <w:color w:val="auto"/>
        </w:rPr>
        <w:t>2021 Plan</w:t>
      </w:r>
      <w:r>
        <w:rPr>
          <w:rFonts w:ascii="Arial" w:cs="Arial" w:eastAsia="Arial" w:hAnsi="Arial"/>
          <w:sz w:val="17"/>
          <w:szCs w:val="17"/>
          <w:color w:val="auto"/>
        </w:rPr>
        <w:t>”). Pursuant to Rule 416(a)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this Registration Statement on Form S-8 also covers any additional shares of common stock that may hereafter become issuable as a result of the adjustment provisions of the 2021 Plan.</w:t>
      </w:r>
    </w:p>
    <w:p>
      <w:pPr>
        <w:ind w:left="424" w:right="14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offering price per share is estimated solely for the purpose of calculating the registration fee pursuant to Rule 457(c) and Rule 457(h) under the Securities Act and is based on the average of the high and low sales prices per share of the Registrant’s common stock as reported on the New York Stock Exchange on 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4"/>
          </w:cols>
          <w:pgMar w:left="436" w:top="139"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Part I of Form S-8 to be contained in the Section 10(a) prospectus is omitted from this Registration Statement in accordance with Rule 428 under the Securities Act and the “Note” to Part I of Form S-8.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following documents filed by Republic Services, Inc., a Delaware corporation (“</w:t>
      </w:r>
      <w:r>
        <w:rPr>
          <w:rFonts w:ascii="Arial" w:cs="Arial" w:eastAsia="Arial" w:hAnsi="Arial"/>
          <w:sz w:val="18"/>
          <w:szCs w:val="18"/>
          <w:u w:val="single" w:color="auto"/>
          <w:color w:val="auto"/>
        </w:rPr>
        <w:t>Republic</w:t>
      </w:r>
      <w:r>
        <w:rPr>
          <w:rFonts w:ascii="Arial" w:cs="Arial" w:eastAsia="Arial" w:hAnsi="Arial"/>
          <w:sz w:val="18"/>
          <w:szCs w:val="18"/>
          <w:color w:val="auto"/>
        </w:rPr>
        <w:t>” or the “</w:t>
      </w:r>
      <w:r>
        <w:rPr>
          <w:rFonts w:ascii="Arial" w:cs="Arial" w:eastAsia="Arial" w:hAnsi="Arial"/>
          <w:sz w:val="18"/>
          <w:szCs w:val="18"/>
          <w:u w:val="single" w:color="auto"/>
          <w:color w:val="auto"/>
        </w:rPr>
        <w:t>Registrant</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are incorporated by reference in this Registration Statement:</w:t>
      </w:r>
    </w:p>
    <w:p>
      <w:pPr>
        <w:spacing w:after="0" w:line="76" w:lineRule="exact"/>
        <w:rPr>
          <w:sz w:val="20"/>
          <w:szCs w:val="20"/>
          <w:color w:val="auto"/>
        </w:rPr>
      </w:pPr>
    </w:p>
    <w:p>
      <w:pPr>
        <w:ind w:left="680" w:hanging="244"/>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19">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2019, filed with the Commission on February 14, 2020;</w:t>
      </w:r>
    </w:p>
    <w:p>
      <w:pPr>
        <w:spacing w:after="0" w:line="140" w:lineRule="exact"/>
        <w:rPr>
          <w:rFonts w:ascii="Arial" w:cs="Arial" w:eastAsia="Arial" w:hAnsi="Arial"/>
          <w:sz w:val="16"/>
          <w:szCs w:val="16"/>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Definitive Proxy Statement on </w:t>
      </w:r>
      <w:hyperlink r:id="rId20">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Commission on March 24, 2020;</w:t>
      </w:r>
    </w:p>
    <w:p>
      <w:pPr>
        <w:spacing w:after="0" w:line="117" w:lineRule="exact"/>
        <w:rPr>
          <w:rFonts w:ascii="Arial" w:cs="Arial" w:eastAsia="Arial" w:hAnsi="Arial"/>
          <w:sz w:val="18"/>
          <w:szCs w:val="18"/>
          <w:color w:val="auto"/>
        </w:rPr>
      </w:pPr>
    </w:p>
    <w:p>
      <w:pPr>
        <w:ind w:left="440" w:right="200" w:hanging="4"/>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quarters ended March 31, 2020, June 30, 2020 and September 30, 2020, filed with the Commission on </w:t>
      </w:r>
      <w:hyperlink r:id="rId21">
        <w:r>
          <w:rPr>
            <w:rFonts w:ascii="Arial" w:cs="Arial" w:eastAsia="Arial" w:hAnsi="Arial"/>
            <w:sz w:val="18"/>
            <w:szCs w:val="18"/>
            <w:u w:val="single" w:color="auto"/>
            <w:color w:val="0000EE"/>
          </w:rPr>
          <w:t>May 6, 2020</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August 7,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November 6, 2020, respectively;</w:t>
      </w:r>
    </w:p>
    <w:p>
      <w:pPr>
        <w:spacing w:after="0" w:line="62" w:lineRule="exact"/>
        <w:rPr>
          <w:rFonts w:ascii="Arial" w:cs="Arial" w:eastAsia="Arial" w:hAnsi="Arial"/>
          <w:sz w:val="18"/>
          <w:szCs w:val="18"/>
          <w:color w:val="auto"/>
        </w:rPr>
      </w:pPr>
    </w:p>
    <w:p>
      <w:pPr>
        <w:ind w:left="440" w:right="140" w:hanging="4"/>
        <w:spacing w:after="0" w:line="311" w:lineRule="auto"/>
        <w:tabs>
          <w:tab w:leader="none" w:pos="695" w:val="left"/>
        </w:tabs>
        <w:numPr>
          <w:ilvl w:val="0"/>
          <w:numId w:val="2"/>
        </w:numPr>
        <w:rPr>
          <w:rFonts w:ascii="Arial" w:cs="Arial" w:eastAsia="Arial" w:hAnsi="Arial"/>
          <w:sz w:val="16"/>
          <w:szCs w:val="16"/>
          <w:color w:val="0000EE"/>
        </w:rPr>
      </w:pPr>
      <w:r>
        <w:rPr>
          <w:rFonts w:ascii="Arial" w:cs="Arial" w:eastAsia="Arial" w:hAnsi="Arial"/>
          <w:sz w:val="16"/>
          <w:szCs w:val="16"/>
          <w:color w:val="auto"/>
        </w:rPr>
        <w:t xml:space="preserve">The Registrant’s Current Reports on Form 8-K or Form 8-K/A, as applicable (other than portions thereof furnished pursuant to Item 2.02 or </w:t>
      </w:r>
      <w:hyperlink r:id="rId23">
        <w:r>
          <w:rPr>
            <w:rFonts w:ascii="Arial" w:cs="Arial" w:eastAsia="Arial" w:hAnsi="Arial"/>
            <w:sz w:val="16"/>
            <w:szCs w:val="16"/>
            <w:color w:val="auto"/>
          </w:rPr>
          <w:t xml:space="preserve">Item 7.01 of Form 8-K), filed with the Commission on </w:t>
        </w:r>
        <w:r>
          <w:rPr>
            <w:rFonts w:ascii="Arial" w:cs="Arial" w:eastAsia="Arial" w:hAnsi="Arial"/>
            <w:sz w:val="16"/>
            <w:szCs w:val="16"/>
            <w:u w:val="single" w:color="auto"/>
            <w:color w:val="0000EE"/>
          </w:rPr>
          <w:t>February 21,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March 3,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April 17,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April 28,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May 12,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May</w:t>
        </w:r>
      </w:hyperlink>
      <w:r>
        <w:rPr>
          <w:rFonts w:ascii="Arial" w:cs="Arial" w:eastAsia="Arial" w:hAnsi="Arial"/>
          <w:sz w:val="16"/>
          <w:szCs w:val="16"/>
          <w:color w:val="auto"/>
        </w:rPr>
        <w:t xml:space="preserve"> </w:t>
      </w:r>
      <w:hyperlink r:id="rId23">
        <w:r>
          <w:rPr>
            <w:rFonts w:ascii="Arial" w:cs="Arial" w:eastAsia="Arial" w:hAnsi="Arial"/>
            <w:sz w:val="16"/>
            <w:szCs w:val="16"/>
            <w:u w:val="single" w:color="auto"/>
            <w:color w:val="0000EE"/>
          </w:rPr>
          <w:t>21, 2020</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4">
        <w:r>
          <w:rPr>
            <w:rFonts w:ascii="Arial" w:cs="Arial" w:eastAsia="Arial" w:hAnsi="Arial"/>
            <w:sz w:val="16"/>
            <w:szCs w:val="16"/>
            <w:u w:val="single" w:color="auto"/>
            <w:color w:val="0000EE"/>
          </w:rPr>
          <w:t>June 4, 2020</w:t>
        </w:r>
      </w:hyperlink>
      <w:hyperlink r:id="rId23">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5">
        <w:r>
          <w:rPr>
            <w:rFonts w:ascii="Arial" w:cs="Arial" w:eastAsia="Arial" w:hAnsi="Arial"/>
            <w:sz w:val="16"/>
            <w:szCs w:val="16"/>
            <w:u w:val="single" w:color="auto"/>
            <w:color w:val="0000EE"/>
          </w:rPr>
          <w:t>July 17, 2020</w:t>
        </w:r>
      </w:hyperlink>
      <w:hyperlink r:id="rId23">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6">
        <w:r>
          <w:rPr>
            <w:rFonts w:ascii="Arial" w:cs="Arial" w:eastAsia="Arial" w:hAnsi="Arial"/>
            <w:sz w:val="16"/>
            <w:szCs w:val="16"/>
            <w:u w:val="single" w:color="auto"/>
            <w:color w:val="0000EE"/>
          </w:rPr>
          <w:t>July 29, 2020</w:t>
        </w:r>
      </w:hyperlink>
      <w:hyperlink r:id="rId23">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7">
        <w:r>
          <w:rPr>
            <w:rFonts w:ascii="Arial" w:cs="Arial" w:eastAsia="Arial" w:hAnsi="Arial"/>
            <w:sz w:val="16"/>
            <w:szCs w:val="16"/>
            <w:u w:val="single" w:color="auto"/>
            <w:color w:val="0000EE"/>
          </w:rPr>
          <w:t>July 30, 2020</w:t>
        </w:r>
      </w:hyperlink>
      <w:hyperlink r:id="rId23">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8">
        <w:r>
          <w:rPr>
            <w:rFonts w:ascii="Arial" w:cs="Arial" w:eastAsia="Arial" w:hAnsi="Arial"/>
            <w:sz w:val="16"/>
            <w:szCs w:val="16"/>
            <w:u w:val="single" w:color="auto"/>
            <w:color w:val="0000EE"/>
          </w:rPr>
          <w:t>August 13, 2020</w:t>
        </w:r>
      </w:hyperlink>
      <w:hyperlink r:id="rId23">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29">
        <w:r>
          <w:rPr>
            <w:rFonts w:ascii="Arial" w:cs="Arial" w:eastAsia="Arial" w:hAnsi="Arial"/>
            <w:sz w:val="16"/>
            <w:szCs w:val="16"/>
            <w:u w:val="single" w:color="auto"/>
            <w:color w:val="0000EE"/>
          </w:rPr>
          <w:t>August 27, 2020</w:t>
        </w:r>
      </w:hyperlink>
      <w:hyperlink r:id="rId23">
        <w:r>
          <w:rPr>
            <w:rFonts w:ascii="Arial" w:cs="Arial" w:eastAsia="Arial" w:hAnsi="Arial"/>
            <w:sz w:val="16"/>
            <w:szCs w:val="16"/>
            <w:color w:val="000000"/>
          </w:rPr>
          <w:t>, and</w:t>
        </w:r>
        <w:r>
          <w:rPr>
            <w:rFonts w:ascii="Arial" w:cs="Arial" w:eastAsia="Arial" w:hAnsi="Arial"/>
            <w:sz w:val="16"/>
            <w:szCs w:val="16"/>
            <w:color w:val="0000EE"/>
          </w:rPr>
          <w:t xml:space="preserve"> </w:t>
        </w:r>
      </w:hyperlink>
      <w:hyperlink r:id="rId30">
        <w:r>
          <w:rPr>
            <w:rFonts w:ascii="Arial" w:cs="Arial" w:eastAsia="Arial" w:hAnsi="Arial"/>
            <w:sz w:val="16"/>
            <w:szCs w:val="16"/>
            <w:u w:val="single" w:color="auto"/>
            <w:color w:val="0000EE"/>
          </w:rPr>
          <w:t>October 28, 2020</w:t>
        </w:r>
      </w:hyperlink>
      <w:hyperlink r:id="rId23">
        <w:r>
          <w:rPr>
            <w:rFonts w:ascii="Arial" w:cs="Arial" w:eastAsia="Arial" w:hAnsi="Arial"/>
            <w:sz w:val="16"/>
            <w:szCs w:val="16"/>
            <w:color w:val="000000"/>
          </w:rPr>
          <w:t>; and</w:t>
        </w:r>
      </w:hyperlink>
    </w:p>
    <w:p>
      <w:pPr>
        <w:sectPr>
          <w:pgSz w:w="11900" w:h="16838" w:orient="portrait"/>
          <w:cols w:equalWidth="0" w:num="1">
            <w:col w:w="11000"/>
          </w:cols>
          <w:pgMar w:left="440" w:top="270" w:right="459" w:bottom="1440" w:gutter="0" w:footer="0" w:header="0"/>
        </w:sectPr>
      </w:pPr>
    </w:p>
    <w:bookmarkStart w:id="3" w:name="page4"/>
    <w:bookmarkEnd w:id="3"/>
    <w:p>
      <w:pPr>
        <w:ind w:left="444" w:right="140" w:hanging="4"/>
        <w:spacing w:after="0" w:line="277" w:lineRule="auto"/>
        <w:tabs>
          <w:tab w:leader="none" w:pos="689"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Registrant’s description of its common stock contained in </w:t>
      </w:r>
      <w:hyperlink r:id="rId32">
        <w:r>
          <w:rPr>
            <w:rFonts w:ascii="Arial" w:cs="Arial" w:eastAsia="Arial" w:hAnsi="Arial"/>
            <w:sz w:val="18"/>
            <w:szCs w:val="18"/>
            <w:u w:val="single" w:color="auto"/>
            <w:color w:val="0000EE"/>
          </w:rPr>
          <w:t>Exhibit 4.23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its Annual Report on </w:t>
      </w:r>
      <w:hyperlink r:id="rId1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Commission on February 14, 2020, including any amendment or report filed for the purpose of updating such description.</w:t>
      </w:r>
    </w:p>
    <w:p>
      <w:pPr>
        <w:spacing w:after="0" w:line="170" w:lineRule="exact"/>
        <w:rPr>
          <w:rFonts w:ascii="Arial" w:cs="Arial" w:eastAsia="Arial" w:hAnsi="Arial"/>
          <w:sz w:val="18"/>
          <w:szCs w:val="18"/>
          <w:color w:val="auto"/>
        </w:rPr>
      </w:pPr>
    </w:p>
    <w:p>
      <w:pPr>
        <w:ind w:left="4"/>
        <w:spacing w:after="0" w:line="273" w:lineRule="auto"/>
        <w:rPr>
          <w:sz w:val="20"/>
          <w:szCs w:val="20"/>
          <w:color w:val="auto"/>
        </w:rPr>
      </w:pPr>
      <w:r>
        <w:rPr>
          <w:rFonts w:ascii="Arial" w:cs="Arial" w:eastAsia="Arial" w:hAnsi="Arial"/>
          <w:sz w:val="17"/>
          <w:szCs w:val="17"/>
          <w:color w:val="auto"/>
        </w:rPr>
        <w:t>In addition, all documents subsequently filed with the Commission by the Registrant pursuant to Sections 13(a), 13(c), 14 and 15(d) of the Exchange Act, prior to the filing of a post-effective amendment which indicates that all securities offered herein have been sold or which deregisters all securities then remaining unsold, shall be deemed to be incorporated by reference in this Registration Statement and to be a part hereof from the date of filing such document.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282"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b w:val="1"/>
          <w:bCs w:val="1"/>
          <w:color w:val="auto"/>
        </w:rPr>
        <w:t>Item 5. Interest of Named Experts and Counsel.</w:t>
      </w:r>
    </w:p>
    <w:p>
      <w:pPr>
        <w:spacing w:after="0" w:line="121"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7"/>
          <w:szCs w:val="17"/>
          <w:color w:val="auto"/>
        </w:rPr>
        <w:t>The opinion of counsel as to the legality of the securities that may be issued under the 2021 Plan is given by Catharine D. Ellingsen, Executive</w:t>
      </w:r>
    </w:p>
    <w:p>
      <w:pPr>
        <w:spacing w:after="0" w:line="35" w:lineRule="exact"/>
        <w:rPr>
          <w:rFonts w:ascii="Arial" w:cs="Arial" w:eastAsia="Arial" w:hAnsi="Arial"/>
          <w:sz w:val="18"/>
          <w:szCs w:val="18"/>
          <w:color w:val="auto"/>
        </w:rPr>
      </w:pPr>
    </w:p>
    <w:p>
      <w:pPr>
        <w:ind w:left="4"/>
        <w:spacing w:after="0" w:line="260" w:lineRule="auto"/>
        <w:rPr>
          <w:sz w:val="20"/>
          <w:szCs w:val="20"/>
          <w:color w:val="auto"/>
        </w:rPr>
      </w:pPr>
      <w:r>
        <w:rPr>
          <w:rFonts w:ascii="Arial" w:cs="Arial" w:eastAsia="Arial" w:hAnsi="Arial"/>
          <w:sz w:val="18"/>
          <w:szCs w:val="18"/>
          <w:color w:val="auto"/>
        </w:rPr>
        <w:t>Vice President, Chief Legal Officer, Chief Ethics &amp; Compliance Officer, and Corporate Secretary of the Registrant. Ms. Ellingsen owns 16,213 shares of Republic common stock.</w:t>
      </w:r>
    </w:p>
    <w:p>
      <w:pPr>
        <w:spacing w:after="0" w:line="289"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8"/>
          <w:szCs w:val="18"/>
          <w:color w:val="auto"/>
        </w:rPr>
      </w:pPr>
    </w:p>
    <w:p>
      <w:pPr>
        <w:ind w:left="4" w:right="340"/>
        <w:spacing w:after="0" w:line="277" w:lineRule="auto"/>
        <w:rPr>
          <w:sz w:val="20"/>
          <w:szCs w:val="20"/>
          <w:color w:val="auto"/>
        </w:rPr>
      </w:pPr>
      <w:r>
        <w:rPr>
          <w:rFonts w:ascii="Arial" w:cs="Arial" w:eastAsia="Arial" w:hAnsi="Arial"/>
          <w:sz w:val="18"/>
          <w:szCs w:val="18"/>
          <w:color w:val="auto"/>
        </w:rPr>
        <w:t>The following summary is qualified in its entirety by reference to the complete text of the statutes referred to below and to Republic’s Amended and Restated Certificate of Incorporation, as amended (the “</w:t>
      </w:r>
      <w:r>
        <w:rPr>
          <w:rFonts w:ascii="Arial" w:cs="Arial" w:eastAsia="Arial" w:hAnsi="Arial"/>
          <w:sz w:val="18"/>
          <w:szCs w:val="18"/>
          <w:u w:val="single" w:color="auto"/>
          <w:color w:val="auto"/>
        </w:rPr>
        <w:t>Certificate</w:t>
      </w:r>
      <w:r>
        <w:rPr>
          <w:rFonts w:ascii="Arial" w:cs="Arial" w:eastAsia="Arial" w:hAnsi="Arial"/>
          <w:sz w:val="18"/>
          <w:szCs w:val="18"/>
          <w:color w:val="auto"/>
        </w:rPr>
        <w:t>”), and Amended and Restated Bylaws.</w:t>
      </w:r>
    </w:p>
    <w:p>
      <w:pPr>
        <w:spacing w:after="0" w:line="170" w:lineRule="exact"/>
        <w:rPr>
          <w:rFonts w:ascii="Arial" w:cs="Arial" w:eastAsia="Arial" w:hAnsi="Arial"/>
          <w:sz w:val="18"/>
          <w:szCs w:val="18"/>
          <w:color w:val="auto"/>
        </w:rPr>
      </w:pPr>
    </w:p>
    <w:p>
      <w:pPr>
        <w:ind w:left="4" w:right="120"/>
        <w:spacing w:after="0" w:line="254" w:lineRule="auto"/>
        <w:rPr>
          <w:sz w:val="20"/>
          <w:szCs w:val="20"/>
          <w:color w:val="auto"/>
        </w:rPr>
      </w:pPr>
      <w:r>
        <w:rPr>
          <w:rFonts w:ascii="Arial" w:cs="Arial" w:eastAsia="Arial" w:hAnsi="Arial"/>
          <w:sz w:val="18"/>
          <w:szCs w:val="18"/>
          <w:color w:val="auto"/>
        </w:rPr>
        <w:t>The Certificate provides that Republic shall indemnify, to the fullest extent permitted by Section 145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each person who is involved in any litigation or other proceeding because such person is or was a Republic director or officer or was serving at Republic’s request as a director, officer, employee or agent of another enterprise, against all expense (including attorney’s fees), loss or liability reasonably incurred or suffered in connection therewith. The Certificate provides that a person entitled to indemnification under the Certificate shall be paid expenses incurred in defending any proceeding in advance of its final disposition upon Republic’s receipt of an undertaking, by or on behalf of the director or officer, to repay all amounts so advanced if it is ultimately determined that such director or officer is not entitled to indemnification.</w:t>
      </w:r>
    </w:p>
    <w:p>
      <w:pPr>
        <w:spacing w:after="0" w:line="195" w:lineRule="exact"/>
        <w:rPr>
          <w:rFonts w:ascii="Arial" w:cs="Arial" w:eastAsia="Arial" w:hAnsi="Arial"/>
          <w:sz w:val="18"/>
          <w:szCs w:val="18"/>
          <w:color w:val="auto"/>
        </w:rPr>
      </w:pPr>
    </w:p>
    <w:p>
      <w:pPr>
        <w:ind w:left="4" w:right="40"/>
        <w:spacing w:after="0" w:line="269" w:lineRule="auto"/>
        <w:rPr>
          <w:sz w:val="20"/>
          <w:szCs w:val="20"/>
          <w:color w:val="auto"/>
        </w:rPr>
      </w:pPr>
      <w:r>
        <w:rPr>
          <w:rFonts w:ascii="Arial" w:cs="Arial" w:eastAsia="Arial" w:hAnsi="Arial"/>
          <w:sz w:val="17"/>
          <w:szCs w:val="17"/>
          <w:color w:val="auto"/>
        </w:rPr>
        <w:t>Section 145 of the DGCL permits a corporation to indemnify any director or officer of a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had no reason to believe his conduct was unlawful. In a derivative action (i.e., one brought by or on behalf of the corporation), however, indemnification may be made only for expenses, actually and reasonably incurred by any director or officer in connection with the defense or settlement of such action or suit, if such person acted in good faith and in a manner that he reasonably believed to be in or not opposed to the best interests of the corporation, except that no indemnification shall be made if such person shall have been adjudged to be liable to the corporation, unless and only to the extent that the Delaware Court of Chancery or the court in which the action or suit was brought shall determine that the defendant is fairly and reasonably entitled to indemnity for such expenses despite such adjudication of liability.</w:t>
      </w:r>
    </w:p>
    <w:p>
      <w:pPr>
        <w:spacing w:after="0" w:line="185" w:lineRule="exact"/>
        <w:rPr>
          <w:rFonts w:ascii="Arial" w:cs="Arial" w:eastAsia="Arial" w:hAnsi="Arial"/>
          <w:sz w:val="18"/>
          <w:szCs w:val="18"/>
          <w:color w:val="auto"/>
        </w:rPr>
      </w:pPr>
    </w:p>
    <w:p>
      <w:pPr>
        <w:ind w:left="4" w:right="40"/>
        <w:spacing w:after="0" w:line="291" w:lineRule="auto"/>
        <w:rPr>
          <w:sz w:val="20"/>
          <w:szCs w:val="20"/>
          <w:color w:val="auto"/>
        </w:rPr>
      </w:pPr>
      <w:r>
        <w:rPr>
          <w:rFonts w:ascii="Arial" w:cs="Arial" w:eastAsia="Arial" w:hAnsi="Arial"/>
          <w:sz w:val="16"/>
          <w:szCs w:val="16"/>
          <w:color w:val="auto"/>
        </w:rPr>
        <w:t>Pursuant to Section 102(b)(7) of the DGCL, the Certificate eliminates the liability of a director to Republic or its shareholders for monetary damages for breach of fiduciary duty as a director, except for liabilities arising (a) from any breach of the director’s duty of loyalty to Republic or its shareholders,</w:t>
      </w:r>
    </w:p>
    <w:p>
      <w:pPr>
        <w:ind w:left="4" w:right="80" w:hanging="4"/>
        <w:spacing w:after="0" w:line="260"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 (c) under Section 174 of the DGCL, or (d) from any transaction from which the director derived an improper personal benefit.</w:t>
      </w:r>
    </w:p>
    <w:p>
      <w:pPr>
        <w:spacing w:after="0" w:line="185" w:lineRule="exact"/>
        <w:rPr>
          <w:rFonts w:ascii="Arial" w:cs="Arial" w:eastAsia="Arial" w:hAnsi="Arial"/>
          <w:sz w:val="18"/>
          <w:szCs w:val="18"/>
          <w:color w:val="auto"/>
        </w:rPr>
      </w:pPr>
    </w:p>
    <w:p>
      <w:pPr>
        <w:ind w:left="4" w:right="120"/>
        <w:spacing w:after="0" w:line="275" w:lineRule="auto"/>
        <w:rPr>
          <w:sz w:val="20"/>
          <w:szCs w:val="20"/>
          <w:color w:val="auto"/>
        </w:rPr>
      </w:pPr>
      <w:r>
        <w:rPr>
          <w:rFonts w:ascii="Arial" w:cs="Arial" w:eastAsia="Arial" w:hAnsi="Arial"/>
          <w:sz w:val="17"/>
          <w:szCs w:val="17"/>
          <w:color w:val="auto"/>
        </w:rPr>
        <w:t>Republic may purchase and maintain insurance on behalf of any person who is or was a director, officer, employee or agent of Republic or another corporation, partnership, joint venture, trust or other enterprise. Under an insurance policy maintained by Republic, the directors and officers of Republic are insured, within the limits and subject to the limitations of the policy, against certain expenses in connection with the defense of certain claims, actions, suits or proceedings, and certain liabilities which might be imposed as a result of such claims, actions, suits or proceedings, which may be brought against them by reason of being or having been such directors or officers.</w:t>
      </w:r>
    </w:p>
    <w:p>
      <w:pPr>
        <w:sectPr>
          <w:pgSz w:w="11900" w:h="16838" w:orient="portrait"/>
          <w:cols w:equalWidth="0" w:num="1">
            <w:col w:w="11004"/>
          </w:cols>
          <w:pgMar w:left="436" w:top="274"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7. 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list of exhibits included as part of this Registration Statement is set forth in the Exhibit Index which is incorporated herein by reference.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44" w:hanging="212"/>
        <w:spacing w:after="0"/>
        <w:tabs>
          <w:tab w:leader="none" w:pos="1644"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424" w:right="160" w:firstLine="8"/>
        <w:spacing w:after="0" w:line="263" w:lineRule="auto"/>
        <w:tabs>
          <w:tab w:leader="none" w:pos="1689"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75" w:lineRule="exact"/>
        <w:rPr>
          <w:rFonts w:ascii="Arial" w:cs="Arial" w:eastAsia="Arial" w:hAnsi="Arial"/>
          <w:sz w:val="18"/>
          <w:szCs w:val="18"/>
          <w:color w:val="auto"/>
        </w:rPr>
      </w:pPr>
    </w:p>
    <w:p>
      <w:pPr>
        <w:ind w:left="1424" w:right="640" w:firstLine="8"/>
        <w:spacing w:after="0" w:line="277" w:lineRule="auto"/>
        <w:tabs>
          <w:tab w:leader="none" w:pos="1739"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984" w:right="4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paragraphs (1)(i) and (1)(ii) above do not apply if the information required to be included in a post-effective amendment by those paragraphs is contained in reports filed with or furnished to the Commission by the Registrant pursuant to Section 13 or 15(d) of the Exchange Act that are incorporated by reference in this Registration Statement.</w:t>
      </w:r>
    </w:p>
    <w:p>
      <w:pPr>
        <w:spacing w:after="0" w:line="76" w:lineRule="exact"/>
        <w:rPr>
          <w:sz w:val="20"/>
          <w:szCs w:val="20"/>
          <w:color w:val="auto"/>
        </w:rPr>
      </w:pPr>
    </w:p>
    <w:p>
      <w:pPr>
        <w:ind w:left="984" w:firstLine="7"/>
        <w:spacing w:after="0" w:line="263" w:lineRule="auto"/>
        <w:tabs>
          <w:tab w:leader="none" w:pos="1239"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984" w:right="60" w:firstLine="7"/>
        <w:spacing w:after="0" w:line="277" w:lineRule="auto"/>
        <w:tabs>
          <w:tab w:leader="none" w:pos="1239"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4" w:right="20" w:hanging="4"/>
        <w:spacing w:after="0" w:line="279"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15(a)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1" w:lineRule="exact"/>
        <w:rPr>
          <w:rFonts w:ascii="Arial" w:cs="Arial" w:eastAsia="Arial" w:hAnsi="Arial"/>
          <w:sz w:val="17"/>
          <w:szCs w:val="17"/>
          <w:color w:val="auto"/>
        </w:rPr>
      </w:pPr>
    </w:p>
    <w:p>
      <w:pPr>
        <w:ind w:left="4" w:right="40" w:hanging="4"/>
        <w:spacing w:after="0" w:line="284"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of the Registrant’s articles of incorporation, by-laws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Securities Act and will be governed by the final adjudication of such issue.</w:t>
      </w:r>
    </w:p>
    <w:p>
      <w:pPr>
        <w:sectPr>
          <w:pgSz w:w="11900" w:h="16838" w:orient="portrait"/>
          <w:cols w:equalWidth="0" w:num="1">
            <w:col w:w="10984"/>
          </w:cols>
          <w:pgMar w:left="436" w:top="270"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460" w:type="dxa"/>
            <w:vAlign w:val="bottom"/>
            <w:gridSpan w:val="8"/>
          </w:tcPr>
          <w:p>
            <w:pPr>
              <w:ind w:left="24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040" w:type="dxa"/>
            <w:vAlign w:val="bottom"/>
          </w:tcPr>
          <w:p>
            <w:pPr>
              <w:jc w:val="right"/>
              <w:ind w:right="474"/>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0"/>
        </w:trPr>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w w:val="90"/>
              </w:rPr>
              <w:t>Number</w:t>
            </w:r>
          </w:p>
        </w:tc>
        <w:tc>
          <w:tcPr>
            <w:tcW w:w="998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1040" w:type="dxa"/>
            <w:vAlign w:val="bottom"/>
          </w:tcPr>
          <w:p>
            <w:pPr>
              <w:jc w:val="right"/>
              <w:ind w:right="554"/>
              <w:spacing w:after="0"/>
              <w:rPr>
                <w:sz w:val="20"/>
                <w:szCs w:val="20"/>
                <w:color w:val="auto"/>
              </w:rPr>
            </w:pPr>
            <w:r>
              <w:rPr>
                <w:rFonts w:ascii="Arial" w:cs="Arial" w:eastAsia="Arial" w:hAnsi="Arial"/>
                <w:sz w:val="18"/>
                <w:szCs w:val="18"/>
                <w:color w:val="auto"/>
              </w:rPr>
              <w:t>4.1*</w:t>
            </w:r>
          </w:p>
        </w:tc>
        <w:tc>
          <w:tcPr>
            <w:tcW w:w="9940" w:type="dxa"/>
            <w:vAlign w:val="bottom"/>
            <w:tcBorders>
              <w:bottom w:val="single" w:sz="8" w:color="0000EE"/>
            </w:tcBorders>
            <w:gridSpan w:val="9"/>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Amended and Restated Certificate of Incorporation of Republic Services, Inc. (incorporated by reference to Exhibit 3.1 to the Registrant’s</w:t>
              </w:r>
            </w:hyperlink>
          </w:p>
        </w:tc>
        <w:tc>
          <w:tcPr>
            <w:tcW w:w="40" w:type="dxa"/>
            <w:vAlign w:val="bottom"/>
          </w:tcPr>
          <w:p>
            <w:pPr>
              <w:spacing w:after="0"/>
              <w:rPr>
                <w:sz w:val="23"/>
                <w:szCs w:val="23"/>
                <w:color w:val="auto"/>
              </w:rPr>
            </w:pPr>
          </w:p>
        </w:tc>
      </w:tr>
      <w:tr>
        <w:trPr>
          <w:trHeight w:val="196"/>
        </w:trPr>
        <w:tc>
          <w:tcPr>
            <w:tcW w:w="10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Quarterly Report on Form 10-Q for the period ended June 30, 1998).</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jc w:val="right"/>
              <w:ind w:right="554"/>
              <w:spacing w:after="0"/>
              <w:rPr>
                <w:sz w:val="20"/>
                <w:szCs w:val="20"/>
                <w:color w:val="auto"/>
              </w:rPr>
            </w:pPr>
            <w:r>
              <w:rPr>
                <w:rFonts w:ascii="Arial" w:cs="Arial" w:eastAsia="Arial" w:hAnsi="Arial"/>
                <w:sz w:val="18"/>
                <w:szCs w:val="18"/>
                <w:color w:val="auto"/>
              </w:rPr>
              <w:t>4.2*</w:t>
            </w:r>
          </w:p>
        </w:tc>
        <w:tc>
          <w:tcPr>
            <w:tcW w:w="9860" w:type="dxa"/>
            <w:vAlign w:val="bottom"/>
            <w:tcBorders>
              <w:bottom w:val="single" w:sz="8" w:color="0000EE"/>
            </w:tcBorders>
            <w:gridSpan w:val="7"/>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Certificate of Amendment to Amended and Restated Certificate of Incorporation of Republic Services, Inc. (incorporated by reference to</w:t>
              </w:r>
            </w:hyperlink>
          </w:p>
        </w:tc>
        <w:tc>
          <w:tcPr>
            <w:tcW w:w="12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EE"/>
                <w:w w:val="93"/>
              </w:rPr>
            </w:pPr>
            <w:hyperlink r:id="rId35">
              <w:r>
                <w:rPr>
                  <w:rFonts w:ascii="Arial" w:cs="Arial" w:eastAsia="Arial" w:hAnsi="Arial"/>
                  <w:sz w:val="18"/>
                  <w:szCs w:val="18"/>
                  <w:color w:val="0000EE"/>
                  <w:w w:val="93"/>
                </w:rPr>
                <w:t>Exhibit 4.2 to the Registrant’s Registration Statement on Form S-8, Registration No. 333-81801, filed with the Commission on June 29,</w:t>
              </w:r>
            </w:hyperlink>
          </w:p>
        </w:tc>
      </w:tr>
      <w:tr>
        <w:trPr>
          <w:trHeight w:val="196"/>
        </w:trPr>
        <w:tc>
          <w:tcPr>
            <w:tcW w:w="10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35">
              <w:r>
                <w:rPr>
                  <w:rFonts w:ascii="Arial" w:cs="Arial" w:eastAsia="Arial" w:hAnsi="Arial"/>
                  <w:sz w:val="18"/>
                  <w:szCs w:val="18"/>
                  <w:color w:val="0000EE"/>
                  <w:w w:val="86"/>
                </w:rPr>
                <w:t>1999).</w:t>
              </w:r>
            </w:hyperlink>
          </w:p>
        </w:tc>
        <w:tc>
          <w:tcPr>
            <w:tcW w:w="30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48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40" w:type="dxa"/>
            <w:vAlign w:val="bottom"/>
          </w:tcPr>
          <w:p>
            <w:pPr>
              <w:jc w:val="right"/>
              <w:ind w:right="554"/>
              <w:spacing w:after="0"/>
              <w:rPr>
                <w:sz w:val="20"/>
                <w:szCs w:val="20"/>
                <w:color w:val="auto"/>
              </w:rPr>
            </w:pPr>
            <w:r>
              <w:rPr>
                <w:rFonts w:ascii="Arial" w:cs="Arial" w:eastAsia="Arial" w:hAnsi="Arial"/>
                <w:sz w:val="18"/>
                <w:szCs w:val="18"/>
                <w:color w:val="auto"/>
              </w:rPr>
              <w:t>4.3*</w:t>
            </w:r>
          </w:p>
        </w:tc>
        <w:tc>
          <w:tcPr>
            <w:tcW w:w="9980" w:type="dxa"/>
            <w:vAlign w:val="bottom"/>
            <w:gridSpan w:val="10"/>
          </w:tcPr>
          <w:p>
            <w:pPr>
              <w:spacing w:after="0"/>
              <w:rPr>
                <w:rFonts w:ascii="Arial" w:cs="Arial" w:eastAsia="Arial" w:hAnsi="Arial"/>
                <w:sz w:val="18"/>
                <w:szCs w:val="18"/>
                <w:color w:val="0000EE"/>
                <w:w w:val="91"/>
              </w:rPr>
            </w:pPr>
            <w:hyperlink r:id="rId36">
              <w:r>
                <w:rPr>
                  <w:rFonts w:ascii="Arial" w:cs="Arial" w:eastAsia="Arial" w:hAnsi="Arial"/>
                  <w:sz w:val="18"/>
                  <w:szCs w:val="18"/>
                  <w:color w:val="0000EE"/>
                  <w:w w:val="91"/>
                </w:rPr>
                <w:t>Amended and Restated Bylaws of Republic Services, Inc. (incorporated by reference to Exhibit 3.3 to Republic’s Current Report on Form</w:t>
              </w:r>
            </w:hyperlink>
          </w:p>
        </w:tc>
      </w:tr>
      <w:tr>
        <w:trPr>
          <w:trHeight w:val="196"/>
        </w:trPr>
        <w:tc>
          <w:tcPr>
            <w:tcW w:w="1040" w:type="dxa"/>
            <w:vAlign w:val="bottom"/>
          </w:tcPr>
          <w:p>
            <w:pPr>
              <w:spacing w:after="0"/>
              <w:rPr>
                <w:sz w:val="17"/>
                <w:szCs w:val="17"/>
                <w:color w:val="auto"/>
              </w:rPr>
            </w:pPr>
          </w:p>
        </w:tc>
        <w:tc>
          <w:tcPr>
            <w:tcW w:w="99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8-K filed with the Commission on May 9, 2016).</w:t>
              </w:r>
            </w:hyperlink>
          </w:p>
        </w:tc>
        <w:tc>
          <w:tcPr>
            <w:tcW w:w="6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45"/>
        </w:trPr>
        <w:tc>
          <w:tcPr>
            <w:tcW w:w="1040" w:type="dxa"/>
            <w:vAlign w:val="bottom"/>
          </w:tcPr>
          <w:p>
            <w:pPr>
              <w:jc w:val="right"/>
              <w:ind w:right="634"/>
              <w:spacing w:after="0"/>
              <w:rPr>
                <w:sz w:val="20"/>
                <w:szCs w:val="20"/>
                <w:color w:val="auto"/>
              </w:rPr>
            </w:pPr>
            <w:r>
              <w:rPr>
                <w:rFonts w:ascii="Arial" w:cs="Arial" w:eastAsia="Arial" w:hAnsi="Arial"/>
                <w:sz w:val="18"/>
                <w:szCs w:val="18"/>
                <w:color w:val="auto"/>
              </w:rPr>
              <w:t>5.1</w:t>
            </w:r>
          </w:p>
        </w:tc>
        <w:tc>
          <w:tcPr>
            <w:tcW w:w="9980" w:type="dxa"/>
            <w:vAlign w:val="bottom"/>
            <w:gridSpan w:val="10"/>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Opinion of Catharine D. Ellingsen, Executive Vice President and Chief Legal Officer.</w:t>
              </w:r>
            </w:hyperlink>
          </w:p>
        </w:tc>
      </w:tr>
      <w:tr>
        <w:trPr>
          <w:trHeight w:val="324"/>
        </w:trPr>
        <w:tc>
          <w:tcPr>
            <w:tcW w:w="1040" w:type="dxa"/>
            <w:vAlign w:val="bottom"/>
          </w:tcPr>
          <w:p>
            <w:pPr>
              <w:jc w:val="right"/>
              <w:ind w:right="634"/>
              <w:spacing w:after="0"/>
              <w:rPr>
                <w:sz w:val="20"/>
                <w:szCs w:val="20"/>
                <w:color w:val="auto"/>
              </w:rPr>
            </w:pPr>
            <w:r>
              <w:rPr>
                <w:rFonts w:ascii="Arial" w:cs="Arial" w:eastAsia="Arial" w:hAnsi="Arial"/>
                <w:sz w:val="18"/>
                <w:szCs w:val="18"/>
                <w:color w:val="auto"/>
                <w:w w:val="85"/>
              </w:rPr>
              <w:t>23.1</w:t>
            </w:r>
          </w:p>
        </w:tc>
        <w:tc>
          <w:tcPr>
            <w:tcW w:w="9980" w:type="dxa"/>
            <w:vAlign w:val="bottom"/>
            <w:gridSpan w:val="10"/>
          </w:tcPr>
          <w:p>
            <w:pPr>
              <w:spacing w:after="0"/>
              <w:rPr>
                <w:rFonts w:ascii="Arial" w:cs="Arial" w:eastAsia="Arial" w:hAnsi="Arial"/>
                <w:sz w:val="18"/>
                <w:szCs w:val="18"/>
                <w:color w:val="0000EE"/>
              </w:rPr>
            </w:pPr>
            <w:hyperlink w:anchor="page10">
              <w:r>
                <w:rPr>
                  <w:rFonts w:ascii="Arial" w:cs="Arial" w:eastAsia="Arial" w:hAnsi="Arial"/>
                  <w:sz w:val="18"/>
                  <w:szCs w:val="18"/>
                  <w:u w:val="single" w:color="auto"/>
                  <w:color w:val="0000EE"/>
                </w:rPr>
                <w:t>Consent of Ernst &amp; Young LLP</w:t>
              </w:r>
              <w:r>
                <w:rPr>
                  <w:rFonts w:ascii="Arial" w:cs="Arial" w:eastAsia="Arial" w:hAnsi="Arial"/>
                  <w:sz w:val="18"/>
                  <w:szCs w:val="18"/>
                  <w:color w:val="0000EE"/>
                </w:rPr>
                <w:t>.</w:t>
              </w:r>
            </w:hyperlink>
          </w:p>
        </w:tc>
      </w:tr>
      <w:tr>
        <w:trPr>
          <w:trHeight w:val="324"/>
        </w:trPr>
        <w:tc>
          <w:tcPr>
            <w:tcW w:w="1040" w:type="dxa"/>
            <w:vAlign w:val="bottom"/>
          </w:tcPr>
          <w:p>
            <w:pPr>
              <w:jc w:val="right"/>
              <w:ind w:right="634"/>
              <w:spacing w:after="0"/>
              <w:rPr>
                <w:sz w:val="20"/>
                <w:szCs w:val="20"/>
                <w:color w:val="auto"/>
              </w:rPr>
            </w:pPr>
            <w:r>
              <w:rPr>
                <w:rFonts w:ascii="Arial" w:cs="Arial" w:eastAsia="Arial" w:hAnsi="Arial"/>
                <w:sz w:val="18"/>
                <w:szCs w:val="18"/>
                <w:color w:val="auto"/>
                <w:w w:val="85"/>
              </w:rPr>
              <w:t>23.2</w:t>
            </w:r>
          </w:p>
        </w:tc>
        <w:tc>
          <w:tcPr>
            <w:tcW w:w="9980" w:type="dxa"/>
            <w:vAlign w:val="bottom"/>
            <w:gridSpan w:val="10"/>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Consent of Catharine D. Ellingsen, Executive Vice President and Chief Legal Officer (contained in Exhibit 5.1).</w:t>
              </w:r>
            </w:hyperlink>
          </w:p>
        </w:tc>
      </w:tr>
      <w:tr>
        <w:trPr>
          <w:trHeight w:val="324"/>
        </w:trPr>
        <w:tc>
          <w:tcPr>
            <w:tcW w:w="1040" w:type="dxa"/>
            <w:vAlign w:val="bottom"/>
          </w:tcPr>
          <w:p>
            <w:pPr>
              <w:jc w:val="right"/>
              <w:ind w:right="634"/>
              <w:spacing w:after="0"/>
              <w:rPr>
                <w:sz w:val="20"/>
                <w:szCs w:val="20"/>
                <w:color w:val="auto"/>
              </w:rPr>
            </w:pPr>
            <w:r>
              <w:rPr>
                <w:rFonts w:ascii="Arial" w:cs="Arial" w:eastAsia="Arial" w:hAnsi="Arial"/>
                <w:sz w:val="18"/>
                <w:szCs w:val="18"/>
                <w:color w:val="auto"/>
                <w:w w:val="85"/>
              </w:rPr>
              <w:t>24.1</w:t>
            </w:r>
          </w:p>
        </w:tc>
        <w:tc>
          <w:tcPr>
            <w:tcW w:w="9980" w:type="dxa"/>
            <w:vAlign w:val="bottom"/>
            <w:gridSpan w:val="10"/>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Powers of Attorney (included on signature page to Registration Statement).</w:t>
              </w:r>
            </w:hyperlink>
          </w:p>
        </w:tc>
      </w:tr>
      <w:tr>
        <w:trPr>
          <w:trHeight w:val="283"/>
        </w:trPr>
        <w:tc>
          <w:tcPr>
            <w:tcW w:w="1040" w:type="dxa"/>
            <w:vAlign w:val="bottom"/>
          </w:tcPr>
          <w:p>
            <w:pPr>
              <w:jc w:val="right"/>
              <w:ind w:right="554"/>
              <w:spacing w:after="0"/>
              <w:rPr>
                <w:sz w:val="20"/>
                <w:szCs w:val="20"/>
                <w:color w:val="auto"/>
              </w:rPr>
            </w:pPr>
            <w:r>
              <w:rPr>
                <w:rFonts w:ascii="Arial" w:cs="Arial" w:eastAsia="Arial" w:hAnsi="Arial"/>
                <w:sz w:val="18"/>
                <w:szCs w:val="18"/>
                <w:color w:val="auto"/>
                <w:w w:val="90"/>
              </w:rPr>
              <w:t>99.1*</w:t>
            </w:r>
          </w:p>
        </w:tc>
        <w:tc>
          <w:tcPr>
            <w:tcW w:w="9840" w:type="dxa"/>
            <w:vAlign w:val="bottom"/>
            <w:tcBorders>
              <w:bottom w:val="single" w:sz="8" w:color="0000EE"/>
            </w:tcBorders>
            <w:gridSpan w:val="6"/>
          </w:tcPr>
          <w:p>
            <w:pPr>
              <w:spacing w:after="0"/>
              <w:rPr>
                <w:rFonts w:ascii="Arial" w:cs="Arial" w:eastAsia="Arial" w:hAnsi="Arial"/>
                <w:sz w:val="18"/>
                <w:szCs w:val="18"/>
                <w:color w:val="0000EE"/>
                <w:w w:val="91"/>
              </w:rPr>
            </w:pPr>
            <w:hyperlink r:id="rId37">
              <w:r>
                <w:rPr>
                  <w:rFonts w:ascii="Arial" w:cs="Arial" w:eastAsia="Arial" w:hAnsi="Arial"/>
                  <w:sz w:val="18"/>
                  <w:szCs w:val="18"/>
                  <w:color w:val="0000EE"/>
                  <w:w w:val="91"/>
                </w:rPr>
                <w:t>Republic Services, Inc. 2021 Stock Incentive Plan (incorporated by reference to Annex B of the Definitive Proxy Statement on Schedule</w:t>
              </w:r>
            </w:hyperlink>
          </w:p>
        </w:tc>
        <w:tc>
          <w:tcPr>
            <w:tcW w:w="1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14A, filed with the Commission on March 24, 2020).</w:t>
              </w:r>
            </w:hyperlink>
          </w:p>
        </w:tc>
      </w:tr>
      <w:tr>
        <w:trPr>
          <w:trHeight w:val="75"/>
        </w:trPr>
        <w:tc>
          <w:tcPr>
            <w:tcW w:w="1040" w:type="dxa"/>
            <w:vAlign w:val="bottom"/>
            <w:tcBorders>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3060" w:type="dxa"/>
            <w:vAlign w:val="bottom"/>
            <w:tcBorders>
              <w:top w:val="single" w:sz="8" w:color="0000EE"/>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Filed previously.</w:t>
      </w:r>
    </w:p>
    <w:p>
      <w:pPr>
        <w:sectPr>
          <w:pgSz w:w="11900" w:h="16838" w:orient="portrait"/>
          <w:cols w:equalWidth="0" w:num="1">
            <w:col w:w="11020"/>
          </w:cols>
          <w:pgMar w:left="440" w:top="270" w:right="4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Pursuant to the requirements of the Securities Act of 1933, Republic Services, Inc. certifies that it has reasonable grounds to believe that it meets all of the requirements for filing on Form S-8 and has duly caused this registration statement to be signed on its behalf by the undersigned, thereunto duly authorized, in the City of Phoenix, State of Arizona on November 9, 2020.</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REPUBLIC SERVICES,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Catharine D. Ellingsen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Catharine D. Ellingsen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Legal Officer</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Donald W. Slager, Brian M. DelGhiaccio and Catharine D. Ellingsen and each of them, his or her true and lawful attorneys-in-fact and agents, with full power of substitution and resubstitution, for him or her and in his or her name, place and stead, in any and all capacities, to sign any and all amendments (including post-effective amendments) to this Form S-8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that said attorneys-in-fact and agents, and each of them, or the substitute or substitutes of any of them, may lawfully do or cause to be done by virtue hereof.</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November 9,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60" w:type="dxa"/>
            <w:vAlign w:val="bottom"/>
          </w:tcPr>
          <w:p>
            <w:pPr>
              <w:spacing w:after="0"/>
              <w:rPr>
                <w:sz w:val="20"/>
                <w:szCs w:val="20"/>
                <w:color w:val="auto"/>
              </w:rPr>
            </w:pPr>
            <w:r>
              <w:rPr>
                <w:rFonts w:ascii="Arial" w:cs="Arial" w:eastAsia="Arial" w:hAnsi="Arial"/>
                <w:sz w:val="14"/>
                <w:szCs w:val="14"/>
                <w:color w:val="auto"/>
              </w:rPr>
              <w:t>Signature</w:t>
            </w:r>
          </w:p>
        </w:tc>
        <w:tc>
          <w:tcPr>
            <w:tcW w:w="4720" w:type="dxa"/>
            <w:vAlign w:val="bottom"/>
          </w:tcPr>
          <w:p>
            <w:pPr>
              <w:jc w:val="center"/>
              <w:ind w:left="2051"/>
              <w:spacing w:after="0"/>
              <w:rPr>
                <w:sz w:val="20"/>
                <w:szCs w:val="20"/>
                <w:color w:val="auto"/>
              </w:rPr>
            </w:pPr>
            <w:r>
              <w:rPr>
                <w:rFonts w:ascii="Arial" w:cs="Arial" w:eastAsia="Arial" w:hAnsi="Arial"/>
                <w:sz w:val="14"/>
                <w:szCs w:val="14"/>
                <w:color w:val="auto"/>
                <w:w w:val="98"/>
              </w:rPr>
              <w:t>Title</w:t>
            </w:r>
          </w:p>
        </w:tc>
      </w:tr>
      <w:tr>
        <w:trPr>
          <w:trHeight w:val="417"/>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W. Slager</w:t>
            </w:r>
          </w:p>
        </w:tc>
        <w:tc>
          <w:tcPr>
            <w:tcW w:w="4720" w:type="dxa"/>
            <w:vAlign w:val="bottom"/>
          </w:tcPr>
          <w:p>
            <w:pPr>
              <w:jc w:val="center"/>
              <w:ind w:left="2051"/>
              <w:spacing w:after="0"/>
              <w:rPr>
                <w:sz w:val="20"/>
                <w:szCs w:val="20"/>
                <w:color w:val="auto"/>
              </w:rPr>
            </w:pPr>
            <w:r>
              <w:rPr>
                <w:rFonts w:ascii="Arial" w:cs="Arial" w:eastAsia="Arial" w:hAnsi="Arial"/>
                <w:sz w:val="18"/>
                <w:szCs w:val="18"/>
                <w:color w:val="auto"/>
                <w:w w:val="95"/>
              </w:rPr>
              <w:t>Chief Executive Officer</w:t>
            </w:r>
          </w:p>
        </w:tc>
      </w:tr>
      <w:tr>
        <w:trPr>
          <w:trHeight w:val="182"/>
        </w:trPr>
        <w:tc>
          <w:tcPr>
            <w:tcW w:w="4260" w:type="dxa"/>
            <w:vAlign w:val="bottom"/>
          </w:tcPr>
          <w:p>
            <w:pPr>
              <w:spacing w:after="0" w:line="182" w:lineRule="exact"/>
              <w:rPr>
                <w:sz w:val="20"/>
                <w:szCs w:val="20"/>
                <w:color w:val="auto"/>
              </w:rPr>
            </w:pPr>
            <w:r>
              <w:rPr>
                <w:rFonts w:ascii="Arial" w:cs="Arial" w:eastAsia="Arial" w:hAnsi="Arial"/>
                <w:sz w:val="18"/>
                <w:szCs w:val="18"/>
                <w:color w:val="auto"/>
              </w:rPr>
              <w:t>Donald W. Slager</w:t>
            </w:r>
          </w:p>
        </w:tc>
        <w:tc>
          <w:tcPr>
            <w:tcW w:w="4720" w:type="dxa"/>
            <w:vAlign w:val="bottom"/>
          </w:tcPr>
          <w:p>
            <w:pPr>
              <w:jc w:val="center"/>
              <w:ind w:left="2051"/>
              <w:spacing w:after="0" w:line="182" w:lineRule="exact"/>
              <w:rPr>
                <w:sz w:val="20"/>
                <w:szCs w:val="20"/>
                <w:color w:val="auto"/>
              </w:rPr>
            </w:pPr>
            <w:r>
              <w:rPr>
                <w:rFonts w:ascii="Arial" w:cs="Arial" w:eastAsia="Arial" w:hAnsi="Arial"/>
                <w:sz w:val="18"/>
                <w:szCs w:val="18"/>
                <w:color w:val="auto"/>
                <w:w w:val="91"/>
              </w:rPr>
              <w:t>and Director</w:t>
            </w:r>
          </w:p>
        </w:tc>
      </w:tr>
      <w:tr>
        <w:trPr>
          <w:trHeight w:val="230"/>
        </w:trPr>
        <w:tc>
          <w:tcPr>
            <w:tcW w:w="4260" w:type="dxa"/>
            <w:vAlign w:val="bottom"/>
          </w:tcPr>
          <w:p>
            <w:pPr>
              <w:spacing w:after="0"/>
              <w:rPr>
                <w:sz w:val="20"/>
                <w:szCs w:val="20"/>
                <w:color w:val="auto"/>
              </w:rPr>
            </w:pPr>
          </w:p>
        </w:tc>
        <w:tc>
          <w:tcPr>
            <w:tcW w:w="4720" w:type="dxa"/>
            <w:vAlign w:val="bottom"/>
          </w:tcPr>
          <w:p>
            <w:pPr>
              <w:jc w:val="center"/>
              <w:ind w:left="2051"/>
              <w:spacing w:after="0"/>
              <w:rPr>
                <w:sz w:val="20"/>
                <w:szCs w:val="20"/>
                <w:color w:val="auto"/>
              </w:rPr>
            </w:pPr>
            <w:r>
              <w:rPr>
                <w:rFonts w:ascii="Arial" w:cs="Arial" w:eastAsia="Arial" w:hAnsi="Arial"/>
                <w:sz w:val="18"/>
                <w:szCs w:val="18"/>
                <w:color w:val="auto"/>
                <w:w w:val="94"/>
              </w:rPr>
              <w:t>(Principal Executive Officer)</w:t>
            </w:r>
          </w:p>
        </w:tc>
      </w:tr>
      <w:tr>
        <w:trPr>
          <w:trHeight w:val="445"/>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M. DelGhiaccio</w:t>
            </w:r>
          </w:p>
        </w:tc>
        <w:tc>
          <w:tcPr>
            <w:tcW w:w="4720" w:type="dxa"/>
            <w:vAlign w:val="bottom"/>
          </w:tcPr>
          <w:p>
            <w:pPr>
              <w:jc w:val="center"/>
              <w:ind w:left="2051"/>
              <w:spacing w:after="0"/>
              <w:rPr>
                <w:sz w:val="20"/>
                <w:szCs w:val="20"/>
                <w:color w:val="auto"/>
              </w:rPr>
            </w:pPr>
            <w:r>
              <w:rPr>
                <w:rFonts w:ascii="Arial" w:cs="Arial" w:eastAsia="Arial" w:hAnsi="Arial"/>
                <w:sz w:val="18"/>
                <w:szCs w:val="18"/>
                <w:color w:val="auto"/>
                <w:w w:val="89"/>
              </w:rPr>
              <w:t>Executive Vice President and</w:t>
            </w:r>
          </w:p>
        </w:tc>
      </w:tr>
      <w:tr>
        <w:trPr>
          <w:trHeight w:val="182"/>
        </w:trPr>
        <w:tc>
          <w:tcPr>
            <w:tcW w:w="4260" w:type="dxa"/>
            <w:vAlign w:val="bottom"/>
          </w:tcPr>
          <w:p>
            <w:pPr>
              <w:spacing w:after="0" w:line="182" w:lineRule="exact"/>
              <w:rPr>
                <w:sz w:val="20"/>
                <w:szCs w:val="20"/>
                <w:color w:val="auto"/>
              </w:rPr>
            </w:pPr>
            <w:r>
              <w:rPr>
                <w:rFonts w:ascii="Arial" w:cs="Arial" w:eastAsia="Arial" w:hAnsi="Arial"/>
                <w:sz w:val="18"/>
                <w:szCs w:val="18"/>
                <w:color w:val="auto"/>
              </w:rPr>
              <w:t>Brian M. DelGhiaccio</w:t>
            </w:r>
          </w:p>
        </w:tc>
        <w:tc>
          <w:tcPr>
            <w:tcW w:w="4720" w:type="dxa"/>
            <w:vAlign w:val="bottom"/>
          </w:tcPr>
          <w:p>
            <w:pPr>
              <w:jc w:val="center"/>
              <w:ind w:left="2051"/>
              <w:spacing w:after="0" w:line="182" w:lineRule="exact"/>
              <w:rPr>
                <w:sz w:val="20"/>
                <w:szCs w:val="20"/>
                <w:color w:val="auto"/>
              </w:rPr>
            </w:pPr>
            <w:r>
              <w:rPr>
                <w:rFonts w:ascii="Arial" w:cs="Arial" w:eastAsia="Arial" w:hAnsi="Arial"/>
                <w:sz w:val="18"/>
                <w:szCs w:val="18"/>
                <w:color w:val="auto"/>
                <w:w w:val="93"/>
              </w:rPr>
              <w:t>Chief Financial Officer</w:t>
            </w:r>
          </w:p>
        </w:tc>
      </w:tr>
      <w:tr>
        <w:trPr>
          <w:trHeight w:val="230"/>
        </w:trPr>
        <w:tc>
          <w:tcPr>
            <w:tcW w:w="4260" w:type="dxa"/>
            <w:vAlign w:val="bottom"/>
          </w:tcPr>
          <w:p>
            <w:pPr>
              <w:spacing w:after="0"/>
              <w:rPr>
                <w:sz w:val="20"/>
                <w:szCs w:val="20"/>
                <w:color w:val="auto"/>
              </w:rPr>
            </w:pPr>
          </w:p>
        </w:tc>
        <w:tc>
          <w:tcPr>
            <w:tcW w:w="4720" w:type="dxa"/>
            <w:vAlign w:val="bottom"/>
          </w:tcPr>
          <w:p>
            <w:pPr>
              <w:jc w:val="center"/>
              <w:ind w:left="2051"/>
              <w:spacing w:after="0"/>
              <w:rPr>
                <w:sz w:val="20"/>
                <w:szCs w:val="20"/>
                <w:color w:val="auto"/>
              </w:rPr>
            </w:pPr>
            <w:r>
              <w:rPr>
                <w:rFonts w:ascii="Arial" w:cs="Arial" w:eastAsia="Arial" w:hAnsi="Arial"/>
                <w:sz w:val="18"/>
                <w:szCs w:val="18"/>
                <w:color w:val="auto"/>
                <w:w w:val="95"/>
              </w:rPr>
              <w:t>(Principal Financial Officer)</w:t>
            </w:r>
          </w:p>
        </w:tc>
      </w:tr>
      <w:tr>
        <w:trPr>
          <w:trHeight w:val="445"/>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A. Goebel</w:t>
            </w:r>
          </w:p>
        </w:tc>
        <w:tc>
          <w:tcPr>
            <w:tcW w:w="4720" w:type="dxa"/>
            <w:vAlign w:val="bottom"/>
          </w:tcPr>
          <w:p>
            <w:pPr>
              <w:jc w:val="center"/>
              <w:ind w:left="2051"/>
              <w:spacing w:after="0"/>
              <w:rPr>
                <w:sz w:val="20"/>
                <w:szCs w:val="20"/>
                <w:color w:val="auto"/>
              </w:rPr>
            </w:pPr>
            <w:r>
              <w:rPr>
                <w:rFonts w:ascii="Arial" w:cs="Arial" w:eastAsia="Arial" w:hAnsi="Arial"/>
                <w:sz w:val="18"/>
                <w:szCs w:val="18"/>
                <w:color w:val="auto"/>
                <w:w w:val="88"/>
              </w:rPr>
              <w:t>Vice President and</w:t>
            </w:r>
          </w:p>
        </w:tc>
      </w:tr>
      <w:tr>
        <w:trPr>
          <w:trHeight w:val="182"/>
        </w:trPr>
        <w:tc>
          <w:tcPr>
            <w:tcW w:w="4260" w:type="dxa"/>
            <w:vAlign w:val="bottom"/>
          </w:tcPr>
          <w:p>
            <w:pPr>
              <w:spacing w:after="0" w:line="182" w:lineRule="exact"/>
              <w:rPr>
                <w:sz w:val="20"/>
                <w:szCs w:val="20"/>
                <w:color w:val="auto"/>
              </w:rPr>
            </w:pPr>
            <w:r>
              <w:rPr>
                <w:rFonts w:ascii="Arial" w:cs="Arial" w:eastAsia="Arial" w:hAnsi="Arial"/>
                <w:sz w:val="18"/>
                <w:szCs w:val="18"/>
                <w:color w:val="auto"/>
              </w:rPr>
              <w:t>Brian A. Goebel</w:t>
            </w:r>
          </w:p>
        </w:tc>
        <w:tc>
          <w:tcPr>
            <w:tcW w:w="4720" w:type="dxa"/>
            <w:vAlign w:val="bottom"/>
          </w:tcPr>
          <w:p>
            <w:pPr>
              <w:jc w:val="center"/>
              <w:ind w:left="2051"/>
              <w:spacing w:after="0" w:line="182" w:lineRule="exact"/>
              <w:rPr>
                <w:sz w:val="20"/>
                <w:szCs w:val="20"/>
                <w:color w:val="auto"/>
              </w:rPr>
            </w:pPr>
            <w:r>
              <w:rPr>
                <w:rFonts w:ascii="Arial" w:cs="Arial" w:eastAsia="Arial" w:hAnsi="Arial"/>
                <w:sz w:val="18"/>
                <w:szCs w:val="18"/>
                <w:color w:val="auto"/>
                <w:w w:val="93"/>
              </w:rPr>
              <w:t>Chief Accounting Officer</w:t>
            </w:r>
          </w:p>
        </w:tc>
      </w:tr>
      <w:tr>
        <w:trPr>
          <w:trHeight w:val="230"/>
        </w:trPr>
        <w:tc>
          <w:tcPr>
            <w:tcW w:w="4260" w:type="dxa"/>
            <w:vAlign w:val="bottom"/>
          </w:tcPr>
          <w:p>
            <w:pPr>
              <w:spacing w:after="0"/>
              <w:rPr>
                <w:sz w:val="20"/>
                <w:szCs w:val="20"/>
                <w:color w:val="auto"/>
              </w:rPr>
            </w:pPr>
          </w:p>
        </w:tc>
        <w:tc>
          <w:tcPr>
            <w:tcW w:w="4720" w:type="dxa"/>
            <w:vAlign w:val="bottom"/>
          </w:tcPr>
          <w:p>
            <w:pPr>
              <w:jc w:val="center"/>
              <w:ind w:left="2051"/>
              <w:spacing w:after="0"/>
              <w:rPr>
                <w:sz w:val="20"/>
                <w:szCs w:val="20"/>
                <w:color w:val="auto"/>
              </w:rPr>
            </w:pPr>
            <w:r>
              <w:rPr>
                <w:rFonts w:ascii="Arial" w:cs="Arial" w:eastAsia="Arial" w:hAnsi="Arial"/>
                <w:sz w:val="18"/>
                <w:szCs w:val="18"/>
                <w:color w:val="auto"/>
                <w:w w:val="95"/>
              </w:rPr>
              <w:t>(Principal Accounting Officer)</w:t>
            </w:r>
          </w:p>
        </w:tc>
      </w:tr>
      <w:tr>
        <w:trPr>
          <w:trHeight w:val="445"/>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Manuel Kadre</w:t>
            </w:r>
          </w:p>
        </w:tc>
        <w:tc>
          <w:tcPr>
            <w:tcW w:w="4720" w:type="dxa"/>
            <w:vAlign w:val="bottom"/>
          </w:tcPr>
          <w:p>
            <w:pPr>
              <w:jc w:val="center"/>
              <w:ind w:left="2051"/>
              <w:spacing w:after="0"/>
              <w:rPr>
                <w:sz w:val="20"/>
                <w:szCs w:val="20"/>
                <w:color w:val="auto"/>
              </w:rPr>
            </w:pPr>
            <w:r>
              <w:rPr>
                <w:rFonts w:ascii="Arial" w:cs="Arial" w:eastAsia="Arial" w:hAnsi="Arial"/>
                <w:sz w:val="18"/>
                <w:szCs w:val="18"/>
                <w:color w:val="auto"/>
                <w:w w:val="92"/>
              </w:rPr>
              <w:t>Chairman of the Board of Directors</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Manuel Kadre</w:t>
            </w:r>
          </w:p>
        </w:tc>
        <w:tc>
          <w:tcPr>
            <w:tcW w:w="472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Tomago Collins</w:t>
            </w:r>
          </w:p>
        </w:tc>
        <w:tc>
          <w:tcPr>
            <w:tcW w:w="4720" w:type="dxa"/>
            <w:vAlign w:val="bottom"/>
          </w:tcPr>
          <w:p>
            <w:pPr>
              <w:jc w:val="center"/>
              <w:ind w:left="2071"/>
              <w:spacing w:after="0"/>
              <w:rPr>
                <w:sz w:val="20"/>
                <w:szCs w:val="20"/>
                <w:color w:val="auto"/>
              </w:rPr>
            </w:pPr>
            <w:r>
              <w:rPr>
                <w:rFonts w:ascii="Arial" w:cs="Arial" w:eastAsia="Arial" w:hAnsi="Arial"/>
                <w:sz w:val="18"/>
                <w:szCs w:val="18"/>
                <w:color w:val="auto"/>
                <w:w w:val="95"/>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Tomago Collins</w:t>
            </w:r>
          </w:p>
        </w:tc>
        <w:tc>
          <w:tcPr>
            <w:tcW w:w="472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Duffy</w:t>
            </w:r>
          </w:p>
        </w:tc>
        <w:tc>
          <w:tcPr>
            <w:tcW w:w="4720" w:type="dxa"/>
            <w:vAlign w:val="bottom"/>
          </w:tcPr>
          <w:p>
            <w:pPr>
              <w:jc w:val="center"/>
              <w:ind w:left="2071"/>
              <w:spacing w:after="0"/>
              <w:rPr>
                <w:sz w:val="20"/>
                <w:szCs w:val="20"/>
                <w:color w:val="auto"/>
              </w:rPr>
            </w:pPr>
            <w:r>
              <w:rPr>
                <w:rFonts w:ascii="Arial" w:cs="Arial" w:eastAsia="Arial" w:hAnsi="Arial"/>
                <w:sz w:val="18"/>
                <w:szCs w:val="18"/>
                <w:color w:val="auto"/>
                <w:w w:val="95"/>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Michael A. Duffy</w:t>
            </w:r>
          </w:p>
        </w:tc>
        <w:tc>
          <w:tcPr>
            <w:tcW w:w="4720" w:type="dxa"/>
            <w:vAlign w:val="bottom"/>
          </w:tcPr>
          <w:p>
            <w:pPr>
              <w:spacing w:after="0"/>
              <w:rPr>
                <w:sz w:val="19"/>
                <w:szCs w:val="19"/>
                <w:color w:val="auto"/>
              </w:rPr>
            </w:pPr>
          </w:p>
        </w:tc>
      </w:tr>
    </w:tbl>
    <w:p>
      <w:pPr>
        <w:sectPr>
          <w:pgSz w:w="11900" w:h="16838" w:orient="portrait"/>
          <w:cols w:equalWidth="0" w:num="1">
            <w:col w:w="10900"/>
          </w:cols>
          <w:pgMar w:left="440" w:top="270" w:right="5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W. Handley</w:t>
            </w:r>
          </w:p>
        </w:tc>
        <w:tc>
          <w:tcPr>
            <w:tcW w:w="3740" w:type="dxa"/>
            <w:vAlign w:val="bottom"/>
          </w:tcPr>
          <w:p>
            <w:pPr>
              <w:ind w:left="3140"/>
              <w:spacing w:after="0"/>
              <w:rPr>
                <w:sz w:val="20"/>
                <w:szCs w:val="20"/>
                <w:color w:val="auto"/>
              </w:rPr>
            </w:pPr>
            <w:r>
              <w:rPr>
                <w:rFonts w:ascii="Arial" w:cs="Arial" w:eastAsia="Arial" w:hAnsi="Arial"/>
                <w:sz w:val="18"/>
                <w:szCs w:val="18"/>
                <w:color w:val="auto"/>
                <w:w w:val="91"/>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Thomas W. Handley</w:t>
            </w:r>
          </w:p>
        </w:tc>
        <w:tc>
          <w:tcPr>
            <w:tcW w:w="374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M. Kirk</w:t>
            </w:r>
          </w:p>
        </w:tc>
        <w:tc>
          <w:tcPr>
            <w:tcW w:w="3740" w:type="dxa"/>
            <w:vAlign w:val="bottom"/>
          </w:tcPr>
          <w:p>
            <w:pPr>
              <w:ind w:left="3140"/>
              <w:spacing w:after="0"/>
              <w:rPr>
                <w:sz w:val="20"/>
                <w:szCs w:val="20"/>
                <w:color w:val="auto"/>
              </w:rPr>
            </w:pPr>
            <w:r>
              <w:rPr>
                <w:rFonts w:ascii="Arial" w:cs="Arial" w:eastAsia="Arial" w:hAnsi="Arial"/>
                <w:sz w:val="18"/>
                <w:szCs w:val="18"/>
                <w:color w:val="auto"/>
                <w:w w:val="91"/>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Jennifer M. Kirk</w:t>
            </w:r>
          </w:p>
        </w:tc>
        <w:tc>
          <w:tcPr>
            <w:tcW w:w="374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Larson</w:t>
            </w:r>
          </w:p>
        </w:tc>
        <w:tc>
          <w:tcPr>
            <w:tcW w:w="3740" w:type="dxa"/>
            <w:vAlign w:val="bottom"/>
          </w:tcPr>
          <w:p>
            <w:pPr>
              <w:ind w:left="3140"/>
              <w:spacing w:after="0"/>
              <w:rPr>
                <w:sz w:val="20"/>
                <w:szCs w:val="20"/>
                <w:color w:val="auto"/>
              </w:rPr>
            </w:pPr>
            <w:r>
              <w:rPr>
                <w:rFonts w:ascii="Arial" w:cs="Arial" w:eastAsia="Arial" w:hAnsi="Arial"/>
                <w:sz w:val="18"/>
                <w:szCs w:val="18"/>
                <w:color w:val="auto"/>
                <w:w w:val="91"/>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Michael Larson</w:t>
            </w:r>
          </w:p>
        </w:tc>
        <w:tc>
          <w:tcPr>
            <w:tcW w:w="374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S. Pegula</w:t>
            </w:r>
          </w:p>
        </w:tc>
        <w:tc>
          <w:tcPr>
            <w:tcW w:w="3740" w:type="dxa"/>
            <w:vAlign w:val="bottom"/>
          </w:tcPr>
          <w:p>
            <w:pPr>
              <w:ind w:left="3140"/>
              <w:spacing w:after="0"/>
              <w:rPr>
                <w:sz w:val="20"/>
                <w:szCs w:val="20"/>
                <w:color w:val="auto"/>
              </w:rPr>
            </w:pPr>
            <w:r>
              <w:rPr>
                <w:rFonts w:ascii="Arial" w:cs="Arial" w:eastAsia="Arial" w:hAnsi="Arial"/>
                <w:sz w:val="18"/>
                <w:szCs w:val="18"/>
                <w:color w:val="auto"/>
                <w:w w:val="91"/>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Kim S. Pegula</w:t>
            </w:r>
          </w:p>
        </w:tc>
        <w:tc>
          <w:tcPr>
            <w:tcW w:w="374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P. Snee</w:t>
            </w:r>
          </w:p>
        </w:tc>
        <w:tc>
          <w:tcPr>
            <w:tcW w:w="3740" w:type="dxa"/>
            <w:vAlign w:val="bottom"/>
          </w:tcPr>
          <w:p>
            <w:pPr>
              <w:ind w:left="3140"/>
              <w:spacing w:after="0"/>
              <w:rPr>
                <w:sz w:val="20"/>
                <w:szCs w:val="20"/>
                <w:color w:val="auto"/>
              </w:rPr>
            </w:pPr>
            <w:r>
              <w:rPr>
                <w:rFonts w:ascii="Arial" w:cs="Arial" w:eastAsia="Arial" w:hAnsi="Arial"/>
                <w:sz w:val="18"/>
                <w:szCs w:val="18"/>
                <w:color w:val="auto"/>
                <w:w w:val="91"/>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James P. Snee</w:t>
            </w:r>
          </w:p>
        </w:tc>
        <w:tc>
          <w:tcPr>
            <w:tcW w:w="374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Sandra M. Volpe</w:t>
            </w:r>
          </w:p>
        </w:tc>
        <w:tc>
          <w:tcPr>
            <w:tcW w:w="3740" w:type="dxa"/>
            <w:vAlign w:val="bottom"/>
          </w:tcPr>
          <w:p>
            <w:pPr>
              <w:ind w:left="3140"/>
              <w:spacing w:after="0"/>
              <w:rPr>
                <w:sz w:val="20"/>
                <w:szCs w:val="20"/>
                <w:color w:val="auto"/>
              </w:rPr>
            </w:pPr>
            <w:r>
              <w:rPr>
                <w:rFonts w:ascii="Arial" w:cs="Arial" w:eastAsia="Arial" w:hAnsi="Arial"/>
                <w:sz w:val="18"/>
                <w:szCs w:val="18"/>
                <w:color w:val="auto"/>
                <w:w w:val="91"/>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Sandra M. Volpe</w:t>
            </w:r>
          </w:p>
        </w:tc>
        <w:tc>
          <w:tcPr>
            <w:tcW w:w="374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Katharine Weymouth</w:t>
            </w:r>
          </w:p>
        </w:tc>
        <w:tc>
          <w:tcPr>
            <w:tcW w:w="3740" w:type="dxa"/>
            <w:vAlign w:val="bottom"/>
          </w:tcPr>
          <w:p>
            <w:pPr>
              <w:ind w:left="3140"/>
              <w:spacing w:after="0"/>
              <w:rPr>
                <w:sz w:val="20"/>
                <w:szCs w:val="20"/>
                <w:color w:val="auto"/>
              </w:rPr>
            </w:pPr>
            <w:r>
              <w:rPr>
                <w:rFonts w:ascii="Arial" w:cs="Arial" w:eastAsia="Arial" w:hAnsi="Arial"/>
                <w:sz w:val="18"/>
                <w:szCs w:val="18"/>
                <w:color w:val="auto"/>
                <w:w w:val="91"/>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Katharine Weymouth</w:t>
            </w:r>
          </w:p>
        </w:tc>
        <w:tc>
          <w:tcPr>
            <w:tcW w:w="3740" w:type="dxa"/>
            <w:vAlign w:val="bottom"/>
          </w:tcPr>
          <w:p>
            <w:pPr>
              <w:spacing w:after="0"/>
              <w:rPr>
                <w:sz w:val="19"/>
                <w:szCs w:val="19"/>
                <w:color w:val="auto"/>
              </w:rPr>
            </w:pPr>
          </w:p>
        </w:tc>
      </w:tr>
    </w:tbl>
    <w:p>
      <w:pPr>
        <w:sectPr>
          <w:pgSz w:w="11900" w:h="16838" w:orient="portrait"/>
          <w:cols w:equalWidth="0" w:num="1">
            <w:col w:w="10019"/>
          </w:cols>
          <w:pgMar w:left="440" w:top="274"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645920" cy="591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91185"/>
                    </a:xfrm>
                    <a:prstGeom prst="rect">
                      <a:avLst/>
                    </a:prstGeom>
                    <a:noFill/>
                  </pic:spPr>
                </pic:pic>
              </a:graphicData>
            </a:graphic>
          </wp:anchor>
        </w:drawing>
        <w:t>Exhibit 5.1</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18500 North Allied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AZ 85054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5"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I am Executive Vice President, Chief Legal Officer, Chief Ethics &amp; Compliance Officer and Corporate Secretary of Republic Services,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and am rendering this opinion in connection with the registration by the Company under the Securities Act of 1933 (the “</w:t>
      </w:r>
      <w:r>
        <w:rPr>
          <w:rFonts w:ascii="Arial" w:cs="Arial" w:eastAsia="Arial" w:hAnsi="Arial"/>
          <w:sz w:val="17"/>
          <w:szCs w:val="17"/>
          <w:i w:val="1"/>
          <w:iCs w:val="1"/>
          <w:color w:val="auto"/>
        </w:rPr>
        <w:t>Act</w:t>
      </w:r>
      <w:r>
        <w:rPr>
          <w:rFonts w:ascii="Arial" w:cs="Arial" w:eastAsia="Arial" w:hAnsi="Arial"/>
          <w:sz w:val="17"/>
          <w:szCs w:val="17"/>
          <w:color w:val="auto"/>
        </w:rPr>
        <w:t>”) of 12,800,000 shares of Republic Services, Inc. common stock, par value $0.01 per share (the “</w:t>
      </w:r>
      <w:r>
        <w:rPr>
          <w:rFonts w:ascii="Arial" w:cs="Arial" w:eastAsia="Arial" w:hAnsi="Arial"/>
          <w:sz w:val="17"/>
          <w:szCs w:val="17"/>
          <w:i w:val="1"/>
          <w:iCs w:val="1"/>
          <w:color w:val="auto"/>
        </w:rPr>
        <w:t>Shares</w:t>
      </w:r>
      <w:r>
        <w:rPr>
          <w:rFonts w:ascii="Arial" w:cs="Arial" w:eastAsia="Arial" w:hAnsi="Arial"/>
          <w:sz w:val="17"/>
          <w:szCs w:val="17"/>
          <w:color w:val="auto"/>
        </w:rPr>
        <w:t>”), pursuant to the registration statement on Form S-8 filed with the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on the date hereof (such registration statement, as amended to the date hereof, is herein referred to as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The Shares may be offered and sold under the Republic Services, Inc. 2021 Stock Incentive Plan, as amended and restated (the “</w:t>
      </w:r>
      <w:r>
        <w:rPr>
          <w:rFonts w:ascii="Arial" w:cs="Arial" w:eastAsia="Arial" w:hAnsi="Arial"/>
          <w:sz w:val="17"/>
          <w:szCs w:val="17"/>
          <w:i w:val="1"/>
          <w:iCs w:val="1"/>
          <w:color w:val="auto"/>
        </w:rPr>
        <w:t>2021 Plan</w:t>
      </w:r>
      <w:r>
        <w:rPr>
          <w:rFonts w:ascii="Arial" w:cs="Arial" w:eastAsia="Arial" w:hAnsi="Arial"/>
          <w:sz w:val="17"/>
          <w:szCs w:val="17"/>
          <w:color w:val="auto"/>
        </w:rPr>
        <w:t>”).</w:t>
      </w:r>
    </w:p>
    <w:p>
      <w:pPr>
        <w:spacing w:after="0" w:line="178"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 have reviewed such corporate records, certificates and other documents, and such questions of law, as I have considered necessary or appropriate for the purposes of this opinion. I have assumed that all signatures are genuine, that all documents submitted to me as originals are authentic and that all copies of documents submitted to me conform to the originals.</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 have relied as to certain matters on information obtained from public officials, officers of the Company and other sources believed by me to be responsible.</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Based upon the foregoing, I am of the opinion that all necessary corporate proceedings by the Corporation have been duly taken to authorize the issuance of the Shares pursuant to the 2021 Plan and that the Shares being registered pursuant to the Registration Statement, when issued and paid for in accordance with the terms of the 2021 Plan, will be duly authorized, validly issued, fully paid and nonassessable.</w:t>
      </w:r>
    </w:p>
    <w:p>
      <w:pPr>
        <w:spacing w:after="0" w:line="16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 am a member of the bar of the State of Arizona. I do not express any opinion herein on any laws other than the General Corporation Law of the State of Delaware.</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 hereby consent to the filing of this opinion as Exhibit 5.1 to the Registration Statement. In giving such consent, I do not thereby admit that I am in the category of persons whose consent is required under Section 7 of the Act.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Catharine D. Ellingsen, Esq.</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Catharine D. Ellingsen, Esq.</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Chief Legal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Ethics &amp; Compliance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Officer and Corporate Secretary</w:t>
      </w:r>
    </w:p>
    <w:p>
      <w:pPr>
        <w:sectPr>
          <w:pgSz w:w="11900" w:h="16838" w:orient="portrait"/>
          <w:cols w:equalWidth="0" w:num="1">
            <w:col w:w="11020"/>
          </w:cols>
          <w:pgMar w:left="440" w:top="486"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pertaining to the Republic Services, Inc. 2021 Stock Incentive Plan of our reports dated February 13, 2020, with respect to the consolidated financial statements of Republic Services, Inc. and the effectiveness of internal control over financial reporting of Republic Services, Inc. included in its Annual Report (Form 10-K) for the year ended December 31, 2019, filed with the Securities and Exchange Commission.</w:t>
      </w:r>
    </w:p>
    <w:p>
      <w:pPr>
        <w:spacing w:after="0" w:line="29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9,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5"/>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decimal"/>
      <w:start w:val="2"/>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1" Type="http://schemas.openxmlformats.org/officeDocument/2006/relationships/image" Target="media/image12.png"/><Relationship Id="rId33"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jpeg"/><Relationship Id="rId19" Type="http://schemas.openxmlformats.org/officeDocument/2006/relationships/hyperlink" Target="http://www.sec.gov/ix?doc=/Archives/edgar/data/1060391/000106039120000016/rsg-20191231.htm" TargetMode="External"/><Relationship Id="rId20" Type="http://schemas.openxmlformats.org/officeDocument/2006/relationships/hyperlink" Target="http://www.sec.gov/Archives/edgar/data/1060391/000119312520083880/d757944ddef14a.htm" TargetMode="External"/><Relationship Id="rId21" Type="http://schemas.openxmlformats.org/officeDocument/2006/relationships/hyperlink" Target="http://www.sec.gov/ix?doc=/Archives/edgar/data/1060391/000106039120000032/rsg-20200331.htm" TargetMode="External"/><Relationship Id="rId22" Type="http://schemas.openxmlformats.org/officeDocument/2006/relationships/hyperlink" Target="http://www.sec.gov/ix?doc=/Archives/edgar/data/1060391/000106039120000057/rsg-20200630.htm" TargetMode="External"/><Relationship Id="rId23" Type="http://schemas.openxmlformats.org/officeDocument/2006/relationships/hyperlink" Target="http://www.sec.gov/ix?doc=/Archives/edgar/data/1060391/000106039120000039/rsg-20200520.htm" TargetMode="External"/><Relationship Id="rId24" Type="http://schemas.openxmlformats.org/officeDocument/2006/relationships/hyperlink" Target="http://www.sec.gov/ix?doc=/Archives/edgar/data/1060391/000106039120000042/rsg-20200520.htm" TargetMode="External"/><Relationship Id="rId25" Type="http://schemas.openxmlformats.org/officeDocument/2006/relationships/hyperlink" Target="http://www.sec.gov/ix?doc=/Archives/edgar/data/1060391/000119312520194427/d55029d8k.htm" TargetMode="External"/><Relationship Id="rId26" Type="http://schemas.openxmlformats.org/officeDocument/2006/relationships/hyperlink" Target="http://www.sec.gov/ix?doc=/Archives/edgar/data/1060391/000106039120000046/rsg-20200728.htm" TargetMode="External"/><Relationship Id="rId27" Type="http://schemas.openxmlformats.org/officeDocument/2006/relationships/hyperlink" Target="http://www.sec.gov/ix?doc=/Archives/edgar/data/1060391/000106039120000048/rsg-20200728.htm" TargetMode="External"/><Relationship Id="rId28" Type="http://schemas.openxmlformats.org/officeDocument/2006/relationships/hyperlink" Target="http://www.sec.gov/ix?doc=/Archives/edgar/data/1060391/000119312520219229/d942697d8k.htm" TargetMode="External"/><Relationship Id="rId29" Type="http://schemas.openxmlformats.org/officeDocument/2006/relationships/hyperlink" Target="http://www.sec.gov/ix?doc=/Archives/edgar/data/1060391/000119312520233223/d139846d8k.htm" TargetMode="External"/><Relationship Id="rId30" Type="http://schemas.openxmlformats.org/officeDocument/2006/relationships/hyperlink" Target="http://www.sec.gov/ix?doc=/Archives/edgar/data/1060391/000106039120000061/rsg-20201027.htm" TargetMode="External"/><Relationship Id="rId32" Type="http://schemas.openxmlformats.org/officeDocument/2006/relationships/hyperlink" Target="http://www.sec.gov/Archives/edgar/data/1060391/000106039120000016/exhibit423descriptiono.htm" TargetMode="External"/><Relationship Id="rId34" Type="http://schemas.openxmlformats.org/officeDocument/2006/relationships/hyperlink" Target="http://www.sec.gov/Archives/edgar/data/1060391/0000950144-98-009679.txt" TargetMode="External"/><Relationship Id="rId35" Type="http://schemas.openxmlformats.org/officeDocument/2006/relationships/hyperlink" Target="http://www.sec.gov/Archives/edgar/data/1060391/000095014499008298/0000950144-99-008298.txt" TargetMode="External"/><Relationship Id="rId36" Type="http://schemas.openxmlformats.org/officeDocument/2006/relationships/hyperlink" Target="http://www.sec.gov/Archives/edgar/data/1060391/000106039116000079/exhibit33amendedandrestate.htm" TargetMode="External"/><Relationship Id="rId37" Type="http://schemas.openxmlformats.org/officeDocument/2006/relationships/hyperlink" Target="http://www.sec.gov/Archives/edgar/data/1060391/000119312520083880/d757944ddef14a.htm#tx757944_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2020-11-10T05:16:00Z</dcterms:created>
  <dcterms:modified xsi:type="dcterms:W3CDTF">2020-11-10T05:16:00Z</dcterms:modified>
</cp:coreProperties>
</file>