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5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71"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6" w:lineRule="exact"/>
        <w:rPr>
          <w:sz w:val="24"/>
          <w:szCs w:val="24"/>
          <w:color w:val="auto"/>
        </w:rPr>
      </w:pPr>
    </w:p>
    <w:p>
      <w:pPr>
        <w:ind w:left="350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3733165</wp:posOffset>
            </wp:positionH>
            <wp:positionV relativeFrom="paragraph">
              <wp:posOffset>-5080</wp:posOffset>
            </wp:positionV>
            <wp:extent cx="1180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1-14267</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REPUBLIC SERVICES,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1"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65-0716904</w:t>
            </w:r>
          </w:p>
        </w:tc>
      </w:tr>
      <w:tr>
        <w:trPr>
          <w:trHeight w:val="148"/>
        </w:trPr>
        <w:tc>
          <w:tcPr>
            <w:tcW w:w="430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5353 East City North Drive</w:t>
            </w:r>
          </w:p>
        </w:tc>
        <w:tc>
          <w:tcPr>
            <w:tcW w:w="3040" w:type="dxa"/>
            <w:vAlign w:val="bottom"/>
          </w:tcPr>
          <w:p>
            <w:pPr>
              <w:spacing w:after="0"/>
              <w:rPr>
                <w:sz w:val="24"/>
                <w:szCs w:val="24"/>
                <w:color w:val="auto"/>
              </w:rPr>
            </w:pPr>
          </w:p>
        </w:tc>
      </w:tr>
      <w:tr>
        <w:trPr>
          <w:trHeight w:val="256"/>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Phoenix, Arizona</w:t>
            </w:r>
          </w:p>
        </w:tc>
        <w:tc>
          <w:tcPr>
            <w:tcW w:w="304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85054</w:t>
            </w:r>
          </w:p>
        </w:tc>
      </w:tr>
      <w:tr>
        <w:trPr>
          <w:trHeight w:val="193"/>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627-2700</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2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70" w:type="dxa"/>
        <w:tblCellMar>
          <w:top w:w="0" w:type="dxa"/>
          <w:left w:w="0" w:type="dxa"/>
          <w:bottom w:w="0" w:type="dxa"/>
          <w:right w:w="0" w:type="dxa"/>
        </w:tblCellMar>
      </w:tblPr>
      <w:tr>
        <w:trPr>
          <w:trHeight w:val="277"/>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RSG</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5" w:lineRule="exact"/>
        <w:rPr>
          <w:sz w:val="24"/>
          <w:szCs w:val="24"/>
          <w:color w:val="auto"/>
        </w:rPr>
      </w:pPr>
    </w:p>
    <w:p>
      <w:pPr>
        <w:ind w:right="200" w:firstLine="432"/>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ind w:right="40" w:firstLine="432"/>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right="260" w:firstLine="432"/>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1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3760" w:type="dxa"/>
            <w:vAlign w:val="bottom"/>
          </w:tcPr>
          <w:p>
            <w:pPr>
              <w:jc w:val="right"/>
              <w:ind w:right="1219"/>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1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spacing w:after="0"/>
              <w:rPr>
                <w:sz w:val="24"/>
                <w:szCs w:val="24"/>
                <w:color w:val="auto"/>
              </w:rPr>
            </w:pPr>
          </w:p>
        </w:tc>
        <w:tc>
          <w:tcPr>
            <w:tcW w:w="376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1028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4"/>
        </w:trPr>
        <w:tc>
          <w:tcPr>
            <w:tcW w:w="6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376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p>
      <w:pPr>
        <w:ind w:left="440"/>
        <w:spacing w:after="0" w:line="196" w:lineRule="exact"/>
        <w:tabs>
          <w:tab w:leader="none" w:pos="7940" w:val="left"/>
          <w:tab w:leader="none" w:pos="8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22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As of October 22, 2026, the registrant had outstanding 304,639,653 shares of Common Stock, par value $0.01 per share (excluding treasury shares of 9,365,675).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PART I — FINANCIAL INFORMATION</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Financial Statements</w:t>
            </w:r>
          </w:p>
        </w:tc>
        <w:tc>
          <w:tcPr>
            <w:tcW w:w="80" w:type="dxa"/>
            <w:vAlign w:val="bottom"/>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r>
      <w:tr>
        <w:trPr>
          <w:trHeight w:val="209"/>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Consolidated Balance Sheets as of September 30, 2026 (Unaudited) and December 31, 2025</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r>
      <w:tr>
        <w:trPr>
          <w:trHeight w:val="210"/>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Unaudited Consolidated Statements of Income for the Three and Nine Months Ended September 30, 2026 and 2025</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r>
      <w:tr>
        <w:trPr>
          <w:trHeight w:val="209"/>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Unaudited Consolidated Statements of Comprehensive Income for the Three and Nine Months Ended September 30, 2026 and 2025</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r>
      <w:tr>
        <w:trPr>
          <w:trHeight w:val="209"/>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Unaudited Consolidated Statements of Stockholders' Equity for the Three and Nine Months Ended September 30, 2026 and 2025</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r>
      <w:tr>
        <w:trPr>
          <w:trHeight w:val="210"/>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Unaudited Consolidated Statements of Cash Flows for the Nine Months Ended September 30, 2026 and 2025</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r>
      <w:tr>
        <w:trPr>
          <w:trHeight w:val="209"/>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Notes to Unaudited Consolidated Financial Statements</w:t>
            </w:r>
          </w:p>
        </w:tc>
        <w:tc>
          <w:tcPr>
            <w:tcW w:w="8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47</w:t>
            </w:r>
          </w:p>
        </w:tc>
      </w:tr>
      <w:tr>
        <w:trPr>
          <w:trHeight w:val="480"/>
        </w:trPr>
        <w:tc>
          <w:tcPr>
            <w:tcW w:w="2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9"/>
              </w:rPr>
              <w:t>PART II — OTHER INFORMATION</w:t>
            </w:r>
          </w:p>
        </w:tc>
        <w:tc>
          <w:tcPr>
            <w:tcW w:w="8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Legal Proceedings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48</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1A.</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Risk Factors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48</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2.</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Unregistered Sales of Equity Securities and Use of Proceeds, and Issuer Purchases of Equity Securities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3.</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Defaults upon Senior Securities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4.</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Item 6.</w:t>
            </w: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Exhibits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r>
      <w:tr>
        <w:trPr>
          <w:trHeight w:val="210"/>
        </w:trPr>
        <w:tc>
          <w:tcPr>
            <w:tcW w:w="720" w:type="dxa"/>
            <w:vAlign w:val="bottom"/>
          </w:tcPr>
          <w:p>
            <w:pPr>
              <w:spacing w:after="0"/>
              <w:rPr>
                <w:sz w:val="18"/>
                <w:szCs w:val="18"/>
                <w:color w:val="auto"/>
              </w:rPr>
            </w:pPr>
          </w:p>
        </w:tc>
        <w:tc>
          <w:tcPr>
            <w:tcW w:w="103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Signatures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September 30,</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33"/>
        </w:trPr>
        <w:tc>
          <w:tcPr>
            <w:tcW w:w="8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(Unaudited)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26"/>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and other of $59 and $66, respectively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20"/>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marketable securities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12,639</w:t>
            </w: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16,715</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220"/>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34,366</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6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227"/>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26"/>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landfill and environmental costs, current portion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26"/>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landfill and environmental costs, net of current portion</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long-term tax liabilities,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reserves, net of current portion</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par value $0.01 per share; 50 shares authorized; none issued</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85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Common stock, par value $0.01 per share; 750 shares authorized; 314 and 313 issued including shares</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in treasury, respectively</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26"/>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0" w:type="dxa"/>
            <w:vAlign w:val="bottom"/>
          </w:tcPr>
          <w:p>
            <w:pPr>
              <w:spacing w:after="0"/>
              <w:rPr>
                <w:sz w:val="1"/>
                <w:szCs w:val="1"/>
                <w:color w:val="auto"/>
              </w:rPr>
            </w:pPr>
          </w:p>
        </w:tc>
      </w:tr>
      <w:tr>
        <w:trPr>
          <w:trHeight w:val="233"/>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9 and 5 shares, respectively</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6"/>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Republic Services, Inc. stockholders’ equity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w:t>
            </w:r>
          </w:p>
        </w:tc>
        <w:tc>
          <w:tcPr>
            <w:tcW w:w="0" w:type="dxa"/>
            <w:vAlign w:val="bottom"/>
          </w:tcPr>
          <w:p>
            <w:pPr>
              <w:spacing w:after="0"/>
              <w:rPr>
                <w:sz w:val="1"/>
                <w:szCs w:val="1"/>
                <w:color w:val="auto"/>
              </w:rPr>
            </w:pPr>
          </w:p>
        </w:tc>
      </w:tr>
      <w:tr>
        <w:trPr>
          <w:trHeight w:val="226"/>
        </w:trPr>
        <w:tc>
          <w:tcPr>
            <w:tcW w:w="8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Non-controlling interests in consolidated subsidiary</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0" w:type="dxa"/>
            <w:vAlign w:val="bottom"/>
          </w:tcPr>
          <w:p>
            <w:pPr>
              <w:spacing w:after="0"/>
              <w:rPr>
                <w:sz w:val="1"/>
                <w:szCs w:val="1"/>
                <w:color w:val="auto"/>
              </w:rPr>
            </w:pPr>
          </w:p>
        </w:tc>
      </w:tr>
      <w:tr>
        <w:trPr>
          <w:trHeight w:val="220"/>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34,366</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7"/>
                <w:szCs w:val="17"/>
                <w:color w:val="auto"/>
              </w:rPr>
            </w:pPr>
          </w:p>
        </w:tc>
        <w:tc>
          <w:tcPr>
            <w:tcW w:w="19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19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business divestitures and impairments, net</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unconsolidated equity method investments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consolidated subsidiary</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Republic Services, Inc. stockholders: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Republic Services, Inc.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4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547</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44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Comprehensive income attributable to Republic Services,</w:t>
            </w:r>
          </w:p>
        </w:tc>
        <w:tc>
          <w:tcPr>
            <w:tcW w:w="1140" w:type="dxa"/>
            <w:vAlign w:val="bottom"/>
            <w:tcBorders>
              <w:top w:val="single" w:sz="8" w:color="auto"/>
            </w:tcBorders>
            <w:vMerge w:val="restart"/>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vMerge w:val="restart"/>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Republic Services, Inc. Stockholders’ Equity</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Non-controlling</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1740" w:type="dxa"/>
            <w:vAlign w:val="bottom"/>
            <w:gridSpan w:val="5"/>
          </w:tcPr>
          <w:p>
            <w:pPr>
              <w:ind w:left="360"/>
              <w:spacing w:after="0" w:line="158"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ind w:left="400"/>
              <w:spacing w:after="0" w:line="158" w:lineRule="exact"/>
              <w:rPr>
                <w:sz w:val="20"/>
                <w:szCs w:val="20"/>
                <w:color w:val="auto"/>
              </w:rPr>
            </w:pPr>
            <w:r>
              <w:rPr>
                <w:rFonts w:ascii="Times New Roman" w:cs="Times New Roman" w:eastAsia="Times New Roman" w:hAnsi="Times New Roman"/>
                <w:sz w:val="14"/>
                <w:szCs w:val="14"/>
                <w:color w:val="auto"/>
              </w:rPr>
              <w:t>Treasury Stock</w:t>
            </w:r>
          </w:p>
        </w:tc>
        <w:tc>
          <w:tcPr>
            <w:tcW w:w="13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Interests In</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5"/>
                <w:szCs w:val="5"/>
                <w:color w:val="auto"/>
              </w:rPr>
            </w:pPr>
          </w:p>
        </w:tc>
        <w:tc>
          <w:tcPr>
            <w:tcW w:w="80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color w:val="auto"/>
              </w:rPr>
              <w:t>Retained</w:t>
            </w: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5"/>
                <w:szCs w:val="5"/>
                <w:color w:val="auto"/>
              </w:rPr>
            </w:pPr>
          </w:p>
        </w:tc>
        <w:tc>
          <w:tcPr>
            <w:tcW w:w="12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tcPr>
          <w:p>
            <w:pPr>
              <w:spacing w:after="0"/>
              <w:rPr>
                <w:sz w:val="4"/>
                <w:szCs w:val="4"/>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2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Subsidiary</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11,969</w:t>
            </w:r>
          </w:p>
        </w:tc>
        <w:tc>
          <w:tcPr>
            <w:tcW w:w="0" w:type="dxa"/>
            <w:vAlign w:val="bottom"/>
          </w:tcPr>
          <w:p>
            <w:pPr>
              <w:spacing w:after="0"/>
              <w:rPr>
                <w:sz w:val="1"/>
                <w:szCs w:val="1"/>
                <w:color w:val="auto"/>
              </w:rPr>
            </w:pPr>
          </w:p>
        </w:tc>
      </w:tr>
      <w:tr>
        <w:trPr>
          <w:trHeight w:val="193"/>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Pr>
          <w:p>
            <w:pPr>
              <w:spacing w:after="0"/>
              <w:rPr>
                <w:sz w:val="16"/>
                <w:szCs w:val="16"/>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dividends declared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6"/>
                <w:szCs w:val="16"/>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98"/>
        </w:trPr>
        <w:tc>
          <w:tcPr>
            <w:tcW w:w="2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treasury</w:t>
            </w: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120" w:type="dxa"/>
            <w:vAlign w:val="bottom"/>
          </w:tcPr>
          <w:p>
            <w:pPr>
              <w:spacing w:after="0"/>
              <w:rPr>
                <w:sz w:val="16"/>
                <w:szCs w:val="16"/>
                <w:color w:val="auto"/>
              </w:rPr>
            </w:pP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11,981</w:t>
            </w:r>
          </w:p>
        </w:tc>
        <w:tc>
          <w:tcPr>
            <w:tcW w:w="0" w:type="dxa"/>
            <w:vAlign w:val="bottom"/>
          </w:tcPr>
          <w:p>
            <w:pPr>
              <w:spacing w:after="0"/>
              <w:rPr>
                <w:sz w:val="1"/>
                <w:szCs w:val="1"/>
                <w:color w:val="auto"/>
              </w:rPr>
            </w:pPr>
          </w:p>
        </w:tc>
      </w:tr>
      <w:tr>
        <w:trPr>
          <w:trHeight w:val="23"/>
        </w:trPr>
        <w:tc>
          <w:tcPr>
            <w:tcW w:w="2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93"/>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dividends declared</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3"/>
        </w:trPr>
        <w:tc>
          <w:tcPr>
            <w:tcW w:w="22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93"/>
        </w:trPr>
        <w:tc>
          <w:tcPr>
            <w:tcW w:w="2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treasury</w:t>
            </w: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as of June 30, 2026</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w:t>
            </w:r>
          </w:p>
        </w:tc>
        <w:tc>
          <w:tcPr>
            <w:tcW w:w="0" w:type="dxa"/>
            <w:vAlign w:val="bottom"/>
          </w:tcPr>
          <w:p>
            <w:pPr>
              <w:spacing w:after="0"/>
              <w:rPr>
                <w:sz w:val="1"/>
                <w:szCs w:val="1"/>
                <w:color w:val="auto"/>
              </w:rPr>
            </w:pPr>
          </w:p>
        </w:tc>
      </w:tr>
      <w:tr>
        <w:trPr>
          <w:trHeight w:val="186"/>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Pr>
          <w:p>
            <w:pPr>
              <w:spacing w:after="0"/>
              <w:rPr>
                <w:sz w:val="16"/>
                <w:szCs w:val="16"/>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dividends declared</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3"/>
        </w:trPr>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3"/>
        </w:trPr>
        <w:tc>
          <w:tcPr>
            <w:tcW w:w="22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93"/>
        </w:trPr>
        <w:tc>
          <w:tcPr>
            <w:tcW w:w="2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treasury</w:t>
            </w: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as of September 30, 2026</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4"/>
        </w:trPr>
        <w:tc>
          <w:tcPr>
            <w:tcW w:w="102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Republic Services, Inc. Stockholders’ Equity</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Non-controlling</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60" w:type="dxa"/>
            <w:vAlign w:val="bottom"/>
            <w:gridSpan w:val="5"/>
          </w:tcPr>
          <w:p>
            <w:pPr>
              <w:ind w:left="380"/>
              <w:spacing w:after="0" w:line="158" w:lineRule="exact"/>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ind w:left="400"/>
              <w:spacing w:after="0" w:line="158" w:lineRule="exact"/>
              <w:rPr>
                <w:sz w:val="20"/>
                <w:szCs w:val="20"/>
                <w:color w:val="auto"/>
              </w:rPr>
            </w:pPr>
            <w:r>
              <w:rPr>
                <w:rFonts w:ascii="Times New Roman" w:cs="Times New Roman" w:eastAsia="Times New Roman" w:hAnsi="Times New Roman"/>
                <w:sz w:val="14"/>
                <w:szCs w:val="14"/>
                <w:color w:val="auto"/>
              </w:rPr>
              <w:t>Treasury Stock</w:t>
            </w:r>
          </w:p>
        </w:tc>
        <w:tc>
          <w:tcPr>
            <w:tcW w:w="13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Interests In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color w:val="auto"/>
              </w:rPr>
              <w:t>Retained</w:t>
            </w: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5"/>
                <w:szCs w:val="5"/>
                <w:color w:val="auto"/>
              </w:rPr>
            </w:pPr>
          </w:p>
        </w:tc>
        <w:tc>
          <w:tcPr>
            <w:tcW w:w="12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 Net of Tax</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Subsidiary</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0" w:type="dxa"/>
            <w:vAlign w:val="bottom"/>
          </w:tcPr>
          <w:p>
            <w:pPr>
              <w:spacing w:after="0"/>
              <w:rPr>
                <w:sz w:val="1"/>
                <w:szCs w:val="1"/>
                <w:color w:val="auto"/>
              </w:rPr>
            </w:pPr>
          </w:p>
        </w:tc>
      </w:tr>
      <w:tr>
        <w:trPr>
          <w:trHeight w:val="193"/>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3"/>
        </w:trPr>
        <w:tc>
          <w:tcPr>
            <w:tcW w:w="2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dividends declared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3"/>
        </w:trPr>
        <w:tc>
          <w:tcPr>
            <w:tcW w:w="2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3"/>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2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40" w:type="dxa"/>
            <w:vAlign w:val="bottom"/>
            <w:gridSpan w:val="2"/>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treasury</w:t>
            </w: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10,087</w:t>
            </w:r>
          </w:p>
        </w:tc>
        <w:tc>
          <w:tcPr>
            <w:tcW w:w="100" w:type="dxa"/>
            <w:vAlign w:val="bottom"/>
          </w:tcPr>
          <w:p>
            <w:pPr>
              <w:spacing w:after="0"/>
              <w:rPr>
                <w:sz w:val="16"/>
                <w:szCs w:val="16"/>
                <w:color w:val="auto"/>
              </w:rPr>
            </w:pPr>
          </w:p>
        </w:tc>
        <w:tc>
          <w:tcPr>
            <w:tcW w:w="7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93"/>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2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declared</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12"/>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0"/>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6"/>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10,455</w:t>
            </w:r>
          </w:p>
        </w:tc>
        <w:tc>
          <w:tcPr>
            <w:tcW w:w="100" w:type="dxa"/>
            <w:vAlign w:val="bottom"/>
          </w:tcPr>
          <w:p>
            <w:pPr>
              <w:spacing w:after="0"/>
              <w:rPr>
                <w:sz w:val="16"/>
                <w:szCs w:val="16"/>
                <w:color w:val="auto"/>
              </w:rPr>
            </w:pPr>
          </w:p>
        </w:tc>
        <w:tc>
          <w:tcPr>
            <w:tcW w:w="7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12,052</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93"/>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2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declared</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3"/>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Issuances of common stock</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2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53"/>
        </w:trPr>
        <w:tc>
          <w:tcPr>
            <w:tcW w:w="224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color w:val="auto"/>
              </w:rPr>
              <w:t>Purchase of common stock for</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93"/>
        </w:trPr>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treasury</w:t>
            </w: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paid</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10,810</w:t>
            </w:r>
          </w:p>
        </w:tc>
        <w:tc>
          <w:tcPr>
            <w:tcW w:w="100" w:type="dxa"/>
            <w:vAlign w:val="bottom"/>
          </w:tcPr>
          <w:p>
            <w:pPr>
              <w:spacing w:after="0"/>
              <w:rPr>
                <w:sz w:val="16"/>
                <w:szCs w:val="16"/>
                <w:color w:val="auto"/>
              </w:rPr>
            </w:pPr>
          </w:p>
        </w:tc>
        <w:tc>
          <w:tcPr>
            <w:tcW w:w="7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11,872</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33"/>
        </w:trPr>
        <w:tc>
          <w:tcPr>
            <w:tcW w:w="8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provision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3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unconsolidated equity method investments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items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 net of effects from business acquisitions and divestitures: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2"/>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Capping, closure and post-closure expenditures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Remediation expenditures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2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3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used in acquisitions and investments, net of cash and restricted cash acquired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3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from business divestitures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7"/>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facilities and notes payable, net of fees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26,896</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senior notes, net of discount and fees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credit facilities and notes payable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Issuances of common stock,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paid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3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paid to non-controlling interests in consolidated subsidiary</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7"/>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restricted cash and restricted cash equivalents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Republic Services, Inc., a Delaware corporation, and its consolidated subsidiaries (also referred to collectively as Republic, the Company, we, us, or our), is one of the largest providers of environmental services in the United States, as measured by revenue. 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represent our reportable segments, which each provide integrated environmental services, including but not limited to collection, transfer, recycling and disposal.</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of Republic Services, Inc. and its wholly owned and majority owned subsidiaries in accordance with accounting principles generally accepted in the United States of America (U.S. GAAP). We account for investments in entities in which we do not have a controlling financial interest under the equity method of accounting or, for investments that do not meet the criteria to be accounted for under the equity method, we reflect these investments at their fair value when it is readily determinable. If fair value is not readily determinable, we use an alternative measurement approach. All material intercompany accounts and transactions have been eliminated in consolidation.</w:t>
      </w:r>
    </w:p>
    <w:p>
      <w:pPr>
        <w:spacing w:after="0" w:line="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prepared these unaudited consolidated financial statements pursuant to the rules and regulations of the Securities and Exchange Commission (SEC). Certain information related to our organization, significant accounting policies and footnote disclosures normally included in financial statements prepared in accordance with U.S. GAAP have been condensed or omitted. In the opinion of management, these financial statements include all adjustments that, unless otherwise disclosed, are of a normal recurring nature and necessary for a fair presentation of the financial position, results of operations and cash flows for the periods presented. Operating results for interim periods are not necessarily indicative of the results you can expect for a full year. You should read these financial statements in conjunction with our audited consolidated financial statements and notes thereto appearing in our Annual Report on Form 10-K for the fiscal year ended December 31, 2025.</w:t>
      </w:r>
    </w:p>
    <w:p>
      <w:pPr>
        <w:spacing w:after="0" w:line="67" w:lineRule="exact"/>
        <w:rPr>
          <w:sz w:val="20"/>
          <w:szCs w:val="20"/>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For comparative purposes, certain prior year amounts have been reclassified to conform to the current year presentation and are not material to our consolidated financial statements. All dollar amounts in tabular presentations are in millions, except per share amounts and unless otherwise noted.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Estimates and Assumptions</w:t>
      </w:r>
    </w:p>
    <w:p>
      <w:pPr>
        <w:spacing w:after="0" w:line="9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significant and subjective areas that deal with the greatest amount of uncertainty relate to our accounting for our long-lived assets, including recoverability, landfill development costs and final capping, closure and post-closure costs; our liabilities for potential litigation, claims and assessments; our liabilities for environmental remediation, deferred taxes, uncertain tax positions and insurance reserves; and our estimates of the fair values of assets acquired and liabilities assumed in acquisitions. For more detail on significant accounting policies,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Consolidated Financial Statements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Our actual results may differ significantly from our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p>
    <w:p>
      <w:pPr>
        <w:spacing w:after="0" w:line="51"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05, Financial Instruments – Credit Losses (Topic 326):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which simplifies the application of the current expected credit loss model for current accounts receivable and current contract assets under Topic 606. In developing reasonable and supportable forecasts as part of estimating expected credit losses, the amendments in this update provide entities with a practical expedient that assumes that the current conditions as of the balance sheet date do not change for the remaining life of the asset. The Company adopted ASU 2025-05 and elected this practical expedient on January 1, 2026. The election of this practical expedient did not have a material impact on our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Issued but not yet Adopted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The amendments from this ASU address a range of accounting topics and clarify or make minor improvements to the existing codification. The amendments are effective for annual reporting periods beginning after December 15, 2026, and interim reporting periods within those annual reporting periods. Early adoption is permitted. We are currently assessing the effect this guidance may have on our consolidated financial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Narrow-Scope Improvements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Narrow-Scope Improvements. This guidance clarifies interim disclosure requirements and the applicability of Topic 270, resulting in a comprehensive list of interim disclosures required by GAAP and a disclosure principle for disclosing material events since the last reporting period. The amendments are effective for interim reporting periods within annual reporting periods beginning after December 15, 2027. We are currently assessing the effect this guidance may have on our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w:t>
      </w:r>
    </w:p>
    <w:p>
      <w:pPr>
        <w:spacing w:after="0" w:line="9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2025-10,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xml:space="preserve"> (Topic 832): Accounting for Government Grants Received by Business Entities. This ASU adds guidance to Accounting Standards Codification (ASC) 832 on the recognition, measurement, and presentation of government grants. In the absence of such guidance, many for-profit entities historically have analogized to other GAAP, including International Accounting Standards (IAS) 20 or ASC 958-605, when accounting for government grants. This ASU will be effective for annual and interim periods in fiscal years beginning after December 15, 2028. We are currently assessing the effect this guidance may have on our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(Subtopic 350-40): Targeted Improvements to the Accounting for Internal-Use Software. This guidance removes references to prescriptive and sequential development stages, requiring companies to capitalize internal-use software costs when management commits to funding the software project and it is probable the project will be completed. The amendments are effective for annual reporting periods beginning after December 15, 2027 and interim reporting periods within those annual reporting periods. Entities may apply the guidance using a prospective, retrospective or modified transition approach. We are currently assessing the effect this guidance may have on our consolidated financial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2024-03, Income Statement – Reporting Comprehensive Income – 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ASU 2024-03 requires an entity to disclose the amount of purchases of inventory, employee compensation, depreciation, and intangible asset amortization included in each relevant expense caption. It also requires an entity to include certain amounts that are already required to be disclosed under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ASU 2024-03 are effective for annual reporting periods beginning after December 15,</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We are currently assessing the effect this guidance may have on our consolidated financial statements.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Amendments in Response to the SEC's Disclosure Update and Simplification Initiative</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Disclosure Improvements: </w:t>
      </w:r>
      <w:r>
        <w:rPr>
          <w:rFonts w:ascii="Times New Roman" w:cs="Times New Roman" w:eastAsia="Times New Roman" w:hAnsi="Times New Roman"/>
          <w:sz w:val="18"/>
          <w:szCs w:val="18"/>
          <w:i w:val="1"/>
          <w:iCs w:val="1"/>
          <w:color w:val="auto"/>
        </w:rPr>
        <w:t>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to modify the disclosure or presentation requirements of a variety of topics, which will allow users to more easily compare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SEC's existing disclosures with those entities that were not previously subject to the SEC's requirements, and to align the requirements in the FASB accounting standard codification with the SEC's regulations. The effective date for each topic's amendment is the date on which the SEC's removal of the topic's related disclosure from Regulation S-X or Regulation S-K becomes effective, with early adoption prohibited.</w:t>
      </w:r>
    </w:p>
    <w:p>
      <w:pPr>
        <w:spacing w:after="0" w:line="181" w:lineRule="exact"/>
        <w:rPr>
          <w:sz w:val="20"/>
          <w:szCs w:val="20"/>
          <w:color w:val="auto"/>
        </w:rPr>
      </w:pPr>
    </w:p>
    <w:p>
      <w:pPr>
        <w:ind w:right="4420"/>
        <w:spacing w:after="0" w:line="401" w:lineRule="auto"/>
        <w:rPr>
          <w:sz w:val="20"/>
          <w:szCs w:val="20"/>
          <w:color w:val="auto"/>
        </w:rPr>
      </w:pPr>
      <w:r>
        <w:rPr>
          <w:rFonts w:ascii="Times New Roman" w:cs="Times New Roman" w:eastAsia="Times New Roman" w:hAnsi="Times New Roman"/>
          <w:sz w:val="18"/>
          <w:szCs w:val="18"/>
          <w:b w:val="1"/>
          <w:bCs w:val="1"/>
          <w:color w:val="auto"/>
        </w:rPr>
        <w:t>2. BUSINESS ACQUISITIONS, INVESTMENTS AND RESTRUCTURING CHARGES Acquisitions</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acquired various environmental services businesses during the nine months ended September 30, 2026 and 2025. The aggregate purchase price paid for these business acquisitions and the allocations of the aggregate purchase price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acquisitions, net of cash acquired of $3 and $7, respectively</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Holdbacks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future minimum finance lease payments</w:t>
            </w:r>
          </w:p>
        </w:tc>
        <w:tc>
          <w:tcPr>
            <w:tcW w:w="9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landfill and environmental costs</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tangible assets acquired and liabilities assumed</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 price to be allocated</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as follows: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allocated</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Certain of the purchase price allocations are preliminary and based on information existing at the acquisition dates. Accordingly, the purchase price allocations are subject to change. For the acquisitions that closed during the nine months ended September 30, 2026, we expect that a majority of the goodwill and intangible assets recognized as a result of these acquisitions will be deductible for tax purposes.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These acquisitions are not material to the Company's results of operations, individually or in the aggregate. As a result, no pro forma financial information is provided.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2026, we acquired certain assets and assumed certain liabilities from Hamm, LLC, N.R. Hamm Quarry, LLC, N.R. Hamm Contractor, LLC, and Cornejo &amp; Sons, LLC constituting a vertically-integrated recycling and waste business located in Kansas.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assets acquired as well as certain landfill and environmental liabilities assumed, is based on the best estimates of management and is subject to revision based on the final valuations. We expect our valuations to be substantially complete by the end of 2026.</w:t>
      </w:r>
    </w:p>
    <w:p>
      <w:pPr>
        <w:spacing w:after="0" w:line="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May 2026, we acquired the equity interests of Robinson Waste Holdings Group, LLC (Robinson). Robinson's vertically integrated recycling and waste services operations are located in Utah and complement Republic's existing core competencies and expertise in the environmental services industry.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and intangible assets acquired, is based on the best estimates of management and is subject to revision based on the final valuations. We expect our valuations to be substantially complete by the end of 2026.</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2026, we acquired certain assets from TD*X Associates LP, constituting a hazardous waste thermal treatment business located on one of our landfills in Texas.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and intangible assets acquired, is based on the best estimates of management and is subject to revision based on the final valuations. We expect our valuations to be substantially complete by the end of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We invest in non-controlling equity interests in certain limited liability companies that qualify for investment tax credits under Section 48 of the Internal Revenue Code. We account for these investments under the equity method of accounting utilizing the Hypothetical Liquidation at Book Value ("HLBV") method. In exchange for our non-controlling interests, we made capital contributions of $170 million, which were recorded to other assets in our unaudited consolidated balance sheet during the nine months ended September 30, 2025. We made no capital contributions during the nine months ended September 30, 2026. During the three and nine months ended September 30, 2026, the carrying value of these investments was decreased by $36 million and $123 million, respectively, as a result of our share of income and loss pursuant to the terms of the limited liability company agreements. During the three and nine months ended September 30, 2025, the carrying value of these investments was decreased by $50 million and $55 million, respectively, as a result of our share of income and loss pursuant to the terms of the limited liability company agreements. Additionally, our tax provisions reflect benefits of approximately $41 million and $119 million for the three and nine months ended September 30, 2026, respectively, and $65 million for both the three and nine months ended September 30, 2025, due to tax credits, net of related nondeductible items, related to these investments. For further discussion of the income tax benefits, refer to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Part II, Item 8 of our Annual Report on Form 10-K for the year ended December 31, 2025.</w:t>
      </w:r>
    </w:p>
    <w:p>
      <w:pPr>
        <w:spacing w:after="0" w:line="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2022, we acquired a non-controlling equity interest in a joint venture with a landfill gas-to-energy developer to construct renewable natural gas projects at our landfills across the United States. Certain of these investments qualified for investment tax credits under Section 48 of the Internal Revenue Code. As of September 30, 2026 and December 31, 2025, our carrying value in the joint venture was approximately $300 million and $314 million, respectively. The investment is accounted for under the equity method of accounting.</w:t>
      </w:r>
    </w:p>
    <w:p>
      <w:pPr>
        <w:spacing w:after="0" w:line="5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2022, we acquired a non-controlling equity interest in Blue Polymers, LLC, a joint venture with Ravago, intended to help create vertical integration in the recycling market, and to further advance circularity by acquiring all olefins produced by the Company's Polymer Centers and producing custom blended pellets for food-grade and non-food-grade packaging. As of September 30, 2026 and December 31, 2025, our carrying value in the joint venture was $102 million and $101 million, respectively. This investment is an unconsolidated variable interest entity ("VIE") for which we do not have the power to direct the significant activities of the business, and it is accounted for under the equity method of accounting. Our risk of loss is materially consistent with our contributions to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investments were recorded as other assets in our unaudited consolidated balance sheet as of September 30,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incurred restructuring charges of $4 million and $10 million, respectively, and during the three and nine months ended September 30, 2025, we incurred restructuring charges of $3 million and $13 million, respectively. The charges in these periods related primarily to the design and implementation of our new</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accounts receivable system. During the nine months ended September 30, 2026 and 2025, we paid $9 million and $10 million, respectively, related to these restructuring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OTHER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in goodwill accounts by reporting segment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Balance as of</w:t>
            </w:r>
          </w:p>
        </w:tc>
      </w:tr>
      <w:tr>
        <w:trPr>
          <w:trHeight w:val="234"/>
        </w:trPr>
        <w:tc>
          <w:tcPr>
            <w:tcW w:w="2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31, 2025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Adjustments and Other</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23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2</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4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3</w:t>
            </w:r>
          </w:p>
        </w:tc>
        <w:tc>
          <w:tcPr>
            <w:tcW w:w="12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3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r>
      <w:tr>
        <w:trPr>
          <w:trHeight w:val="20"/>
        </w:trPr>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 Net</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intangible assets, net, is primarily comprised of values assigned to customer relationships, which are amortized over periods ranging from 1 to 15 years. A summary of the activity and balances by intangible asset type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color w:val="auto"/>
              </w:rPr>
              <w:t>Gross Intangible Assets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color w:val="auto"/>
              </w:rPr>
              <w:t>Accumulated Amortization</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Balance as of</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Balance as of</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Balance as of</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rPr>
              <w:t>Balance as of</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Other Intangible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Adjustments</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Adjustments</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Assets, Net as of</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140" w:type="dxa"/>
            <w:vAlign w:val="bottom"/>
          </w:tcPr>
          <w:p>
            <w:pPr>
              <w:spacing w:after="0"/>
              <w:rPr>
                <w:sz w:val="11"/>
                <w:szCs w:val="11"/>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Acquisitions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rPr>
              <w:t>September 30,</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rPr>
              <w:t>Charged to</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rPr>
              <w:t>September 30,</w:t>
            </w:r>
          </w:p>
        </w:tc>
        <w:tc>
          <w:tcPr>
            <w:tcW w:w="100" w:type="dxa"/>
            <w:vAlign w:val="bottom"/>
          </w:tcPr>
          <w:p>
            <w:pPr>
              <w:spacing w:after="0"/>
              <w:rPr>
                <w:sz w:val="11"/>
                <w:szCs w:val="11"/>
                <w:color w:val="auto"/>
              </w:rPr>
            </w:pPr>
          </w:p>
        </w:tc>
        <w:tc>
          <w:tcPr>
            <w:tcW w:w="92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color w:val="auto"/>
              </w:rPr>
              <w:t>September 30,</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color w:val="auto"/>
              </w:rPr>
              <w:t>and Other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w w:val="99"/>
              </w:rPr>
              <w:t>2026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color w:val="auto"/>
                <w:w w:val="99"/>
              </w:rPr>
              <w:t>2025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w w:val="99"/>
              </w:rPr>
              <w:t>Expense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color w:val="auto"/>
              </w:rPr>
              <w:t>and Other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w w:val="99"/>
              </w:rPr>
              <w:t>2026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36"/>
        </w:trPr>
        <w:tc>
          <w:tcPr>
            <w:tcW w:w="13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Customer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881</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relationships</w:t>
            </w: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intangible assets</w:t>
            </w:r>
          </w:p>
        </w:tc>
        <w:tc>
          <w:tcPr>
            <w:tcW w:w="10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221"/>
        </w:trPr>
        <w:tc>
          <w:tcPr>
            <w:tcW w:w="1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prepaid expenses and other current assets as of September 30, 2026 and December 31, 2025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Borders>
              <w:bottom w:val="single" w:sz="8" w:color="CCEEFF"/>
            </w:tcBorders>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4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4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non-trade receivables</w:t>
            </w:r>
          </w:p>
        </w:tc>
        <w:tc>
          <w:tcPr>
            <w:tcW w:w="4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4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4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other assets as of September 30, 2026 and December 31, 2025 follows: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fees and capitalized implementation costs for cloud-based hosting arrangements</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 net of current</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 and sales commissions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and hedging assets</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OTHER 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other accrued liabilities as of September 30, 2026 and December 31, 2025 follows: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9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reserves, current</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fees and taxes</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lease liabilities, current</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insurance reserves, current</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 and legal settlement reserves</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purchase price and acquisition holdbacks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other long-term liabilities as of September 30, 2026 and December 31, 2025 follows: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lease liabilities</w:t>
            </w:r>
          </w:p>
        </w:tc>
        <w:tc>
          <w:tcPr>
            <w:tcW w:w="9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insurance reserves</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and hedging liabilities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purchase price and acquisition holdbacks</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 liability - multiemployer pension funds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LANDFILL AND ENVIRONMENTAL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owned or operated 208 active landfills, and we had post-closure responsibility for 125 closed landfills.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Landfill and Environmental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accrued landfill and environmental costs as of September 30, 2026 and December 31, 2025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final capping, closure and post-closure liabilities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landfill and environmental costs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Final Capping, Closure and Post-Closure Costs</w:t>
      </w:r>
    </w:p>
    <w:p>
      <w:pPr>
        <w:spacing w:after="0" w:line="10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activity in our asset retirement obligation liabilities, which includes liabilities for final capping, closure and post-closure, for the nine months ended September 30,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liabilities, beginning of year</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additions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divestitures and other adjustments</w:t>
            </w: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 adjustments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liabilities, end of period</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review annually, in the fourth quarter, and update as necessary, our estimates of asset retirement obligation liabilities. However, if there are significant changes in the facts and circumstances related to a site during the year, we will update our assumptions prospectively in the period that we know all the relevant facts and circumstances and make adjustments as appropriate.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Operating Expenses</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incur various operating costs associated with environmental compliance. These costs include, among other things, leachate treatment and disposal, methane gas and groundwater monitoring, systems maintenance, interim cap maintenance, costs associated with the application of daily cover materials, and the legal and administrative costs of ongoing environmental compliance. These costs are expensed as cost of operations in the periods in which they are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September 30, 2026 would be approximately $276 million higher than the amount recorded. Future changes in our estimates of the cost, timing or duration of the required actions could have a material adverse effect on our consolidated financial position, results of operations and cash flows.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our environmental remediation liabilities for the nine months ended September 30, 2026 and 2025:</w:t>
      </w:r>
    </w:p>
    <w:p>
      <w:pPr>
        <w:spacing w:after="0" w:line="63" w:lineRule="exact"/>
        <w:rPr>
          <w:sz w:val="20"/>
          <w:szCs w:val="20"/>
          <w:color w:val="auto"/>
        </w:rPr>
      </w:pPr>
    </w:p>
    <w:p>
      <w:pPr>
        <w:ind w:left="8800"/>
        <w:spacing w:after="0"/>
        <w:tabs>
          <w:tab w:leader="none" w:pos="1032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liabilities, beginning of year</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 (non-cash interest expense)</w:t>
            </w: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 net of divestitures and other adjustments</w:t>
            </w: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remediation liabilities, end of period</w:t>
            </w:r>
          </w:p>
        </w:tc>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West Lake Landfill Superfund Site</w:t>
      </w:r>
      <w:r>
        <w:rPr>
          <w:rFonts w:ascii="Times New Roman" w:cs="Times New Roman" w:eastAsia="Times New Roman" w:hAnsi="Times New Roman"/>
          <w:sz w:val="18"/>
          <w:szCs w:val="18"/>
          <w:color w:val="auto"/>
        </w:rPr>
        <w:t>. Our subsidiary Bridgeton Landfill, LLC is one of several currently designated Potentially Responsible Parties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 Lake Landfill Superfund site (West Lake) in Missouri. On September 27, 2018, the United States Environmental Protection Agency (EPA) issued a Record of Decision Amendment for West Lake that includes a total undiscounted cost estimate of $229 million over a four to five 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On January 17, 2025, the EPA issued an Explanation of Significant Differences (ESD) applying the prior Record of Decision Amendment to an increased number of acres at the site found to contain radiologically-impacted material. The ESD includes a revised undiscounted cost estimate of $392 million.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However, subsequent events related to remedy design, divisibility, or allocation may require us to modify our expected remediation liability.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carrying value of our credit facilities, finance leases and long-term debt as of September 30, 2026 and December 31, 2025 is listed in the following table, and is adjusted for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w w:val="99"/>
              </w:rPr>
              <w:t>September 30, 2026</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December 31, 2025</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2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Maturity</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Interest Rate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Principal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Carrying Value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Principal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Carrying Value</w:t>
            </w:r>
          </w:p>
        </w:tc>
      </w:tr>
      <w:tr>
        <w:trPr>
          <w:trHeight w:val="22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Credit facilities: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7"/>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Uncommitted Credit Facility</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Variable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2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 Credit Facility</w:t>
            </w: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Variable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27"/>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Variable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3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July 2026</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2"/>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November 2027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May 2028</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April 2029</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26"/>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November 2029</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July 2030</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32"/>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February 2031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July 2031</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February 2032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March 2033</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32"/>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2033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April 2034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November 2034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26"/>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March 2035</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2035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July 2036</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2040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27"/>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May 2041</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2050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2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2035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2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Tax-exempt: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2026 - 2056</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2.500 - 4.375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2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 and other: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2026 - 2063</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1.726 - 9.750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2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13,581</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197"/>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current portion</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20"/>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Long-term portion</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12,985</w:t>
            </w:r>
          </w:p>
        </w:tc>
      </w:tr>
      <w:tr>
        <w:trPr>
          <w:trHeight w:val="24"/>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Facility</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September 30, 2026, we had $80 million of borrowings outstanding under our Uncommitted Credit Facility. As of December 31, 2025, we had no borrowings outstanding under our Uncommitted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Credit Facility</w:t>
      </w:r>
    </w:p>
    <w:p>
      <w:pPr>
        <w:spacing w:after="0" w:line="10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spacing w:after="0" w:line="3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loans to the Canadian Borrower and all loans denominated in Canadian dollars cannot exceed $1.0 billion (the Canadian Sublimit). The Canadian Sublimit is part of, and not in addition to, the aggregate commitments under the Credit Facility.</w:t>
      </w:r>
    </w:p>
    <w:p>
      <w:pPr>
        <w:spacing w:after="0" w:line="4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(all as defined in the Credit Facility agreement) plus a current applicable margin of</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0.805% based on our Debt Ratings. As of September 30, 2026 and December 31, 2025, C$260 million and C$204 million, respectively, were outstanding against the Canadian Sublimit.</w:t>
      </w:r>
    </w:p>
    <w:p>
      <w:pPr>
        <w:spacing w:after="0" w:line="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had $183 million and $425 million outstanding under the Credit Facility as of September 30, 2026 and December 31, 2025, respectively. We had $315 million and $319 million of letters of credit outstanding under the Credit Facility as of September 30, 2026 and December 31, 2025, respectively. We also had $899 million and $1.0 billion of principal borrowings outstanding under our commercial paper program as of September 30, 2026 and December 31, 2025, respectively. As a result, availability under the Credit Facility was $2.1 billion and $1.8 billion as of September 30, 2026 and December 31, 2025,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2022, we entered into a commercial paper program for the issuance and sale of unsecured commercial paper that stipulates a maximum principal amount that can be outstanding at any one time (the Commercial Paper Cap). In 2025, the Commercial Paper Cap was $1.5 billion. In August 2026, the Commercial Paper Cap was increased to $2.0 billion. The weighted average interest rate for borrowings outstanding as of September 30, 2026 was 4.094%. The weighted average interest rate for borrowings outstanding as of December 31, 2025 was 4.044%.</w:t>
      </w:r>
    </w:p>
    <w:p>
      <w:pPr>
        <w:spacing w:after="0" w:line="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had $899 million and $1.0 billion principal value of commercial paper issued and outstanding under the program as of September 30, 2026 and December 31, 2025,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sheets as of September 30, 2026 and December 31, 2025, respectively.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Debentures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2025, we issued $500 million of 4.750% senior notes due 2030 and $700 million of 5.150% senior notes due 2035. We used the proceeds from the March 2025 notes issuance for general corporate purposes, including the repayment of a portion of amounts outstanding under our credit facilities and a portion of outstanding borrowings under our commercial paper program.</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June 2026, we issued $700 million of 4.750% senior notes due 2031 and $500 million of 5.000% senior notes due 2036. We used the proceeds from the June 2026 notes issuance for general corporate purposes, including the repayment of a portion of amounts outstanding under our credit facilities and a portion of outstanding borrowings under our commercial paper program.</w:t>
      </w:r>
    </w:p>
    <w:p>
      <w:pPr>
        <w:spacing w:after="0" w:line="54" w:lineRule="exact"/>
        <w:rPr>
          <w:sz w:val="20"/>
          <w:szCs w:val="20"/>
          <w:color w:val="auto"/>
        </w:rPr>
      </w:pPr>
    </w:p>
    <w:p>
      <w:pPr>
        <w:ind w:right="1000"/>
        <w:spacing w:after="0" w:line="399" w:lineRule="auto"/>
        <w:rPr>
          <w:sz w:val="20"/>
          <w:szCs w:val="20"/>
          <w:color w:val="auto"/>
        </w:rPr>
      </w:pPr>
      <w:r>
        <w:rPr>
          <w:rFonts w:ascii="Times New Roman" w:cs="Times New Roman" w:eastAsia="Times New Roman" w:hAnsi="Times New Roman"/>
          <w:sz w:val="18"/>
          <w:szCs w:val="18"/>
          <w:color w:val="auto"/>
        </w:rPr>
        <w:t xml:space="preserve">Our senior notes and debentures are general unsecured and unsubordinated obligations and rank equally with our other unsecured obligations. </w:t>
      </w:r>
      <w:r>
        <w:rPr>
          <w:rFonts w:ascii="Times New Roman" w:cs="Times New Roman" w:eastAsia="Times New Roman" w:hAnsi="Times New Roman"/>
          <w:sz w:val="18"/>
          <w:szCs w:val="18"/>
          <w:b w:val="1"/>
          <w:bCs w:val="1"/>
          <w:color w:val="auto"/>
        </w:rPr>
        <w:t>Tax-Exempt Financings</w:t>
      </w: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both September 30, 2026 and December 31, 2025, we had $1.4 billion of tax-exempt financings outstanding with maturities ranging from 2026 to 2056 and 2026 to 2054, respectively.</w:t>
      </w:r>
    </w:p>
    <w:p>
      <w:pPr>
        <w:spacing w:after="0" w:line="2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March 2026, the California Municipal Finance Authority issued, for our benefit, $100 million in principal amount of Solid Waste Disposal Revenue Bonds. The proceeds from the issuance, after deferred issuance costs, were used to fund the acquisition, construction, improvement, installation, and/or equipping of certain solid waste disposal facilities located within California.</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September 30, 2026 and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Leases and Other</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had finance leases and other liabilities of $440 million and $441 million, respectively, with maturities ranging from 2026 to 2063 for both periods, respectively.</w:t>
      </w:r>
    </w:p>
    <w:p>
      <w:pPr>
        <w:spacing w:after="0" w:line="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finance leases and other included $156 million and $148 million, respectively, related to construction costs for our corporate office building located in Phoenix, Arizona, which has been accounted for as a financing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exclusive of non-controlling interests, for the three and nine months ended September 30, 2026 was 17.6% and 18.8%,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exclusive of non-controlling interests, for the three and nine months ended September 30, 2025 was 14.7% and 21.4%, respectively.</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2026, reflects net benefits of $41 million from investments in renewable energy assets and $11 million from investments in renewable natural gas projects and electric vehicle infrastructure. Our effective tax rate for the nine months ended September 30, 2026, reflects net benefits of $119 million from investments in renewable energy assets and $24 million from investments in renewable natural gas projects and electric vehicle infrastructure. The effective tax rate for both the three and nine months ended September 30, 2026, reflects a benefit of $11 million from the realization of additional federal and state tax benefits and adjustments to deferred taxes resulting from the completion of our 2025 tax returns.</w:t>
      </w:r>
    </w:p>
    <w:p>
      <w:pPr>
        <w:spacing w:after="0" w:line="5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Our effective tax rate for the three and nine months ended September 30, 2025 reflects a benefit of $65 million due to our investments in renewable energy assets, $8 million and $18 million, respectively, due to investments in renewable natural gas projects and commercial electric vehicles, and $9 million due to the realization of additional federal and state tax benefits, as well as adjustments to deferred taxes resulting from the completion of our 2024 tax returns.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and 2025, net cash paid for income taxes was $122 million and $166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deferred tax assets related to state net operating loss carryforwards with an estimated tax effect of $47 million available as of September 30, 2026. These state net operating loss carryforwards expire at various times between 2027 and 2046. We believe that it is more likely than not that the benefit from some of our state net operating loss carryforwards will not be realized due to limitations on these loss carryforwards in certain states. In recognition of this risk, as of September 30, 2026, we have provided a valuation allowance of $39 million.</w:t>
      </w:r>
    </w:p>
    <w:p>
      <w:pPr>
        <w:spacing w:after="0" w:line="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subject to income tax in the United States and Canada, as well as multiple state jurisdictions. Our compliance with income tax rules and regulations is periodically audited by taxing authorities. These authorities may challenge the positions taken in our tax filings. Thus, to provide for certain potential tax exposures, we maintain liabilities for uncertain tax positions for our estimate of the final outcome of these examinations. Our federal statute of limitations applicable to our federal tax returns is closed through 2022. In addition, we are currently under state examination or administrative review in various jurisdictions for tax years 2013 through 2024.</w:t>
      </w:r>
    </w:p>
    <w:p>
      <w:pPr>
        <w:spacing w:after="0" w:line="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as incurred within the provision for income taxes in the consolidated statement of income. As of September 30, 2026, we accrued a liability for penalties of $3 million and a liability for interest (including interest on penalties) of $6 million related to our uncertain tax positions.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pacing w:after="0" w:line="158" w:lineRule="exact"/>
        <w:rPr>
          <w:sz w:val="20"/>
          <w:szCs w:val="20"/>
          <w:color w:val="auto"/>
        </w:rPr>
      </w:pPr>
    </w:p>
    <w:p>
      <w:pPr>
        <w:ind w:right="5440"/>
        <w:spacing w:after="0" w:line="393" w:lineRule="auto"/>
        <w:rPr>
          <w:sz w:val="20"/>
          <w:szCs w:val="20"/>
          <w:color w:val="auto"/>
        </w:rPr>
      </w:pPr>
      <w:r>
        <w:rPr>
          <w:rFonts w:ascii="Times New Roman" w:cs="Times New Roman" w:eastAsia="Times New Roman" w:hAnsi="Times New Roman"/>
          <w:sz w:val="18"/>
          <w:szCs w:val="18"/>
          <w:b w:val="1"/>
          <w:bCs w:val="1"/>
          <w:color w:val="auto"/>
        </w:rPr>
        <w:t>9. SHARE REPURCHASES, DIVIDENDS AND EARNINGS PER SHARE Available Shares</w:t>
      </w:r>
    </w:p>
    <w:p>
      <w:pPr>
        <w:spacing w:after="0" w:line="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currently have approximately 10 million shares of common stock reserved for future grants under the Republic Services, Inc. 2021 Stock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2023, our Board of Directors approved a $3.0 billion share repurchase authorization effective January 1, 2024 and extending through December 31, 2026. In October 2026, our Board of Directors approved a $5.0 billion share repurchase authorization effective January 1, 2027 and extending through December 31, 2029.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intrinsic value of our stock and the parameters around which we repurchase our shares.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and nine months ended September 30, 2026 and 2025 follows (in millions,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4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0"/>
                <w:szCs w:val="20"/>
                <w:color w:val="auto"/>
              </w:rPr>
            </w:pPr>
          </w:p>
        </w:tc>
        <w:tc>
          <w:tcPr>
            <w:tcW w:w="31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442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paid</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per share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212.84</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w:t>
            </w:r>
          </w:p>
        </w:tc>
      </w:tr>
    </w:tbl>
    <w:p>
      <w:pPr>
        <w:spacing w:after="0" w:line="238"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2026 and 2025, there were no repurchased shares pending settlement. As of September 30, 2026, the remaining authorized purchase capacity under our October 2023 repurchase program was $0.8 billion.</w:t>
      </w:r>
    </w:p>
    <w:p>
      <w:pPr>
        <w:spacing w:after="0" w:line="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average price paid per share, total repurchase costs and approximate maximum dollar value of the shares that may yet be purchased under the plans or programs exclude a 1% excise tax.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July 2026, our Board of Directors approved a quarterly dividend of $0.670 per share. Cash dividends declared were $588 million for the nine months ended September 30, 2026. As of September 30, 2026, we recorded a quarterly dividend payable of $205 million to shareholders of record at the close of business on October 2,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Republic Services, Inc. by the weighted average number of common shares (including vested but unissued restricted stock units and performance stock units) outstanding during the period. Diluted earnings per share is based on the combined weighted average number of common shares and common share equivalents outstanding, which include, where appropriate, the unvested restricted stock units (RSUs) and the unvested performance stock units (PSUs) at the expected attainment levels. We use the treasury stock method in computing diluted earnings per share.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for the three and nine months ended September 30, 2026 and 2025 are calculated as follows (in thousands, except per share amounts):</w:t>
      </w:r>
    </w:p>
    <w:p>
      <w:pPr>
        <w:sectPr>
          <w:pgSz w:w="11900" w:h="16838" w:orient="portrait"/>
          <w:cols w:equalWidth="0" w:num="1">
            <w:col w:w="11240"/>
          </w:cols>
          <w:pgMar w:left="320" w:top="118" w:right="339" w:bottom="1440" w:gutter="0" w:footer="0" w:header="0"/>
        </w:sectPr>
      </w:pPr>
    </w:p>
    <w:p>
      <w:pPr>
        <w:spacing w:after="0" w:line="63"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7"/>
          <w:szCs w:val="17"/>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24765</wp:posOffset>
            </wp:positionV>
            <wp:extent cx="21170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41" w:lineRule="exact"/>
        <w:rPr>
          <w:sz w:val="20"/>
          <w:szCs w:val="20"/>
          <w:color w:val="auto"/>
        </w:rPr>
      </w:pPr>
    </w:p>
    <w:p>
      <w:pPr>
        <w:ind w:left="5160"/>
        <w:spacing w:after="0"/>
        <w:tabs>
          <w:tab w:leader="none" w:pos="686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24765</wp:posOffset>
            </wp:positionV>
            <wp:extent cx="2082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41" w:lineRule="exact"/>
        <w:rPr>
          <w:sz w:val="20"/>
          <w:szCs w:val="20"/>
          <w:color w:val="auto"/>
        </w:rPr>
      </w:pPr>
    </w:p>
    <w:p>
      <w:pPr>
        <w:ind w:left="240"/>
        <w:spacing w:after="0"/>
        <w:tabs>
          <w:tab w:leader="none" w:pos="190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36" w:lineRule="exact"/>
        <w:rPr>
          <w:sz w:val="20"/>
          <w:szCs w:val="20"/>
          <w:color w:val="auto"/>
        </w:rPr>
      </w:pPr>
    </w:p>
    <w:p>
      <w:pPr>
        <w:sectPr>
          <w:pgSz w:w="11900" w:h="16838" w:orient="portrait"/>
          <w:cols w:equalWidth="0" w:num="2">
            <w:col w:w="7620" w:space="720"/>
            <w:col w:w="2900"/>
          </w:cols>
          <w:pgMar w:left="320" w:top="11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591,562</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549,672</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1,682,898</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1,594,573</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591,562</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549,672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1,682,898</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1,594,573</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312,590</w:t>
            </w:r>
          </w:p>
        </w:tc>
        <w:tc>
          <w:tcPr>
            <w:tcW w:w="0" w:type="dxa"/>
            <w:vAlign w:val="bottom"/>
          </w:tcPr>
          <w:p>
            <w:pPr>
              <w:spacing w:after="0"/>
              <w:rPr>
                <w:sz w:val="1"/>
                <w:szCs w:val="1"/>
                <w:color w:val="auto"/>
              </w:rPr>
            </w:pPr>
          </w:p>
        </w:tc>
      </w:tr>
      <w:tr>
        <w:trPr>
          <w:trHeight w:val="243"/>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Unvested RSU awards</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Unvested PSU awards</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78"/>
        </w:trPr>
        <w:tc>
          <w:tcPr>
            <w:tcW w:w="454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5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306,479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307,794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312,884</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w:t>
            </w: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carrying value for certain of our financial instruments, including cash, accounts receivable, accounts payable and certain other accrued liabilities, approximates fair value because of their short-term nature.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our assets and liabilities that are measured at fair value on a recurring basis include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8"/>
              </w:rPr>
              <w:t>Quoted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8"/>
              </w:rPr>
              <w:t>Significant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rPr>
              <w:t>Prices in</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Active</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4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Inputs</w:t>
            </w:r>
          </w:p>
        </w:tc>
        <w:tc>
          <w:tcPr>
            <w:tcW w:w="14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Money market mutual funds - restricted cash and</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Bonds and fixed income - restricted cash and</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and hedging assets - other assets</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4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Derivative and hedging liabilities - other long-term</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2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Contingent consideration - other accrued liabilities and</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8"/>
              </w:rPr>
              <w:t>Quoted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8"/>
              </w:rPr>
              <w:t>Significant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rPr>
              <w:t>Prices in</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Active</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4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tcPr>
          <w:p>
            <w:pPr>
              <w:spacing w:after="0"/>
              <w:rPr>
                <w:sz w:val="16"/>
                <w:szCs w:val="16"/>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rPr>
              <w:t>Markets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Money market mutual funds - restricted cash and</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Bonds and fixed income - restricted cash and</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marketable securities and other assets</w:t>
            </w:r>
          </w:p>
        </w:tc>
        <w:tc>
          <w:tcPr>
            <w:tcW w:w="5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and hedging assets - other assets</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Derivative and hedging liabilities - other long-term</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2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Contingent consideration - other accrued liabilities and</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Debt</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the carrying value of our total debt was $14.1 billion and $13.6 billion, respectively, and the fair value of our total debt was $13.4 billion and $13.5 billion, respectively. The estimated fair value of our fixed rate senior notes, debentures and certain tax-exempt financings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September 30, 2026 and December 31, 2025.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related to our debt.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Jon Vander Ark, President and Chief Executive Officer of Republic Services, Inc. Adjusted EBITDA is the single financial measure our CODM uses to evaluate segment profitability and returns, which informs resource allocation. For all segments, the CODM uses Adjusted EBITDA to evaluate income generated from segment assets (return on invested capital). The CODM considers budget-to-actual variances and year-over-year growth on a monthly basis to assess the performance of each segment. Cost of operations and selling, general and administrative expenses are significant segment expenses used in the evaluation.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months ended September 30, 2026 and 2025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Recycling &amp; Waste</w:t>
            </w: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Group 3</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Corporate entities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Group 1</w:t>
            </w:r>
          </w:p>
        </w:tc>
        <w:tc>
          <w:tcPr>
            <w:tcW w:w="24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Group 2</w:t>
            </w: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(Environmental</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color w:val="auto"/>
                <w:w w:val="94"/>
              </w:rPr>
              <w:t xml:space="preserve">Subtotal </w:t>
            </w:r>
            <w:r>
              <w:rPr>
                <w:rFonts w:ascii="Times New Roman" w:cs="Times New Roman" w:eastAsia="Times New Roman" w:hAnsi="Times New Roman"/>
                <w:sz w:val="21"/>
                <w:szCs w:val="21"/>
                <w:color w:val="auto"/>
                <w:w w:val="94"/>
                <w:vertAlign w:val="superscript"/>
              </w:rPr>
              <w:t>(1)</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and other</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0" w:type="dxa"/>
            <w:vAlign w:val="bottom"/>
          </w:tcPr>
          <w:p>
            <w:pPr>
              <w:spacing w:after="0"/>
              <w:rPr>
                <w:sz w:val="1"/>
                <w:szCs w:val="1"/>
                <w:color w:val="auto"/>
              </w:rPr>
            </w:pPr>
          </w:p>
        </w:tc>
      </w:tr>
      <w:tr>
        <w:trPr>
          <w:trHeight w:val="270"/>
        </w:trPr>
        <w:tc>
          <w:tcPr>
            <w:tcW w:w="290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0" w:type="dxa"/>
            <w:vAlign w:val="bottom"/>
          </w:tcPr>
          <w:p>
            <w:pPr>
              <w:spacing w:after="0"/>
              <w:rPr>
                <w:sz w:val="1"/>
                <w:szCs w:val="1"/>
                <w:color w:val="auto"/>
              </w:rPr>
            </w:pP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33,789</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Recycling &amp; Waste Subtotal represents the combined results of our Group 1 and Group 2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nine months ended September 30, 2026 and 2025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Recycling &amp; Waste</w:t>
            </w: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Group 3</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Corporate entities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Group 1</w:t>
            </w:r>
          </w:p>
        </w:tc>
        <w:tc>
          <w:tcPr>
            <w:tcW w:w="24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Group 2</w:t>
            </w: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(Environmental</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color w:val="auto"/>
                <w:w w:val="94"/>
              </w:rPr>
              <w:t xml:space="preserve">Subtotal </w:t>
            </w:r>
            <w:r>
              <w:rPr>
                <w:rFonts w:ascii="Times New Roman" w:cs="Times New Roman" w:eastAsia="Times New Roman" w:hAnsi="Times New Roman"/>
                <w:sz w:val="21"/>
                <w:szCs w:val="21"/>
                <w:color w:val="auto"/>
                <w:w w:val="94"/>
                <w:vertAlign w:val="superscript"/>
              </w:rPr>
              <w:t>(1)</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and other</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2026</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33,789</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Recycling &amp; Waste Subtotal represents the combined results of our Group 1 and Group 2 reportable segments.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Revenue and overhead costs of Corporate entities and other are either specifically assigned or allocated on a rational and consistent basis among our reportable segments to calculate Adjusted EBITDA. Additionally, intercompany revenue reflects transactions within and between segments.</w:t>
      </w:r>
    </w:p>
    <w:p>
      <w:pPr>
        <w:spacing w:after="0" w:line="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presented in the table below, Adjusted EBITDA reflects certain adjustments for loss from unconsolidated equity method investments, restructuring charges, and (gain) loss on business divestitures and impairments, net. This presentation is consistent with how our CODM reviews our results of operations to make resource allocation decisions.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segment items consist of the impact from labor disruptions that we experienced in certain isolated markets during the three and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single measure of segment profitability (segment Adjusted EBITDA) to income before income taxes in the Consolidated Statements of Income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240" w:type="dxa"/>
            <w:vAlign w:val="bottom"/>
            <w:gridSpan w:val="6"/>
          </w:tcPr>
          <w:p>
            <w:pPr>
              <w:ind w:left="40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60" w:type="dxa"/>
            <w:vAlign w:val="bottom"/>
          </w:tcPr>
          <w:p>
            <w:pPr>
              <w:spacing w:after="0"/>
              <w:rPr>
                <w:sz w:val="18"/>
                <w:szCs w:val="18"/>
                <w:color w:val="auto"/>
              </w:rPr>
            </w:pPr>
          </w:p>
        </w:tc>
        <w:tc>
          <w:tcPr>
            <w:tcW w:w="28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3"/>
        </w:trPr>
        <w:tc>
          <w:tcPr>
            <w:tcW w:w="49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Group 1 Adjusted EBITDA</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2 Adjusted EBITDA</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Group 3 Adjusted EBITDA</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23"/>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Adjusted EBITDA</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r>
      <w:tr>
        <w:trPr>
          <w:trHeight w:val="23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23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26"/>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unconsolidated equity method investment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business divestitures and impairments, net</w:t>
            </w: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disruption</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26"/>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w:t>
            </w:r>
          </w:p>
        </w:tc>
      </w:tr>
      <w:tr>
        <w:trPr>
          <w:trHeight w:val="20"/>
        </w:trPr>
        <w:tc>
          <w:tcPr>
            <w:tcW w:w="4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AND CREDIT LOSSES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operations primarily consist of providing environmental services. The following table disaggregates our revenue by service line for the three and nine months ended September 30, 2026 and 2025 (in millions of dollars and as a percentage of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660" w:type="dxa"/>
            <w:vAlign w:val="bottom"/>
            <w:tcBorders>
              <w:bottom w:val="single" w:sz="8" w:color="auto"/>
            </w:tcBorders>
          </w:tcPr>
          <w:p>
            <w:pPr>
              <w:spacing w:after="0"/>
              <w:rPr>
                <w:sz w:val="18"/>
                <w:szCs w:val="18"/>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9"/>
                <w:szCs w:val="19"/>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7"/>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32"/>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Small-container</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r>
      <w:tr>
        <w:trPr>
          <w:trHeight w:val="227"/>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Large-container</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collection</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67.4</w:t>
            </w:r>
          </w:p>
        </w:tc>
      </w:tr>
      <w:tr>
        <w:trPr>
          <w:trHeight w:val="23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2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net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Landfill</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Landfill, net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r>
      <w:tr>
        <w:trPr>
          <w:trHeight w:val="23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solutions</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7"/>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2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solutions, net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r>
      <w:tr>
        <w:trPr>
          <w:trHeight w:val="22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2"/>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Recycling processing and commodity sales</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26"/>
        </w:trPr>
        <w:tc>
          <w:tcPr>
            <w:tcW w:w="3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non-core</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23"/>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revenue reflects transactions within and between lines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additional information regarding revenue by reportable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service obligations are generally long-term in nature, e.g., certain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material collected, treated, transported and disposed, and the nature of the material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Environmental solutions revenue is primarily generated from the fees we charge for the collection, treatment, consolidation, disposal and recycling of hazardous and non-hazardous waste, field and industrial services, equipment rental, emergency response and standby services and in-plant services, such as transportation and logistics, including at our treatment, storage and disposal facilities (TSDF). Activity for this service line varies across markets and reflects the regulatory environment, pricing and disposal alternatives available in any given market. Revenue recognized is variable in nature and primarily based on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volume and type of waste accepted or processed during the period. For certain field and industrial services contracts, we have a right to consideration from our customers in an amount that corresponds directly with the value to the customer of the Company's performance completed to date. Therefore, we have applied the practical expedient to recognize revenue for the amount to which we have the right to invoice.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on the nature of the contract, we may also generate revenue through the collection of fuel recovery fees and environmental fees which are designed to recover our internal costs of providing services to our customers.</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deferred revenue recognized as of December 31, 2025 was recognized as revenue during the nine months ended September 30, 2026 when the service was performed.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Contract Costs</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the average life of the customer relationship. As of September 30, 2026 and December 31, 2025, we recognized $77 million and $81 million, respectively, of deferred contract costs and capitalized sales commissions.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94"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Accounts receivable represent receivables from customers for environmental services, including collection and processing of recyclable materials, collection, transfer, and disposal of solid waste, and environmental solutions. Our receivables are recorded when billed or when the related revenue is earned and represent claims against third parties that will be settled in cash. The carrying value of our receivables, net of the allowance for doubtful accounts and customer credits, represents their estimated net realizable value.</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 We perform ongoing credit evaluations of our customers, but generally do not require collateral to support customer receivables.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our allowance for doubtful accounts for the nine months ended September 30, 2026 and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74</w:t>
            </w: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500" w:type="dxa"/>
            <w:vAlign w:val="bottom"/>
          </w:tcPr>
          <w:p>
            <w:pPr>
              <w:spacing w:after="0"/>
              <w:rPr>
                <w:sz w:val="21"/>
                <w:szCs w:val="21"/>
                <w:color w:val="auto"/>
              </w:rPr>
            </w:pP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27</w:t>
            </w: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written-off</w:t>
            </w:r>
          </w:p>
        </w:tc>
        <w:tc>
          <w:tcPr>
            <w:tcW w:w="15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(31)</w:t>
            </w:r>
          </w:p>
        </w:tc>
      </w:tr>
      <w:tr>
        <w:trPr>
          <w:trHeight w:val="23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7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6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As used herein, the term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and (2) environmental remediation liabilities, which are discussed in Note 6, </w:t>
      </w:r>
      <w:r>
        <w:rPr>
          <w:rFonts w:ascii="Times New Roman" w:cs="Times New Roman" w:eastAsia="Times New Roman" w:hAnsi="Times New Roman"/>
          <w:sz w:val="18"/>
          <w:szCs w:val="18"/>
          <w:i w:val="1"/>
          <w:iCs w:val="1"/>
          <w:color w:val="auto"/>
        </w:rPr>
        <w:t>Landfill and Environmental Costs.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September 30, 2026, we estimate that the probable and reasonably estimable outcomes of any such legal proceedings, as well as the aggregate potential liability using reasonably possible high ends of our ranges, are immaterial to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Pension Plans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participate in multiemployer pension plans that generally provide retirement benefits to participants of contributing employers. We do not administer these plans.</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current law regarding multiemployer pension plans, our withdrawal (which we consider from time to time) or the mass withdrawal from any under-funded multiemployer pension plan (each, a Withdrawal Event) could require us to make payments to the plan for our proportionate share of the plan’s unfunded vested liabilities. During the course of operating our business, we incur Withdrawal Events regarding certain of the multiemployer pension plans in which we participate. We accrue for such events when losses become probable and reasonably estimable.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w:t>
      </w:r>
    </w:p>
    <w:p>
      <w:pPr>
        <w:spacing w:after="0" w:line="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Restricted cash and restricted cash equivalents are included with cash and cash equivalents when reconciling the beginning-of-period and end-of-period total amounts shown on the statement of cash flows. Beginning-of-period and end-of-period cash, cash equivalents, restricted cash and restricted cash equivalents as presented in the statement of cash flows are reconciled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30, 2026</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 2025</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37"/>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marketable securities</w:t>
            </w:r>
          </w:p>
        </w:tc>
        <w:tc>
          <w:tcPr>
            <w:tcW w:w="6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78"/>
        </w:trPr>
        <w:tc>
          <w:tcPr>
            <w:tcW w:w="48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Cash, cash equivalents, restricted cash and restricted cash</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5"/>
                <w:szCs w:val="15"/>
                <w:color w:val="auto"/>
              </w:rPr>
            </w:pPr>
          </w:p>
        </w:tc>
        <w:tc>
          <w:tcPr>
            <w:tcW w:w="6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5"/>
                <w:szCs w:val="15"/>
                <w:color w:val="auto"/>
              </w:rPr>
            </w:pPr>
          </w:p>
        </w:tc>
        <w:tc>
          <w:tcPr>
            <w:tcW w:w="6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2"/>
        </w:trPr>
        <w:tc>
          <w:tcPr>
            <w:tcW w:w="4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equivalents</w:t>
            </w:r>
          </w:p>
        </w:tc>
        <w:tc>
          <w:tcPr>
            <w:tcW w:w="6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restricted cash and marketable securities include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restricted cash and marketable securities: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7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Pr>
          <w:p>
            <w:pPr>
              <w:spacing w:after="0"/>
              <w:rPr>
                <w:sz w:val="23"/>
                <w:szCs w:val="23"/>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Capping, closure and post-closure obligations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You should read the following discussion in conjunction with the unaudited consolidated financial statements and notes thereto included under Part I, Item 1 of this Quarterly Report on Form 10-Q. In addition, you should refer to our audited consolidated financial statements and notes thereto and related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appearing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9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In particular, information appearing in this “Management's Discussion and Analysis of Financial Condition and Results of Operations” includes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our ability to effectively integrate and manage companies we acquire, and to realize the anticipated benefits of any such acquisitions, the impact of prolonged work stoppages or other labor disruptions, the amount of the financial contribution of our sustainability initiatives, acts of war, riots or terrorism, and the impact of these acts on economic, financial and social conditions in the United States and Canada,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2025, particularly under Part 1,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Updated 2026 Financial Guidance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 to focus on pricing in excess of cost inflation, driving profitable volume growth, investing in sustainability to improve the environment and drive growth, investing in value-creating acquisitions and advancing technology to improve productivity and increase customer retention. Specific guidance follows: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revenue for the year ending December 31, 2026 to be in the range of $17.425 billion to $17.475 billion.</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financial guidance is based on current economic conditions and does not assume any significant changes in the overall economy during the remainder of 2026. It is also subject to the Disclosure Regarding Forward-Looking Statements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Republic is one of the largest providers of environmental services in the United States, as measured by revenue. As of September 30, 2026, we operated across the United States and Canada through 389 collection operations, 260 transfer stations, 84 recycling centers, 208 active landfills, 2 treatment, recovery and disposal facilities, 24 treatment, storage and disposal facilities (TSDF), 5 salt water disposal wells, 16 deep injection wells, 10 industrial wastewater treatment facilities and 2 polymer centers. We are engaged in 87 landfill gas-to-energy and other renewable energy projects and had post-closure responsibility for 125 closed landfills as of September 30, 2026.</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for the nine months ended September 30, 2026 increased by 5.2% to $13,103 million compared to $12,456 million for the same period in 2025. This change in revenue is due to increases in average yield of 3.2%, increased fuel recovery fees of 1.3%, increased revenue from acquisitions, net of divestitures of 1.2%, an increase in environmental solutions revenue of 0.3%, an increase in recycling processing and commodity sales of 0.1%, and the impact of revenue recognized from customer contracts impacted by prior year labor disruptions of 0.1%. These increases were partially offset by a decrease in volume of 1.0%.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revenue, expenses and operating income for the three and nine months ended September 30, 2026 and 2025 (in millions of dollars and as a percentage of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680" w:type="dxa"/>
            <w:vAlign w:val="bottom"/>
            <w:tcBorders>
              <w:bottom w:val="single" w:sz="8" w:color="auto"/>
            </w:tcBorders>
          </w:tcPr>
          <w:p>
            <w:pPr>
              <w:spacing w:after="0"/>
              <w:rPr>
                <w:sz w:val="18"/>
                <w:szCs w:val="18"/>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color w:val="auto"/>
                <w:w w:val="93"/>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2026</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tcBorders>
              <w:bottom w:val="single" w:sz="8" w:color="auto"/>
            </w:tcBorders>
          </w:tcPr>
          <w:p>
            <w:pPr>
              <w:spacing w:after="0"/>
              <w:rPr>
                <w:sz w:val="19"/>
                <w:szCs w:val="19"/>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2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2"/>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operations</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1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58.0</w:t>
            </w:r>
          </w:p>
        </w:tc>
      </w:tr>
      <w:tr>
        <w:trPr>
          <w:trHeight w:val="229"/>
        </w:trPr>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 of</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0"/>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1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w:t>
            </w:r>
          </w:p>
        </w:tc>
      </w:tr>
      <w:tr>
        <w:trPr>
          <w:trHeight w:val="232"/>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0.5</w:t>
            </w:r>
          </w:p>
        </w:tc>
      </w:tr>
      <w:tr>
        <w:trPr>
          <w:trHeight w:val="227"/>
        </w:trPr>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other assets</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1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r>
      <w:tr>
        <w:trPr>
          <w:trHeight w:val="233"/>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Accretion</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r>
      <w:tr>
        <w:trPr>
          <w:trHeight w:val="227"/>
        </w:trPr>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1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10.2</w:t>
            </w:r>
          </w:p>
        </w:tc>
      </w:tr>
      <w:tr>
        <w:trPr>
          <w:trHeight w:val="233"/>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charges</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r>
      <w:tr>
        <w:trPr>
          <w:trHeight w:val="229"/>
        </w:trPr>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business divestitures and</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0"/>
        </w:trPr>
        <w:tc>
          <w:tcPr>
            <w:tcW w:w="3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impairments, net</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pre-tax income was $719 million and $2,073 million for the three and nine months ended September 30, 2026, respectively, compared to $645 million and $2,030 million for the same periods in 2025, respectively. Our net income attributable to Republic Services, Inc. was $592 million and $1,683 million for the three and nine months ended September 30, 2026, or $1.93 and $5.47 per diluted share, respectively, compared to $550 million and $1,595 million, or $1.76 and $5.10 per diluted share, for the same periods in 2025, respectively.</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During each of the three and nine months ended September 30, 2026 and 2025, we recorded a number of charges, other expenses and benefits that impacted our pre-tax income, tax expense, net income attributable to Republic Services, Inc. (net income – Republic) and diluted earnings per share as noted in the following table (in millions, except per share data). Additionally, see our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discussion in this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for a discussion of other items that impacted our earnings during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11"/>
          </w:tcPr>
          <w:p>
            <w:pPr>
              <w:ind w:left="400"/>
              <w:spacing w:after="0"/>
              <w:rPr>
                <w:sz w:val="20"/>
                <w:szCs w:val="20"/>
                <w:color w:val="auto"/>
              </w:rPr>
            </w:pPr>
            <w:r>
              <w:rPr>
                <w:rFonts w:ascii="Times New Roman" w:cs="Times New Roman" w:eastAsia="Times New Roman" w:hAnsi="Times New Roman"/>
                <w:sz w:val="14"/>
                <w:szCs w:val="14"/>
                <w:color w:val="auto"/>
              </w:rPr>
              <w:t>Three Months Ended September 30, 2026</w:t>
            </w:r>
          </w:p>
        </w:tc>
        <w:tc>
          <w:tcPr>
            <w:tcW w:w="140" w:type="dxa"/>
            <w:vAlign w:val="bottom"/>
          </w:tcPr>
          <w:p>
            <w:pPr>
              <w:spacing w:after="0"/>
              <w:rPr>
                <w:sz w:val="16"/>
                <w:szCs w:val="16"/>
                <w:color w:val="auto"/>
              </w:rPr>
            </w:pPr>
          </w:p>
        </w:tc>
        <w:tc>
          <w:tcPr>
            <w:tcW w:w="3380" w:type="dxa"/>
            <w:vAlign w:val="bottom"/>
            <w:gridSpan w:val="10"/>
          </w:tcPr>
          <w:p>
            <w:pPr>
              <w:jc w:val="right"/>
              <w:ind w:right="488"/>
              <w:spacing w:after="0"/>
              <w:rPr>
                <w:sz w:val="20"/>
                <w:szCs w:val="20"/>
                <w:color w:val="auto"/>
              </w:rPr>
            </w:pPr>
            <w:r>
              <w:rPr>
                <w:rFonts w:ascii="Times New Roman" w:cs="Times New Roman" w:eastAsia="Times New Roman" w:hAnsi="Times New Roman"/>
                <w:sz w:val="14"/>
                <w:szCs w:val="14"/>
                <w:color w:val="auto"/>
              </w:rPr>
              <w:t>Three Months Ended September 30, 2025</w:t>
            </w:r>
          </w:p>
        </w:tc>
      </w:tr>
      <w:tr>
        <w:trPr>
          <w:trHeight w:val="2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Diluted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Diluted</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Earnings</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Pre-tax</w:t>
            </w:r>
          </w:p>
        </w:tc>
        <w:tc>
          <w:tcPr>
            <w:tcW w:w="14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per</w:t>
            </w:r>
          </w:p>
        </w:tc>
        <w:tc>
          <w:tcPr>
            <w:tcW w:w="14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Pre-tax</w:t>
            </w:r>
          </w:p>
        </w:tc>
        <w:tc>
          <w:tcPr>
            <w:tcW w:w="14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per</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Impact</w:t>
            </w:r>
            <w:r>
              <w:rPr>
                <w:rFonts w:ascii="Times New Roman" w:cs="Times New Roman" w:eastAsia="Times New Roman" w:hAnsi="Times New Roman"/>
                <w:sz w:val="9"/>
                <w:szCs w:val="9"/>
                <w:color w:val="auto"/>
              </w:rPr>
              <w:t>(1)</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Impact</w:t>
            </w:r>
            <w:r>
              <w:rPr>
                <w:rFonts w:ascii="Times New Roman" w:cs="Times New Roman" w:eastAsia="Times New Roman" w:hAnsi="Times New Roman"/>
                <w:sz w:val="9"/>
                <w:szCs w:val="9"/>
                <w:color w:val="auto"/>
              </w:rPr>
              <w:t>(1)</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Share</w:t>
            </w:r>
          </w:p>
        </w:tc>
      </w:tr>
      <w:tr>
        <w:trPr>
          <w:trHeight w:val="2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93"/>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Labor disruption</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20"/>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divestitures and impairments, net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9"/>
        </w:trPr>
        <w:tc>
          <w:tcPr>
            <w:tcW w:w="4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11"/>
          </w:tcPr>
          <w:p>
            <w:pPr>
              <w:ind w:left="420"/>
              <w:spacing w:after="0"/>
              <w:rPr>
                <w:sz w:val="20"/>
                <w:szCs w:val="20"/>
                <w:color w:val="auto"/>
              </w:rPr>
            </w:pPr>
            <w:r>
              <w:rPr>
                <w:rFonts w:ascii="Times New Roman" w:cs="Times New Roman" w:eastAsia="Times New Roman" w:hAnsi="Times New Roman"/>
                <w:sz w:val="14"/>
                <w:szCs w:val="14"/>
                <w:color w:val="auto"/>
              </w:rPr>
              <w:t>Nine Months Ended September 30, 2026</w:t>
            </w:r>
          </w:p>
        </w:tc>
        <w:tc>
          <w:tcPr>
            <w:tcW w:w="120" w:type="dxa"/>
            <w:vAlign w:val="bottom"/>
          </w:tcPr>
          <w:p>
            <w:pPr>
              <w:spacing w:after="0"/>
              <w:rPr>
                <w:sz w:val="16"/>
                <w:szCs w:val="16"/>
                <w:color w:val="auto"/>
              </w:rPr>
            </w:pPr>
          </w:p>
        </w:tc>
        <w:tc>
          <w:tcPr>
            <w:tcW w:w="3320" w:type="dxa"/>
            <w:vAlign w:val="bottom"/>
            <w:gridSpan w:val="10"/>
          </w:tcPr>
          <w:p>
            <w:pPr>
              <w:jc w:val="right"/>
              <w:ind w:right="468"/>
              <w:spacing w:after="0"/>
              <w:rPr>
                <w:sz w:val="20"/>
                <w:szCs w:val="20"/>
                <w:color w:val="auto"/>
              </w:rPr>
            </w:pPr>
            <w:r>
              <w:rPr>
                <w:rFonts w:ascii="Times New Roman" w:cs="Times New Roman" w:eastAsia="Times New Roman" w:hAnsi="Times New Roman"/>
                <w:sz w:val="14"/>
                <w:szCs w:val="14"/>
                <w:color w:val="auto"/>
              </w:rPr>
              <w:t>Nine Months Ended September 30, 2025</w:t>
            </w:r>
          </w:p>
        </w:tc>
      </w:tr>
      <w:tr>
        <w:trPr>
          <w:trHeight w:val="23"/>
        </w:trPr>
        <w:tc>
          <w:tcPr>
            <w:tcW w:w="4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Diluted</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Earnings</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Pre-tax</w:t>
            </w: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per</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Pre-tax</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per</w:t>
            </w:r>
          </w:p>
        </w:tc>
      </w:tr>
      <w:tr>
        <w:trPr>
          <w:trHeight w:val="239"/>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Impact</w:t>
            </w:r>
            <w:r>
              <w:rPr>
                <w:rFonts w:ascii="Times New Roman" w:cs="Times New Roman" w:eastAsia="Times New Roman" w:hAnsi="Times New Roman"/>
                <w:sz w:val="18"/>
                <w:szCs w:val="18"/>
                <w:color w:val="auto"/>
                <w:w w:val="98"/>
                <w:vertAlign w:val="superscript"/>
              </w:rPr>
              <w:t>(1)</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Impact</w:t>
            </w:r>
            <w:r>
              <w:rPr>
                <w:rFonts w:ascii="Times New Roman" w:cs="Times New Roman" w:eastAsia="Times New Roman" w:hAnsi="Times New Roman"/>
                <w:sz w:val="18"/>
                <w:szCs w:val="18"/>
                <w:color w:val="auto"/>
                <w:w w:val="98"/>
                <w:vertAlign w:val="superscript"/>
              </w:rPr>
              <w:t>(1)</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00" w:type="dxa"/>
            <w:vAlign w:val="bottom"/>
          </w:tcPr>
          <w:p>
            <w:pPr>
              <w:spacing w:after="0"/>
              <w:rPr>
                <w:sz w:val="20"/>
                <w:szCs w:val="20"/>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Share</w:t>
            </w:r>
          </w:p>
        </w:tc>
      </w:tr>
      <w:tr>
        <w:trPr>
          <w:trHeight w:val="19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3"/>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Labor disruption</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43"/>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divestitures and impairments, net</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income tax effect related to our adjustments includes both the current and deferred income tax impact and is individually calculated based on the statutory rates applicable to each adjustment.</w:t>
      </w:r>
    </w:p>
    <w:p>
      <w:pPr>
        <w:spacing w:after="0" w:line="9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impact to adjusted diluted earnings per share totals to less than $0.01 for the nine months ended September 30, 2026.</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presenting adjusted pre-tax income, adjusted tax impact, adjusted net income – Republic, and adjusted diluted earnings per share, which are not measures determined in accordance with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definitions of adjusted pre-tax income, adjusted tax impact, adjusted net income – Republic, and adjusted diluted earnings per share may not be comparable to similarly titled measures presented by other companies. Further information on these adjustments is included below.</w:t>
      </w:r>
    </w:p>
    <w:p>
      <w:pPr>
        <w:spacing w:after="0" w:line="5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During the three and nine months ended September 30, 2026, we incurred restructuring charges of $4 million and $10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During the three and nine months ended September 30, 2025, we incurred restructuring charges of $3 million and $13 million, respectively. The charges in all periods related to the design and implementation of our new accounts receivable system.</w:t>
      </w:r>
    </w:p>
    <w:p>
      <w:pPr>
        <w:spacing w:after="0" w:line="54"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During the remainder of 2026, we expect to incur additional restructuring charges of approximately $5 million, related primarily to the continuing design and implementation of our new accounts receivable system. Substantially all of these restructuring charges will be recorded in Corporate entities and other.</w:t>
      </w:r>
    </w:p>
    <w:p>
      <w:pPr>
        <w:spacing w:after="0" w:line="1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disruption. </w:t>
      </w:r>
      <w:r>
        <w:rPr>
          <w:rFonts w:ascii="Times New Roman" w:cs="Times New Roman" w:eastAsia="Times New Roman" w:hAnsi="Times New Roman"/>
          <w:sz w:val="18"/>
          <w:szCs w:val="18"/>
          <w:color w:val="auto"/>
        </w:rPr>
        <w:t>During the three and nine months ended September 30, 2025, we experienced labor disruptions in certain isolated markets.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labor disruptions was $56 million during both the three and nine months ended September 30, 2025, including $16 million of customer credits and $40 million of cost of operations.</w:t>
      </w:r>
    </w:p>
    <w:p>
      <w:pPr>
        <w:spacing w:after="0" w:line="3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business divestitures and impairments, net. </w:t>
      </w:r>
      <w:r>
        <w:rPr>
          <w:rFonts w:ascii="Times New Roman" w:cs="Times New Roman" w:eastAsia="Times New Roman" w:hAnsi="Times New Roman"/>
          <w:sz w:val="18"/>
          <w:szCs w:val="18"/>
          <w:color w:val="auto"/>
        </w:rPr>
        <w:t>During the nine months ended September 30, 2026, we recorded a net gain on business divestitures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 of $1 million. We did not record a gain or loss on business divestitures and impairments during the three months ended September 30, 2026. During both the three and nine months ended September 30, 2025, we did not record a gain or loss on business divestitures and impairments.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generate revenue by providing environmental services to our customers, including the collection and processing of recyclable materials, the collection, treatment, consolidation, transfer and disposal of hazardous and non-hazardous waste and other environmental solutions.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centers generate revenue from tipping fees charged to third parties and the sale of recycled commodities. Our revenue from environmental solutions is primarily generated by (1) fees we charge for the collection, treatment, transfer and disposal of hazardous and non-hazardous waste, (2) field and industrial services, (3) equipment rental, (4) emergency response and standby services, (5) in-plant services, such as transportation and logistics, including at our TSDFs and (6) in-plant services such as high-pressure cleaning, tank cleaning, decontamination, remediation, transportation, spill cleanup and emergency response at refineries, chemical, steel and automotive plants and other governmental, commercial and industrial facilities. Other non-core revenue consists primarily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revenue by service line for the three and nine months ended September 30, 2026 and 2025 (in millions of dollars and as a percentage of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660" w:type="dxa"/>
            <w:vAlign w:val="bottom"/>
            <w:tcBorders>
              <w:bottom w:val="single" w:sz="8" w:color="auto"/>
            </w:tcBorders>
          </w:tcPr>
          <w:p>
            <w:pPr>
              <w:spacing w:after="0"/>
              <w:rPr>
                <w:sz w:val="18"/>
                <w:szCs w:val="18"/>
                <w:color w:val="auto"/>
              </w:rPr>
            </w:pPr>
          </w:p>
        </w:tc>
      </w:tr>
      <w:tr>
        <w:trPr>
          <w:trHeight w:val="223"/>
        </w:trPr>
        <w:tc>
          <w:tcPr>
            <w:tcW w:w="3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9"/>
                <w:szCs w:val="19"/>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7"/>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Small-container</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r>
      <w:tr>
        <w:trPr>
          <w:trHeight w:val="226"/>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Large-container</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3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collection</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67.4</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7"/>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2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net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Landfill</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Landfill, net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r>
      <w:tr>
        <w:trPr>
          <w:trHeight w:val="23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solutions</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7"/>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2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solutions, net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Recycling processing and commodity sales</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26"/>
        </w:trPr>
        <w:tc>
          <w:tcPr>
            <w:tcW w:w="3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non-core</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23"/>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components of our revenue, as a percentage of total revenue, for the three and nine months ended September 30, 2026 and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3"/>
        </w:trPr>
        <w:tc>
          <w:tcPr>
            <w:tcW w:w="40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2025</w:t>
            </w:r>
          </w:p>
        </w:tc>
      </w:tr>
      <w:tr>
        <w:trPr>
          <w:trHeight w:val="226"/>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yield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26"/>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Fuel recovery fees</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26"/>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price</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2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3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workdays</w:t>
            </w:r>
          </w:p>
        </w:tc>
        <w:tc>
          <w:tcPr>
            <w:tcW w:w="1860" w:type="dxa"/>
            <w:vAlign w:val="bottom"/>
            <w:gridSpan w:val="3"/>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Recycling processing and commodity sales</w:t>
            </w: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9"/>
                <w:szCs w:val="19"/>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solutions</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r>
      <w:tr>
        <w:trPr>
          <w:trHeight w:val="230"/>
        </w:trPr>
        <w:tc>
          <w:tcPr>
            <w:tcW w:w="40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r>
      <w:tr>
        <w:trPr>
          <w:trHeight w:val="223"/>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internal growth</w:t>
            </w:r>
          </w:p>
        </w:tc>
        <w:tc>
          <w:tcPr>
            <w:tcW w:w="5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27"/>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 divestitures, net</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46"/>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price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40" w:firstLine="8"/>
        <w:spacing w:after="0" w:line="255" w:lineRule="auto"/>
        <w:tabs>
          <w:tab w:leader="none" w:pos="16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represents customer credits recognized in connection with labor disruptions for the three and nine months ended September 30, 2025, and the impact of revenue recognized from the related customer contracts during the three and nine months ended September 30, 2026.</w:t>
      </w:r>
    </w:p>
    <w:p>
      <w:pPr>
        <w:spacing w:after="0" w:line="1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Average yield is defined as revenue growth from the change in average price per unit of service, expressed as a percentage. Core price is defined as price increases to our customers and fees, excluding fuel recovery fees, net of price decreases to retain</w:t>
      </w:r>
    </w:p>
    <w:p>
      <w:pPr>
        <w:sectPr>
          <w:pgSz w:w="11900" w:h="16838" w:orient="portrait"/>
          <w:cols w:equalWidth="0" w:num="1">
            <w:col w:w="11180"/>
          </w:cols>
          <w:pgMar w:left="320" w:top="211"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1" w:right="399" w:bottom="1440" w:gutter="0" w:footer="0" w:header="0"/>
          <w:type w:val="continuous"/>
        </w:sectPr>
      </w:pPr>
    </w:p>
    <w:bookmarkStart w:id="32" w:name="page33"/>
    <w:bookmarkEnd w:id="32"/>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customers. We also measure changes in core price, average yield and volume as a percentage of related-business revenue, defined as total revenue excluding recycled commodities, fuel recovery fees and environmental solutions revenue, to determine the effectiveness of our pricing and organic growth strategies.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core price, average yield and volume as a percentage of related-business revenue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31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3"/>
        </w:trPr>
        <w:tc>
          <w:tcPr>
            <w:tcW w:w="5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2026</w:t>
            </w:r>
          </w:p>
        </w:tc>
        <w:tc>
          <w:tcPr>
            <w:tcW w:w="1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2026</w:t>
            </w:r>
          </w:p>
        </w:tc>
        <w:tc>
          <w:tcPr>
            <w:tcW w:w="13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r>
      <w:tr>
        <w:trPr>
          <w:trHeight w:val="223"/>
        </w:trPr>
        <w:tc>
          <w:tcPr>
            <w:tcW w:w="38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bottom w:val="single" w:sz="8" w:color="auto"/>
            </w:tcBorders>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As a % of Related Business</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40" w:type="dxa"/>
            <w:vAlign w:val="bottom"/>
            <w:tcBorders>
              <w:top w:val="single" w:sz="8" w:color="auto"/>
              <w:bottom w:val="single" w:sz="8" w:color="auto"/>
            </w:tcBorders>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As a % of Related Business</w:t>
            </w:r>
          </w:p>
        </w:tc>
      </w:tr>
      <w:tr>
        <w:trPr>
          <w:trHeight w:val="22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Core price</w:t>
            </w:r>
          </w:p>
        </w:tc>
        <w:tc>
          <w:tcPr>
            <w:tcW w:w="194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6.3 %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9"/>
                <w:szCs w:val="19"/>
                <w:color w:val="auto"/>
              </w:rPr>
            </w:pPr>
          </w:p>
        </w:tc>
        <w:tc>
          <w:tcPr>
            <w:tcW w:w="19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6.5 %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3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yield</w:t>
            </w:r>
          </w:p>
        </w:tc>
        <w:tc>
          <w:tcPr>
            <w:tcW w:w="194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3.5 %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3.9 %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2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194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rPr>
              <w:t>(0.7)%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9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44"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experienced the following changes in our revenue as compared to the same periods in 2025:</w:t>
      </w:r>
    </w:p>
    <w:p>
      <w:pPr>
        <w:spacing w:after="0" w:line="40" w:lineRule="exact"/>
        <w:rPr>
          <w:sz w:val="20"/>
          <w:szCs w:val="20"/>
          <w:color w:val="auto"/>
        </w:rPr>
      </w:pPr>
    </w:p>
    <w:p>
      <w:pPr>
        <w:ind w:left="660" w:right="40" w:hanging="328"/>
        <w:spacing w:after="0" w:line="282" w:lineRule="auto"/>
        <w:tabs>
          <w:tab w:leader="none" w:pos="649"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Average yield increased revenue by 2.9% and 3.2%, respectively, for the three and nine months ended September 30, 2026, due to positive pricing changes in all lines of business.</w:t>
      </w:r>
    </w:p>
    <w:p>
      <w:pPr>
        <w:spacing w:after="0" w:line="26" w:lineRule="exact"/>
        <w:rPr>
          <w:rFonts w:ascii="Times New Roman" w:cs="Times New Roman" w:eastAsia="Times New Roman" w:hAnsi="Times New Roman"/>
          <w:sz w:val="16"/>
          <w:szCs w:val="16"/>
          <w:b w:val="1"/>
          <w:bCs w:val="1"/>
          <w:i w:val="1"/>
          <w:iCs w:val="1"/>
          <w:color w:val="auto"/>
        </w:rPr>
      </w:pPr>
    </w:p>
    <w:p>
      <w:pPr>
        <w:ind w:left="660" w:right="4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recovery fees, which mitigate our exposure to changes in fuel prices, increased revenue by 1.8% and 1.3% for the three and nine months ended September 30, 2026, respectively, due to an increase in fuel prices compared to the same periods in 2025.</w:t>
      </w:r>
    </w:p>
    <w:p>
      <w:pPr>
        <w:spacing w:after="0" w:line="40"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revenue by 0.6% during the three months ended September 30, 2026, due to a decline in our residential collection line of business. Volume decreased revenue by 1.0% during the nine months ended September 30, 2026, due to a decline in our residential and large-container collection lines of business. The decline in our residential collection line of business in both periods was primarily attributable to certain municipal contract losses. The decline in revenue in our large-container collection line of business was primarily driven by a slowing in construction-related activity and certain manufacturing end markets.</w:t>
      </w:r>
    </w:p>
    <w:p>
      <w:pPr>
        <w:spacing w:after="0" w:line="61" w:lineRule="exact"/>
        <w:rPr>
          <w:rFonts w:ascii="Times New Roman" w:cs="Times New Roman" w:eastAsia="Times New Roman" w:hAnsi="Times New Roman"/>
          <w:sz w:val="18"/>
          <w:szCs w:val="18"/>
          <w:color w:val="auto"/>
        </w:rPr>
      </w:pPr>
    </w:p>
    <w:p>
      <w:pPr>
        <w:ind w:left="66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Landfill volume also decreased during the three and nine months ended September 30, 2026, due to a decrease in construction and demolition volumes which was primarily related to non-recurring Hurricane Helene recovery efforts in 2025. This decrease in landfill volume was partially offset by an increase in event-based special waste landfill volumes.</w:t>
      </w:r>
    </w:p>
    <w:p>
      <w:pPr>
        <w:spacing w:after="0" w:line="40"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processing and commodity sales increased revenue by 0.3% during the three months ended September 30, 2026, primarily due to increased volume at our Polymer Centers and an increase in overall commodity prices. Recycling processing and commodity sales increased revenue by 0.1%, during the nine months ended September 30, 2026, primarily due to increased volume at our Polymer Centers, which was partially offset by a decrease in overall commodity prices. The average price for recycled commodities at our recycling centers, excluding glass and organics, for the three and nine months ended September 30, 2026, was $142 and $133 per ton, respectively, compared to $126 and $143 per ton for the same periods in 2025, respectively.</w:t>
      </w:r>
    </w:p>
    <w:p>
      <w:pPr>
        <w:spacing w:after="0" w:line="65" w:lineRule="exact"/>
        <w:rPr>
          <w:rFonts w:ascii="Times New Roman" w:cs="Times New Roman" w:eastAsia="Times New Roman" w:hAnsi="Times New Roman"/>
          <w:sz w:val="18"/>
          <w:szCs w:val="18"/>
          <w:color w:val="auto"/>
        </w:rPr>
      </w:pPr>
    </w:p>
    <w:p>
      <w:pPr>
        <w:jc w:val="both"/>
        <w:ind w:left="660" w:right="1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Changing market demand for recycled commodities causes volatility in commodity prices. At current volumes and mix of materials, we believe a $10 per ton change in the price of recycled commodities would change both annual revenue and operating income by approximately $13 million.</w:t>
      </w:r>
    </w:p>
    <w:p>
      <w:pPr>
        <w:spacing w:after="0" w:line="1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Environmental solutions increased revenue by 2.1% and 0.3% during the three and nine months ended September 30, 2026, respectively, primarily due to an increase in emergency response activity relative to the same periods in 2025.</w:t>
      </w:r>
    </w:p>
    <w:p>
      <w:pPr>
        <w:spacing w:after="0" w:line="26" w:lineRule="exact"/>
        <w:rPr>
          <w:rFonts w:ascii="Times New Roman" w:cs="Times New Roman" w:eastAsia="Times New Roman" w:hAnsi="Times New Roman"/>
          <w:sz w:val="18"/>
          <w:szCs w:val="18"/>
          <w:b w:val="1"/>
          <w:bCs w:val="1"/>
          <w:i w:val="1"/>
          <w:iCs w:val="1"/>
          <w:color w:val="auto"/>
        </w:rPr>
      </w:pPr>
    </w:p>
    <w:p>
      <w:pPr>
        <w:ind w:left="660" w:right="160" w:hanging="328"/>
        <w:spacing w:after="0" w:line="266"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Acquisitions, net of divestitures, increased revenue by 1.3% and 1.2% during the three and nine months ended September 30, 2026, respectively, reflecting the results of our continued growth strategy of acquiring environmental services companies that complement and expand our existing business platform.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Operations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that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costs, which includes financial assurance, leachate disposal, remediation charges and other landfill maintenance costs; risk management costs, which include insurance premiums and claims; cost of goods sold, which includes material costs paid to suppliers; and other, which includes expenses such as facility operating costs, equipment rent and gains or losses on sale of assets used in our operations.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cost of operations for the three and nine months ended September 30, 2026 and 2025 (in millions of dollars and as a percentage of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680" w:type="dxa"/>
            <w:vAlign w:val="bottom"/>
            <w:tcBorders>
              <w:bottom w:val="single" w:sz="8" w:color="auto"/>
            </w:tcBorders>
          </w:tcPr>
          <w:p>
            <w:pPr>
              <w:spacing w:after="0"/>
              <w:rPr>
                <w:sz w:val="18"/>
                <w:szCs w:val="18"/>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color w:val="auto"/>
                <w:w w:val="93"/>
              </w:rPr>
              <w:t>2026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tcBorders>
              <w:bottom w:val="single" w:sz="8" w:color="auto"/>
            </w:tcBorders>
          </w:tcPr>
          <w:p>
            <w:pPr>
              <w:spacing w:after="0"/>
              <w:rPr>
                <w:sz w:val="19"/>
                <w:szCs w:val="19"/>
                <w:color w:val="auto"/>
              </w:rPr>
            </w:pPr>
          </w:p>
        </w:tc>
      </w:tr>
      <w:tr>
        <w:trPr>
          <w:trHeight w:val="22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related benefits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r>
      <w:tr>
        <w:trPr>
          <w:trHeight w:val="22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 and disposal costs</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3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and repairs</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1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r>
      <w:tr>
        <w:trPr>
          <w:trHeight w:val="22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 and subcontract costs</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r>
      <w:tr>
        <w:trPr>
          <w:trHeight w:val="23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Fuel</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1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r>
      <w:tr>
        <w:trPr>
          <w:trHeight w:val="22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 fees and taxes</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3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Landfill operating costs</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18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r>
      <w:tr>
        <w:trPr>
          <w:trHeight w:val="22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 management</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r>
      <w:tr>
        <w:trPr>
          <w:trHeight w:val="22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disruption</w:t>
            </w:r>
          </w:p>
        </w:tc>
        <w:tc>
          <w:tcPr>
            <w:tcW w:w="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26"/>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 of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58.4 %</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58.0 %</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58.0 %</w:t>
            </w:r>
          </w:p>
        </w:tc>
      </w:tr>
      <w:tr>
        <w:trPr>
          <w:trHeight w:val="20"/>
        </w:trPr>
        <w:tc>
          <w:tcPr>
            <w:tcW w:w="2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 As such, you should take care when comparing our cost of operations by component to that of other companies and of ours for prior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items impacting our cost of operations during the three and nine months ended September 30, 2026 and 2025 are summarized below:</w:t>
      </w:r>
    </w:p>
    <w:p>
      <w:pPr>
        <w:spacing w:after="0" w:line="104" w:lineRule="exact"/>
        <w:rPr>
          <w:sz w:val="20"/>
          <w:szCs w:val="20"/>
          <w:color w:val="auto"/>
        </w:rPr>
      </w:pPr>
    </w:p>
    <w:p>
      <w:pPr>
        <w:ind w:left="660" w:right="220" w:hanging="328"/>
        <w:spacing w:after="0" w:line="282"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Labor and related benefits increased in aggregate dollars due to higher hourly and salaried wages as a result of annual merit increases, increased benefits costs, as well as acquisition related growth.</w:t>
      </w:r>
    </w:p>
    <w:p>
      <w:pPr>
        <w:spacing w:after="0" w:line="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Transfer and disposal costs increased in aggregate dollars primarily due to activity from acquisitions and an increase in disposal rates.</w:t>
      </w:r>
    </w:p>
    <w:p>
      <w:pPr>
        <w:spacing w:after="0" w:line="90" w:lineRule="exact"/>
        <w:rPr>
          <w:rFonts w:ascii="Times New Roman" w:cs="Times New Roman" w:eastAsia="Times New Roman" w:hAnsi="Times New Roman"/>
          <w:sz w:val="16"/>
          <w:szCs w:val="16"/>
          <w:color w:val="auto"/>
        </w:rPr>
      </w:pPr>
    </w:p>
    <w:p>
      <w:pPr>
        <w:ind w:left="660" w:right="6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both the three and nine months ended September 30, 2026 and 2025, approximately 67%, of the total solid waste volume we collected was disposed at landfill sites that we owned or operated (internalization).</w:t>
      </w:r>
    </w:p>
    <w:p>
      <w:pPr>
        <w:spacing w:after="0" w:line="40" w:lineRule="exact"/>
        <w:rPr>
          <w:rFonts w:ascii="Times New Roman" w:cs="Times New Roman" w:eastAsia="Times New Roman" w:hAnsi="Times New Roman"/>
          <w:sz w:val="16"/>
          <w:szCs w:val="16"/>
          <w:color w:val="auto"/>
        </w:rPr>
      </w:pPr>
    </w:p>
    <w:p>
      <w:pPr>
        <w:ind w:left="660" w:right="2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repairs expense increased in aggregate dollars primarily due to acquisition related growth and higher costs associated with our fleet and equipment. As a percentage of revenue, maintenance and repairs expense decreased 40 basis points and 30 basis points, respectively, primarily due to revenue growth.</w:t>
      </w:r>
    </w:p>
    <w:p>
      <w:pPr>
        <w:spacing w:after="0" w:line="5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subcontract costs increased primarily due to an increase in transportation rates and fuel surcharges. Transportation surcharges increased due to an increase in fuel prices during the period.</w:t>
      </w:r>
    </w:p>
    <w:p>
      <w:pPr>
        <w:spacing w:after="0" w:line="26"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fuel costs increased due to an increase in the average diesel fuel cost per gallon. The national average diesel fuel cost per gallon for the three and nine months ended September 30, 2026 was $5.56 and $5.01, respectively, compared to $3.76 and $3.65 for the same periods in 2025, respectively.</w:t>
      </w:r>
    </w:p>
    <w:p>
      <w:pPr>
        <w:spacing w:after="0" w:line="5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Risk </w:t>
      </w:r>
      <w:r>
        <w:rPr>
          <w:rFonts w:ascii="Times New Roman" w:cs="Times New Roman" w:eastAsia="Times New Roman" w:hAnsi="Times New Roman"/>
          <w:sz w:val="17"/>
          <w:szCs w:val="17"/>
          <w:color w:val="auto"/>
        </w:rPr>
        <w:t>management expenses decreased primarily due to favorable actuarial developments.</w:t>
      </w:r>
    </w:p>
    <w:p>
      <w:pPr>
        <w:spacing w:after="0" w:line="115" w:lineRule="exact"/>
        <w:rPr>
          <w:rFonts w:ascii="Times New Roman" w:cs="Times New Roman" w:eastAsia="Times New Roman" w:hAnsi="Times New Roman"/>
          <w:sz w:val="16"/>
          <w:szCs w:val="16"/>
          <w:color w:val="auto"/>
        </w:rPr>
      </w:pPr>
    </w:p>
    <w:p>
      <w:pPr>
        <w:ind w:left="660" w:right="20" w:hanging="328"/>
        <w:spacing w:after="0" w:line="282"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the nine months ended September 30, 2026, other cost of operations increased due to increased occupancy and facility related expenses as well as a favorable non-recurring insurance recovery recognized during 2025 that did not repeat in 2026.</w:t>
      </w:r>
    </w:p>
    <w:p>
      <w:pPr>
        <w:spacing w:after="0" w:line="26" w:lineRule="exact"/>
        <w:rPr>
          <w:rFonts w:ascii="Times New Roman" w:cs="Times New Roman" w:eastAsia="Times New Roman" w:hAnsi="Times New Roman"/>
          <w:sz w:val="16"/>
          <w:szCs w:val="16"/>
          <w:color w:val="auto"/>
        </w:rPr>
      </w:pPr>
    </w:p>
    <w:p>
      <w:pPr>
        <w:ind w:left="660" w:right="580" w:hanging="328"/>
        <w:spacing w:after="0" w:line="312"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w:t>
      </w:r>
      <w:r>
        <w:rPr>
          <w:rFonts w:ascii="Times New Roman" w:cs="Times New Roman" w:eastAsia="Times New Roman" w:hAnsi="Times New Roman"/>
          <w:sz w:val="17"/>
          <w:szCs w:val="17"/>
          <w:color w:val="auto"/>
        </w:rPr>
        <w:t>the three and nine months ended September 30, 2025, we experienced labor disruptions in certain isolated markets. We incurred $40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million of cost of operations primarily as a result of an increase in labor and other cost of operations.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of Property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depreciation, depletion and amortization of property and equipment for the three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(in millions of dollars and as a percentage of revenue):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10"/>
          </w:tcPr>
          <w:p>
            <w:pPr>
              <w:jc w:val="right"/>
              <w:ind w:right="63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158"/>
        </w:trPr>
        <w:tc>
          <w:tcPr>
            <w:tcW w:w="37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Depreciation and amortization of property and</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60" w:type="dxa"/>
            <w:vAlign w:val="bottom"/>
            <w:gridSpan w:val="3"/>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80" w:type="dxa"/>
            <w:vAlign w:val="bottom"/>
            <w:gridSpan w:val="3"/>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Landfill depletion and amortization</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and equipment increased for the three and nine months ended September 30, 2026, largely due to asset additions at one of our Polymer Centers, purchases of vehicles and equipment, and increased amortization associated with internally developed software. Depreciation and amortization of property and equipment also increased due to the addition of assets through acquisitions.</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Landfill depletion and amortization expense increased for the three months ended September 30, 2026, primarily due to a higher overall depletion rate, partially offset by decreased volumes. For the nine months ended September 30, 2026, landfill depletion and amortization expense decreased primarily due to the recognition of certain favorable amortization adjustments related to our asset retirement obligations compared to unfavorable amortization adjustments in the same period in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Other Intangible Assets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Amortization of other intangible assets primarily relates to customer relationships. Expenses for amortization of other intangible assets were $24 million and $69 million, or 0.5% of revenue, for the three and nine months ended September 30, 2026, respectively, compared to $22 million and $65 million, or 0.5% of revenue, for the same periods in 2025, respectively. Amortization expense increased due to assets added through acquisition activity.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Other Assets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other assets primarily relate to the prepayment of fees and capitalized implementation costs associated with cloud-based hosting arrangements. Expenses for amortization of other assets were $32 million and $104 million, or 0.7% and 0.8% of revenue, for the three and nine months ended September 30, 2026, respectively, compared to $31 million and $81 million, or 0.7% of revenue, for the same respective periods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Expense</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Accretion expense was $30 million and $91 million, or 0.7% of revenue, for the three and nine months ended September 30, 2026, respectively, compared to $29 million and $85 million, or 0.7% of revenue, for the same respective periods in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spacing w:after="0" w:line="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and nine months ended September 30, 2026 and 2025 (in millions of dollars and as a percentage of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jc w:val="right"/>
              <w:ind w:right="71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3"/>
        </w:trPr>
        <w:tc>
          <w:tcPr>
            <w:tcW w:w="3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2025</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color w:val="auto"/>
                <w:w w:val="99"/>
              </w:rPr>
              <w:t>2026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2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related benefits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2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1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26"/>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selling, general and administrative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1"/>
        </w:trPr>
        <w:tc>
          <w:tcPr>
            <w:tcW w:w="3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 As such, you should take care when comparing our selling, general and administrative expenses by cost component to those of other companies and of ours for prior periods.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our selling, general and administrative expenses during the three and nine months ended September 30, 2026 and 2025 are summarized below:</w:t>
      </w:r>
    </w:p>
    <w:p>
      <w:pPr>
        <w:spacing w:after="0" w:line="40" w:lineRule="exact"/>
        <w:rPr>
          <w:sz w:val="20"/>
          <w:szCs w:val="20"/>
          <w:color w:val="auto"/>
        </w:rPr>
      </w:pPr>
    </w:p>
    <w:p>
      <w:pPr>
        <w:ind w:left="660" w:right="340" w:hanging="328"/>
        <w:spacing w:after="0" w:line="282" w:lineRule="auto"/>
        <w:tabs>
          <w:tab w:leader="none" w:pos="649"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Salaries and related benefits increased primarily due to higher wages and benefits resulting from annual merit increases as well as acquisition-related growth.</w:t>
      </w:r>
    </w:p>
    <w:p>
      <w:pPr>
        <w:spacing w:after="0" w:line="40" w:lineRule="exact"/>
        <w:rPr>
          <w:rFonts w:ascii="Times New Roman" w:cs="Times New Roman" w:eastAsia="Times New Roman" w:hAnsi="Times New Roman"/>
          <w:sz w:val="16"/>
          <w:szCs w:val="16"/>
          <w:b w:val="1"/>
          <w:bCs w:val="1"/>
          <w:i w:val="1"/>
          <w:iCs w:val="1"/>
          <w:color w:val="auto"/>
        </w:rPr>
      </w:pPr>
    </w:p>
    <w:p>
      <w:pPr>
        <w:ind w:left="660" w:right="10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expenses decreased during the three months ended September 30, 2026 primarily due to an unfavorable legal settlement in 2025, partially offset by increased professional service costs. Other selling, general and administrative expenses decreased during the nine months ended September 30, 2026 primarily due to a favorable legal settlement in 2026, partially offset by increased professional service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06"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Restructuring Charges incurred during the three and nine months ended September 30, 2026 and 2025,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Business Divestitures and Impairments, Net</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gain on business divestitures and impairments, net incurred during the three and nine months ended September 30, 2026 and 2025, see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interest expense, including accretion of debt discounts and accretion of discounts primarily associated with environmental and risk insurance liabilities assumed in acquisitions, for the three and nine months ended September 30, 2026 and 2025 (in millions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4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27"/>
        </w:trPr>
        <w:tc>
          <w:tcPr>
            <w:tcW w:w="6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interest</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capitalized interest</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bscript"/>
              </w:rPr>
              <w:t>dollars):</w:t>
            </w:r>
            <w:r>
              <w:rPr>
                <w:rFonts w:ascii="Times New Roman" w:cs="Times New Roman" w:eastAsia="Times New Roman" w:hAnsi="Times New Roman"/>
                <w:sz w:val="16"/>
                <w:szCs w:val="16"/>
                <w:color w:val="auto"/>
              </w:rPr>
              <w:t xml:space="preserve">  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4"/>
        </w:trPr>
        <w:tc>
          <w:tcPr>
            <w:tcW w:w="5060" w:type="dxa"/>
            <w:vAlign w:val="bottom"/>
            <w:gridSpan w:val="2"/>
            <w:vMerge w:val="continue"/>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06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interest expense for the three and nine months ended September 30, 2026 increased primarily due to a higher overall debt balance and higher interest rates on our debt compared to the same periods in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and 2025, cash paid for interest was $380 million and $355 million, respectively.</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we had $2.3 billion of principal floating rate debt. If interest rates increased or decreased by 100 basis points on our floating rate debt, annualized interest expense and net cash payments for interest would increase or decrease by approximately $23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exclusive of non-controlling interests, for the three and nine months ended September 30, 2026 was 17.6% and 18.8%,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exclusive of non-controlling interests, for the three and nine months ended September 30, 2025 was 14.7% and 21.4%, respectively.</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2026, reflects net benefits of $41 million from investments in renewable energy assets and $11 million from investments in renewable natural gas projects and electric vehicle infrastructure. Our effective tax rate for the nine months ended September 30, 2026, reflects net benefits of $119 million from investments in renewable energy assets and $24 million from investments in renewable natural gas projects and electric vehicle infrastructure. The effective tax rate for both the three and nine months ended September 30, 2026, reflects a benefit of $11 million from the realization of additional federal and state tax benefits and adjustments to deferred taxes resulting from the completion of our 2025 tax returns.</w:t>
      </w:r>
    </w:p>
    <w:p>
      <w:pPr>
        <w:spacing w:after="0" w:line="5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Our effective tax rate for the three and nine months ended September 30, 2025 reflects a benefit of $65 million due to our investments in renewable energy assets, $8 million and $18 million, respectively, due to investments in renewable natural gas projects and commercial electric vehicles, and $9 million due to the realization of additional federal and state tax benefits, as well as adjustments to deferred taxes resulting from the completion of our 2024 tax returns.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2026 and 2025, net cash paid for income taxes was $122 million and $166 million,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discussion and detail regarding our income taxes, see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unaudited consolidated financial statements included in Part I, Item 1 of this Quarterly Report on Form 10-Q.</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spacing w:after="0" w:line="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Consequently, substantially all of this revenue is offset with related subcontract costs, which are recorded in cost of operations. Revenue and overhead costs of Corporate entities and other are either specifically assigned or allocated on a rational and consistent basis among our reportable segments to calculate Adjusted EBITDA.</w:t>
      </w:r>
    </w:p>
    <w:p>
      <w:pPr>
        <w:spacing w:after="0" w:line="6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Adjusted EBITDA is the single financial measure our chief operating decision maker (CODM) uses to evaluate operating segment profitability and determine resource allocations. Cost of operations and selling, general and administrative are significant segment expenses used in the evaluation. Other segment items consist of the impact from labor disruptions that we experienced in certain isolated markets during the three and nine months ended September 30, 2025. Summarized financial information regarding our reportable segments for the three and nine months ended September 30, 2026 and 2025 (in millions of dollars) follows. For totals as well as further detail regarding our reportable segments and the adjustments used to calculate Adjusted EBITDA for each segment, see Note 11,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of the notes to our unaudited consolidated financial statements included in Part I, Item 1 of this Quarterly Report on Form 10-Q.</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Recycling &amp; Waste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Group 3</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Corporate entities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Group 1</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Group 2</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(Environmental</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color w:val="auto"/>
                <w:w w:val="94"/>
              </w:rPr>
              <w:t xml:space="preserve">Subtotal </w:t>
            </w:r>
            <w:r>
              <w:rPr>
                <w:rFonts w:ascii="Times New Roman" w:cs="Times New Roman" w:eastAsia="Times New Roman" w:hAnsi="Times New Roman"/>
                <w:sz w:val="21"/>
                <w:szCs w:val="21"/>
                <w:color w:val="auto"/>
                <w:w w:val="94"/>
                <w:vertAlign w:val="superscript"/>
              </w:rPr>
              <w:t>(1)</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and other</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0" w:type="dxa"/>
            <w:vAlign w:val="bottom"/>
          </w:tcPr>
          <w:p>
            <w:pPr>
              <w:spacing w:after="0"/>
              <w:rPr>
                <w:sz w:val="1"/>
                <w:szCs w:val="1"/>
                <w:color w:val="auto"/>
              </w:rPr>
            </w:pPr>
          </w:p>
        </w:tc>
      </w:tr>
      <w:tr>
        <w:trPr>
          <w:trHeight w:val="270"/>
        </w:trPr>
        <w:tc>
          <w:tcPr>
            <w:tcW w:w="290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Recycling &amp; Waste Subtotal represents the combined results of our Group 1 and Group 2 reportable segments.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Recycling &amp; Waste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Group 3</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Corporate entities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Group 1</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Group 2</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(Environmental</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color w:val="auto"/>
                <w:w w:val="94"/>
              </w:rPr>
              <w:t xml:space="preserve">Subtotal </w:t>
            </w:r>
            <w:r>
              <w:rPr>
                <w:rFonts w:ascii="Times New Roman" w:cs="Times New Roman" w:eastAsia="Times New Roman" w:hAnsi="Times New Roman"/>
                <w:sz w:val="21"/>
                <w:szCs w:val="21"/>
                <w:color w:val="auto"/>
                <w:w w:val="94"/>
                <w:vertAlign w:val="superscript"/>
              </w:rPr>
              <w:t>(1)</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and other</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2026</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0" w:type="dxa"/>
            <w:vAlign w:val="bottom"/>
          </w:tcPr>
          <w:p>
            <w:pPr>
              <w:spacing w:after="0"/>
              <w:rPr>
                <w:sz w:val="1"/>
                <w:szCs w:val="1"/>
                <w:color w:val="auto"/>
              </w:rPr>
            </w:pP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Revenue allocations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operations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2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Recycling &amp; Waste Subtotal represents the combined results of our Group 1 and Group 2 reportable segments.</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Significant changes in the revenue and Adjusted EBITDA of our reportable segments comparing the three and nine months ended September 30, 2026 and 2025 are discussed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1</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Adjusted EBITDA in Group 1 increased from $659 million and $1,876 million for the three and nine months ended September 30, 2025, respectively, to $721 million and $2,098 million for the three and nine months ended September 30, 2026, respectively.</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most significant items impacting Adjusted EBITDA in Group 1 during the three and nine months ended September 30, 2026 compared to the three and nine months ended September 30, 2025 include:</w:t>
      </w:r>
    </w:p>
    <w:p>
      <w:pPr>
        <w:spacing w:after="0" w:line="40" w:lineRule="exact"/>
        <w:rPr>
          <w:sz w:val="20"/>
          <w:szCs w:val="20"/>
          <w:color w:val="auto"/>
        </w:rPr>
      </w:pPr>
    </w:p>
    <w:p>
      <w:pPr>
        <w:ind w:left="660" w:right="2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for the three and nine months ended September 30, 2026 increased 9.5% and 8.3%, respectively, due to an increase in average yield in all lines of business. Net revenue also increased due to higher solid waste and special waste volumes in our landfill lines of business, as well as an increase in our small-container and large-container collection lines of business. The increases were partially offset by decreased volume in our residential collection line of business, as well as decreased volume in our construction and demolition landfill line of business.</w:t>
      </w:r>
    </w:p>
    <w:p>
      <w:pPr>
        <w:spacing w:after="0" w:line="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operations increased primarily due to an increase in labor and fuel costs as well as transfer and disposal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2</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Adjusted EBITDA in Group 2 decreased from $633 million and $1,838 million for the three and nine months ended September 30, 2025, respectively, to $594 million and $1,792 million for the three and nine months ended September 30, 2026, respectively.</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most significant items impacting Adjusted EBITDA in Group 2 during the three and nine months ended September 30, 2026 compared to the three and nine months ended September 30, 2025 include:</w:t>
      </w:r>
    </w:p>
    <w:p>
      <w:pPr>
        <w:spacing w:after="0" w:line="27"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for the three and nine months ended September 30, 2026 increased 3.7% and 2.4%, respectively, due to an increase in average yield in all lines of business and increased special waste volume in our landfill line of business. These increases were partially offset by decreased volumes in our collection lines of business. Construction and demolition volume also decreased in our landfill line of business primarily related to non-recurring Hurricane Helene recovery efforts in 2025.</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operations increased primarily due to an increase in fuel and subcontract costs as well as transfer and disposal costs.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3</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Adjusted EBITDA in Group 3 increased from $91 million and $298 million for the three and nine months ended September 30, 2025, respectively, to $134 million and $304 million for the three and nine months ended September 30, 2026, respectively.</w:t>
      </w:r>
    </w:p>
    <w:p>
      <w:pPr>
        <w:spacing w:after="0" w:line="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most significant items impacting Adjusted EBITDA in Group 3 during the three and nine months ended September 30, 2026 compared to the three and nine months ended September 30, 2025 include:</w:t>
      </w:r>
    </w:p>
    <w:p>
      <w:pPr>
        <w:spacing w:after="0" w:line="40" w:lineRule="exact"/>
        <w:rPr>
          <w:sz w:val="20"/>
          <w:szCs w:val="20"/>
          <w:color w:val="auto"/>
        </w:rPr>
      </w:pPr>
    </w:p>
    <w:p>
      <w:pPr>
        <w:ind w:left="660" w:right="5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for the three and nine months ended September 30, 2026 increased primarily due to an increase in emergency response activity relative to the same periods in 2025.</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operations increased for the three and nine months ended September 30, 2026 primarily due to an increase in subcontract and fuel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and Environmental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Airspace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owned or operated 208 active landfills with total available disposal capacity estimated to be 5.1 billion in-place cubic yards.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landfills, the following table reflects changes in capacity and remaining capacity, as measured in cubic yards of airspace: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Balance as of</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New</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Landfills</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Permits Granted /</w:t>
            </w:r>
          </w:p>
        </w:tc>
        <w:tc>
          <w:tcPr>
            <w:tcW w:w="100" w:type="dxa"/>
            <w:vAlign w:val="bottom"/>
          </w:tcPr>
          <w:p>
            <w:pPr>
              <w:spacing w:after="0"/>
              <w:rPr>
                <w:sz w:val="16"/>
                <w:szCs w:val="16"/>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Airspace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Changes in</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Balance as of</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December 31,</w:t>
            </w:r>
          </w:p>
        </w:tc>
        <w:tc>
          <w:tcPr>
            <w:tcW w:w="11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Expansions</w:t>
            </w: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w w:val="99"/>
              </w:rPr>
              <w:t>Acquired, Net</w:t>
            </w:r>
          </w:p>
        </w:tc>
        <w:tc>
          <w:tcPr>
            <w:tcW w:w="1400" w:type="dxa"/>
            <w:vAlign w:val="bottom"/>
          </w:tcPr>
          <w:p>
            <w:pPr>
              <w:jc w:val="right"/>
              <w:ind w:right="279"/>
              <w:spacing w:after="0" w:line="162" w:lineRule="exact"/>
              <w:rPr>
                <w:sz w:val="20"/>
                <w:szCs w:val="20"/>
                <w:color w:val="auto"/>
              </w:rPr>
            </w:pPr>
            <w:r>
              <w:rPr>
                <w:rFonts w:ascii="Times New Roman" w:cs="Times New Roman" w:eastAsia="Times New Roman" w:hAnsi="Times New Roman"/>
                <w:sz w:val="16"/>
                <w:szCs w:val="16"/>
                <w:color w:val="auto"/>
              </w:rPr>
              <w:t>New Sites,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w w:val="99"/>
              </w:rPr>
              <w:t>Engineering</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Undertaken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of Divestitures</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 of Closures</w:t>
            </w: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Consumed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Estimates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Cubic yards (in millions):</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Permitted airspace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12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w w:val="97"/>
              </w:rPr>
              <w:t>(65)</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0" w:type="dxa"/>
            <w:vAlign w:val="bottom"/>
          </w:tcPr>
          <w:p>
            <w:pPr>
              <w:spacing w:after="0"/>
              <w:rPr>
                <w:sz w:val="1"/>
                <w:szCs w:val="1"/>
                <w:color w:val="auto"/>
              </w:rPr>
            </w:pPr>
          </w:p>
        </w:tc>
      </w:tr>
      <w:tr>
        <w:trPr>
          <w:trHeight w:val="233"/>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Probable expansion airspace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2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cubic yards (in millions)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2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w w:val="97"/>
              </w:rPr>
              <w:t>(65)</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sites: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Permitted airspace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Probable expansion airspace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w:t>
      </w:r>
    </w:p>
    <w:p>
      <w:pPr>
        <w:spacing w:after="0" w:line="3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September 30, 2026, 12 of our landfills met all of our criteria for including their probable expansion airspace in our total available disposal capacity. At projected annual volumes, these 12 landfills have an estimated remaining average site life of 36 years, including probable expansion airspace. The average estimated remaining life of all of our landfills is 56 years. We have other expansion opportunities that are not included in our total available airspace because they do not meet all of our criteria for treatment as probable expansion airspace.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and Other Charges for Landfill Matters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reasonably possible that we will need to adjust our accrued landfill and environmental liabilities to reflect the effects of new or additional information, to the extent that such information impacts the costs, timing or duration of the required actions.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Future changes in our estimates of the costs, timing or duration of the required actions could have a material adverse effect on our consolidated financial position, results of operations and cash flows.</w:t>
      </w:r>
    </w:p>
    <w:p>
      <w:pPr>
        <w:spacing w:after="0" w:line="3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significant remediation matters, see Note 6, </w:t>
      </w:r>
      <w:r>
        <w:rPr>
          <w:rFonts w:ascii="Times New Roman" w:cs="Times New Roman" w:eastAsia="Times New Roman" w:hAnsi="Times New Roman"/>
          <w:sz w:val="18"/>
          <w:szCs w:val="18"/>
          <w:i w:val="1"/>
          <w:iCs w:val="1"/>
          <w:color w:val="auto"/>
        </w:rPr>
        <w:t>Landfill and Environmental Costs,</w:t>
      </w:r>
      <w:r>
        <w:rPr>
          <w:rFonts w:ascii="Times New Roman" w:cs="Times New Roman" w:eastAsia="Times New Roman" w:hAnsi="Times New Roman"/>
          <w:sz w:val="18"/>
          <w:szCs w:val="18"/>
          <w:color w:val="auto"/>
        </w:rPr>
        <w:t xml:space="preserve"> of the notes to our unaudited consolidated financial statements in Part I, Item 1 of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activity in our property and equipment accounts for the nine months ended September 30,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Gross Property and Equipment</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color w:val="auto"/>
              </w:rPr>
              <w:t>Impairments,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w w:val="99"/>
              </w:rPr>
              <w:t>Transfers,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Non-cash</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Foreign</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Balance as of</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Acquisitions,</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Additions</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w w:val="99"/>
              </w:rPr>
              <w:t>Currency</w:t>
            </w:r>
          </w:p>
        </w:tc>
        <w:tc>
          <w:tcPr>
            <w:tcW w:w="120" w:type="dxa"/>
            <w:vAlign w:val="bottom"/>
          </w:tcPr>
          <w:p>
            <w:pPr>
              <w:spacing w:after="0"/>
              <w:rPr>
                <w:sz w:val="11"/>
                <w:szCs w:val="11"/>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Balance as of</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for Asset</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for Asset</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Retirements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Net of</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Retirement</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Retirement</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and Other</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Additions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Divestitures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Obligations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Obligations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Landfill development costs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11,819</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 and equipment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12,293</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Construction-in-progress - landfill</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Construction-in-progress - other</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Accumulated Depreciation, Depletion and Amortization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Additions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Impairments,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Acquisitions,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Transfers, Foreign</w:t>
            </w:r>
          </w:p>
        </w:tc>
        <w:tc>
          <w:tcPr>
            <w:tcW w:w="120" w:type="dxa"/>
            <w:vAlign w:val="bottom"/>
          </w:tcPr>
          <w:p>
            <w:pPr>
              <w:spacing w:after="0"/>
              <w:rPr>
                <w:sz w:val="12"/>
                <w:szCs w:val="12"/>
                <w:color w:val="auto"/>
              </w:rPr>
            </w:pPr>
          </w:p>
        </w:tc>
        <w:tc>
          <w:tcPr>
            <w:tcW w:w="10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Balance as of</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Balance as of</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color w:val="auto"/>
              </w:rPr>
              <w:t>Charged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168"/>
              <w:spacing w:after="0" w:line="135" w:lineRule="exact"/>
              <w:rPr>
                <w:sz w:val="20"/>
                <w:szCs w:val="20"/>
                <w:color w:val="auto"/>
              </w:rPr>
            </w:pPr>
            <w:r>
              <w:rPr>
                <w:rFonts w:ascii="Times New Roman" w:cs="Times New Roman" w:eastAsia="Times New Roman" w:hAnsi="Times New Roman"/>
                <w:sz w:val="14"/>
                <w:szCs w:val="14"/>
                <w:color w:val="auto"/>
              </w:rPr>
              <w:t>for Asset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1"/>
              </w:rPr>
              <w:t>to</w:t>
            </w:r>
          </w:p>
        </w:tc>
        <w:tc>
          <w:tcPr>
            <w:tcW w:w="180" w:type="dxa"/>
            <w:vAlign w:val="bottom"/>
          </w:tcPr>
          <w:p>
            <w:pPr>
              <w:spacing w:after="0"/>
              <w:rPr>
                <w:sz w:val="12"/>
                <w:szCs w:val="12"/>
                <w:color w:val="auto"/>
              </w:rPr>
            </w:pPr>
          </w:p>
        </w:tc>
        <w:tc>
          <w:tcPr>
            <w:tcW w:w="10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Retirements</w:t>
            </w:r>
          </w:p>
        </w:tc>
        <w:tc>
          <w:tcPr>
            <w:tcW w:w="100" w:type="dxa"/>
            <w:vAlign w:val="bottom"/>
            <w:vMerge w:val="restart"/>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Net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Retirement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 and</w:t>
            </w: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8"/>
        </w:trPr>
        <w:tc>
          <w:tcPr>
            <w:tcW w:w="2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Divestitures</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Obligations</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Other Adjustments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9"/>
              </w:rPr>
              <w:t>2026</w:t>
            </w:r>
          </w:p>
        </w:tc>
        <w:tc>
          <w:tcPr>
            <w:tcW w:w="0" w:type="dxa"/>
            <w:vAlign w:val="bottom"/>
          </w:tcPr>
          <w:p>
            <w:pPr>
              <w:spacing w:after="0"/>
              <w:rPr>
                <w:sz w:val="1"/>
                <w:szCs w:val="1"/>
                <w:color w:val="auto"/>
              </w:rPr>
            </w:pPr>
          </w:p>
        </w:tc>
      </w:tr>
      <w:tr>
        <w:trPr>
          <w:trHeight w:val="195"/>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Landfill development costs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Vehicles and equipment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(7,583)</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(14,824)</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(15,734)</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and restricted cash and marketable securities balances as of:</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marketable securities</w:t>
            </w: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restricted cash and marketable securities includes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cash and marketable securities: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Borders>
              <w:bottom w:val="single" w:sz="8" w:color="CCEEFF"/>
            </w:tcBorders>
          </w:tcPr>
          <w:p>
            <w:pPr>
              <w:spacing w:after="0"/>
              <w:rPr>
                <w:sz w:val="20"/>
                <w:szCs w:val="20"/>
                <w:color w:val="auto"/>
              </w:rPr>
            </w:pPr>
          </w:p>
        </w:tc>
        <w:tc>
          <w:tcPr>
            <w:tcW w:w="2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Capping, closure and post-closure obligations</w:t>
            </w:r>
          </w:p>
        </w:tc>
        <w:tc>
          <w:tcPr>
            <w:tcW w:w="2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2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and Intended Uses of Cash</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existing cash, cash equivalents, restricted cash and marketable securities,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dividend payments; (4) payments to service debt and other long-term obligations; (5) payments for asset retirement obligations and environmental liabilities; and (6) share repurchases.</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may choose to voluntarily retire certain portions of our outstanding debt before their maturity dates using cash from operations or additional borrowings. We may also explore opportunities in the capital markets to fund redemptions of our debt should market conditions be favorable. Early extinguishment of debt will result in a loss in the period in which the debt is repaid. The loss on early extinguishment of debt relates to premiums paid to effectuate the repurchase and the relative portion of unamortized note discounts and debt issue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acquisition growth strategy focuses primarily on acquiring privately held recycling and waste companies and environmental solutions businesses that complement our existing business platform.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invest at least $1.2 billion in acquisitions in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0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major components of changes in cash flows are discussed in the following paragraphs. The following table summarizes our cash flow from operating activities, investing activities and financing activities for the nine months ended September 30, 2026 and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6"/>
        </w:trPr>
        <w:tc>
          <w:tcPr>
            <w:tcW w:w="7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3,519</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(2,473)</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94"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use cash flows from operations to fund our operating activities, capital expenditures and leases, acquisitions, dividend payments, share repurchases, interest payments and repayments of debt and other long-term obligations, and payments for asset retirement obligations and environmental liabilities.</w:t>
      </w:r>
    </w:p>
    <w:p>
      <w:pPr>
        <w:spacing w:after="0" w:line="1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the comparison of our cash flows provided by operating activities for the nine months ended September 30, 2026 and 2025 are summarized below.</w:t>
      </w:r>
    </w:p>
    <w:p>
      <w:pPr>
        <w:spacing w:after="0" w:line="4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Changes in assets and liabilities, net of effects from business acquisitions and divestitures, decreased our cash flows from operations by $112 million during the nine months ended September 30, 2026, compared to a decrease of $35 million during the same period in 2025, primarily as a result of the following:</w:t>
      </w:r>
    </w:p>
    <w:p>
      <w:pPr>
        <w:spacing w:after="0" w:line="41" w:lineRule="exact"/>
        <w:rPr>
          <w:sz w:val="20"/>
          <w:szCs w:val="20"/>
          <w:color w:val="auto"/>
        </w:rPr>
      </w:pPr>
    </w:p>
    <w:p>
      <w:pPr>
        <w:ind w:left="660" w:right="120" w:hanging="328"/>
        <w:spacing w:after="0" w:line="261" w:lineRule="auto"/>
        <w:tabs>
          <w:tab w:leader="none" w:pos="649"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Our accounts receivable, exclusive of the change in allowance for doubtful accounts and customer credits, increased $254 million during the nine months ended September 30, 2026, due to an increase in revenue and the timing of related billings and collections, compared to a $78 million increase in the same period in 2025. As of September 30, 2026, our days sales outstanding were 42.4, or 32.8 days net of deferred revenue, compared to 41.0, or 30.2 days net of deferred revenue, as of September 30, 2025.</w:t>
      </w:r>
    </w:p>
    <w:p>
      <w:pPr>
        <w:spacing w:after="0" w:line="58" w:lineRule="exact"/>
        <w:rPr>
          <w:rFonts w:ascii="Times New Roman" w:cs="Times New Roman" w:eastAsia="Times New Roman" w:hAnsi="Times New Roman"/>
          <w:sz w:val="16"/>
          <w:szCs w:val="16"/>
          <w:b w:val="1"/>
          <w:bCs w:val="1"/>
          <w:color w:val="auto"/>
        </w:rPr>
      </w:pPr>
    </w:p>
    <w:p>
      <w:pPr>
        <w:ind w:left="660" w:right="140" w:hanging="328"/>
        <w:spacing w:after="0" w:line="261" w:lineRule="auto"/>
        <w:tabs>
          <w:tab w:leader="none" w:pos="649"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Our prepaid expenses and other assets increased $49 million during the nine months ended September 30, 2026, compared to a $93 million increase in the same period in 2025, primarily due to exiting one of our reinsurance arrangements and a decrease in our tax receivables due to the timing of our estimated tax payments. This was partially offset by an increase in prepaid licensing and capitalized implementation costs for our cloud-based hosting arrangements.</w:t>
      </w:r>
    </w:p>
    <w:p>
      <w:pPr>
        <w:spacing w:after="0" w:line="58" w:lineRule="exact"/>
        <w:rPr>
          <w:rFonts w:ascii="Times New Roman" w:cs="Times New Roman" w:eastAsia="Times New Roman" w:hAnsi="Times New Roman"/>
          <w:sz w:val="16"/>
          <w:szCs w:val="16"/>
          <w:b w:val="1"/>
          <w:bCs w:val="1"/>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accounts payable increased $176 million during the nine months ended September 30, 2026, compared to a $23 million increase in the same period in 2025, primarily due to the timing of payments.</w:t>
      </w:r>
    </w:p>
    <w:p>
      <w:pPr>
        <w:spacing w:after="0" w:line="2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49"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Cash paid for capping, closure and post-closure obligations was $54 million during the nine months ended September 30, 2026, compared to $38 million in the same period in 2025.</w:t>
      </w:r>
    </w:p>
    <w:p>
      <w:pPr>
        <w:spacing w:after="0" w:line="40" w:lineRule="exact"/>
        <w:rPr>
          <w:rFonts w:ascii="Times New Roman" w:cs="Times New Roman" w:eastAsia="Times New Roman" w:hAnsi="Times New Roman"/>
          <w:sz w:val="16"/>
          <w:szCs w:val="16"/>
          <w:b w:val="1"/>
          <w:bCs w:val="1"/>
          <w:color w:val="auto"/>
        </w:rPr>
      </w:pPr>
    </w:p>
    <w:p>
      <w:pPr>
        <w:ind w:left="660" w:right="240" w:hanging="328"/>
        <w:spacing w:after="0" w:line="282" w:lineRule="auto"/>
        <w:tabs>
          <w:tab w:leader="none" w:pos="649"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Cash paid for remediation obligations was $5 million higher during the nine months ended September 30, 2026, compared to the same period in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liabilities increased $105 million during the nine months ended September 30, 2026, compared to a $182 million increase in the same period in 2025, primarily due to exiting one of our reinsurance arrangements.</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cash paid for interest was $380 million and $355 million for the nine months ended September 30, 2026 and 2025, respectively. Cash paid for income taxes was $122 million and $166 million for the nine months ended September 30, 2026 and 2025,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the comparison of our cash flows used in investing activities for the nine months ended September 30, 2026 and 2025 are summarized below:</w:t>
      </w:r>
    </w:p>
    <w:p>
      <w:pPr>
        <w:spacing w:after="0" w:line="40" w:lineRule="exact"/>
        <w:rPr>
          <w:sz w:val="20"/>
          <w:szCs w:val="20"/>
          <w:color w:val="auto"/>
        </w:rPr>
      </w:pPr>
    </w:p>
    <w:p>
      <w:pPr>
        <w:ind w:left="660" w:right="20" w:hanging="328"/>
        <w:spacing w:after="0" w:line="282" w:lineRule="auto"/>
        <w:tabs>
          <w:tab w:leader="none" w:pos="649"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Capital expenditures during the nine months ended September 30, 2026 were $1,363 million, compared with $1,310 million for the same period in 2025.</w:t>
      </w:r>
    </w:p>
    <w:p>
      <w:pPr>
        <w:spacing w:after="0" w:line="40" w:lineRule="exact"/>
        <w:rPr>
          <w:rFonts w:ascii="Times New Roman" w:cs="Times New Roman" w:eastAsia="Times New Roman" w:hAnsi="Times New Roman"/>
          <w:sz w:val="16"/>
          <w:szCs w:val="16"/>
          <w:b w:val="1"/>
          <w:bCs w:val="1"/>
          <w:color w:val="auto"/>
        </w:rPr>
      </w:pPr>
    </w:p>
    <w:p>
      <w:pPr>
        <w:ind w:left="660" w:right="580" w:hanging="328"/>
        <w:spacing w:after="0" w:line="282" w:lineRule="auto"/>
        <w:tabs>
          <w:tab w:leader="none" w:pos="649"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the nine months ended September 30, 2026 and 2025, we paid $1,117 million and $1,259 million, respectively, for acquisitions and investments.</w:t>
      </w:r>
    </w:p>
    <w:p>
      <w:pPr>
        <w:spacing w:after="0" w:line="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intend to finance future capital expenditures, acquisitions and investments through cash on hand, restricted cash held for capital expenditures, cash flows from operations, our revolving credit facilities, and tax-exempt bonds and other financings.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most significant items affecting the comparison of our cash flows used in financing activities for the nine months ended September 30, 2026 and 2025 are summarized below:</w:t>
      </w:r>
    </w:p>
    <w:p>
      <w:pPr>
        <w:spacing w:after="0" w:line="27"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the nine months ended September 30, 2026, we issued $1,200 million of senior notes for cash proceeds, net of discounts and fees, of</w:t>
      </w:r>
    </w:p>
    <w:p>
      <w:pPr>
        <w:spacing w:after="0" w:line="27" w:lineRule="exact"/>
        <w:rPr>
          <w:rFonts w:ascii="Times New Roman" w:cs="Times New Roman" w:eastAsia="Times New Roman" w:hAnsi="Times New Roman"/>
          <w:sz w:val="16"/>
          <w:szCs w:val="16"/>
          <w:b w:val="1"/>
          <w:bCs w:val="1"/>
          <w:color w:val="auto"/>
        </w:rPr>
      </w:pPr>
    </w:p>
    <w:p>
      <w:pPr>
        <w:ind w:left="660" w:right="6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 xml:space="preserve">$1,183 million. During the nine months ended September 30, 2025, we issued $1,200 million of senior notes for cash proceeds, net of discounts and fees, of $1,183 million. Additionally, net payments for notes payable and long-term debt were $731 million during the nine months ended September 30, 2026, compared to net payments of $743 million during the same period in 2025. For a more detailed discussion, see the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w:t>
      </w:r>
      <w:r>
        <w:rPr>
          <w:rFonts w:ascii="Times New Roman" w:cs="Times New Roman" w:eastAsia="Times New Roman" w:hAnsi="Times New Roman"/>
          <w:sz w:val="18"/>
          <w:szCs w:val="18"/>
          <w:color w:val="auto"/>
        </w:rPr>
        <w:t>section of this Management's Discussion and Analysis of Financial Condition and Results of Operations.</w:t>
      </w:r>
    </w:p>
    <w:p>
      <w:pPr>
        <w:spacing w:after="0" w:line="67" w:lineRule="exact"/>
        <w:rPr>
          <w:rFonts w:ascii="Times New Roman" w:cs="Times New Roman" w:eastAsia="Times New Roman" w:hAnsi="Times New Roman"/>
          <w:sz w:val="16"/>
          <w:szCs w:val="16"/>
          <w:b w:val="1"/>
          <w:bCs w:val="1"/>
          <w:color w:val="auto"/>
        </w:rPr>
      </w:pPr>
    </w:p>
    <w:p>
      <w:pPr>
        <w:ind w:left="660" w:right="10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2026, we repurchased 4.0 million shares of our common stock for $856 million, which included the cash paid for excise tax on share repurchases, compared to repurchases of 2.6 million shares for $599 million, which included the cash paid for excise tax on share repurchases, during the same period in 2025.</w:t>
      </w:r>
    </w:p>
    <w:p>
      <w:pPr>
        <w:spacing w:after="0" w:line="5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Dividends paid were $577 million and $544 million during the nine months ended September 30, 2026 and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September 30, 2026, we had $48 million of principal debt maturing within the next 12 months, which includes certain finance lease obligations. All of our tax-exempt financings are remarketed either quarterly or semiannually by remarketing agents to effectively maintain a variable yield, with the exception of three tax-exempt financings each with initial remarketing periods of 10 years. The holders of the bonds can put them back to the remarketing agents at the end of each interest period. If the remarketing agents are unable to remarket our bonds, the remarketing agents can put the bonds to us. In the event of a failed remarketing, as of September 30, 2026, we had availability under our Credit Facility to fund the repurchase of these bonds until they are remarketed successfully. In the event of a failed re-borrowing under our commercial paper program, as of September 30, 2026, we had availability under our Credit Facility to fund the commercial paper program until it is re-borrowed successfully. Accordingly, we have classified these tax-exempt financings and commercial paper program borrowings as long-term in our unaudited consolidated balance sheet as of September 30, 2026.</w:t>
      </w:r>
    </w:p>
    <w:p>
      <w:pPr>
        <w:spacing w:after="0" w:line="6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For further discussion of the components of our overall debt,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our unaudited consolidated financial statements in Part I, Item 1 of this Quarterly Report on Form 10-Q.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Facility</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September 30, 2026, we had $80 million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borrowings outstanding under our Uncommitted Credit Facility. As of December 31, 2025, we had no borrowings outstanding under our Uncommitted Credit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Credit Facility</w:t>
      </w:r>
    </w:p>
    <w:p>
      <w:pPr>
        <w:spacing w:after="0" w:line="10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spacing w:after="0" w:line="3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loans to the Canadian Borrower and all loans denominated in Canadian dollars cannot exceed $1.0 billion (the Canadian Sublimit). The Canadian Sublimit is part of, and not in addition to, the aggregate commitments under the Credit Facility.</w:t>
      </w:r>
    </w:p>
    <w:p>
      <w:pPr>
        <w:spacing w:after="0" w:line="4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(all as defined in the Credit Facility agreement) plus a current applicable margin of</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0.805% based on our Debt Ratings. As of September 30, 2026 and December 31, 2025, C$260 million and C$204 million, respectively, were outstanding against the Canadian Sublimit.</w:t>
      </w:r>
    </w:p>
    <w:p>
      <w:pPr>
        <w:spacing w:after="0" w:line="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spacing w:after="0" w:line="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had $183 million and $425 million outstanding under the Credit Facility as of September 30, 2026 and December 31, 2025, respectively. We had $315 million and $319 million of letters of credit outstanding under the Credit Facility as of September 30, 2026 and December 31, 2025, respectively. We also had $899 million and $1.0 billion of principal borrowings outstanding under our commercial paper program as of September 30, 2026 and December 31, 2025, respectively. As a result, availability under the Credit Facility was $2.1 billion and $1.8 billion as of September 30, 2026 and December 31, 2025,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Financial and Other Covenants</w:t>
      </w:r>
    </w:p>
    <w:p>
      <w:pPr>
        <w:spacing w:after="0" w:line="10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Credit Facility requires us to comply with financial and other covenants. To the extent we are not in compliance with these covenants, we cannot pay dividends or repurchase common stock. Compliance with covenants also is a condition for any incremental borrowings under the Credit Facility, and failure to meet these covenants would enable the lenders to require repayment of any outstanding loans (which would adversely affect our liquidity). Additionally, if we are not in compliance with these covenants, we could not use the availability under our Credit Facility to fund borrowings we currently make under our commercial paper program, if there is a failed reborrowing under that program. The Credit Facility provides that our total debt to EBITDA ratio may not exceed 3.75 to 1.00 as of the last day of any fiscal quarter. In the case of an "elevated ratio period", which may be elected by us if one or more acquisitions during a fiscal quarter involve aggregate consideration in excess of $200.0 million (the Trigger Quarter), the total debt to EBITDA ratio may not exceed 4.25 to 1.00 during the Trigger Quarter and for the three fiscal quarters thereafter. The Credit Facility also provides that there may not be more than two elevated ratio periods during the term of the Credit Facility agreement. As of September 30, 2026, our total debt to EBITDA ratio was approximately 2.6 compared to the 3.75 maximum allowed. As of September 30, 2026, we were in compliance with all covenants under our Credit Facility.</w:t>
      </w:r>
    </w:p>
    <w:p>
      <w:pPr>
        <w:spacing w:after="0" w:line="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Failure to comply with the financial and other covenants under the Credit Facility, as well as the occurrence of certain material adverse events, would constitute defaults and would allow the lenders under the Credit Facility to accelerate the maturity of all indebtedness under the Credit Facility. This could have an adverse effect on the availability of financial assurances. In addition, maturity acceleration on the Credit Facility constitutes an event of default under certain of our other debt and derivative instruments. If such acceleration were to occur, we would not have sufficient liquidity available to repay the indebtedness. We would likely have to seek an amendment under the Credit Facility for relief from the financial covenant or repay the debt with proceeds from the issuance of new debt or equity, or asset sales, if necessary. We may be unable to amend the Credit Facility or raise sufficient capital to repay such obligations in the event the maturity is accelerated.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2022, we entered into a commercial paper program for the issuance and sale of unsecured commercial paper that stipulates a maximum principal amount that can be outstanding at any one time (the Commercial Paper Cap). In 2025, the Commercial Paper Cap was $1.5 billion. In August 2026, the Commercial Paper Cap was increased to $2.0 billion. The weighted average interest rate for borrowings outstanding as of September 30, 2026 was 4.094%. The weighted average interest rate for borrowings outstanding as of December 31, 2025 was 4.044%.</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had $899 million and $1.0 billion principal value of commercial paper issued and outstanding under the program as of September 30, 2026 and December 31, 2025,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sheets as of September 30, 2026 and December 31, 2025,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Debentures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2025, we issued $500 million of 4.750% senior notes due 2030 and $700 million of 5.150% senior notes due 2035. We used the proceeds from the March 2025 notes issuance for general corporate purposes, including the repayment of a portion of amounts outstanding under our credit facilities and a portion of outstanding borrowings under our commercial paper program.</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June 2026, we issued $700 million of 4.750% senior notes due 2031 and $500 million of 5.000% senior notes due 2036. We used the proceeds from the June 2026 notes issuance for general corporate purposes, including the repayment of a portion of amounts outstanding under our credit facilities and a portion of outstanding borrowings under our commercial paper program.</w:t>
      </w:r>
    </w:p>
    <w:p>
      <w:pPr>
        <w:spacing w:after="0" w:line="41" w:lineRule="exact"/>
        <w:rPr>
          <w:sz w:val="20"/>
          <w:szCs w:val="20"/>
          <w:color w:val="auto"/>
        </w:rPr>
      </w:pPr>
    </w:p>
    <w:p>
      <w:pPr>
        <w:ind w:right="1000"/>
        <w:spacing w:after="0" w:line="360" w:lineRule="auto"/>
        <w:rPr>
          <w:sz w:val="20"/>
          <w:szCs w:val="20"/>
          <w:color w:val="auto"/>
        </w:rPr>
      </w:pPr>
      <w:r>
        <w:rPr>
          <w:rFonts w:ascii="Times New Roman" w:cs="Times New Roman" w:eastAsia="Times New Roman" w:hAnsi="Times New Roman"/>
          <w:sz w:val="18"/>
          <w:szCs w:val="18"/>
          <w:color w:val="auto"/>
        </w:rPr>
        <w:t xml:space="preserve">Our senior notes and debentures are general unsecured and unsubordinated obligations and rank equally with our other unsecured obligations. </w:t>
      </w:r>
      <w:r>
        <w:rPr>
          <w:rFonts w:ascii="Times New Roman" w:cs="Times New Roman" w:eastAsia="Times New Roman" w:hAnsi="Times New Roman"/>
          <w:sz w:val="18"/>
          <w:szCs w:val="18"/>
          <w:b w:val="1"/>
          <w:bCs w:val="1"/>
          <w:i w:val="1"/>
          <w:iCs w:val="1"/>
          <w:color w:val="auto"/>
        </w:rPr>
        <w:t>Tax-Exempt Financings</w:t>
      </w: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both September 30, 2026 and December 31, 2025, we had $1.4 billion of tax-exempt financings outstanding with maturities ranging from 2026 to 2056 and 2026 to 2054, respectively.</w:t>
      </w:r>
    </w:p>
    <w:p>
      <w:pPr>
        <w:spacing w:after="0" w:line="2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March 2026, the California Municipal Finance Authority issued, for our benefit, $100 million in principal amount of Solid Waste Disposal Revenue Bonds. The proceeds from the issuance, after deferred issuance costs, were used to fund the acquisition, construction, improvement, installation, and/or equipping of certain solid waste disposal facilities located within California.</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September 30, 2026 and December 31,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 and Other</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had finance leases and other liabilities of $440 million and $441 million, respectively, with maturities ranging from 2026 to 2063 for both periods, respectively.</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finance leases and other included $156 million and $148 million, respectively, related to construction costs for our corporate office building located in Phoenix, Arizona, which has been accounted for as a financing obligation.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continued access to the debt capital markets and to new financing facilities, as well as our borrowing costs, depend on multiple factors, including market conditions, our operating performance and maintaining strong credit ratings. As of September 30, 2026, our credit ratings were A- by Standard &amp; Poor's Ratings Services, A- by Fitch Ratings, Inc. and A3 by Moody’s Investors Service, Inc. If our credit ratings were downgraded, especially any downgrade to below investment grade, our ability to access the debt markets with the same flexibility that we have experienced historically, our cost of funds and other terms for new debt issuances could be adversely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landfills and other facilities. Our operations also can be favorably affected by severe weather, which could increase the volume of waste in situations where we are able to charge for our additional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0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commitments and contingencies, see Note 6, </w:t>
      </w:r>
      <w:r>
        <w:rPr>
          <w:rFonts w:ascii="Times New Roman" w:cs="Times New Roman" w:eastAsia="Times New Roman" w:hAnsi="Times New Roman"/>
          <w:sz w:val="18"/>
          <w:szCs w:val="18"/>
          <w:i w:val="1"/>
          <w:iCs w:val="1"/>
          <w:color w:val="auto"/>
        </w:rPr>
        <w:t>Landfill and Environmental Costs</w:t>
      </w:r>
      <w:r>
        <w:rPr>
          <w:rFonts w:ascii="Times New Roman" w:cs="Times New Roman" w:eastAsia="Times New Roman" w:hAnsi="Times New Roman"/>
          <w:sz w:val="18"/>
          <w:szCs w:val="18"/>
          <w:color w:val="auto"/>
        </w:rPr>
        <w:t xml:space="preserv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Contingencies</w:t>
      </w:r>
      <w:r>
        <w:rPr>
          <w:rFonts w:ascii="Times New Roman" w:cs="Times New Roman" w:eastAsia="Times New Roman" w:hAnsi="Times New Roman"/>
          <w:sz w:val="18"/>
          <w:szCs w:val="18"/>
          <w:color w:val="auto"/>
        </w:rPr>
        <w:t>, to our unaudited consolidated financial statements included in Part I, Item 1 of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 and Estimates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identified and discussed our critical accounting judgments and estimates in our Annual Report on Form 10-K for the fiscal year ended December 31, 2025. Although we believe our estimates and judgments are reasonable, they are based upon information available at the time the judgment or estimate is made. Actual results may differ significantly from estimates under different assumptions or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9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new accounting standards that may affect us, see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to our unaudited consolidated financial statements included in Part I, Item 1 of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Fuel costs represent a significant operating expense. When economically practical, we may enter into new fuel hedges, renew contracts, or engage in other strategies to mitigate market risk. As of September 30, 2026, we had no fuel hedges in place. While we charge fuel recovery fees to a majority of our customers, we are unable to charge such fees to all customers.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current consumption levels, we believe a twenty-cent per gallon change in the price of diesel fuel would change our combined fuel expense and transportation surcharges by approximately $31 million per year. We expect fuel recovery fees charged to our customers to offset these changes in expense. At current participation rates, we believe a twenty-cent per gallon change in the price of diesel fuel would change our fuel recovery fees by approximately $37 million per year.</w:t>
      </w:r>
    </w:p>
    <w:p>
      <w:pPr>
        <w:spacing w:after="0" w:line="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operations also require the use of certain petrochemical-based products (such as liners at our landfills), the cost of which may vary with the price of petrochemicals. An increase in the price of petrochemicals could increase the cost of those products, which would increase our operating and capital costs. We are susceptible to increases in fuel surcharges from our vendors.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fuel costs were $475 million during the nine months ended September 30, 2026, or 3.6% of revenue, compared to $349 million, or 2.8% of revenue, during the comparable period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Price Risk</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market recovered materials such as old corrugated containers and old newsprint from our recycling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September 30, 2026, we had no recycling commodity hedges in place.</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current volumes and mix of materials, we believe a $10 change in the price of recycled commodities would change both annual revenue and operating income by approximately $13 million.</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from recycling processing and commodity sales during the nine months ended September 30, 2026 and 2025 was $356 million and $328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on our variable rate long-term debt. Additionally, we enter into various interest rate swap agreements with the goal of reducing overall borrowing costs, as well as interest rate locks to manage exposure to fluctuations in anticipation of future debt issuances. Our interest rate swap and lock contracts have been authorized pursuant to our policies and procedures. We do not use financial instruments for trading purposes and are not a party to any leveraged derivatives.</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we had $2.3 billion of principal floating rate debt. If interest rates increased or decreased by 100 basis points on our floating rate debt, annualized interest expense and net cash payments for interest would increase or decrease</w:t>
      </w:r>
    </w:p>
    <w:p>
      <w:pPr>
        <w:sectPr>
          <w:pgSz w:w="11900" w:h="16838" w:orient="portrait"/>
          <w:cols w:equalWidth="0" w:num="1">
            <w:col w:w="11220"/>
          </w:cols>
          <w:pgMar w:left="320" w:top="21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type w:val="continuous"/>
        </w:sectPr>
      </w:pPr>
    </w:p>
    <w:bookmarkStart w:id="46" w:name="page47"/>
    <w:bookmarkEnd w:id="46"/>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by approximately $23 million. This analysis does not reflect the effect that interest rates would have on other items, such as new borrowings and the impact on the economy.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our unaudited consolidated financial statements in Part I, Item 1 of this Quarterly Report on Form 10-Q for further information regarding how we manage interest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Form 10-Q. Based upon that evaluation, our Chief Executive Officer and Chief Financial Officer concluded that our disclosure controls and procedures were effective as of the end of the period covered by this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management, including our Chief Executive Officer and Chief Financial Officer, there has been no change in our internal control over financial reporting during the period covered by this Form 10-Q identified in connection with that evaluation,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Legal Proceedings</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As used in the immediately following paragraph, the term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5,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to our unaudited consolidated financial statements in Part I, Item 1 of this Quarterly Report on Form 10-Q; and (2) environmental remediation liabilities, which totaled $423 million at September 30, 2026 and which are discussed in Note 6, </w:t>
      </w:r>
      <w:r>
        <w:rPr>
          <w:rFonts w:ascii="Times New Roman" w:cs="Times New Roman" w:eastAsia="Times New Roman" w:hAnsi="Times New Roman"/>
          <w:sz w:val="18"/>
          <w:szCs w:val="18"/>
          <w:i w:val="1"/>
          <w:iCs w:val="1"/>
          <w:color w:val="auto"/>
        </w:rPr>
        <w:t>Landfill and Environmental Costs,</w:t>
      </w:r>
      <w:r>
        <w:rPr>
          <w:rFonts w:ascii="Times New Roman" w:cs="Times New Roman" w:eastAsia="Times New Roman" w:hAnsi="Times New Roman"/>
          <w:sz w:val="18"/>
          <w:szCs w:val="18"/>
          <w:color w:val="auto"/>
        </w:rPr>
        <w:t xml:space="preserve"> to our unaudited consolidated financial statements in Part I, Item 1 of this Quarterly Report on Form 10-Q.</w:t>
      </w:r>
    </w:p>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September 30, 2026, we estimate that the probable and reasonably estimable outcomes of any such legal proceedings, as well as the aggregate potential liability using reasonably possible high ends of our ranges, are immaterial to the Company's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over Certain Environmental Matters Involving Governmental Authorities with Possible Sanctions of $1,000,000 or More</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threshold which we determine is reasonably designed to result in disclosure of any such proceeding that is material to our business or financial condition. We have determined such disclosure threshold to be $1,000,000. We have no matters to disclose in accordance with that requirement.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40" w:right="68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our purchases of shares of our common stock during the three months ended September 30, 2026: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Total 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Dollar</w:t>
            </w: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Average Price Paid</w:t>
            </w: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right="88"/>
              <w:spacing w:after="0" w:line="145"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May Yet Be Purchased</w:t>
            </w:r>
          </w:p>
        </w:tc>
        <w:tc>
          <w:tcPr>
            <w:tcW w:w="0" w:type="dxa"/>
            <w:vAlign w:val="bottom"/>
          </w:tcPr>
          <w:p>
            <w:pPr>
              <w:spacing w:after="0"/>
              <w:rPr>
                <w:sz w:val="1"/>
                <w:szCs w:val="1"/>
                <w:color w:val="auto"/>
              </w:rPr>
            </w:pPr>
          </w:p>
        </w:tc>
      </w:tr>
      <w:tr>
        <w:trPr>
          <w:trHeight w:val="198"/>
        </w:trPr>
        <w:tc>
          <w:tcPr>
            <w:tcW w:w="42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 (a)</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per Share (a)(d)</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Program (b)</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Under the Program (c)(d)</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1 - 31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209.69</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997,692,356</w:t>
            </w: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1 - 31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917,015,485</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1 - 30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499,740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217.88</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499,740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808,131,573</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915,357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915,357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360" w:hanging="332"/>
        <w:spacing w:after="0" w:line="255" w:lineRule="auto"/>
        <w:tabs>
          <w:tab w:leader="none" w:pos="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our Board of Directors approved a $3.0 billion share repurchase authorization effective January 1, 2024 and extending through December 31, 2026. In October 2026, our Board of Directors approved a $5.0 billion share repurchase authorization effective January 1, 2027 and extending through December 31, 2029.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September 30, 2026, there were no repurchased shares pending settlement.</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as part of the publicly announced program were all purchased pursuant to the October 2023 authorization.</w:t>
      </w:r>
    </w:p>
    <w:p>
      <w:pPr>
        <w:spacing w:after="0" w:line="103" w:lineRule="exact"/>
        <w:rPr>
          <w:rFonts w:ascii="Times New Roman" w:cs="Times New Roman" w:eastAsia="Times New Roman" w:hAnsi="Times New Roman"/>
          <w:sz w:val="18"/>
          <w:szCs w:val="18"/>
          <w:color w:val="auto"/>
        </w:rPr>
      </w:pPr>
    </w:p>
    <w:p>
      <w:pPr>
        <w:ind w:left="340" w:right="780" w:hanging="332"/>
        <w:spacing w:after="0" w:line="282" w:lineRule="auto"/>
        <w:tabs>
          <w:tab w:leader="none" w:pos="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 1% excise tax imposed by the Inflation Reduction Act.</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 director or officer adopted or terminated any contract, instrument or written plan for the purchase or sale of Republic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Exhibit Number</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Description of Exhibit</w:t>
            </w:r>
          </w:p>
        </w:tc>
      </w:tr>
      <w:tr>
        <w:trPr>
          <w:trHeight w:val="280"/>
        </w:trPr>
        <w:tc>
          <w:tcPr>
            <w:tcW w:w="220" w:type="dxa"/>
            <w:vAlign w:val="bottom"/>
            <w:tcBorders>
              <w:top w:val="single" w:sz="8" w:color="auto"/>
            </w:tcBorders>
            <w:gridSpan w:val="2"/>
          </w:tcPr>
          <w:p>
            <w:pPr>
              <w:ind w:left="20"/>
              <w:spacing w:after="0"/>
              <w:rPr>
                <w:rFonts w:ascii="Times New Roman" w:cs="Times New Roman" w:eastAsia="Times New Roman" w:hAnsi="Times New Roman"/>
                <w:sz w:val="16"/>
                <w:szCs w:val="16"/>
                <w:color w:val="0000FF"/>
                <w:w w:val="89"/>
              </w:rPr>
            </w:pPr>
            <w:hyperlink r:id="rId64">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1</w:t>
              </w:r>
            </w:hyperlink>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 of Commercial Paper Dealer Agreement--4(a)(2) Program, dated as of May 25, 2022, between Republic Services, Inc.</w:t>
            </w:r>
          </w:p>
        </w:tc>
      </w:tr>
      <w:tr>
        <w:trPr>
          <w:trHeight w:val="128"/>
        </w:trPr>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3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and the applicable dealer party thereto (incorporated by reference to Exhibit 10.1 of the Company's Current Report on Form 8-</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 filed September 1, 2022).</w:t>
            </w:r>
          </w:p>
        </w:tc>
      </w:tr>
      <w:tr>
        <w:trPr>
          <w:trHeight w:val="249"/>
        </w:trPr>
        <w:tc>
          <w:tcPr>
            <w:tcW w:w="20" w:type="dxa"/>
            <w:vAlign w:val="bottom"/>
          </w:tcPr>
          <w:p>
            <w:pPr>
              <w:spacing w:after="0"/>
              <w:rPr>
                <w:sz w:val="21"/>
                <w:szCs w:val="21"/>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Rule 13a-14(a)/15d-14(a) Certification of Chief Executive Officer.</w:t>
            </w:r>
          </w:p>
        </w:tc>
      </w:tr>
      <w:tr>
        <w:trPr>
          <w:trHeight w:val="263"/>
        </w:trPr>
        <w:tc>
          <w:tcPr>
            <w:tcW w:w="20" w:type="dxa"/>
            <w:vAlign w:val="bottom"/>
          </w:tcPr>
          <w:p>
            <w:pPr>
              <w:spacing w:after="0"/>
              <w:rPr>
                <w:sz w:val="22"/>
                <w:szCs w:val="22"/>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Rule 13a-14(a)/15d-14(a) Certification of Chief Financial Officer.</w:t>
            </w:r>
          </w:p>
        </w:tc>
      </w:tr>
      <w:tr>
        <w:trPr>
          <w:trHeight w:val="263"/>
        </w:trPr>
        <w:tc>
          <w:tcPr>
            <w:tcW w:w="20" w:type="dxa"/>
            <w:vAlign w:val="bottom"/>
          </w:tcPr>
          <w:p>
            <w:pPr>
              <w:spacing w:after="0"/>
              <w:rPr>
                <w:sz w:val="22"/>
                <w:szCs w:val="22"/>
                <w:color w:val="auto"/>
              </w:rPr>
            </w:pPr>
          </w:p>
        </w:tc>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1350 Certification of Chief Executive Officer.</w:t>
            </w:r>
          </w:p>
        </w:tc>
      </w:tr>
      <w:tr>
        <w:trPr>
          <w:trHeight w:val="263"/>
        </w:trPr>
        <w:tc>
          <w:tcPr>
            <w:tcW w:w="20" w:type="dxa"/>
            <w:vAlign w:val="bottom"/>
          </w:tcPr>
          <w:p>
            <w:pPr>
              <w:spacing w:after="0"/>
              <w:rPr>
                <w:sz w:val="22"/>
                <w:szCs w:val="22"/>
                <w:color w:val="auto"/>
              </w:rPr>
            </w:pPr>
          </w:p>
        </w:tc>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2**</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1350 Certification of Chief Financial Officer.</w:t>
            </w:r>
          </w:p>
        </w:tc>
      </w:tr>
      <w:tr>
        <w:trPr>
          <w:trHeight w:val="304"/>
        </w:trPr>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101.INS*</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within the Inline XBRL document.</w:t>
            </w:r>
          </w:p>
        </w:tc>
      </w:tr>
      <w:tr>
        <w:trPr>
          <w:trHeight w:val="283"/>
        </w:trPr>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101.SCH*</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83"/>
        </w:trPr>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101.CAL*</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83"/>
        </w:trPr>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101.LAB*</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83"/>
        </w:trPr>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101.PRE*</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83"/>
        </w:trPr>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101.DEF*</w:t>
            </w: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84"/>
        </w:trPr>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24" w:lineRule="exact"/>
        <w:rPr>
          <w:sz w:val="20"/>
          <w:szCs w:val="20"/>
          <w:color w:val="auto"/>
        </w:rPr>
      </w:pPr>
    </w:p>
    <w:p>
      <w:pPr>
        <w:ind w:left="560" w:hanging="534"/>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46" w:lineRule="exact"/>
        <w:rPr>
          <w:sz w:val="20"/>
          <w:szCs w:val="20"/>
          <w:color w:val="auto"/>
        </w:rPr>
      </w:pPr>
    </w:p>
    <w:p>
      <w:pPr>
        <w:ind w:left="560" w:hanging="534"/>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is being furnished rather than filed, and shall not be deemed incorporated by reference into any filing, in accordance with Item 601 of Regulation S-K.</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11" w:right="45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Republic Services, Inc., has duly caused this report to be signed on its behalf by the undersigned thereunto duly authorized.</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12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REPUBLIC SERVICES, INC.</w:t>
            </w: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29, 2026</w:t>
            </w:r>
          </w:p>
        </w:tc>
        <w:tc>
          <w:tcPr>
            <w:tcW w:w="266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9"/>
              </w:rPr>
              <w:t>By:</w:t>
            </w: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rPr>
              <w:t>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tc>
      </w:tr>
      <w:tr>
        <w:trPr>
          <w:trHeight w:val="237"/>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Brian D</w:t>
            </w:r>
            <w:r>
              <w:rPr>
                <w:rFonts w:ascii="Times New Roman" w:cs="Times New Roman" w:eastAsia="Times New Roman" w:hAnsi="Times New Roman"/>
                <w:sz w:val="16"/>
                <w:szCs w:val="16"/>
                <w:b w:val="1"/>
                <w:bCs w:val="1"/>
                <w:color w:val="auto"/>
              </w:rPr>
              <w:t>el</w:t>
            </w:r>
            <w:r>
              <w:rPr>
                <w:rFonts w:ascii="Times New Roman" w:cs="Times New Roman" w:eastAsia="Times New Roman" w:hAnsi="Times New Roman"/>
                <w:sz w:val="18"/>
                <w:szCs w:val="18"/>
                <w:b w:val="1"/>
                <w:bCs w:val="1"/>
                <w:color w:val="auto"/>
              </w:rPr>
              <w:t>Ghiaccio</w:t>
            </w:r>
          </w:p>
        </w:tc>
      </w:tr>
      <w:tr>
        <w:trPr>
          <w:trHeight w:val="189"/>
        </w:trPr>
        <w:tc>
          <w:tcPr>
            <w:tcW w:w="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4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Executive Vice President,</w:t>
            </w:r>
          </w:p>
        </w:tc>
      </w:tr>
      <w:tr>
        <w:trPr>
          <w:trHeight w:val="176"/>
        </w:trPr>
        <w:tc>
          <w:tcPr>
            <w:tcW w:w="5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30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29, 2026</w:t>
            </w:r>
          </w:p>
        </w:tc>
        <w:tc>
          <w:tcPr>
            <w:tcW w:w="266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99"/>
              </w:rPr>
              <w:t>By:</w:t>
            </w:r>
          </w:p>
        </w:tc>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7"/>
              </w:rPr>
              <w:t>ELYSE M. CARLSEN</w:t>
            </w:r>
          </w:p>
        </w:tc>
      </w:tr>
      <w:tr>
        <w:trPr>
          <w:trHeight w:val="237"/>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Elyse M. Carlsen</w:t>
            </w:r>
          </w:p>
        </w:tc>
      </w:tr>
    </w:tbl>
    <w:p>
      <w:pPr>
        <w:jc w:val="center"/>
        <w:ind w:left="6760"/>
        <w:spacing w:after="0" w:line="236" w:lineRule="auto"/>
        <w:rPr>
          <w:sz w:val="20"/>
          <w:szCs w:val="20"/>
          <w:color w:val="auto"/>
        </w:rPr>
      </w:pPr>
      <w:r>
        <w:rPr>
          <w:rFonts w:ascii="Times New Roman" w:cs="Times New Roman" w:eastAsia="Times New Roman" w:hAnsi="Times New Roman"/>
          <w:sz w:val="18"/>
          <w:szCs w:val="18"/>
          <w:b w:val="1"/>
          <w:bCs w:val="1"/>
          <w:color w:val="auto"/>
        </w:rPr>
        <w:t>Vice President and</w:t>
      </w:r>
    </w:p>
    <w:p>
      <w:pPr>
        <w:jc w:val="center"/>
        <w:ind w:left="6760"/>
        <w:spacing w:after="0" w:line="204" w:lineRule="auto"/>
        <w:rPr>
          <w:sz w:val="20"/>
          <w:szCs w:val="20"/>
          <w:color w:val="auto"/>
        </w:rPr>
      </w:pPr>
      <w:r>
        <w:rPr>
          <w:rFonts w:ascii="Times New Roman" w:cs="Times New Roman" w:eastAsia="Times New Roman" w:hAnsi="Times New Roman"/>
          <w:sz w:val="18"/>
          <w:szCs w:val="18"/>
          <w:b w:val="1"/>
          <w:bCs w:val="1"/>
          <w:color w:val="auto"/>
        </w:rPr>
        <w:t>Chief Accounting Officer</w:t>
      </w: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1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Vander Ark,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Republic Services,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center"/>
        <w:ind w:left="53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18599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Jon Vander Ark</w:t>
      </w:r>
    </w:p>
    <w:p>
      <w:pPr>
        <w:spacing w:after="0" w:line="5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Republic Services,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center"/>
        <w:ind w:left="70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26035</wp:posOffset>
            </wp:positionV>
            <wp:extent cx="25800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46"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6"/>
          <w:szCs w:val="16"/>
          <w:b w:val="1"/>
          <w:bCs w:val="1"/>
          <w:color w:val="auto"/>
        </w:rPr>
        <w:t>Brian D</w:t>
      </w:r>
      <w:r>
        <w:rPr>
          <w:rFonts w:ascii="Times New Roman" w:cs="Times New Roman" w:eastAsia="Times New Roman" w:hAnsi="Times New Roman"/>
          <w:sz w:val="14"/>
          <w:szCs w:val="14"/>
          <w:b w:val="1"/>
          <w:bCs w:val="1"/>
          <w:color w:val="auto"/>
        </w:rPr>
        <w:t>el</w:t>
      </w:r>
      <w:r>
        <w:rPr>
          <w:rFonts w:ascii="Times New Roman" w:cs="Times New Roman" w:eastAsia="Times New Roman" w:hAnsi="Times New Roman"/>
          <w:sz w:val="16"/>
          <w:szCs w:val="16"/>
          <w:b w:val="1"/>
          <w:bCs w:val="1"/>
          <w:color w:val="auto"/>
        </w:rPr>
        <w:t>Ghiaccio</w:t>
      </w:r>
    </w:p>
    <w:p>
      <w:pPr>
        <w:spacing w:after="0" w:line="4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left="708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83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Republic Services, Inc. (the Company) for the period ended September 30, 2026 as filed with the Securities and Exchange Commission on the date hereof (the Report), I, Jon Vander Ark, President and Chief Executive Officer of the Company, hereby certify, pursuant to 18 U.S.C. Section 1350, as adopted pursuant to Section 906 of the Sarbanes-Oxley Act of 2002, that to the best of my knowledge:</w:t>
      </w:r>
    </w:p>
    <w:p>
      <w:pPr>
        <w:spacing w:after="0" w:line="14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3" w:lineRule="exact"/>
        <w:rPr>
          <w:sz w:val="20"/>
          <w:szCs w:val="20"/>
          <w:color w:val="auto"/>
        </w:rPr>
      </w:pPr>
    </w:p>
    <w:p>
      <w:pPr>
        <w:jc w:val="center"/>
        <w:ind w:left="550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24345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Jon Vander Ark</w:t>
      </w:r>
    </w:p>
    <w:p>
      <w:pPr>
        <w:spacing w:after="0" w:line="5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Republic Services, Inc. (the Company) for the period ended September 30, 2026 as filed with the Securities and Exchange Commission on the date hereof (the Report), I, Brian D</w:t>
      </w:r>
      <w:r>
        <w:rPr>
          <w:rFonts w:ascii="Times New Roman" w:cs="Times New Roman" w:eastAsia="Times New Roman" w:hAnsi="Times New Roman"/>
          <w:sz w:val="16"/>
          <w:szCs w:val="16"/>
          <w:color w:val="auto"/>
        </w:rPr>
        <w:t>e</w:t>
      </w:r>
      <w:r>
        <w:rPr>
          <w:rFonts w:ascii="Times New Roman" w:cs="Times New Roman" w:eastAsia="Times New Roman" w:hAnsi="Times New Roman"/>
          <w:sz w:val="18"/>
          <w:szCs w:val="18"/>
          <w:color w:val="auto"/>
        </w:rPr>
        <w:t>lGhiaccio, Chief Financial Officer of the Company, hereby certify, pursuant to 18 U.S.C. Section 1350, as adopted pursuant to Section 906 of the Sarbanes-Oxley Act of 2002, that to the best of my knowledge:</w:t>
      </w:r>
    </w:p>
    <w:p>
      <w:pPr>
        <w:spacing w:after="0" w:line="20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7240" w:right="140" w:hanging="7232"/>
        <w:spacing w:after="0" w:line="31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p>
      <w:pPr>
        <w:ind w:left="7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Brian D</w:t>
      </w:r>
      <w:r>
        <w:rPr>
          <w:rFonts w:ascii="Times New Roman" w:cs="Times New Roman" w:eastAsia="Times New Roman" w:hAnsi="Times New Roman"/>
          <w:sz w:val="14"/>
          <w:szCs w:val="14"/>
          <w:b w:val="1"/>
          <w:bCs w:val="1"/>
          <w:color w:val="auto"/>
        </w:rPr>
        <w:t>el</w:t>
      </w:r>
      <w:r>
        <w:rPr>
          <w:rFonts w:ascii="Times New Roman" w:cs="Times New Roman" w:eastAsia="Times New Roman" w:hAnsi="Times New Roman"/>
          <w:sz w:val="16"/>
          <w:szCs w:val="16"/>
          <w:b w:val="1"/>
          <w:bCs w:val="1"/>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-132080</wp:posOffset>
            </wp:positionV>
            <wp:extent cx="2434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left="536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4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4" Type="http://schemas.openxmlformats.org/officeDocument/2006/relationships/hyperlink" Target="https://www.sec.gov/Archives/edgar/data/1060391/000110465922097012/tm222488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2026-10-30T06:07:09Z</dcterms:created>
  <dcterms:modified xsi:type="dcterms:W3CDTF">2026-10-30T06:07:09Z</dcterms:modified>
</cp:coreProperties>
</file>