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29, 2010</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333-166567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68179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AMENDMENT NO. 6 TO</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Form S-4</w:t>
      </w:r>
    </w:p>
    <w:p>
      <w:pPr>
        <w:spacing w:after="0" w:line="3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UNDER</w:t>
      </w: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36"/>
          <w:szCs w:val="36"/>
          <w:b w:val="1"/>
          <w:bCs w:val="1"/>
          <w:color w:val="auto"/>
        </w:rPr>
        <w:t>REPUBLIC SERVICES, INC.</w:t>
      </w:r>
    </w:p>
    <w:p>
      <w:pPr>
        <w:spacing w:after="0" w:line="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ind w:left="2560"/>
        <w:spacing w:after="0"/>
        <w:rPr>
          <w:sz w:val="20"/>
          <w:szCs w:val="20"/>
          <w:color w:val="auto"/>
        </w:rPr>
      </w:pPr>
      <w:r>
        <w:rPr>
          <w:rFonts w:ascii="Times New Roman" w:cs="Times New Roman" w:eastAsia="Times New Roman" w:hAnsi="Times New Roman"/>
          <w:sz w:val="18"/>
          <w:szCs w:val="18"/>
          <w:b w:val="1"/>
          <w:bCs w:val="1"/>
          <w:color w:val="auto"/>
        </w:rPr>
        <w:t>(For Co-Registrants, Please See Table of Other Registrants on the Following Page)</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194"/>
        </w:trPr>
        <w:tc>
          <w:tcPr>
            <w:tcW w:w="2780" w:type="dxa"/>
            <w:vAlign w:val="bottom"/>
          </w:tcPr>
          <w:p>
            <w:pPr>
              <w:jc w:val="center"/>
              <w:ind w:right="88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2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4953</w:t>
            </w:r>
          </w:p>
        </w:tc>
        <w:tc>
          <w:tcPr>
            <w:tcW w:w="2140" w:type="dxa"/>
            <w:vAlign w:val="bottom"/>
          </w:tcPr>
          <w:p>
            <w:pPr>
              <w:jc w:val="center"/>
              <w:ind w:left="985"/>
              <w:spacing w:after="0"/>
              <w:rPr>
                <w:sz w:val="20"/>
                <w:szCs w:val="20"/>
                <w:color w:val="auto"/>
              </w:rPr>
            </w:pPr>
            <w:r>
              <w:rPr>
                <w:rFonts w:ascii="Times New Roman" w:cs="Times New Roman" w:eastAsia="Times New Roman" w:hAnsi="Times New Roman"/>
                <w:sz w:val="16"/>
                <w:szCs w:val="16"/>
                <w:b w:val="1"/>
                <w:bCs w:val="1"/>
                <w:color w:val="auto"/>
              </w:rPr>
              <w:t>65-0716904</w:t>
            </w:r>
          </w:p>
        </w:tc>
      </w:tr>
      <w:tr>
        <w:trPr>
          <w:trHeight w:val="149"/>
        </w:trPr>
        <w:tc>
          <w:tcPr>
            <w:tcW w:w="278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372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i w:val="1"/>
                <w:iCs w:val="1"/>
                <w:color w:val="auto"/>
              </w:rPr>
              <w:t>(Primary Standard Industrial</w:t>
            </w:r>
          </w:p>
        </w:tc>
        <w:tc>
          <w:tcPr>
            <w:tcW w:w="214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90"/>
        </w:trPr>
        <w:tc>
          <w:tcPr>
            <w:tcW w:w="2780" w:type="dxa"/>
            <w:vAlign w:val="bottom"/>
          </w:tcPr>
          <w:p>
            <w:pPr>
              <w:jc w:val="center"/>
              <w:ind w:right="885"/>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3720" w:type="dxa"/>
            <w:vAlign w:val="bottom"/>
          </w:tcPr>
          <w:p>
            <w:pPr>
              <w:jc w:val="center"/>
              <w:ind w:right="65"/>
              <w:spacing w:after="0"/>
              <w:rPr>
                <w:sz w:val="20"/>
                <w:szCs w:val="20"/>
                <w:color w:val="auto"/>
              </w:rPr>
            </w:pPr>
            <w:r>
              <w:rPr>
                <w:rFonts w:ascii="Times New Roman" w:cs="Times New Roman" w:eastAsia="Times New Roman" w:hAnsi="Times New Roman"/>
                <w:sz w:val="14"/>
                <w:szCs w:val="14"/>
                <w:i w:val="1"/>
                <w:iCs w:val="1"/>
                <w:color w:val="auto"/>
              </w:rPr>
              <w:t>Classification Code Number)</w:t>
            </w:r>
          </w:p>
        </w:tc>
        <w:tc>
          <w:tcPr>
            <w:tcW w:w="2140" w:type="dxa"/>
            <w:vAlign w:val="bottom"/>
          </w:tcPr>
          <w:p>
            <w:pPr>
              <w:jc w:val="center"/>
              <w:ind w:left="985"/>
              <w:spacing w:after="0"/>
              <w:rPr>
                <w:sz w:val="20"/>
                <w:szCs w:val="20"/>
                <w:color w:val="auto"/>
              </w:rPr>
            </w:pPr>
            <w:r>
              <w:rPr>
                <w:rFonts w:ascii="Times New Roman" w:cs="Times New Roman" w:eastAsia="Times New Roman" w:hAnsi="Times New Roman"/>
                <w:sz w:val="14"/>
                <w:szCs w:val="14"/>
                <w:i w:val="1"/>
                <w:iCs w:val="1"/>
                <w:color w:val="auto"/>
              </w:rPr>
              <w:t>Identification No.)</w:t>
            </w:r>
          </w:p>
        </w:tc>
      </w:tr>
    </w:tbl>
    <w:p>
      <w:pPr>
        <w:spacing w:after="0" w:line="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18500 North Allied Way</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Phoenix, Arizona 85054</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(480) 627-2700</w:t>
      </w:r>
    </w:p>
    <w:p>
      <w:pPr>
        <w:spacing w:after="0" w:line="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i w:val="1"/>
          <w:iCs w:val="1"/>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39370</wp:posOffset>
            </wp:positionV>
            <wp:extent cx="1020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Michael P. Rissman, Esq.</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Executive Vice President,</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General Counsel and Secretary</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18500 North Allied Way 85054</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Phoenix, Arizona 85054</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(480) 627-2700</w:t>
      </w:r>
    </w:p>
    <w:p>
      <w:pPr>
        <w:spacing w:after="0" w:line="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i w:val="1"/>
          <w:iCs w:val="1"/>
          <w:color w:val="auto"/>
        </w:rPr>
        <w:t>(Name, Address, Including Zip Code, and Telephone Number, Including Area Code, of Agent For Service)</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Jodi A. Simala, Esq.</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Mayer Brown LLP</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71 S. Wacker Drive</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Chicago, Illinois 60606</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(312) 782-0600</w:t>
      </w:r>
    </w:p>
    <w:p>
      <w:pPr>
        <w:spacing w:after="0" w:line="1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this Registration Statement becomes effective.</w:t>
      </w:r>
    </w:p>
    <w:p>
      <w:pPr>
        <w:spacing w:after="0" w:line="133" w:lineRule="exact"/>
        <w:rPr>
          <w:sz w:val="20"/>
          <w:szCs w:val="20"/>
          <w:color w:val="auto"/>
        </w:rPr>
      </w:pPr>
    </w:p>
    <w:p>
      <w:pPr>
        <w:ind w:left="360" w:right="100" w:firstLine="214"/>
        <w:spacing w:after="0" w:line="262" w:lineRule="auto"/>
        <w:rPr>
          <w:sz w:val="20"/>
          <w:szCs w:val="20"/>
          <w:color w:val="auto"/>
        </w:rPr>
      </w:pPr>
      <w:r>
        <w:rPr>
          <w:rFonts w:ascii="Times New Roman" w:cs="Times New Roman" w:eastAsia="Times New Roman" w:hAnsi="Times New Roman"/>
          <w:sz w:val="14"/>
          <w:szCs w:val="14"/>
          <w:color w:val="auto"/>
        </w:rPr>
        <w:t>If the securities being registered on this form are being offered in connection with the formation of a holding company and there is compliance with General Instruction G, check the following box. o</w:t>
      </w:r>
    </w:p>
    <w:p>
      <w:pPr>
        <w:spacing w:after="0" w:line="13" w:lineRule="exact"/>
        <w:rPr>
          <w:sz w:val="20"/>
          <w:szCs w:val="20"/>
          <w:color w:val="auto"/>
        </w:rPr>
      </w:pPr>
    </w:p>
    <w:p>
      <w:pPr>
        <w:ind w:left="360" w:right="240" w:firstLine="214"/>
        <w:spacing w:after="0" w:line="262"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3" w:lineRule="exact"/>
        <w:rPr>
          <w:sz w:val="20"/>
          <w:szCs w:val="20"/>
          <w:color w:val="auto"/>
        </w:rPr>
      </w:pPr>
    </w:p>
    <w:p>
      <w:pPr>
        <w:ind w:left="360" w:right="80" w:firstLine="214"/>
        <w:spacing w:after="0" w:line="262" w:lineRule="auto"/>
        <w:rPr>
          <w:sz w:val="20"/>
          <w:szCs w:val="20"/>
          <w:color w:val="auto"/>
        </w:rPr>
      </w:pPr>
      <w:r>
        <w:rPr>
          <w:rFonts w:ascii="Times New Roman" w:cs="Times New Roman" w:eastAsia="Times New Roman" w:hAnsi="Times New Roman"/>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3" w:lineRule="exact"/>
        <w:rPr>
          <w:sz w:val="20"/>
          <w:szCs w:val="20"/>
          <w:color w:val="auto"/>
        </w:rPr>
      </w:pPr>
    </w:p>
    <w:p>
      <w:pPr>
        <w:ind w:left="360" w:right="300" w:firstLine="214"/>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 w:lineRule="exact"/>
        <w:rPr>
          <w:sz w:val="20"/>
          <w:szCs w:val="20"/>
          <w:color w:val="auto"/>
        </w:rPr>
      </w:pPr>
    </w:p>
    <w:tbl>
      <w:tblPr>
        <w:tblLayout w:type="fixed"/>
        <w:tblInd w:w="340" w:type="dxa"/>
        <w:tblCellMar>
          <w:top w:w="0" w:type="dxa"/>
          <w:left w:w="0" w:type="dxa"/>
          <w:bottom w:w="0" w:type="dxa"/>
          <w:right w:w="0" w:type="dxa"/>
        </w:tblCellMar>
      </w:tblPr>
      <w:tr>
        <w:trPr>
          <w:trHeight w:val="168"/>
        </w:trPr>
        <w:tc>
          <w:tcPr>
            <w:tcW w:w="2960" w:type="dxa"/>
            <w:vAlign w:val="bottom"/>
          </w:tcPr>
          <w:p>
            <w:pPr>
              <w:ind w:left="3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filer o</w:t>
            </w:r>
          </w:p>
        </w:tc>
        <w:tc>
          <w:tcPr>
            <w:tcW w:w="3040" w:type="dxa"/>
            <w:vAlign w:val="bottom"/>
            <w:gridSpan w:val="2"/>
          </w:tcPr>
          <w:p>
            <w:pPr>
              <w:jc w:val="center"/>
              <w:ind w:left="143"/>
              <w:spacing w:after="0"/>
              <w:rPr>
                <w:sz w:val="20"/>
                <w:szCs w:val="20"/>
                <w:color w:val="auto"/>
              </w:rPr>
            </w:pPr>
            <w:r>
              <w:rPr>
                <w:rFonts w:ascii="Times New Roman" w:cs="Times New Roman" w:eastAsia="Times New Roman" w:hAnsi="Times New Roman"/>
                <w:sz w:val="14"/>
                <w:szCs w:val="14"/>
                <w:color w:val="auto"/>
              </w:rPr>
              <w:t>Non-accelerated filer o</w:t>
            </w:r>
          </w:p>
        </w:tc>
        <w:tc>
          <w:tcPr>
            <w:tcW w:w="28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Smaller reporting company o</w:t>
            </w:r>
          </w:p>
        </w:tc>
      </w:tr>
      <w:tr>
        <w:trPr>
          <w:trHeight w:val="188"/>
        </w:trPr>
        <w:tc>
          <w:tcPr>
            <w:tcW w:w="29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040" w:type="dxa"/>
            <w:vAlign w:val="bottom"/>
            <w:gridSpan w:val="2"/>
          </w:tcPr>
          <w:p>
            <w:pPr>
              <w:jc w:val="center"/>
              <w:ind w:left="143"/>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14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7"/>
        </w:trPr>
        <w:tc>
          <w:tcPr>
            <w:tcW w:w="2960" w:type="dxa"/>
            <w:vAlign w:val="bottom"/>
          </w:tcPr>
          <w:p>
            <w:pPr>
              <w:spacing w:after="0"/>
              <w:rPr>
                <w:sz w:val="17"/>
                <w:szCs w:val="17"/>
                <w:color w:val="auto"/>
              </w:rPr>
            </w:pPr>
          </w:p>
        </w:tc>
        <w:tc>
          <w:tcPr>
            <w:tcW w:w="492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04"/>
        </w:trPr>
        <w:tc>
          <w:tcPr>
            <w:tcW w:w="29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r>
      <w:tr>
        <w:trPr>
          <w:trHeight w:val="95"/>
        </w:trPr>
        <w:tc>
          <w:tcPr>
            <w:tcW w:w="296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rPr>
              <w:t>Proposed Maximum</w:t>
            </w:r>
          </w:p>
        </w:tc>
        <w:tc>
          <w:tcPr>
            <w:tcW w:w="148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rPr>
              <w:t>Proposed Maximum</w:t>
            </w:r>
          </w:p>
        </w:tc>
        <w:tc>
          <w:tcPr>
            <w:tcW w:w="1360" w:type="dxa"/>
            <w:vAlign w:val="bottom"/>
          </w:tcPr>
          <w:p>
            <w:pPr>
              <w:spacing w:after="0"/>
              <w:rPr>
                <w:sz w:val="8"/>
                <w:szCs w:val="8"/>
                <w:color w:val="auto"/>
              </w:rPr>
            </w:pPr>
          </w:p>
        </w:tc>
      </w:tr>
      <w:tr>
        <w:trPr>
          <w:trHeight w:val="135"/>
        </w:trPr>
        <w:tc>
          <w:tcPr>
            <w:tcW w:w="2960" w:type="dxa"/>
            <w:vAlign w:val="bottom"/>
          </w:tcPr>
          <w:p>
            <w:pPr>
              <w:ind w:left="18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Title of Each Class of</w:t>
            </w:r>
          </w:p>
        </w:tc>
        <w:tc>
          <w:tcPr>
            <w:tcW w:w="188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to be</w:t>
            </w:r>
          </w:p>
        </w:tc>
        <w:tc>
          <w:tcPr>
            <w:tcW w:w="1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 Price per</w:t>
            </w:r>
          </w:p>
        </w:tc>
        <w:tc>
          <w:tcPr>
            <w:tcW w:w="1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Aggregate Offering</w:t>
            </w:r>
          </w:p>
        </w:tc>
        <w:tc>
          <w:tcPr>
            <w:tcW w:w="1360" w:type="dxa"/>
            <w:vAlign w:val="bottom"/>
          </w:tcPr>
          <w:p>
            <w:pPr>
              <w:jc w:val="center"/>
              <w:ind w:left="23"/>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55"/>
        </w:trPr>
        <w:tc>
          <w:tcPr>
            <w:tcW w:w="4840" w:type="dxa"/>
            <w:vAlign w:val="bottom"/>
            <w:tcBorders>
              <w:bottom w:val="single" w:sz="8" w:color="auto"/>
              <w:right w:val="single" w:sz="8" w:color="auto"/>
            </w:tcBorders>
            <w:gridSpan w:val="2"/>
          </w:tcPr>
          <w:p>
            <w:pPr>
              <w:ind w:left="1660"/>
              <w:spacing w:after="0"/>
              <w:rPr>
                <w:sz w:val="20"/>
                <w:szCs w:val="20"/>
                <w:color w:val="auto"/>
              </w:rPr>
            </w:pPr>
            <w:r>
              <w:rPr>
                <w:rFonts w:ascii="Times New Roman" w:cs="Times New Roman" w:eastAsia="Times New Roman" w:hAnsi="Times New Roman"/>
                <w:sz w:val="13"/>
                <w:szCs w:val="13"/>
                <w:b w:val="1"/>
                <w:bCs w:val="1"/>
                <w:color w:val="auto"/>
              </w:rPr>
              <w:t>Securities to be Registered</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Registered</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Price(1)</w:t>
            </w:r>
          </w:p>
        </w:tc>
        <w:tc>
          <w:tcPr>
            <w:tcW w:w="136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3"/>
                <w:szCs w:val="13"/>
                <w:b w:val="1"/>
                <w:bCs w:val="1"/>
                <w:color w:val="auto"/>
                <w:w w:val="96"/>
              </w:rPr>
              <w:t>Registration Fee</w:t>
            </w:r>
          </w:p>
        </w:tc>
      </w:tr>
      <w:tr>
        <w:trPr>
          <w:trHeight w:val="196"/>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5.00% Notes due 2020</w:t>
            </w:r>
          </w:p>
        </w:tc>
        <w:tc>
          <w:tcPr>
            <w:tcW w:w="18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$850,000,000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$850,000,000</w:t>
            </w:r>
          </w:p>
        </w:tc>
        <w:tc>
          <w:tcPr>
            <w:tcW w:w="136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6"/>
                <w:szCs w:val="16"/>
                <w:color w:val="auto"/>
                <w:w w:val="99"/>
              </w:rPr>
              <w:t>$60,605</w:t>
            </w:r>
          </w:p>
        </w:tc>
      </w:tr>
      <w:tr>
        <w:trPr>
          <w:trHeight w:val="196"/>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Guarantees of 5.00% Notes due 2020</w:t>
            </w:r>
          </w:p>
        </w:tc>
        <w:tc>
          <w:tcPr>
            <w:tcW w:w="18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36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6"/>
                <w:szCs w:val="16"/>
                <w:color w:val="auto"/>
              </w:rPr>
              <w:t>None(2)</w:t>
            </w:r>
          </w:p>
        </w:tc>
      </w:tr>
      <w:tr>
        <w:trPr>
          <w:trHeight w:val="196"/>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5.25% Notes due 2021</w:t>
            </w:r>
          </w:p>
        </w:tc>
        <w:tc>
          <w:tcPr>
            <w:tcW w:w="18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$600,000,000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$600,000,000</w:t>
            </w:r>
          </w:p>
        </w:tc>
        <w:tc>
          <w:tcPr>
            <w:tcW w:w="136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6"/>
                <w:szCs w:val="16"/>
                <w:color w:val="auto"/>
                <w:w w:val="99"/>
              </w:rPr>
              <w:t>$42,780</w:t>
            </w:r>
          </w:p>
        </w:tc>
      </w:tr>
      <w:tr>
        <w:trPr>
          <w:trHeight w:val="196"/>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Guarantees of 5.25% Notes due 2021</w:t>
            </w:r>
          </w:p>
        </w:tc>
        <w:tc>
          <w:tcPr>
            <w:tcW w:w="18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36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6"/>
                <w:szCs w:val="16"/>
                <w:color w:val="auto"/>
              </w:rPr>
              <w:t>None(2)</w:t>
            </w:r>
          </w:p>
        </w:tc>
      </w:tr>
      <w:tr>
        <w:trPr>
          <w:trHeight w:val="196"/>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5.50% Notes due 2019</w:t>
            </w:r>
          </w:p>
        </w:tc>
        <w:tc>
          <w:tcPr>
            <w:tcW w:w="18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$650,000,000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$650,000,000</w:t>
            </w:r>
          </w:p>
        </w:tc>
        <w:tc>
          <w:tcPr>
            <w:tcW w:w="136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6"/>
                <w:szCs w:val="16"/>
                <w:color w:val="auto"/>
                <w:w w:val="99"/>
              </w:rPr>
              <w:t>$46,345</w:t>
            </w:r>
          </w:p>
        </w:tc>
      </w:tr>
      <w:tr>
        <w:trPr>
          <w:trHeight w:val="196"/>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Guarantees of 5.50% Notes due 2019</w:t>
            </w:r>
          </w:p>
        </w:tc>
        <w:tc>
          <w:tcPr>
            <w:tcW w:w="18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36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6"/>
                <w:szCs w:val="16"/>
                <w:color w:val="auto"/>
              </w:rPr>
              <w:t>None(2)</w:t>
            </w:r>
          </w:p>
        </w:tc>
      </w:tr>
      <w:tr>
        <w:trPr>
          <w:trHeight w:val="196"/>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6.20% Notes due 2040</w:t>
            </w:r>
          </w:p>
        </w:tc>
        <w:tc>
          <w:tcPr>
            <w:tcW w:w="18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$650,000,000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$650,000,000</w:t>
            </w:r>
          </w:p>
        </w:tc>
        <w:tc>
          <w:tcPr>
            <w:tcW w:w="136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6"/>
                <w:szCs w:val="16"/>
                <w:color w:val="auto"/>
                <w:w w:val="99"/>
              </w:rPr>
              <w:t>$46,345</w:t>
            </w:r>
          </w:p>
        </w:tc>
      </w:tr>
      <w:tr>
        <w:trPr>
          <w:trHeight w:val="196"/>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Guarantees of 6.20% Notes due 2040</w:t>
            </w:r>
          </w:p>
        </w:tc>
        <w:tc>
          <w:tcPr>
            <w:tcW w:w="18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36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6"/>
                <w:szCs w:val="16"/>
                <w:color w:val="auto"/>
              </w:rPr>
              <w:t>None(2)</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80" w:hanging="230"/>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purposes of calculating the registration fee pursuant to Rule 457(f)(1) under the Securities Act of 1933, as amended.</w:t>
      </w:r>
    </w:p>
    <w:p>
      <w:pPr>
        <w:spacing w:after="0" w:line="72" w:lineRule="exact"/>
        <w:rPr>
          <w:rFonts w:ascii="Times New Roman" w:cs="Times New Roman" w:eastAsia="Times New Roman" w:hAnsi="Times New Roman"/>
          <w:sz w:val="16"/>
          <w:szCs w:val="16"/>
          <w:color w:val="auto"/>
        </w:rPr>
      </w:pPr>
    </w:p>
    <w:p>
      <w:pPr>
        <w:ind w:left="580" w:hanging="230"/>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further fee is payable pursuant to Rule 457(n) under the Securities Act of 1933, as amended.</w:t>
      </w:r>
    </w:p>
    <w:p>
      <w:pPr>
        <w:sectPr>
          <w:pgSz w:w="11900" w:h="16838" w:orient="portrait"/>
          <w:cols w:equalWidth="0" w:num="1">
            <w:col w:w="11080"/>
          </w:cols>
          <w:pgMar w:left="240" w:top="118" w:right="579" w:bottom="1440" w:gutter="0" w:footer="0" w:header="0"/>
        </w:sectPr>
      </w:pPr>
    </w:p>
    <w:p>
      <w:pPr>
        <w:spacing w:after="0" w:line="129" w:lineRule="exact"/>
        <w:rPr>
          <w:sz w:val="20"/>
          <w:szCs w:val="20"/>
          <w:color w:val="auto"/>
        </w:rPr>
      </w:pPr>
    </w:p>
    <w:p>
      <w:pPr>
        <w:ind w:left="360" w:right="320" w:firstLine="214"/>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The Registrants hereby amend this Registration Statement on such date or dates as may be necessary to delay its effective date until the Registrants shall file a further amendment which </w:t>
      </w:r>
      <w:r>
        <w:rPr>
          <w:rFonts w:ascii="Times New Roman" w:cs="Times New Roman" w:eastAsia="Times New Roman" w:hAnsi="Times New Roman"/>
          <w:sz w:val="14"/>
          <w:szCs w:val="14"/>
          <w:color w:val="auto"/>
        </w:rPr>
        <w:t>specifically</w:t>
      </w:r>
      <w:r>
        <w:rPr>
          <w:rFonts w:ascii="Times New Roman" w:cs="Times New Roman" w:eastAsia="Times New Roman" w:hAnsi="Times New Roman"/>
          <w:sz w:val="14"/>
          <w:szCs w:val="14"/>
          <w:b w:val="1"/>
          <w:bCs w:val="1"/>
          <w:color w:val="auto"/>
        </w:rPr>
        <w:t xml:space="preserve">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-11430</wp:posOffset>
            </wp:positionV>
            <wp:extent cx="681799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799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TABLE OF OTHER REGISTRANTS</w:t>
      </w:r>
    </w:p>
    <w:p>
      <w:pPr>
        <w:spacing w:after="0" w:line="135" w:lineRule="exact"/>
        <w:rPr>
          <w:sz w:val="20"/>
          <w:szCs w:val="20"/>
          <w:color w:val="auto"/>
        </w:rPr>
      </w:pPr>
    </w:p>
    <w:p>
      <w:pPr>
        <w:ind w:left="700" w:right="1300" w:firstLine="397"/>
        <w:spacing w:after="0" w:line="282" w:lineRule="auto"/>
        <w:rPr>
          <w:sz w:val="20"/>
          <w:szCs w:val="20"/>
          <w:color w:val="auto"/>
        </w:rPr>
      </w:pPr>
      <w:r>
        <w:rPr>
          <w:rFonts w:ascii="Times New Roman" w:cs="Times New Roman" w:eastAsia="Times New Roman" w:hAnsi="Times New Roman"/>
          <w:sz w:val="18"/>
          <w:szCs w:val="18"/>
          <w:color w:val="auto"/>
        </w:rPr>
        <w:t>The Address, Including Zip Code, and Telephone Number, Including Area Code, of each Co-Registrant’s Principal Executive Offices is 18500 North Allied Way Phoenix, AZ 85054, (480) 627-2700.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uarantor</w:t>
            </w:r>
          </w:p>
        </w:tc>
        <w:tc>
          <w:tcPr>
            <w:tcW w:w="1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w:t>
            </w:r>
          </w:p>
        </w:tc>
        <w:tc>
          <w:tcPr>
            <w:tcW w:w="2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8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50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Alabama Recycling Services,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Alabama</w:t>
            </w:r>
          </w:p>
        </w:tc>
        <w:tc>
          <w:tcPr>
            <w:tcW w:w="20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63-1125333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Autauga County Landfill,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Alabama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87-0708224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GEK,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Alabama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63-1059042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Industries (Arizona),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76-0353315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Industries (Southwest),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86-0834266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Systems of Arizona,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20-4754255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Apache Junction Landfill Corporation</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86-0807383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Cactus Waste Systems,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74-0193806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Arizona Transfer,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20-3469072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Mesa Disposal,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86-0641823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Midway Development Company,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20-1234650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Pinal County Landfill Corp.</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86-0834267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Arizona Hauling, LLC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65-0872472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Summit Waste Systems,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86-0940236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Tri-State Refuse Corporation</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86-0205736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 D A J Corporation</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95-3996398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of California,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86-0841277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Transfer Services of California,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20-4735721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Transport,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95-2454199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Bay Collection Services,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68-0423276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Bay Environmental Management,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94-2547085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Bay Landfills,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68-0423275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Bay Leasing Company,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68-0206342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Berkeley Sanitary Service,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68-0205653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BLT Enterprises of Oxnard,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77-0404336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Borrego Landfill,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33-0777844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Browning-Ferris Industries of California,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95-2772010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Charter Evaporation Resource Recovery Systems</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68-0195486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Crockett Sanitary Service,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68-0395297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Delta Container Corporation</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94-1751866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Delta Paper Stock, Co.</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94-2523340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Elder Creek Transfer &amp; Recovery,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68-0461018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94-1544481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Golden Bear Transfer Services,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20-1197062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Imperial Landfill,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86-0972399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Trucking Company</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94-1752713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Disposal Corp. of California</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94-2229685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Keller Canyon Landfill Company</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77-0222614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 Cañada Disposal Company,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95-4108930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Lathrop Sunrise Sanitation Corporation</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68-0349203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Oceanside Waste &amp; Recycling Services</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95-4516562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uarantor</w:t>
            </w:r>
          </w:p>
        </w:tc>
        <w:tc>
          <w:tcPr>
            <w:tcW w:w="1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w:t>
            </w:r>
          </w:p>
        </w:tc>
        <w:tc>
          <w:tcPr>
            <w:tcW w:w="2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06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5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Otay Landfill, Inc.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33-0777847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Palomar Transfer Station,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33-0777845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Perdomo &amp; Sons, Inc.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95-2759289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Ramona Landfill,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33-0777841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RI/Alameda Corp.</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65-1049389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Richmond Sanitary Service,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68-0204974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Diego Landfill Systems, LLC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20-2391637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San Marcos NCRRF,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33-0777842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Solano Garbage Company</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94-2537922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Sunrise Sanitation Service,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94-2737713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Sunset Disposal Service, Inc.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94-2449716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Sycamore Landfill,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33-0777839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Contra Costa Energy Recovery Company</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68-0050806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West Contra Costa Sanitary Landfill,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68-0206389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County Landfill, Inc.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68-0206346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West County Resource Recovery,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68-0206339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Zakaroff Services</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California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95-3941388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Systems of Colorado, LLC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Colorado</w:t>
            </w:r>
          </w:p>
        </w:tc>
        <w:tc>
          <w:tcPr>
            <w:tcW w:w="20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20-4911774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Bunting Trash Service, Inc.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Colorado</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84-0744234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Denver RL North,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Colorado</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86-1005476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Frontier Waste Services (Colorado), LLC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Colorado</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91-2121802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Colorado Hauling, LLC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Colorado</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65-0872366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Colorado I, LLC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Colorado</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65-0872372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Abilene Landfill TX, LP</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26-0015748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Enviroengineering, Inc.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76-0294430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Allied Gas Recovery Systems, L.L.C.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86-0912667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Green Power, Inc.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59-3771629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Allied Nova Scotia,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86-0898257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Services, LLC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86-0897719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Alabama,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86-0836214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Company, Inc.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76-0294431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Environmental Management Group, LLC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20-4987213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Holdings (Canada) Ltd.</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86-0911064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Industries,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88-0228636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Landfill Holdings, Inc.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52-2044846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North America,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86-0843596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of New Jersey-New York, LLC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86-0911491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Recycling Services of New Hampshire, LLC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20-5406806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Rural Sanitation, Inc.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91-1886463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Services of Colorado, Inc.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26-1208222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Services of North America, LLC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20-1838910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Sycamore Landfill, LLC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30-0076497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Systems Holdings, Inc.</w:t>
            </w:r>
          </w:p>
        </w:tc>
        <w:tc>
          <w:tcPr>
            <w:tcW w:w="2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59-2068174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Systems of Indiana, LLC</w:t>
            </w:r>
          </w:p>
        </w:tc>
        <w:tc>
          <w:tcPr>
            <w:tcW w:w="2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20-8044243</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536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uarantor</w:t>
            </w:r>
          </w:p>
        </w:tc>
        <w:tc>
          <w:tcPr>
            <w:tcW w:w="7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w:t>
            </w:r>
          </w:p>
        </w:tc>
        <w:tc>
          <w:tcPr>
            <w:tcW w:w="2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5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5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Systems, Inc.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36-2750252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Transfer Services of Arizona, LLC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20-5130289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Transfer Services of Rhode Island, LLC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20-5046235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Transportation, Inc.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52-2044848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Disposal Services of Illinois, Inc.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13-3831976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American Disposal Services of New Jersey, Inc.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36-4229718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Disposal Services of West Virginia, Inc.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36-4206387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American Disposal Services, Inc.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13-3858494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Disposal Transfer Services of Illinois, Inc.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36-4210454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Anson County Landfill NC, LLC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52-2044849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Ariana, LLC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65-0886342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Attwoods of North America, Inc.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98-0066273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AWIN Leasing Company, Inc.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76-0351502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AWIN Management, Inc.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76-0353318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BBCO, Inc.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20-2103652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BFGSI, L.L.C.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18"/>
                <w:szCs w:val="18"/>
                <w:color w:val="auto"/>
              </w:rPr>
            </w:pPr>
          </w:p>
        </w:tc>
        <w:tc>
          <w:tcPr>
            <w:tcW w:w="1760" w:type="dxa"/>
            <w:vAlign w:val="bottom"/>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Atlantic, Inc.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76-0367890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Energy Systems of Albany, Inc.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76-0293880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Energy Systems of Delaware County, Inc.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76-0489490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Energy Systems of Hempstead, Inc.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76-0167169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Energy Systems of Niagara II, Inc.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86-0997176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Energy Systems of Niagara, Inc.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76-0346826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Energy Systems of SEMASS, Inc.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76-0489491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Energy Systems of Southeastern Connecticut, Inc.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76-0293894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Energy Systems of Southeastern Connecticut, Limited Partnership</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76-0353600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International, Inc.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98-0055699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REF-FUEL, INC.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76-0293907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Trans River (GP), Inc.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76-0490105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Transfer Systems of Alabama, LLC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86-1024458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Transfer Systems of DC, LLC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18"/>
                <w:szCs w:val="18"/>
                <w:color w:val="auto"/>
              </w:rPr>
            </w:pPr>
          </w:p>
        </w:tc>
        <w:tc>
          <w:tcPr>
            <w:tcW w:w="1760" w:type="dxa"/>
            <w:vAlign w:val="bottom"/>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Transfer Systems of Georgia, LLC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86-1024457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Transfer Systems of Maryland, LLC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86-1026339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Transfer Systems of Mississippi, LLC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86-1026340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Transfer Systems of Texas, LP</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86-1024535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Transfer Systems of Virginia, LLC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86-1024453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Waste Services of Indiana, LP</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86-1024528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Waste Services of Tennessee, LLC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Waste Services of Texas, LP</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86-1024527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Waste Services, LLC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86-1006825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Waste Systems of Alabama, LLC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86-1024529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Waste Systems of Arkansas, LLC</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86-1024531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BFI Waste Systems of Georgia, LLC</w:t>
            </w:r>
          </w:p>
        </w:tc>
        <w:tc>
          <w:tcPr>
            <w:tcW w:w="2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86-1024530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Waste Systems of Indiana, LP</w:t>
            </w:r>
          </w:p>
        </w:tc>
        <w:tc>
          <w:tcPr>
            <w:tcW w:w="2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86-1024534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8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uarantor</w:t>
            </w:r>
          </w:p>
        </w:tc>
        <w:tc>
          <w:tcPr>
            <w:tcW w:w="15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w:t>
            </w:r>
          </w:p>
        </w:tc>
        <w:tc>
          <w:tcPr>
            <w:tcW w:w="2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00" w:type="dxa"/>
            <w:vAlign w:val="bottom"/>
            <w:gridSpan w:val="2"/>
            <w:vMerge w:val="continue"/>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50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Waste Systems of Kentucky,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86-1024543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BFI Waste Systems of Louisiana, LLC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86-1024541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Waste Systems of Mississippi,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86-1024539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BFI Waste Systems of Missouri, LLC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86-1024540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Waste Systems of North America,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41-1696636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BFI Waste Systems of North Carolina, LLC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86-1024538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Waste Systems of South Carolina,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BFI Waste Systems of Tennessee, LLC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86-1024463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Waste Systems of Virginia,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86-1024461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Blue Ridge Landfill TX, LP</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86-1024533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 County Landfill, Inc.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86-0968446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Brenham Total Roll-Offs, LP</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86-1038622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Bridgeton Landfill,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86-0898487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Bridgeton Transfer Station, LLC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42-1583102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Browning-Ferris Financial Services, Inc.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76-0485106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Browning-Ferris Industries of Florida, Inc.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74-1819238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Browning-Ferris Industries of Illinois, Inc.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31-1697534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Browning-Ferris Industries of Ohio, Inc.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74-6186941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Browning-Ferris Industries,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74-1673682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Browning-Ferris Services, Inc.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90-0112928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Brunswick Waste Management Facility,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86-0898494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Butler County Landfill, LLC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86-0898479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Camelot Landfill TX, LP</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86-0913826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CC Landfill, Inc.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86-0930050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Cefe Landfill TX, LP</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20-2761828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Chilton Landfill, LLC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86-0979028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Cocopah Landfill, Inc.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86-0979654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Compactor Rental Systems of Delaware, Inc.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65-0723614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Disposal Service,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65-0844469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Continental Waste Industries, L.L.C.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11-2909512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Copper Mountain Landfill, Inc.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86-0980013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County Disposal (Ohio), Inc.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13-3831975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County Disposal, Inc.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13-3831974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County Landfill, Inc.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13-3850472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Courtney Ridge Landfill,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86-0979799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Crow Landfill TX, L.P.</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52-2044854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 &amp; L Disposal,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37-1355114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East Chicago Compost Facility, Inc.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26-3472299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 Leasing Company,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86-1013760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ECDC Environmental of Humboldt County, Inc.</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91-1901449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ECDC Holdings, Inc.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86-0897722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Ellis County Landfill TX, LP</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52-2044857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Ellis Scott Landfill MO, LLC</w:t>
            </w:r>
          </w:p>
        </w:tc>
        <w:tc>
          <w:tcPr>
            <w:tcW w:w="2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52-2044859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Development Corp.</w:t>
            </w:r>
          </w:p>
        </w:tc>
        <w:tc>
          <w:tcPr>
            <w:tcW w:w="2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35-1783546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500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uarantor</w:t>
            </w:r>
          </w:p>
        </w:tc>
        <w:tc>
          <w:tcPr>
            <w:tcW w:w="17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w:t>
            </w:r>
          </w:p>
        </w:tc>
        <w:tc>
          <w:tcPr>
            <w:tcW w:w="2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520" w:type="dxa"/>
            <w:vAlign w:val="bottom"/>
            <w:gridSpan w:val="2"/>
            <w:vMerge w:val="continue"/>
          </w:tcPr>
          <w:p>
            <w:pPr>
              <w:spacing w:after="0"/>
              <w:rPr>
                <w:sz w:val="15"/>
                <w:szCs w:val="15"/>
                <w:color w:val="auto"/>
              </w:rPr>
            </w:pPr>
          </w:p>
        </w:tc>
        <w:tc>
          <w:tcPr>
            <w:tcW w:w="17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8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Environtech, Inc.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36-3485658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Envotech-Illinois L.L.C.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37-1355113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Evergreen Scavenger Service, Inc.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36-4179870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Evergreen Scavenger Service, L.L.C.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36-4172002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Forest View Landfill, LLC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86-0979824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Fort Worth Landfill TX, LP</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86-0899429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Galveston County Landfill TX, LP</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26-0015758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Refuse Rolloff Corp.</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52-2093347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 Recycling Services, Inc.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58-2178434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Giles Road Landfill TX, LP</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20-3365888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Golden Triangle Landfill TX, LP</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26-0015711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Great Lakes Disposal Service, Inc.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36-2642310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 Plains Landfill OK, LLC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52-2044861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Greenwood Landfill TX, LP</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91-2098721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Gulf West Landfill TX, LP</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26-0015867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H Leasing Company, LLC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86-1013761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Itasca Landfill TX, LP</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26-0015841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Jefferson City Landfill, LLC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86-0898553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Kandel Enterprises, LLC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26-1602664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Kerrville Landfill TX, LP</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26-0015826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 County Landfill SC, LLC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52-2044865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Lemons Landfill, LLC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86-0898495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Lewisville Landfill TX, LP</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26-0015695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Liberty Waste Holdings, Inc.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52-2049620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Liberty Waste Services Limited, L.L.C.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34-1812746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Liberty Waste Services of McCook, L.L.C.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23-2883645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Little Creek Landing, LLC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68-0562490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Local Sanitation of Rowan County, L.L.C.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61-1342580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Lucas County Land Development, Inc.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86-1042740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Mars Road TX, LP</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20-3905016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McCarty Road Landfill TX, LP</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26-0015687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Mesquite Landfill TX, LP</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86-0897693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Mexia Landfill TX, LP</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26-0015674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Mountain Home Disposal, Inc.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94-3284171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 Leasing Company, LLC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86-1013762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NationsWaste, Inc.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25-1774253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Ncorp, Inc.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86-1013502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New York Waste Services, LLC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86-1005076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Northeast Landfill, LLC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72-1564964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Ohio Republic Contracts, II, Inc.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65-1024354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Ottawa County Landfill, Inc.</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59-2068171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Packerton Land Company, L.L.C.</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23-2930927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Panama Road Landfill, TX, L.P.</w:t>
            </w:r>
          </w:p>
        </w:tc>
        <w:tc>
          <w:tcPr>
            <w:tcW w:w="3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86-1036043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Pine Hill Farms Landfill TX, LP</w:t>
            </w:r>
          </w:p>
        </w:tc>
        <w:tc>
          <w:tcPr>
            <w:tcW w:w="30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86-0899426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2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uarantor</w:t>
            </w:r>
          </w:p>
        </w:tc>
        <w:tc>
          <w:tcPr>
            <w:tcW w:w="12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w:t>
            </w:r>
          </w:p>
        </w:tc>
        <w:tc>
          <w:tcPr>
            <w:tcW w:w="2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96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5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Pinecrest Landfill OK,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52-2044866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Pleasant Oaks Landfill TX, LP</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91-1927530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Polk County Landfill,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86-1036041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Financial LP, Inc.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65-1008378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Financial, Limited Partnership</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65-1008373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Group, LLC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65-0984987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Holding Company, Inc.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65-0984982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California Holding Company, Inc.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65-0984976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California II,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65-0872373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Florida GP, Inc.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65-0963062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Florida LP, Inc.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65-0963063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Florida, Limited Partnership</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65-0965470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Georgia GP,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65-0963065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Georgia LP, LLC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65-0963064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Georgia, Limited Partnership</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65-0965473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Indiana LP, Inc.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65-1012407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Indiana Transportation,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06-1642141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Indiana, Limited Partnership</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65-1012411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Michigan Holding Company, Inc.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65-0984978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New Jersey, LLC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65-1050939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Pennsylvania,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65-1012129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South Carolina, LLC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65-1023675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Southern California,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65-1242656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Wisconsin GP, LLC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65-0984993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Wisconsin LP,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65-0984994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Wisconsin, Limited Partnership</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65-0984991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Vasco Road,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65-0936716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Waste Services of Southern California, LLC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65-0845646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Waste Services of Texas GP, Inc.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65-0964350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Republic Waste Services of Texas LP, Inc.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65-0963006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Rio Grande Valley Landfill TX, LP</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26-0015192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Risk Services, Inc.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76-0162247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RITM,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51-0345295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Royal Oaks Landfill TX, LP</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91-2098725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Rubbish Control,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65-0844465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RWS Transport, L.P.</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27-0061136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Leasing Company,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86-1013763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Sand Valley Holdings, L.L.C.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51-0391894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Sangamon Valley Landfill, Inc.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86-0970304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Show-Me Landfill, LLC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86-0898621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 Landfill, LLC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86-0898482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Southwest Landfill TX, LP</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26-0015177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 Waste, Inc.</w:t>
            </w:r>
          </w:p>
        </w:tc>
        <w:tc>
          <w:tcPr>
            <w:tcW w:w="2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37-1049834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Taylor Ridge Landfill, Inc.</w:t>
            </w:r>
          </w:p>
        </w:tc>
        <w:tc>
          <w:tcPr>
            <w:tcW w:w="2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86-0970061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526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uarantor</w:t>
            </w:r>
          </w:p>
        </w:tc>
        <w:tc>
          <w:tcPr>
            <w:tcW w:w="15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w:t>
            </w:r>
          </w:p>
        </w:tc>
        <w:tc>
          <w:tcPr>
            <w:tcW w:w="2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60" w:type="dxa"/>
            <w:vAlign w:val="bottom"/>
            <w:gridSpan w:val="2"/>
            <w:vMerge w:val="continue"/>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 Union County Landfill,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86-0980095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Tessman Road Landfill TX, LP</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20-3365914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Turkey Creek Landfill TX, LP</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86-0899439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Victoria Landfill TX, LP</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26-0015157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County Landfill IL,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52-2044868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Webster Parish Landfill, L.L.C.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62-1772690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Whispering Pines Landfill TX, LP</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26-0015118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Willow Ridge Landfill, LLC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86-1004978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Transfer Services of Florida, LLC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Florida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20-3534645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Delta Dade Recycling Corp.</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Florida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65-1048925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Delta Resources Corp.</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Florida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65-0891249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Delta Site Development Corp.</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Florida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65-0936999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Delta Waste Corp.</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Florida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65-0919421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Envirocycle,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Florida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65-0243954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Gulfcoast Waste Service,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Florida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65-0577644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Manumit of Florida,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Florida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58-2065448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Aviation,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Florida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65-0959331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Schofield Corporation of Orlando</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Florida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59-3047860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Hauling of Georgia,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Georgia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86-0842495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Industries of Georgia,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Georgia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86-0842496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Virginia Properties, LLC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Georgia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20-0767660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Gateway Landfill, LLC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Georgia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83-0337817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Golden Waste Disposal,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Georgia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58-1849752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Price &amp; Sons Recycling Company</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Georgia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65-0249986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&amp; S Recycling,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Georgia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58-2237428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Wayne Developers, LLC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Georgia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26-0637318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 County Development Company,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Idaho</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20-0333823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Services of Page,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Idaho</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82-0336097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Sanitation,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Idaho</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82-0469055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ADS of Illinois,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36-4243045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Industries of Illinois,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36-3915626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Arc Disposal Company,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36-2386793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Area Disposal,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36-3766465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Borrow Pit Corp.</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80" w:type="dxa"/>
            <w:vAlign w:val="bottom"/>
          </w:tcPr>
          <w:p>
            <w:pPr>
              <w:spacing w:after="0"/>
              <w:rPr>
                <w:sz w:val="18"/>
                <w:szCs w:val="18"/>
                <w:color w:val="auto"/>
              </w:rPr>
            </w:pPr>
          </w:p>
        </w:tc>
        <w:tc>
          <w:tcPr>
            <w:tcW w:w="1760" w:type="dxa"/>
            <w:vAlign w:val="bottom"/>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Brickyard Disposal &amp; Recycling,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37-0948710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CWI of Illinois,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38-3073435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Reclamation Company</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37-1140323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Fred Barbara Trucking Co.,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36-3030929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 Landfill,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35-1811975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Illinois Recycling Services,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36-3587447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 Valley Recycling,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36-3754225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Ingrum Waste Disposal,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36-4252595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Kankakee Quarry,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71-0938626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LandComp Corporation</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36-3813024</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96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uarantor</w:t>
            </w:r>
          </w:p>
        </w:tc>
        <w:tc>
          <w:tcPr>
            <w:tcW w:w="1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w:t>
            </w:r>
          </w:p>
        </w:tc>
        <w:tc>
          <w:tcPr>
            <w:tcW w:w="2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8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50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 County Landfill,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37-1360924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Liberty Waste Services of Illinois,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52-1960161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Recycling,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36-3107689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Loop Transfer, Incorporated</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36-3376490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Northlake Transfer,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20-1513744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RCS,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37-1270589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Roxana Landfill,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43-1352176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Saline County Landfill,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37-1208674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Shred — All Recycling Systems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36-3583146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Southern Illinois Regional Landfill,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22-3032671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Streator Area Landfill,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36-3207276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Suburban Transfer,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36-4048153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Suburban Warehouse,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36-3714060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Tri-State Recycling Services,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36-3768524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Upper Rock Island County Landfill,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36-3159198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Acquisitions,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20-5469750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Industries of Northwest Indiana,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86-0807381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Benton County Development Company</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45-0527882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County Landfill Partnership</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20-0836700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County Line Landfill Partnership</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86-0900027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 Management,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35-2090758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Illiana Disposal Partnership</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86-0900028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Jasper County Development Company Partnership</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Key Waste Indiana Partnership</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86-0900031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County C &amp; D Development Partnership</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86-1007828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Newton County Landfill Partnership</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86-0899962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Springfield Environmental General Partnership</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91-2078723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Tippecanoe County Waste Services Partnership</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20-1305645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Warrick County Development Company</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20-1429593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Wastehaul,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Indiana</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35-1616387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Transfer Services of Iowa, LLC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Iowa</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20-2721565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Jetter Disposal,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Iowa</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36-4221455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Disposal Services of Kansas,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Kansas</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48-0841017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Resource Recovery,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Kansas</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48-1034034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Sunset Disposal,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Kansas</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48-0915496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Benson Valley Landfill General Partnership</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Kentucky</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20-3351757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Ridge Landfill General Partnership</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Kentucky</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91-2079015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Green Valley Landfill General Partnership</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Kentucky</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91-2078719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Morehead Landfill General Partnership</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Kentucky</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Kentucky,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Kentucky</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65-0972931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Crescent Acres Landfill, LLC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Louisiana</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20-3620449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Frontier Waste Services of Louisiana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Louisiana</w:t>
            </w:r>
          </w:p>
        </w:tc>
        <w:tc>
          <w:tcPr>
            <w:tcW w:w="280" w:type="dxa"/>
            <w:vAlign w:val="bottom"/>
          </w:tcPr>
          <w:p>
            <w:pPr>
              <w:spacing w:after="0"/>
              <w:rPr>
                <w:sz w:val="18"/>
                <w:szCs w:val="18"/>
                <w:color w:val="auto"/>
              </w:rPr>
            </w:pPr>
          </w:p>
        </w:tc>
        <w:tc>
          <w:tcPr>
            <w:tcW w:w="1760" w:type="dxa"/>
            <w:vAlign w:val="bottom"/>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Jefferson Parish Development Company, LLC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Louisiana</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20-3590498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 Bernard Parish Development Company,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Louisiana</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20-3590527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50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uarantor</w:t>
            </w:r>
          </w:p>
        </w:tc>
        <w:tc>
          <w:tcPr>
            <w:tcW w:w="15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w:t>
            </w:r>
          </w:p>
        </w:tc>
        <w:tc>
          <w:tcPr>
            <w:tcW w:w="2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60" w:type="dxa"/>
            <w:vAlign w:val="bottom"/>
            <w:gridSpan w:val="2"/>
            <w:vMerge w:val="continue"/>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Browning-Ferris,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Maryland</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74-1990096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Calvert Trash Systems, Incorporated</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Maryland</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52-1701593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Honeygo Run Reclamation Center,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Maryland</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52-1781270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Prince George’s County Landfill, LLC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Maryland</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68-0564610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Acquisition Two,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Massachusetts</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Services of Massachusetts, LLC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Massachusetts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86-1024452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Atlantic Waste Holding Company,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Massachusetts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42-1548814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BFI Transfer Systems of Massachusetts, LLC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Massachusetts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86-1024454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Waste Systems of Massachusetts, LLC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Massachusetts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86-1024544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Browning-Ferris Industries,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Massachusetts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04-1254350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 P. McNamara Rubbish Removal,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Massachusetts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04-2400121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Vining Disposal Service,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Massachusetts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04-2534061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 Landfill,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38-1799679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Systems of Michigan, LLC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20-3358409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&amp; C Expanded Sanitary Landfill, LLC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20-2540046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Central Sanitary Landfill,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38-2917813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Disposal,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38-2521526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City-Star Services,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38-1841203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Clarkston Disposal,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38-2872489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Dinverno,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38-2318347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Industries Leasing,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38-3188507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FLL,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38-2679508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 Van Dyken Disposal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38-2998205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Harland’s Sanitary Landfill,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38-2016636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Oakland Heights Development,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38-2388322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Reliable Disposal,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38-2301483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Michigan Hauling, LLC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65-0872289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Michigan I, LLC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65-0872399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Michigan II, LLC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65-0872398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Michigan III, LLC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65-0872397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Michigan IV, LLC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65-0872396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Michigan V, LLC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65-0872395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Holdings,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38-3244832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Sanitary Disposal Service,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38-2283539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Sauk Trail Development,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38-2489474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Standard Disposal Services,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38-2261256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 Environmental Services,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38-3353218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Tay-Ban Corporation</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38-2605338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Tri-County Refuse Service, Inc.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38-3293469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Woodlake Sanitary Service, Inc.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Minnesota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41-0673360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Hancock County Development Company, LLC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Mississippi</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20-3546528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Harrison County Landfill, LLC</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Mississippi</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72-1569826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Jackson County Landfill, LLC</w:t>
            </w:r>
          </w:p>
        </w:tc>
        <w:tc>
          <w:tcPr>
            <w:tcW w:w="2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Mississippi</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86-1055245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Mississippi Waste Paper Company</w:t>
            </w:r>
          </w:p>
        </w:tc>
        <w:tc>
          <w:tcPr>
            <w:tcW w:w="2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Mississippi</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64-0817153</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96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uarantor</w:t>
            </w:r>
          </w:p>
        </w:tc>
        <w:tc>
          <w:tcPr>
            <w:tcW w:w="1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w:t>
            </w:r>
          </w:p>
        </w:tc>
        <w:tc>
          <w:tcPr>
            <w:tcW w:w="2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94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5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Autoshred,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Missouri</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43-1030222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Belleville Landfill,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Missouri</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37-1037997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CWI of Missouri,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Missouri</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43-1527951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Missouri City Landfill, LLC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Missouri</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47-0921988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Rock Road Industries,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Missouri</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43-1509575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 Joseph Landfill, LLC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Missouri</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20-1475879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Tate’s Transfer Systems,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Missouri</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43-1587860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Thomas Disposal Service,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Missouri</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43-1058393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Systems of Montana, LLC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Montana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20-4777694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Oscar’s Collection System of Fremont,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Nebraska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47-0756617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Browning-Ferris Industries Chemical Services,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Nevada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74-1362353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Republic Dumpco,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Nevada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65-0772299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Environmental Technologies,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Nevada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65-0768398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Republic Silver State Disposal,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Nevada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65-0768402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Transfer Systems of New Jersey, LLC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86-0982078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of New Jersey,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22-3525350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Systems of New Jersey, LLC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86-0982077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American Materials Recycling Corp.</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22-3211753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Automated Modular Systems,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22-2830098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BFI Energy Systems of Essex County,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76-0167158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Transfer Systems of New Jersey,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22-3308380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BFI Waste Systems of New Jersey,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22-1755133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Browning-Ferris Industries of New Jersey,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22-2095920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Louis Pinto &amp; Son, Inc., Sanitation Contractors</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22-1947106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Newco Waste Systems of New Jersey,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16-1188724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Tom Luciano’s Disposal Service,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22-2035629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Solid Waste Recyclers,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22-2647500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Industries (New Mexico),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Mexico</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85-0444394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Niagara Falls Landfill, LLC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York</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20-4809296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of Long Island,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York</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86-0896185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Transfer Services of New York, LLC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York</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20-3651091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American Transfer Company,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York</w:t>
            </w:r>
          </w:p>
        </w:tc>
        <w:tc>
          <w:tcPr>
            <w:tcW w:w="20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11-3189094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Browning-Ferris Industries of New York,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York</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14-1496692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CECOS International,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York</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16-1069544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Island Waste Services Ltd.</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York</w:t>
            </w:r>
          </w:p>
        </w:tc>
        <w:tc>
          <w:tcPr>
            <w:tcW w:w="20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11-2815030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Menands Environmental Solutions, LLC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York</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20-1644884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Tricil (N.Y.), Inc.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York</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16-0875255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Waste Services of New York,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York</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22-3515302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County Land Development, LLC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New York</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20-1687434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Systems of North Carolina, LLC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North Carolina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20-3626667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Transfer Services of North Carolina, LLC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North Carolina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20-3147983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Lake Norman Landfill,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North Carolina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56-2076617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North Carolina, LLC</w:t>
            </w:r>
          </w:p>
        </w:tc>
        <w:tc>
          <w:tcPr>
            <w:tcW w:w="2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North Carolina</w:t>
            </w:r>
          </w:p>
        </w:tc>
        <w:tc>
          <w:tcPr>
            <w:tcW w:w="20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65-0972930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Real Estate Holding, Inc.</w:t>
            </w:r>
          </w:p>
        </w:tc>
        <w:tc>
          <w:tcPr>
            <w:tcW w:w="2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North Carolina</w:t>
            </w:r>
          </w:p>
        </w:tc>
        <w:tc>
          <w:tcPr>
            <w:tcW w:w="20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65-1024362</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524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uarantor</w:t>
            </w:r>
          </w:p>
        </w:tc>
        <w:tc>
          <w:tcPr>
            <w:tcW w:w="15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w:t>
            </w:r>
          </w:p>
        </w:tc>
        <w:tc>
          <w:tcPr>
            <w:tcW w:w="2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80" w:type="dxa"/>
            <w:vAlign w:val="bottom"/>
            <w:gridSpan w:val="2"/>
            <w:vMerge w:val="continue"/>
          </w:tcPr>
          <w:p>
            <w:pPr>
              <w:spacing w:after="0"/>
              <w:rPr>
                <w:sz w:val="15"/>
                <w:szCs w:val="15"/>
                <w:color w:val="auto"/>
              </w:rPr>
            </w:pPr>
          </w:p>
        </w:tc>
        <w:tc>
          <w:tcPr>
            <w:tcW w:w="15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9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Transfer Services of Lima, LLC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20-3880719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AWIN Leasing II, LLC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86-1015694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Carbon Limestone Landfill, LLC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20-2059890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Celina Landfill, Inc.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31-0813291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Cherokee Run Landfill, Inc.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31-1061009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County Environmental Landfill, LLC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20-2060052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County Land Development Landfill, LLC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20-2059973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Dempsey Waste Systems II, Inc.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91-2094398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Refuse Service of Ohio, L.L.C.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Lorain County Landfill, LLC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20-2059931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Lucas County Landfill, LLC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20-2060013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Noble Road Landfill, Inc.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34-1625432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 Republic Contracts, Inc.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65-1024359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Port Clinton Landfill, Inc.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20-1095124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Preble County Landfill, Inc.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81-0579596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R.C. Miller Enterprises, Inc.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34-1727361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R.C. Miller Refuse Service Inc.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34-1041193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Republic Ohio Contracts, LLC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80" w:type="dxa"/>
            <w:vAlign w:val="bottom"/>
          </w:tcPr>
          <w:p>
            <w:pPr>
              <w:spacing w:after="0"/>
              <w:rPr>
                <w:sz w:val="18"/>
                <w:szCs w:val="18"/>
                <w:color w:val="auto"/>
              </w:rPr>
            </w:pPr>
          </w:p>
        </w:tc>
        <w:tc>
          <w:tcPr>
            <w:tcW w:w="1760" w:type="dxa"/>
            <w:vAlign w:val="bottom"/>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Ohio Hauling, LLC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65-0872369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Ohio I, LLC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65-0872405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Ohio II, LLC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65-0872404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Republic Services of Ohio III, LLC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65-0872403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Ohio IV, LLC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65-0872402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Ross Bros. Waste &amp; Recycling Co.</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31-1362843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Ecology Group, Inc.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31-1370194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Williams County Landfill Inc.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34-1167514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ADS, Inc.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Oklahoma</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73-1379293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Services of Stillwater, Inc.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Oklahoma</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73-1286140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Disposal Services of Missouri, Inc.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Oklahoma</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73-1417578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BFI Waste Systems of Oklahoma, LLC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Oklahoma</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86-1024464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Oklahoma City Landfill, L.L.C.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Oklahoma</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86-0901510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Pittsburg County Landfill, Inc.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Oklahoma</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73-1379294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Agri-Tech, Inc. of Oregon</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93-0831569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Albany — Lebanon Sanitation, Inc.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93-0593828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Transfer Services of Oregon, LLC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20-4682479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Bio-Med of Oregon, Inc.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93-0666288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Capitol Recycling and Disposal, Inc.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93-1197641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Corvallis Disposal Co.</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93-0422468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Dallas Disposal Co.</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93-0686961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Grants Pass Sanitation, Inc.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93-1149631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Keller Drop Box, Inc.</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93-0775047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McInnis Waste Systems, Inc.</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93-1100152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Peltier Real Estate Company</w:t>
            </w:r>
          </w:p>
        </w:tc>
        <w:tc>
          <w:tcPr>
            <w:tcW w:w="2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93-0622305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Portable Storage Co.</w:t>
            </w:r>
          </w:p>
        </w:tc>
        <w:tc>
          <w:tcPr>
            <w:tcW w:w="2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93-0677497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98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uarantor</w:t>
            </w:r>
          </w:p>
        </w:tc>
        <w:tc>
          <w:tcPr>
            <w:tcW w:w="1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w:t>
            </w:r>
          </w:p>
        </w:tc>
        <w:tc>
          <w:tcPr>
            <w:tcW w:w="2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8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50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Rossman Sanitary Service,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93-0524701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Source Recycling,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93-0676813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Disposal Service,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93-0625022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Valley Landfills,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93-0623113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Control Systems,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93-0608475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WDTR,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93-0970896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Willamette Resources,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93-0636217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Allied Acquisition Pennsylvania,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Pennsylvania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52-2038566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Waste Systems of Pennsylvania, LLC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Pennsylvania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86-1020961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BFI Transfer Systems of Pennsylvania,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Pennsylvania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86-1024460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BFI Waste Services of Pennsylvania, LLC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Pennsylvania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86-1020962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Greenridge Reclamation,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Pennsylvania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86-1026336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Greenridge Waste Services, LLC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Pennsylvania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86-1026337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McCusker Recycling,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Pennsylvania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23-2558840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Morgan Landfill Company,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Pennsylvania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23-2645522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Flint Hill Road,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South Carolina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86-1014460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NationsWaste Catawba Regional Landfill,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South Carolina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58-2376936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Industries of Tennessee,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Tennessee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62-1589834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Barker Brothers Waste, Incorporated</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Tennessee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62-1119788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Browning-Ferris Industries of Tennessee,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Tennessee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62-0566788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Madison County Development, LLC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Tennessee</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20-1187869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Northwest Tennessee Disposal Corporation</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Tennessee</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22-3091901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Action Disposal,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Texas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74-2679234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Desarrollo del Rancho La Gloria TX, LP</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Texas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81-0636822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 Centro Landfill, L.P.</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Texas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75-3088544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Frontier Waste Services, L.P.</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Texas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76-0604271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Waste Services of Texas, Ltd.</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Texas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65-0963067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South Central Texas Land Co. TX, LP</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Texas</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81-0363867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Roll-Offs, L.L.C.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Texas</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74-2895613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Allied Waste Transfer Services of Utah,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Utah</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20-2298486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ECDC Environmental, L.C.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Utah</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87-0507247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Frontier Waste Services (Utah),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Utah</w:t>
            </w:r>
          </w:p>
        </w:tc>
        <w:tc>
          <w:tcPr>
            <w:tcW w:w="280" w:type="dxa"/>
            <w:vAlign w:val="bottom"/>
          </w:tcPr>
          <w:p>
            <w:pPr>
              <w:spacing w:after="0"/>
              <w:rPr>
                <w:sz w:val="18"/>
                <w:szCs w:val="18"/>
                <w:color w:val="auto"/>
              </w:rPr>
            </w:pPr>
          </w:p>
        </w:tc>
        <w:tc>
          <w:tcPr>
            <w:tcW w:w="1760" w:type="dxa"/>
            <w:vAlign w:val="bottom"/>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Wasatch Regional Landfill,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Utah</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20-0960443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623 Landfill, Inc.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Virginia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59-3800507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Cumberland County Development Company, LLC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Virginia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20-1645866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Obscurity Land Development, LLC</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Virginia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20-5046288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Services of Virginia, LLC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Virginia</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65-0976277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Rabanco Companies</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Washington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91-1312267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Rabanco Recycling,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Washington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91-1406993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Rabanco, Ltd.</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Washington</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91-0714701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WJR Environmental, Inc.</w:t>
            </w:r>
          </w:p>
        </w:tc>
        <w:tc>
          <w:tcPr>
            <w:tcW w:w="2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Washington</w:t>
            </w:r>
          </w:p>
        </w:tc>
        <w:tc>
          <w:tcPr>
            <w:tcW w:w="204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91-1525369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Sandy Hollow Landfill Corp.</w:t>
            </w:r>
          </w:p>
        </w:tc>
        <w:tc>
          <w:tcPr>
            <w:tcW w:w="2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West Virginia</w:t>
            </w:r>
          </w:p>
        </w:tc>
        <w:tc>
          <w:tcPr>
            <w:tcW w:w="20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22-3017041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50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195580</wp:posOffset>
            </wp:positionV>
            <wp:extent cx="6328410" cy="488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28410" cy="4883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820" w:right="920"/>
        <w:spacing w:after="0" w:line="266" w:lineRule="auto"/>
        <w:rPr>
          <w:sz w:val="20"/>
          <w:szCs w:val="20"/>
          <w:color w:val="auto"/>
        </w:rPr>
      </w:pPr>
      <w:r>
        <w:rPr>
          <w:rFonts w:ascii="Arial" w:cs="Arial" w:eastAsia="Arial" w:hAnsi="Arial"/>
          <w:sz w:val="14"/>
          <w:szCs w:val="14"/>
          <w:color w:val="E8112D"/>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E8112D"/>
        </w:rPr>
        <w:t>SUBJECT TO COMPLETION, DATED JUNE 29, 2010</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Republic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149225</wp:posOffset>
            </wp:positionV>
            <wp:extent cx="2667000" cy="660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670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Offers to Exchange all Outstanding and Unregistered</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5.00% Notes due 2020;</w:t>
      </w:r>
    </w:p>
    <w:p>
      <w:pPr>
        <w:jc w:val="center"/>
        <w:ind w:right="100"/>
        <w:spacing w:after="0" w:line="230" w:lineRule="auto"/>
        <w:rPr>
          <w:sz w:val="20"/>
          <w:szCs w:val="20"/>
          <w:color w:val="auto"/>
        </w:rPr>
      </w:pPr>
      <w:r>
        <w:rPr>
          <w:rFonts w:ascii="Times New Roman" w:cs="Times New Roman" w:eastAsia="Times New Roman" w:hAnsi="Times New Roman"/>
          <w:sz w:val="22"/>
          <w:szCs w:val="22"/>
          <w:b w:val="1"/>
          <w:bCs w:val="1"/>
          <w:color w:val="auto"/>
        </w:rPr>
        <w:t>5.25% Notes due 2021;</w:t>
      </w:r>
    </w:p>
    <w:p>
      <w:pPr>
        <w:jc w:val="center"/>
        <w:ind w:right="100"/>
        <w:spacing w:after="0" w:line="231" w:lineRule="auto"/>
        <w:rPr>
          <w:sz w:val="20"/>
          <w:szCs w:val="20"/>
          <w:color w:val="auto"/>
        </w:rPr>
      </w:pPr>
      <w:r>
        <w:rPr>
          <w:rFonts w:ascii="Times New Roman" w:cs="Times New Roman" w:eastAsia="Times New Roman" w:hAnsi="Times New Roman"/>
          <w:sz w:val="22"/>
          <w:szCs w:val="22"/>
          <w:b w:val="1"/>
          <w:bCs w:val="1"/>
          <w:color w:val="auto"/>
        </w:rPr>
        <w:t>5.50% Notes due 2019; and</w:t>
      </w:r>
    </w:p>
    <w:p>
      <w:pPr>
        <w:jc w:val="center"/>
        <w:ind w:right="100"/>
        <w:spacing w:after="0" w:line="230" w:lineRule="auto"/>
        <w:rPr>
          <w:sz w:val="20"/>
          <w:szCs w:val="20"/>
          <w:color w:val="auto"/>
        </w:rPr>
      </w:pPr>
      <w:r>
        <w:rPr>
          <w:rFonts w:ascii="Times New Roman" w:cs="Times New Roman" w:eastAsia="Times New Roman" w:hAnsi="Times New Roman"/>
          <w:sz w:val="22"/>
          <w:szCs w:val="22"/>
          <w:b w:val="1"/>
          <w:bCs w:val="1"/>
          <w:color w:val="auto"/>
        </w:rPr>
        <w:t>6.20% Notes due 2040</w:t>
      </w:r>
    </w:p>
    <w:p>
      <w:pPr>
        <w:jc w:val="center"/>
        <w:ind w:right="100"/>
        <w:spacing w:after="0" w:line="231" w:lineRule="auto"/>
        <w:rPr>
          <w:sz w:val="20"/>
          <w:szCs w:val="20"/>
          <w:color w:val="auto"/>
        </w:rPr>
      </w:pPr>
      <w:r>
        <w:rPr>
          <w:rFonts w:ascii="Times New Roman" w:cs="Times New Roman" w:eastAsia="Times New Roman" w:hAnsi="Times New Roman"/>
          <w:sz w:val="22"/>
          <w:szCs w:val="22"/>
          <w:b w:val="1"/>
          <w:bCs w:val="1"/>
          <w:color w:val="auto"/>
        </w:rPr>
        <w:t>for</w:t>
      </w:r>
    </w:p>
    <w:p>
      <w:pPr>
        <w:jc w:val="center"/>
        <w:ind w:right="100"/>
        <w:spacing w:after="0" w:line="231" w:lineRule="auto"/>
        <w:rPr>
          <w:sz w:val="20"/>
          <w:szCs w:val="20"/>
          <w:color w:val="auto"/>
        </w:rPr>
      </w:pPr>
      <w:r>
        <w:rPr>
          <w:rFonts w:ascii="Times New Roman" w:cs="Times New Roman" w:eastAsia="Times New Roman" w:hAnsi="Times New Roman"/>
          <w:sz w:val="22"/>
          <w:szCs w:val="22"/>
          <w:b w:val="1"/>
          <w:bCs w:val="1"/>
          <w:color w:val="auto"/>
        </w:rPr>
        <w:t>5.00% Notes due 2020;</w:t>
      </w:r>
    </w:p>
    <w:p>
      <w:pPr>
        <w:jc w:val="center"/>
        <w:ind w:right="100"/>
        <w:spacing w:after="0" w:line="230" w:lineRule="auto"/>
        <w:rPr>
          <w:sz w:val="20"/>
          <w:szCs w:val="20"/>
          <w:color w:val="auto"/>
        </w:rPr>
      </w:pPr>
      <w:r>
        <w:rPr>
          <w:rFonts w:ascii="Times New Roman" w:cs="Times New Roman" w:eastAsia="Times New Roman" w:hAnsi="Times New Roman"/>
          <w:sz w:val="22"/>
          <w:szCs w:val="22"/>
          <w:b w:val="1"/>
          <w:bCs w:val="1"/>
          <w:color w:val="auto"/>
        </w:rPr>
        <w:t>5.25% Notes due 2021;</w:t>
      </w:r>
    </w:p>
    <w:p>
      <w:pPr>
        <w:jc w:val="center"/>
        <w:ind w:right="100"/>
        <w:spacing w:after="0" w:line="231" w:lineRule="auto"/>
        <w:rPr>
          <w:sz w:val="20"/>
          <w:szCs w:val="20"/>
          <w:color w:val="auto"/>
        </w:rPr>
      </w:pPr>
      <w:r>
        <w:rPr>
          <w:rFonts w:ascii="Times New Roman" w:cs="Times New Roman" w:eastAsia="Times New Roman" w:hAnsi="Times New Roman"/>
          <w:sz w:val="22"/>
          <w:szCs w:val="22"/>
          <w:b w:val="1"/>
          <w:bCs w:val="1"/>
          <w:color w:val="auto"/>
        </w:rPr>
        <w:t>5.50% Notes due 2019; and</w:t>
      </w:r>
    </w:p>
    <w:p>
      <w:pPr>
        <w:jc w:val="center"/>
        <w:ind w:right="100"/>
        <w:spacing w:after="0" w:line="230" w:lineRule="auto"/>
        <w:rPr>
          <w:sz w:val="20"/>
          <w:szCs w:val="20"/>
          <w:color w:val="auto"/>
        </w:rPr>
      </w:pPr>
      <w:r>
        <w:rPr>
          <w:rFonts w:ascii="Times New Roman" w:cs="Times New Roman" w:eastAsia="Times New Roman" w:hAnsi="Times New Roman"/>
          <w:sz w:val="22"/>
          <w:szCs w:val="22"/>
          <w:b w:val="1"/>
          <w:bCs w:val="1"/>
          <w:color w:val="auto"/>
        </w:rPr>
        <w:t>6.20% Notes due 2040</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Which Have Been Registered Under the Securities Act</w:t>
      </w:r>
    </w:p>
    <w:p>
      <w:pPr>
        <w:spacing w:after="0" w:line="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prospectus and accompanying letter of transmittal relate to our proposed offers to exchange up to $850,000,000 aggregate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amount of 5.00% notes due 2020 (the “2020 exchange notes”), $600,000,000 aggregate principal amount of 5.25% notes due 2021</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“2021 exchange notes”), $650,000,000 aggregate principal amount of 5.50% notes due 2019 (the “2019 exchange notes”),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$650,000,000 aggregate principal amount of 6.20% notes due 2040 (the “2040 exchange notes”), all of which are registered under the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Securities Act of 1933, as amended, for any and all of our unregistered 5.00% notes due 2020, 5.25% notes due 2021, 5.50% notes due 2019</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 6.20% notes due 2040 that were issued on March 4, 2010, September 8, 2009, November 25, 2009 and March 4, 2010, respectively. The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2020 exchange notes, the 2021 exchange notes, the 2019 exchange notes and the 2040 exchange notes are collectively referred to herein as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“exchange notes”. The unregistered notes are, and the exchange notes will be, fully and unconditionally and jointly and severally</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guaranteed by substantially all of our direct and indirect subsidiaries. All references to the unregistered notes and the exchange notes include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references to the related guarantees. The unregistered notes have certain transfer restrictions. The exchange notes will be freely transferable.</w:t>
      </w:r>
    </w:p>
    <w:p>
      <w:pPr>
        <w:spacing w:after="0" w:line="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principal features of the exchange offers are as follows:</w:t>
      </w:r>
    </w:p>
    <w:p>
      <w:pPr>
        <w:spacing w:after="0" w:line="73" w:lineRule="exact"/>
        <w:rPr>
          <w:sz w:val="20"/>
          <w:szCs w:val="20"/>
          <w:color w:val="auto"/>
        </w:rPr>
      </w:pPr>
    </w:p>
    <w:p>
      <w:pPr>
        <w:ind w:left="580" w:right="860" w:firstLine="406"/>
        <w:spacing w:after="0" w:line="286" w:lineRule="auto"/>
        <w:rPr>
          <w:sz w:val="20"/>
          <w:szCs w:val="20"/>
          <w:color w:val="auto"/>
        </w:rPr>
      </w:pPr>
      <w:r>
        <w:rPr>
          <w:rFonts w:ascii="Times New Roman" w:cs="Times New Roman" w:eastAsia="Times New Roman" w:hAnsi="Times New Roman"/>
          <w:sz w:val="18"/>
          <w:szCs w:val="18"/>
          <w:b w:val="1"/>
          <w:bCs w:val="1"/>
          <w:color w:val="auto"/>
        </w:rPr>
        <w:t>EACH EXCHANGE OFFER WILL EXPIRE AT 5:00 P.M., NEW YORK CITY TIME, ON AUGUST 2, 2010, UNLESS WE EXTEND THE OFFER.</w:t>
      </w:r>
    </w:p>
    <w:p>
      <w:pPr>
        <w:spacing w:after="0" w:line="10" w:lineRule="exact"/>
        <w:rPr>
          <w:sz w:val="20"/>
          <w:szCs w:val="20"/>
          <w:color w:val="auto"/>
        </w:rPr>
      </w:pPr>
    </w:p>
    <w:p>
      <w:pPr>
        <w:ind w:left="1200" w:hanging="203"/>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withdraw tendered outstanding unregistered notes at any time prior to the expiration of the applicable exchange offer.</w:t>
      </w:r>
    </w:p>
    <w:p>
      <w:pPr>
        <w:spacing w:after="0" w:line="63" w:lineRule="exact"/>
        <w:rPr>
          <w:rFonts w:ascii="Times New Roman" w:cs="Times New Roman" w:eastAsia="Times New Roman" w:hAnsi="Times New Roman"/>
          <w:sz w:val="18"/>
          <w:szCs w:val="18"/>
          <w:color w:val="auto"/>
        </w:rPr>
      </w:pPr>
    </w:p>
    <w:p>
      <w:pPr>
        <w:ind w:left="1200" w:right="920" w:hanging="203"/>
        <w:spacing w:after="0" w:line="281" w:lineRule="auto"/>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exchange all outstanding unregistered notes that are validly tendered and not validly withdrawn prior to the expiration of the applicable exchange offer for an equal principal amount of the applicable exchange notes.</w:t>
      </w:r>
    </w:p>
    <w:p>
      <w:pPr>
        <w:spacing w:after="0" w:line="1" w:lineRule="exact"/>
        <w:rPr>
          <w:rFonts w:ascii="Times New Roman" w:cs="Times New Roman" w:eastAsia="Times New Roman" w:hAnsi="Times New Roman"/>
          <w:sz w:val="18"/>
          <w:szCs w:val="18"/>
          <w:color w:val="auto"/>
        </w:rPr>
      </w:pPr>
    </w:p>
    <w:p>
      <w:pPr>
        <w:ind w:left="1200" w:right="700" w:hanging="203"/>
        <w:spacing w:after="0" w:line="266" w:lineRule="auto"/>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each series of the exchange notes to be issued are substantially similar to the applicable unregistered notes, except they are registered under the Securities Act, do not have any transfer restrictions and do not have registration rights or rights to additional interest.</w:t>
      </w:r>
    </w:p>
    <w:p>
      <w:pPr>
        <w:spacing w:after="0" w:line="14" w:lineRule="exact"/>
        <w:rPr>
          <w:rFonts w:ascii="Times New Roman" w:cs="Times New Roman" w:eastAsia="Times New Roman" w:hAnsi="Times New Roman"/>
          <w:sz w:val="18"/>
          <w:szCs w:val="18"/>
          <w:color w:val="auto"/>
        </w:rPr>
      </w:pPr>
    </w:p>
    <w:p>
      <w:pPr>
        <w:ind w:left="1200" w:right="860" w:hanging="203"/>
        <w:spacing w:after="0" w:line="281" w:lineRule="auto"/>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unregistered notes for exchange notes pursuant to the exchange offers will not be a taxable event for U.S. federal income tax purposes.</w:t>
      </w:r>
    </w:p>
    <w:p>
      <w:pPr>
        <w:spacing w:after="0" w:line="1" w:lineRule="exact"/>
        <w:rPr>
          <w:rFonts w:ascii="Times New Roman" w:cs="Times New Roman" w:eastAsia="Times New Roman" w:hAnsi="Times New Roman"/>
          <w:sz w:val="18"/>
          <w:szCs w:val="18"/>
          <w:color w:val="auto"/>
        </w:rPr>
      </w:pPr>
    </w:p>
    <w:p>
      <w:pPr>
        <w:ind w:left="1200" w:hanging="203"/>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receive any proceeds from the exchange offers.</w:t>
      </w:r>
    </w:p>
    <w:p>
      <w:pPr>
        <w:spacing w:after="0" w:line="63" w:lineRule="exact"/>
        <w:rPr>
          <w:rFonts w:ascii="Times New Roman" w:cs="Times New Roman" w:eastAsia="Times New Roman" w:hAnsi="Times New Roman"/>
          <w:sz w:val="18"/>
          <w:szCs w:val="18"/>
          <w:color w:val="auto"/>
        </w:rPr>
      </w:pPr>
    </w:p>
    <w:p>
      <w:pPr>
        <w:ind w:left="1200" w:hanging="203"/>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apply for listing of the exchange notes on any securities exchange or automated quotation system.</w:t>
      </w:r>
    </w:p>
    <w:p>
      <w:pPr>
        <w:spacing w:after="0" w:line="64" w:lineRule="exact"/>
        <w:rPr>
          <w:sz w:val="20"/>
          <w:szCs w:val="20"/>
          <w:color w:val="auto"/>
        </w:rPr>
      </w:pPr>
    </w:p>
    <w:p>
      <w:pPr>
        <w:ind w:left="580" w:right="760" w:firstLine="508"/>
        <w:spacing w:after="0" w:line="262" w:lineRule="auto"/>
        <w:rPr>
          <w:sz w:val="20"/>
          <w:szCs w:val="20"/>
          <w:color w:val="auto"/>
        </w:rPr>
      </w:pPr>
      <w:r>
        <w:rPr>
          <w:rFonts w:ascii="Times New Roman" w:cs="Times New Roman" w:eastAsia="Times New Roman" w:hAnsi="Times New Roman"/>
          <w:sz w:val="22"/>
          <w:szCs w:val="22"/>
          <w:b w:val="1"/>
          <w:bCs w:val="1"/>
          <w:color w:val="auto"/>
        </w:rPr>
        <w:t>Please see “</w:t>
      </w:r>
      <w:r>
        <w:rPr>
          <w:rFonts w:ascii="Times New Roman" w:cs="Times New Roman" w:eastAsia="Times New Roman" w:hAnsi="Times New Roman"/>
          <w:sz w:val="22"/>
          <w:szCs w:val="22"/>
          <w:b w:val="1"/>
          <w:bCs w:val="1"/>
          <w:u w:val="single" w:color="auto"/>
          <w:color w:val="auto"/>
        </w:rPr>
        <w:t>Risk Factors</w:t>
      </w:r>
      <w:r>
        <w:rPr>
          <w:rFonts w:ascii="Times New Roman" w:cs="Times New Roman" w:eastAsia="Times New Roman" w:hAnsi="Times New Roman"/>
          <w:sz w:val="22"/>
          <w:szCs w:val="22"/>
          <w:b w:val="1"/>
          <w:bCs w:val="1"/>
          <w:color w:val="auto"/>
        </w:rPr>
        <w:t xml:space="preserve"> ” beginning on page 11 for a discussion of certain factors you should consider in connection with the exchange offers.</w:t>
      </w:r>
    </w:p>
    <w:p>
      <w:pPr>
        <w:spacing w:after="0" w:line="65" w:lineRule="exact"/>
        <w:rPr>
          <w:sz w:val="20"/>
          <w:szCs w:val="20"/>
          <w:color w:val="auto"/>
        </w:rPr>
      </w:pPr>
    </w:p>
    <w:p>
      <w:pPr>
        <w:ind w:left="580" w:right="1120" w:firstLine="406"/>
        <w:spacing w:after="0" w:line="30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other regulatory body has approved or disapproved of these securities or passed upon the adequacy or accuracy of this prospectus. Any representation to the contrary is a criminal offense.</w:t>
      </w:r>
    </w:p>
    <w:tbl>
      <w:tblPr>
        <w:tblLayout w:type="fixed"/>
        <w:tblInd w:w="0" w:type="dxa"/>
        <w:tblCellMar>
          <w:top w:w="0" w:type="dxa"/>
          <w:left w:w="0" w:type="dxa"/>
          <w:bottom w:w="0" w:type="dxa"/>
          <w:right w:w="0" w:type="dxa"/>
        </w:tblCellMar>
      </w:tblPr>
      <w:tr>
        <w:trPr>
          <w:trHeight w:val="234"/>
        </w:trPr>
        <w:tc>
          <w:tcPr>
            <w:tcW w:w="646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96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 2010.</w:t>
            </w:r>
          </w:p>
        </w:tc>
      </w:tr>
      <w:tr>
        <w:trPr>
          <w:trHeight w:val="226"/>
        </w:trPr>
        <w:tc>
          <w:tcPr>
            <w:tcW w:w="646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ind w:right="60" w:firstLine="318"/>
        <w:spacing w:after="0" w:line="258" w:lineRule="auto"/>
        <w:rPr>
          <w:sz w:val="20"/>
          <w:szCs w:val="20"/>
          <w:color w:val="auto"/>
        </w:rPr>
      </w:pPr>
      <w:r>
        <w:rPr>
          <w:rFonts w:ascii="Times New Roman" w:cs="Times New Roman" w:eastAsia="Times New Roman" w:hAnsi="Times New Roman"/>
          <w:sz w:val="18"/>
          <w:szCs w:val="18"/>
          <w:color w:val="auto"/>
        </w:rPr>
        <w:t>Each holder of an unregistered note wishing to accept an exchange offer must deliver the unregistered note to be exchanged, together with the letter of transmittal that accompanies this prospectus and any other required documentation, to the applicable exchange agent identified in this prospectus. Alternatively, you may effect a tender of unregistered notes by book-entry transfer into the applicable exchange agent’s account at The Depository Trust Company (“DTC”). All deliveries are at the risk of the holder. You can find detailed instructions concerning delivery in the section called “The Exchange Offers” in this prospectus and in the accompanying letter of transmittal.</w:t>
      </w:r>
    </w:p>
    <w:p>
      <w:pPr>
        <w:spacing w:after="0" w:line="22"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If you are a broker-dealer that receives exchange notes for your own account, you must acknowledge that you will deliver a prospectus in connection with any resale of the exchange notes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letter of transmittal accompanying this prospectus states that, by so acknowledging and by delivering a prospectus, you will not be deemed to admit that you are an “underwriter” within the meaning of the Securities Act. You may use this prospectus, as we may amend or supplement it in the future, for your resales of exchange notes. We will use commercially reasonable efforts to have the registration statement, of which this prospectus forms a part, remain effective for a period ending on the earlier of (i) 180 days from the date on which this registration statement is declared effective and (ii) the date on which a broker-dealer is no longer required to deliver a prospectus in connection with market-making or other trading activities. We will also amend or supplement this prospectus during this 180-day period, if requested by one or more participating broker-dealers, in order to expedite or facilitate such resales.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4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0"/>
                <w:szCs w:val="20"/>
                <w:color w:val="auto"/>
              </w:rPr>
            </w:pPr>
          </w:p>
        </w:tc>
      </w:tr>
      <w:tr>
        <w:trPr>
          <w:trHeight w:val="243"/>
        </w:trPr>
        <w:tc>
          <w:tcPr>
            <w:tcW w:w="8160" w:type="dxa"/>
            <w:vAlign w:val="bottom"/>
            <w:gridSpan w:val="14"/>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ABOUT THIS PROSPECTUS</w:t>
              </w:r>
            </w:hyperlink>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160" w:type="dxa"/>
            <w:vAlign w:val="bottom"/>
            <w:gridSpan w:val="14"/>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DISCLOSURE REGARDING FORWARD-LOOKING STATEMENTS</w:t>
              </w:r>
            </w:hyperlink>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9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20">
              <w:r>
                <w:rPr>
                  <w:rFonts w:ascii="Times New Roman" w:cs="Times New Roman" w:eastAsia="Times New Roman" w:hAnsi="Times New Roman"/>
                  <w:sz w:val="18"/>
                  <w:szCs w:val="18"/>
                  <w:color w:val="0000EE"/>
                  <w:w w:val="96"/>
                </w:rPr>
                <w:t>SUMMARY</w:t>
              </w:r>
            </w:hyperlink>
          </w:p>
        </w:tc>
        <w:tc>
          <w:tcPr>
            <w:tcW w:w="4260" w:type="dxa"/>
            <w:vAlign w:val="bottom"/>
            <w:tcBorders>
              <w:top w:val="single" w:sz="8" w:color="0000EE"/>
            </w:tcBorders>
            <w:gridSpan w:val="11"/>
          </w:tcPr>
          <w:p>
            <w:pPr>
              <w:spacing w:after="0"/>
              <w:rPr>
                <w:sz w:val="17"/>
                <w:szCs w:val="17"/>
                <w:color w:val="auto"/>
              </w:rPr>
            </w:pPr>
          </w:p>
        </w:tc>
        <w:tc>
          <w:tcPr>
            <w:tcW w:w="298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160" w:type="dxa"/>
            <w:vAlign w:val="bottom"/>
            <w:gridSpan w:val="14"/>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RISK FACTORS</w:t>
              </w:r>
            </w:hyperlink>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RATIO OF EARNINGS TO FIXED CHARGES</w:t>
              </w:r>
            </w:hyperlink>
          </w:p>
        </w:tc>
        <w:tc>
          <w:tcPr>
            <w:tcW w:w="4640" w:type="dxa"/>
            <w:vAlign w:val="bottom"/>
            <w:gridSpan w:val="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USE OF PROCEEDS</w:t>
              </w:r>
            </w:hyperlink>
          </w:p>
        </w:tc>
        <w:tc>
          <w:tcPr>
            <w:tcW w:w="6580" w:type="dxa"/>
            <w:vAlign w:val="bottom"/>
            <w:gridSpan w:val="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160" w:type="dxa"/>
            <w:vAlign w:val="bottom"/>
            <w:gridSpan w:val="14"/>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THE EXCHANGE OFFERS</w:t>
              </w:r>
            </w:hyperlink>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DESCRIPTION OF THE EXCHANGE NOTES</w:t>
              </w:r>
            </w:hyperlink>
          </w:p>
        </w:tc>
        <w:tc>
          <w:tcPr>
            <w:tcW w:w="4660" w:type="dxa"/>
            <w:vAlign w:val="bottom"/>
            <w:gridSpan w:val="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8160" w:type="dxa"/>
            <w:vAlign w:val="bottom"/>
            <w:gridSpan w:val="14"/>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MATERIAL U.S. FEDERAL INCOME TAX CONSIDERATIONS</w:t>
              </w:r>
            </w:hyperlink>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48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PLAN OF DISTRIBUTION</w:t>
              </w:r>
            </w:hyperlink>
          </w:p>
        </w:tc>
        <w:tc>
          <w:tcPr>
            <w:tcW w:w="3300" w:type="dxa"/>
            <w:vAlign w:val="bottom"/>
            <w:gridSpan w:val="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70">
              <w:r>
                <w:rPr>
                  <w:rFonts w:ascii="Times New Roman" w:cs="Times New Roman" w:eastAsia="Times New Roman" w:hAnsi="Times New Roman"/>
                  <w:sz w:val="18"/>
                  <w:szCs w:val="18"/>
                  <w:color w:val="0000EE"/>
                  <w:w w:val="97"/>
                </w:rPr>
                <w:t>LEGAL MATTERS</w:t>
              </w:r>
            </w:hyperlink>
          </w:p>
        </w:tc>
        <w:tc>
          <w:tcPr>
            <w:tcW w:w="620" w:type="dxa"/>
            <w:vAlign w:val="bottom"/>
            <w:tcBorders>
              <w:top w:val="single" w:sz="8" w:color="0000EE"/>
            </w:tcBorders>
            <w:gridSpan w:val="2"/>
          </w:tcPr>
          <w:p>
            <w:pPr>
              <w:spacing w:after="0"/>
              <w:rPr>
                <w:sz w:val="17"/>
                <w:szCs w:val="17"/>
                <w:color w:val="auto"/>
              </w:rPr>
            </w:pPr>
          </w:p>
        </w:tc>
        <w:tc>
          <w:tcPr>
            <w:tcW w:w="6080" w:type="dxa"/>
            <w:vAlign w:val="bottom"/>
            <w:gridSpan w:val="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8160" w:type="dxa"/>
            <w:vAlign w:val="bottom"/>
            <w:gridSpan w:val="14"/>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EXPERTS</w:t>
              </w:r>
            </w:hyperlink>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760" w:type="dxa"/>
            <w:vAlign w:val="bottom"/>
            <w:shd w:val="clear" w:color="auto" w:fill="0000EE"/>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WHERE YOU CAN FIND MORE INFORMATION</w:t>
              </w:r>
            </w:hyperlink>
          </w:p>
        </w:tc>
        <w:tc>
          <w:tcPr>
            <w:tcW w:w="4340" w:type="dxa"/>
            <w:vAlign w:val="bottom"/>
            <w:gridSpan w:val="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28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71">
              <w:r>
                <w:rPr>
                  <w:rFonts w:ascii="Times New Roman" w:cs="Times New Roman" w:eastAsia="Times New Roman" w:hAnsi="Times New Roman"/>
                  <w:sz w:val="18"/>
                  <w:szCs w:val="18"/>
                  <w:color w:val="0000EE"/>
                  <w:w w:val="98"/>
                </w:rPr>
                <w:t>INCORPORATION BY REFERENCE</w:t>
              </w:r>
            </w:hyperlink>
          </w:p>
        </w:tc>
        <w:tc>
          <w:tcPr>
            <w:tcW w:w="5340" w:type="dxa"/>
            <w:vAlign w:val="bottom"/>
            <w:gridSpan w:val="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31"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and in any applicable prospectus supplement. We have not authorized any other person to provide you with different information. The information contained in this prospectus and any applicable prospectus supplement are accurate only as of the date such information is presented. Our business, financial condition, results of operations and prospects may have subsequently changed. You should also read this prospectus together with the additional information described under the heading “Where You Can Find More Information.”</w:t>
      </w:r>
    </w:p>
    <w:p>
      <w:pPr>
        <w:spacing w:after="0" w:line="85" w:lineRule="exact"/>
        <w:rPr>
          <w:sz w:val="20"/>
          <w:szCs w:val="20"/>
          <w:color w:val="auto"/>
        </w:rPr>
      </w:pPr>
    </w:p>
    <w:p>
      <w:pPr>
        <w:ind w:right="40" w:firstLine="318"/>
        <w:spacing w:after="0" w:line="262" w:lineRule="auto"/>
        <w:rPr>
          <w:sz w:val="20"/>
          <w:szCs w:val="20"/>
          <w:color w:val="auto"/>
        </w:rPr>
      </w:pPr>
      <w:r>
        <w:rPr>
          <w:rFonts w:ascii="Times New Roman" w:cs="Times New Roman" w:eastAsia="Times New Roman" w:hAnsi="Times New Roman"/>
          <w:sz w:val="18"/>
          <w:szCs w:val="18"/>
          <w:b w:val="1"/>
          <w:bCs w:val="1"/>
          <w:color w:val="auto"/>
        </w:rPr>
        <w:t>This prospectus may be supplemented from time to time to add, update or change information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8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b w:val="1"/>
          <w:bCs w:val="1"/>
          <w:color w:val="auto"/>
        </w:rPr>
        <w:t>The registration statement containing this prospectus, including the exhibits to the registration statement, provides additional information about us and the securities offered under this prospectus. For further information relating to us and the exchange notes, we refer you to the registration statement and its exhibits, from which this prospectus incorporates important business and financial information about us that is not included in or delivered herewith. You may obtain a copy of the registration statement and its exhibits, free of charge, by oral or written request directed to: Republic Services, Inc., 18500 North Allied Way, Phoenix, AZ 85054, Attention: Investor Relations, Phone: (480) 627-2700. To ensure timely delivery, please make your request as soon as practicable and, in any event, no later than five business days prior to the expiration of this exchange offer. The registration statement, including the exhibits, can also be read on the website of the Securities and Exchange Commission or at the offices of the SEC mentioned under the heading “Where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127635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600" w:top="945" w:right="6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Company References</w:t>
      </w:r>
    </w:p>
    <w:p>
      <w:pPr>
        <w:spacing w:after="0" w:line="135" w:lineRule="exact"/>
        <w:rPr>
          <w:sz w:val="20"/>
          <w:szCs w:val="20"/>
          <w:color w:val="auto"/>
        </w:rPr>
      </w:pPr>
    </w:p>
    <w:p>
      <w:pPr>
        <w:ind w:left="700" w:firstLine="397"/>
        <w:spacing w:after="0" w:line="282" w:lineRule="auto"/>
        <w:rPr>
          <w:sz w:val="20"/>
          <w:szCs w:val="20"/>
          <w:color w:val="auto"/>
        </w:rPr>
      </w:pPr>
      <w:r>
        <w:rPr>
          <w:rFonts w:ascii="Times New Roman" w:cs="Times New Roman" w:eastAsia="Times New Roman" w:hAnsi="Times New Roman"/>
          <w:sz w:val="18"/>
          <w:szCs w:val="18"/>
          <w:color w:val="auto"/>
        </w:rPr>
        <w:t>As used in this prospectus the terms the “Company,” “Republic,” “we,” “us,” and “our” may, depending upon the context, refer to Republic Services, Inc., our consolidated subsidiaries or to all of them taken as a whole.</w:t>
      </w:r>
    </w:p>
    <w:p>
      <w:pPr>
        <w:spacing w:after="0" w:line="35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240" w:top="415" w:right="12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35"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This prospectus, any prospectus supplement and the documents incorporated by reference herein and therein contain certain forward-looking information about us. Forward-looking statements are statements that are not historical facts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Words such as “guidance,” “expect,” “will,” “may,” “anticipate,” “could” and similar expressions are intended to identify forward-looking statements. These statements include statements about the expected benefits of our merger with Allied Waste Industries, Inc. (“Allied”), our plans, strategies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we can give no assurance that the expectations will prove to be correct. Among the factors that could cause actual results to differ materially from the expectations expressed in the forward-looking statements are:</w:t>
      </w:r>
    </w:p>
    <w:p>
      <w:pPr>
        <w:spacing w:after="0" w:line="92" w:lineRule="exact"/>
        <w:rPr>
          <w:sz w:val="20"/>
          <w:szCs w:val="20"/>
          <w:color w:val="auto"/>
        </w:rPr>
      </w:pPr>
    </w:p>
    <w:p>
      <w:pPr>
        <w:ind w:left="1300" w:right="40" w:hanging="202"/>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us of our substantial post-merger indebtedness, including our ability to obtain financing on acceptable terms to finance our operations and growth strategy and to operate within the limitations imposed by financing arrangements and the fact that any downgrade in our bond ratings could adversely impact us;</w:t>
      </w:r>
    </w:p>
    <w:p>
      <w:pPr>
        <w:spacing w:after="0" w:line="68" w:lineRule="exact"/>
        <w:rPr>
          <w:rFonts w:ascii="Times New Roman" w:cs="Times New Roman" w:eastAsia="Times New Roman" w:hAnsi="Times New Roman"/>
          <w:sz w:val="18"/>
          <w:szCs w:val="18"/>
          <w:color w:val="auto"/>
        </w:rPr>
      </w:pPr>
    </w:p>
    <w:p>
      <w:pPr>
        <w:ind w:left="1300" w:right="120" w:hanging="202"/>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but not limited to, the current global economic and financial market crisis, inflation and changes in commodity pricing, fuel, labor, risk and health insurance and other variable costs that are generally not within our control, and our exposure to credit and counterparty risk;</w:t>
      </w:r>
    </w:p>
    <w:p>
      <w:pPr>
        <w:spacing w:after="0" w:line="68" w:lineRule="exact"/>
        <w:rPr>
          <w:rFonts w:ascii="Times New Roman" w:cs="Times New Roman" w:eastAsia="Times New Roman" w:hAnsi="Times New Roman"/>
          <w:sz w:val="18"/>
          <w:szCs w:val="18"/>
          <w:color w:val="auto"/>
        </w:rPr>
      </w:pPr>
    </w:p>
    <w:p>
      <w:pPr>
        <w:jc w:val="both"/>
        <w:ind w:left="1300" w:right="380" w:hanging="202"/>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estimates and assumptions concerning our selected balance sheet accounts, income tax accounts, final capping, closure, post-closure and remediation costs, available airspace, and projected costs and expenses related to our landfills and property and equipment (including our estimates of the fair values of the assets and liabilities acquired in our acquisition of Allied), and labor, fuel rates and economic and inflationary trends, turn out to be correct or appropriate;</w:t>
      </w:r>
    </w:p>
    <w:p>
      <w:pPr>
        <w:spacing w:after="0" w:line="71"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demand for services in the solid waste industry;</w:t>
      </w:r>
    </w:p>
    <w:p>
      <w:pPr>
        <w:spacing w:after="0" w:line="117" w:lineRule="exact"/>
        <w:rPr>
          <w:rFonts w:ascii="Times New Roman" w:cs="Times New Roman" w:eastAsia="Times New Roman" w:hAnsi="Times New Roman"/>
          <w:sz w:val="18"/>
          <w:szCs w:val="18"/>
          <w:color w:val="auto"/>
        </w:rPr>
      </w:pPr>
    </w:p>
    <w:p>
      <w:pPr>
        <w:ind w:left="1300" w:right="640" w:hanging="202"/>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price increases or changes in commodity prices may not be adequate to offset the impact of increased costs, including but not limited to labor, third-party disposal and fuel, and may cause us to lose volume;</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 and execute our growth strategy;</w:t>
      </w:r>
    </w:p>
    <w:p>
      <w:pPr>
        <w:spacing w:after="0" w:line="117" w:lineRule="exact"/>
        <w:rPr>
          <w:rFonts w:ascii="Times New Roman" w:cs="Times New Roman" w:eastAsia="Times New Roman" w:hAnsi="Times New Roman"/>
          <w:sz w:val="18"/>
          <w:szCs w:val="18"/>
          <w:color w:val="auto"/>
        </w:rPr>
      </w:pPr>
    </w:p>
    <w:p>
      <w:pPr>
        <w:ind w:left="1300" w:right="40" w:hanging="202"/>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and future changes in, environmental and flow control regulations and our ability to obtain approvals from regulatory agencies in connection with operating and expanding our landfills;</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investment grade ratings for our debt;</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personnel;</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large, long-term collection, transfer and disposal contracts;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business is capital intensive and may consume cash in excess of cash flow from operations;</w:t>
      </w:r>
    </w:p>
    <w:p>
      <w:pPr>
        <w:spacing w:after="0" w:line="76" w:lineRule="exact"/>
        <w:rPr>
          <w:rFonts w:ascii="Times New Roman" w:cs="Times New Roman" w:eastAsia="Times New Roman" w:hAnsi="Times New Roman"/>
          <w:sz w:val="18"/>
          <w:szCs w:val="18"/>
          <w:color w:val="auto"/>
        </w:rPr>
      </w:pPr>
    </w:p>
    <w:p>
      <w:pPr>
        <w:ind w:left="1300" w:right="440" w:hanging="202"/>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exposure to environmental liabilities, to the extent not adequately covered by insurance, could result in substantial expenses;</w:t>
      </w:r>
    </w:p>
    <w:p>
      <w:pPr>
        <w:spacing w:after="0" w:line="1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undisclosed liabilities of acquired businesses;</w:t>
      </w:r>
    </w:p>
    <w:p>
      <w:pPr>
        <w:spacing w:after="0" w:line="76" w:lineRule="exact"/>
        <w:rPr>
          <w:rFonts w:ascii="Times New Roman" w:cs="Times New Roman" w:eastAsia="Times New Roman" w:hAnsi="Times New Roman"/>
          <w:sz w:val="18"/>
          <w:szCs w:val="18"/>
          <w:color w:val="auto"/>
        </w:rPr>
      </w:pPr>
    </w:p>
    <w:p>
      <w:pPr>
        <w:ind w:left="1300" w:right="580" w:hanging="202"/>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pending and any future legal proceedings, including our matters currently pending with the Internal Revenue Service;</w:t>
      </w:r>
    </w:p>
    <w:p>
      <w:pPr>
        <w:spacing w:after="0" w:line="13" w:lineRule="exact"/>
        <w:rPr>
          <w:rFonts w:ascii="Times New Roman" w:cs="Times New Roman" w:eastAsia="Times New Roman" w:hAnsi="Times New Roman"/>
          <w:sz w:val="18"/>
          <w:szCs w:val="18"/>
          <w:color w:val="auto"/>
        </w:rPr>
      </w:pPr>
    </w:p>
    <w:p>
      <w:pPr>
        <w:ind w:left="1300" w:right="660" w:hanging="202"/>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which could impair our financial results by causing increased costs, loss of revenue, reduced operational efficiency or disruptions to our operations;</w:t>
      </w:r>
    </w:p>
    <w:p>
      <w:pPr>
        <w:spacing w:after="0" w:line="13" w:lineRule="exact"/>
        <w:rPr>
          <w:rFonts w:ascii="Times New Roman" w:cs="Times New Roman" w:eastAsia="Times New Roman" w:hAnsi="Times New Roman"/>
          <w:sz w:val="18"/>
          <w:szCs w:val="18"/>
          <w:color w:val="auto"/>
        </w:rPr>
      </w:pPr>
    </w:p>
    <w:p>
      <w:pPr>
        <w:ind w:left="1300" w:right="60" w:hanging="202"/>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and future legal and regulatory requirements, including limitations or bans on disposal of certain types of wastes or on the transportation of waste, which could limit our ability to conduct or grow our business, increase our costs to operate or require additional capital expenditures;</w:t>
      </w:r>
    </w:p>
    <w:p>
      <w:pPr>
        <w:spacing w:after="0" w:line="2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audits or investigations brought by or before any governmental body;</w:t>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300" w:right="160" w:hanging="202"/>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factors, including potential increases in our costs if we are required to provide additional funding to any multi-employer pension plan to which we contribute and the negative impact on our operations of union organizing campaigns, work stoppages or labor shortages;</w:t>
      </w:r>
    </w:p>
    <w:p>
      <w:pPr>
        <w:spacing w:after="0" w:line="27" w:lineRule="exact"/>
        <w:rPr>
          <w:rFonts w:ascii="Times New Roman" w:cs="Times New Roman" w:eastAsia="Times New Roman" w:hAnsi="Times New Roman"/>
          <w:sz w:val="18"/>
          <w:szCs w:val="18"/>
          <w:color w:val="auto"/>
        </w:rPr>
      </w:pPr>
    </w:p>
    <w:p>
      <w:pPr>
        <w:ind w:left="1300" w:right="260" w:hanging="202"/>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effect that trends toward requiring recycling, waste reduction at the source and prohibiting the disposal of certain types of wastes could have on volumes of waste going to landfills;</w:t>
      </w:r>
    </w:p>
    <w:p>
      <w:pPr>
        <w:spacing w:after="0" w:line="13" w:lineRule="exact"/>
        <w:rPr>
          <w:rFonts w:ascii="Times New Roman" w:cs="Times New Roman" w:eastAsia="Times New Roman" w:hAnsi="Times New Roman"/>
          <w:sz w:val="18"/>
          <w:szCs w:val="18"/>
          <w:color w:val="auto"/>
        </w:rPr>
      </w:pPr>
    </w:p>
    <w:p>
      <w:pPr>
        <w:ind w:left="1300" w:right="240" w:hanging="202"/>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by the Financial Accounting Standards Board or other accounting regulatory bodies to generally accepted accounting principles or policies;</w:t>
      </w:r>
    </w:p>
    <w:p>
      <w:pPr>
        <w:spacing w:after="0" w:line="13" w:lineRule="exact"/>
        <w:rPr>
          <w:rFonts w:ascii="Times New Roman" w:cs="Times New Roman" w:eastAsia="Times New Roman" w:hAnsi="Times New Roman"/>
          <w:sz w:val="18"/>
          <w:szCs w:val="18"/>
          <w:color w:val="auto"/>
        </w:rPr>
      </w:pPr>
    </w:p>
    <w:p>
      <w:pPr>
        <w:ind w:left="1300" w:hanging="202"/>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riots or terrorism, including the events taking place in the Middle East and the continuing war on terrorism, as well as actions taken or to be taken by the United States or other governments as a result of further acts or threats of terrorism, and the impact of these acts on economic, financial and social conditions in the United States; and</w:t>
      </w:r>
    </w:p>
    <w:p>
      <w:pPr>
        <w:spacing w:after="0" w:line="27" w:lineRule="exact"/>
        <w:rPr>
          <w:rFonts w:ascii="Times New Roman" w:cs="Times New Roman" w:eastAsia="Times New Roman" w:hAnsi="Times New Roman"/>
          <w:sz w:val="18"/>
          <w:szCs w:val="18"/>
          <w:color w:val="auto"/>
        </w:rPr>
      </w:pPr>
    </w:p>
    <w:p>
      <w:pPr>
        <w:ind w:left="1300" w:right="320" w:hanging="202"/>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occurrence (or non-occurrence) of transactions and events which may be subject to circumstances beyond our control.</w:t>
      </w:r>
    </w:p>
    <w:p>
      <w:pPr>
        <w:spacing w:after="0" w:line="40" w:lineRule="exact"/>
        <w:rPr>
          <w:sz w:val="20"/>
          <w:szCs w:val="20"/>
          <w:color w:val="auto"/>
        </w:rPr>
      </w:pPr>
    </w:p>
    <w:p>
      <w:pPr>
        <w:ind w:left="700" w:right="60" w:firstLine="397"/>
        <w:spacing w:after="0" w:line="254" w:lineRule="auto"/>
        <w:rPr>
          <w:sz w:val="20"/>
          <w:szCs w:val="20"/>
          <w:color w:val="auto"/>
        </w:rPr>
      </w:pPr>
      <w:r>
        <w:rPr>
          <w:rFonts w:ascii="Times New Roman" w:cs="Times New Roman" w:eastAsia="Times New Roman" w:hAnsi="Times New Roman"/>
          <w:sz w:val="18"/>
          <w:szCs w:val="18"/>
          <w:color w:val="auto"/>
        </w:rPr>
        <w:t>The risks included here are not exhaustive. Refer to “Risk Factors” for further discussion regarding our exposure to risks. You should be aware that any forward-looking statement made by us in this prospectus, any prospectus supplement or the documents incorporated herein or therein by reference or elsewhere, speaks only as of the date on which we make it. New risks and uncertainties come up from time to time, and it is impossible for us to predict these events or how they may affect us. In light of these risks and uncertainties, you should keep in mind that any scenarios or results contained in any forward-looking statement made in this prospectus, any prospectus supplement or the documents incorporated herein or therein by reference or elsewhere might not occur. Readers are cautioned not to place undue reliance on these forward-looking statements. Except to the extent required by applicable law or regulation, we undertake no obligation to update or publish revised forward-looking statements to reflect events or circumstances after the date hereof or to reflect the occurrence of unanticipated events.</w:t>
      </w: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9" w:name="page20"/>
    <w:bookmarkEnd w:id="19"/>
    <w:p>
      <w:pPr>
        <w:spacing w:after="0"/>
        <w:rPr>
          <w:rFonts w:ascii="Times New Roman" w:cs="Times New Roman" w:eastAsia="Times New Roman" w:hAnsi="Times New Roman"/>
          <w:sz w:val="17"/>
          <w:szCs w:val="17"/>
          <w:b w:val="1"/>
          <w:bCs w:val="1"/>
          <w:u w:val="single" w:color="auto"/>
          <w:color w:val="0000EE"/>
        </w:rPr>
      </w:pPr>
      <w:hyperlink w:anchor="page16">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213360</wp:posOffset>
            </wp:positionV>
            <wp:extent cx="6598920" cy="7705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06" w:lineRule="exact"/>
        <w:rPr>
          <w:sz w:val="20"/>
          <w:szCs w:val="20"/>
          <w:color w:val="auto"/>
        </w:rPr>
      </w:pPr>
    </w:p>
    <w:p>
      <w:pPr>
        <w:ind w:left="920" w:right="20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Because this is only a summary, it may not contain all of the information you should consider in making your decision to participate in an exchange offer. To understand all of the terms of this offering and for a more complete understanding of our business, you should carefully read this entire prospectus and the documents incorporated by reference in this prospectus.</w:t>
      </w:r>
    </w:p>
    <w:p>
      <w:pPr>
        <w:spacing w:after="0" w:line="1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94" w:lineRule="exact"/>
        <w:rPr>
          <w:sz w:val="20"/>
          <w:szCs w:val="20"/>
          <w:color w:val="auto"/>
        </w:rPr>
      </w:pPr>
    </w:p>
    <w:p>
      <w:pPr>
        <w:ind w:left="920" w:right="180" w:firstLine="397"/>
        <w:spacing w:after="0" w:line="261" w:lineRule="auto"/>
        <w:rPr>
          <w:sz w:val="20"/>
          <w:szCs w:val="20"/>
          <w:color w:val="auto"/>
        </w:rPr>
      </w:pPr>
      <w:r>
        <w:rPr>
          <w:rFonts w:ascii="Times New Roman" w:cs="Times New Roman" w:eastAsia="Times New Roman" w:hAnsi="Times New Roman"/>
          <w:sz w:val="18"/>
          <w:szCs w:val="18"/>
          <w:color w:val="auto"/>
        </w:rPr>
        <w:t>We are the second largest provider of services in the domestic non-hazardous solid waste industry as measured by revenue. We provide non-hazardous solid waste collection services for commercial, industrial, municipal and residential customers through 367 collection companies in 40 states and Puerto Rico and we also own or operate 217 transfer stations, 190 active solid waste landfills and 77 recycling facilities. We also operate 75 landfill gas and renewable energy projects.</w:t>
      </w:r>
    </w:p>
    <w:p>
      <w:pPr>
        <w:spacing w:after="0" w:line="45" w:lineRule="exact"/>
        <w:rPr>
          <w:sz w:val="20"/>
          <w:szCs w:val="20"/>
          <w:color w:val="auto"/>
        </w:rPr>
      </w:pPr>
    </w:p>
    <w:p>
      <w:pPr>
        <w:ind w:left="920" w:right="100" w:firstLine="397"/>
        <w:spacing w:after="0" w:line="270" w:lineRule="auto"/>
        <w:rPr>
          <w:sz w:val="20"/>
          <w:szCs w:val="20"/>
          <w:color w:val="auto"/>
        </w:rPr>
      </w:pPr>
      <w:r>
        <w:rPr>
          <w:rFonts w:ascii="Times New Roman" w:cs="Times New Roman" w:eastAsia="Times New Roman" w:hAnsi="Times New Roman"/>
          <w:sz w:val="17"/>
          <w:szCs w:val="17"/>
          <w:color w:val="auto"/>
        </w:rPr>
        <w:t>Our operations are national in scope, but the physical collection and disposal of waste is very much a local business; therefore, the dynamics and opportunities differ in each of our markets. By combining local operating management with standardized business practices, we can drive greater overall operating efficiency across the company, while maintaining day-to-day operating decisions at the local level, closest to the customer. We implement this strategy through an organizational structure that groups our operations within a corporate, region and area structure. We manage our operations through four geographic operating segments which are also our reportable segments: Eastern, Midwestern, Southern and Western. Each of our regions is organized into several operating areas and each area contains multiple operating locations. Each of our regions and substantially all our areas provide collection, transfer, recycling and disposal services. We believe this structure facilitates the integration of our operations within each region, which is a critical component of our operating strategy, and allows us to maximize the growth opportunities in each of our markets and to operate the business efficiently, while maintaining effective controls and standards over operational and administrative matters, including financial reporting.</w:t>
      </w:r>
    </w:p>
    <w:p>
      <w:pPr>
        <w:spacing w:after="0" w:line="56" w:lineRule="exact"/>
        <w:rPr>
          <w:sz w:val="20"/>
          <w:szCs w:val="20"/>
          <w:color w:val="auto"/>
        </w:rPr>
      </w:pPr>
    </w:p>
    <w:p>
      <w:pPr>
        <w:ind w:left="920" w:right="80" w:firstLine="397"/>
        <w:spacing w:after="0" w:line="254" w:lineRule="auto"/>
        <w:rPr>
          <w:sz w:val="20"/>
          <w:szCs w:val="20"/>
          <w:color w:val="auto"/>
        </w:rPr>
      </w:pPr>
      <w:r>
        <w:rPr>
          <w:rFonts w:ascii="Times New Roman" w:cs="Times New Roman" w:eastAsia="Times New Roman" w:hAnsi="Times New Roman"/>
          <w:sz w:val="18"/>
          <w:szCs w:val="18"/>
          <w:color w:val="auto"/>
        </w:rPr>
        <w:t>On December 5, 2008, we acquired all of the issued and outstanding shares of Allied Waste Industries, Inc. (“Allied”) in a stock-for-stock transaction for an aggregate purchase price of $12.1 billion, which included approximately $5.4 billion of debt, at fair value. As a condition of the merger with Allied, the Department of Justice (DOJ) required us to divest of certain assets and related liabilities. As of September 30, 2009, we completed our required divestitures. As a result of our acquisition of Allied, we committed to a restructuring plan related to our corporate overhead and other administrative and operating functions. The plan included closing our corporate office in Florida, consolidating administrative functions to Arizona, the former headquarters of Allied, and reducing staffing levels. The plan also included closing and consolidating certain operating locations and terminating certain leases. We believe that our merger with Allied created a strong operating platform that will allow us to continue to provide quality service to our customers and superior returns to our stockholders.</w:t>
      </w:r>
    </w:p>
    <w:p>
      <w:pPr>
        <w:spacing w:after="0" w:line="54" w:lineRule="exact"/>
        <w:rPr>
          <w:sz w:val="20"/>
          <w:szCs w:val="20"/>
          <w:color w:val="auto"/>
        </w:rPr>
      </w:pPr>
    </w:p>
    <w:p>
      <w:pPr>
        <w:ind w:left="920" w:right="20" w:firstLine="397"/>
        <w:spacing w:after="0" w:line="258" w:lineRule="auto"/>
        <w:rPr>
          <w:sz w:val="20"/>
          <w:szCs w:val="20"/>
          <w:color w:val="auto"/>
        </w:rPr>
      </w:pPr>
      <w:r>
        <w:rPr>
          <w:rFonts w:ascii="Times New Roman" w:cs="Times New Roman" w:eastAsia="Times New Roman" w:hAnsi="Times New Roman"/>
          <w:sz w:val="18"/>
          <w:szCs w:val="18"/>
          <w:color w:val="auto"/>
        </w:rPr>
        <w:t xml:space="preserve">We had revenue of $8.2 billion and $3.7 billion and operating income of $1.6 billion and $0.3 billion for the years ended December 31, 2009 and 2008, respectively. In addition to our merger with Allied, a number of items impacted our 2009 and 2008 financial results. For a description of these items, see Item 7,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Operations — Overview of Our Business and Consolidated Results of Operations </w:t>
      </w:r>
      <w:r>
        <w:rPr>
          <w:rFonts w:ascii="Times New Roman" w:cs="Times New Roman" w:eastAsia="Times New Roman" w:hAnsi="Times New Roman"/>
          <w:sz w:val="18"/>
          <w:szCs w:val="18"/>
          <w:color w:val="auto"/>
        </w:rPr>
        <w:t>included in our Annual Report on Form 10-K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2009, which is incorporated by reference herein.</w:t>
      </w:r>
    </w:p>
    <w:p>
      <w:pPr>
        <w:spacing w:after="0" w:line="49" w:lineRule="exact"/>
        <w:rPr>
          <w:sz w:val="20"/>
          <w:szCs w:val="20"/>
          <w:color w:val="auto"/>
        </w:rPr>
      </w:pPr>
    </w:p>
    <w:p>
      <w:pPr>
        <w:ind w:left="920" w:right="120" w:firstLine="397"/>
        <w:spacing w:after="0" w:line="256" w:lineRule="auto"/>
        <w:rPr>
          <w:sz w:val="20"/>
          <w:szCs w:val="20"/>
          <w:color w:val="auto"/>
        </w:rPr>
      </w:pPr>
      <w:r>
        <w:rPr>
          <w:rFonts w:ascii="Times New Roman" w:cs="Times New Roman" w:eastAsia="Times New Roman" w:hAnsi="Times New Roman"/>
          <w:sz w:val="18"/>
          <w:szCs w:val="18"/>
          <w:color w:val="auto"/>
        </w:rPr>
        <w:t xml:space="preserve">For the first quarter, we had revenue of $2.0 billion and $2.1 billion and operating income of $0.4 million and $0.4 million for the three months ended March 31, 2010 and 2009, respectively. In addition to our merger with Allied, a number of items impacted our 2010 and 2009 financial results. For a description of these items, see Item 2,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of Operations — Consolidated Results of Operations </w:t>
      </w:r>
      <w:r>
        <w:rPr>
          <w:rFonts w:ascii="Times New Roman" w:cs="Times New Roman" w:eastAsia="Times New Roman" w:hAnsi="Times New Roman"/>
          <w:sz w:val="18"/>
          <w:szCs w:val="18"/>
          <w:color w:val="auto"/>
        </w:rPr>
        <w:t>included in our Interim Report on Form 10-Q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2010, which is incorporated by reference herein. Operating results for interim periods are not necessarily indicative of the results that can be expected for a full year.</w:t>
      </w:r>
    </w:p>
    <w:p>
      <w:pPr>
        <w:spacing w:after="0" w:line="66" w:lineRule="exact"/>
        <w:rPr>
          <w:sz w:val="20"/>
          <w:szCs w:val="20"/>
          <w:color w:val="auto"/>
        </w:rPr>
      </w:pPr>
    </w:p>
    <w:p>
      <w:pPr>
        <w:ind w:left="920" w:firstLine="397"/>
        <w:spacing w:after="0" w:line="266" w:lineRule="auto"/>
        <w:rPr>
          <w:sz w:val="20"/>
          <w:szCs w:val="20"/>
          <w:color w:val="auto"/>
        </w:rPr>
      </w:pPr>
      <w:r>
        <w:rPr>
          <w:rFonts w:ascii="Times New Roman" w:cs="Times New Roman" w:eastAsia="Times New Roman" w:hAnsi="Times New Roman"/>
          <w:sz w:val="18"/>
          <w:szCs w:val="18"/>
          <w:color w:val="auto"/>
        </w:rPr>
        <w:t>We were incorporated as a Delaware corporation in 1996. Our principal and administrative offices are located at 18500 North Allied Way, Phoenix, Arizona 85054. Our telephone number at that location is (480) 627-2700. Our web site is located at http://www.republicservices.com. The information on our website is not part of this prospectus.</w:t>
      </w:r>
    </w:p>
    <w:p>
      <w:pPr>
        <w:sectPr>
          <w:pgSz w:w="11900" w:h="16838" w:orient="portrait"/>
          <w:cols w:equalWidth="0" w:num="1">
            <w:col w:w="10840"/>
          </w:cols>
          <w:pgMar w:left="240" w:top="415"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5" w:right="81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The Exchange Offers</w:t>
      </w:r>
    </w:p>
    <w:p>
      <w:pPr>
        <w:spacing w:after="0" w:line="135" w:lineRule="exact"/>
        <w:rPr>
          <w:sz w:val="20"/>
          <w:szCs w:val="20"/>
          <w:color w:val="auto"/>
        </w:rPr>
      </w:pPr>
    </w:p>
    <w:p>
      <w:pPr>
        <w:ind w:left="920" w:right="40" w:firstLine="397"/>
        <w:spacing w:after="0" w:line="254" w:lineRule="auto"/>
        <w:rPr>
          <w:sz w:val="20"/>
          <w:szCs w:val="20"/>
          <w:color w:val="auto"/>
        </w:rPr>
      </w:pPr>
      <w:r>
        <w:rPr>
          <w:rFonts w:ascii="Times New Roman" w:cs="Times New Roman" w:eastAsia="Times New Roman" w:hAnsi="Times New Roman"/>
          <w:sz w:val="18"/>
          <w:szCs w:val="18"/>
          <w:color w:val="auto"/>
        </w:rPr>
        <w:t>On September 9, 2009, we issued $650 million aggregate principal amount of 5.50% notes due 2019, on November 25, 2009, we issued $600 million aggregate principal amount of 5.25% notes due 2021 and on March 4, 2010, we issued $850 million aggregate principal amount of 5.00% notes due 2020 and $650 million aggregate principal amount of 6.20% notes due 2040. On those same days, we and the initial purchasers of the unregistered notes entered into a registration rights agreement in which we agreed that you, as a holder of unregistered notes, would be entitled to exchange your unregistered notes for exchange notes registered under the Securities Act of 1933, as amended. The exchange offers are intended to satisfy these rights. After the applicable exchange offer is completed, you will no longer be entitled to any registration rights with respect to your unregistered notes. Each series of exchange notes will be our obligations and will be entitled to the benefits of the applicable indenture relating to that series of exchange notes. The form and terms of the each series of exchange notes are identical in all material respects to the form and terms of the applicable unregistered notes, except that:</w:t>
      </w:r>
    </w:p>
    <w:p>
      <w:pPr>
        <w:spacing w:after="0" w:line="92" w:lineRule="exact"/>
        <w:rPr>
          <w:sz w:val="20"/>
          <w:szCs w:val="20"/>
          <w:color w:val="auto"/>
        </w:rPr>
      </w:pPr>
    </w:p>
    <w:p>
      <w:pPr>
        <w:ind w:left="1540" w:hanging="213"/>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notes have been registered under the Securities Act and, therefore, will contain no restrictive legends;</w:t>
      </w:r>
    </w:p>
    <w:p>
      <w:pPr>
        <w:spacing w:after="0" w:line="117" w:lineRule="exact"/>
        <w:rPr>
          <w:rFonts w:ascii="Times New Roman" w:cs="Times New Roman" w:eastAsia="Times New Roman" w:hAnsi="Times New Roman"/>
          <w:sz w:val="18"/>
          <w:szCs w:val="18"/>
          <w:color w:val="auto"/>
        </w:rPr>
      </w:pPr>
    </w:p>
    <w:p>
      <w:pPr>
        <w:ind w:left="1540" w:hanging="213"/>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notes will not have registration rights; and</w:t>
      </w:r>
    </w:p>
    <w:p>
      <w:pPr>
        <w:spacing w:after="0" w:line="117" w:lineRule="exact"/>
        <w:rPr>
          <w:rFonts w:ascii="Times New Roman" w:cs="Times New Roman" w:eastAsia="Times New Roman" w:hAnsi="Times New Roman"/>
          <w:sz w:val="18"/>
          <w:szCs w:val="18"/>
          <w:color w:val="auto"/>
        </w:rPr>
      </w:pPr>
    </w:p>
    <w:p>
      <w:pPr>
        <w:ind w:left="1540" w:hanging="213"/>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notes will not have rights to additional interest.</w:t>
      </w:r>
    </w:p>
    <w:p>
      <w:pPr>
        <w:spacing w:after="0" w:line="127"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The Exchange Offers</w:t>
      </w:r>
      <w:r>
        <w:rPr>
          <w:sz w:val="20"/>
          <w:szCs w:val="20"/>
          <w:color w:val="auto"/>
        </w:rPr>
        <w:tab/>
      </w:r>
      <w:r>
        <w:rPr>
          <w:rFonts w:ascii="Times New Roman" w:cs="Times New Roman" w:eastAsia="Times New Roman" w:hAnsi="Times New Roman"/>
          <w:sz w:val="17"/>
          <w:szCs w:val="17"/>
          <w:color w:val="auto"/>
        </w:rPr>
        <w:t>We are offering to exchange any and all of our 5.00% notes due 2020, 5.25% notes</w:t>
      </w:r>
    </w:p>
    <w:p>
      <w:pPr>
        <w:spacing w:after="0" w:line="31" w:lineRule="exact"/>
        <w:rPr>
          <w:sz w:val="20"/>
          <w:szCs w:val="20"/>
          <w:color w:val="auto"/>
        </w:rPr>
      </w:pPr>
    </w:p>
    <w:p>
      <w:pPr>
        <w:ind w:left="4600"/>
        <w:spacing w:after="0" w:line="268" w:lineRule="auto"/>
        <w:rPr>
          <w:sz w:val="20"/>
          <w:szCs w:val="20"/>
          <w:color w:val="auto"/>
        </w:rPr>
      </w:pPr>
      <w:r>
        <w:rPr>
          <w:rFonts w:ascii="Times New Roman" w:cs="Times New Roman" w:eastAsia="Times New Roman" w:hAnsi="Times New Roman"/>
          <w:sz w:val="17"/>
          <w:szCs w:val="17"/>
          <w:color w:val="auto"/>
        </w:rPr>
        <w:t>due 2021, 5.50% notes due 2019, and 6.20% notes due 2040, all of which have been registered under the Securities Act, for any and all of our outstanding unregistered 5.00% notes due 2020 that were issued September 8, 2009, unregistered 5.25% notes due 2021 that were issued November 25, 2009, unregistered 5.50% notes due 2019 that were issued March 4, 2010 and unregistered 6.20% notes due 2040 that were issued March 4, 2010. As of the date of this prospectus, $850 million in aggregate principal amount of our unregistered 5.00% notes due 2020, $600 million in aggregate principal amount of our unregistered 5.25% notes due 2021, $650 million in aggregate principal amount of our unregistered 5.50% notes due 2019 and $650 million in aggregate principal amount of our unregistered 6.20% notes due 2040 are outstanding.</w:t>
      </w:r>
    </w:p>
    <w:p>
      <w:pPr>
        <w:spacing w:after="0" w:line="77"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Expiration of the Exchange Offers</w:t>
      </w:r>
      <w:r>
        <w:rPr>
          <w:sz w:val="20"/>
          <w:szCs w:val="20"/>
          <w:color w:val="auto"/>
        </w:rPr>
        <w:tab/>
      </w:r>
      <w:r>
        <w:rPr>
          <w:rFonts w:ascii="Times New Roman" w:cs="Times New Roman" w:eastAsia="Times New Roman" w:hAnsi="Times New Roman"/>
          <w:sz w:val="17"/>
          <w:szCs w:val="17"/>
          <w:color w:val="auto"/>
        </w:rPr>
        <w:t>The exchange offers will expire at 5:00 p.m., New York City time, on August 2, 2010,</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unless we decide to extend any exchange offer.</w:t>
      </w:r>
    </w:p>
    <w:p>
      <w:pPr>
        <w:spacing w:after="0" w:line="108"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Conditions of the Exchange Offers</w:t>
      </w:r>
      <w:r>
        <w:rPr>
          <w:sz w:val="20"/>
          <w:szCs w:val="20"/>
          <w:color w:val="auto"/>
        </w:rPr>
        <w:tab/>
      </w:r>
      <w:r>
        <w:rPr>
          <w:rFonts w:ascii="Times New Roman" w:cs="Times New Roman" w:eastAsia="Times New Roman" w:hAnsi="Times New Roman"/>
          <w:sz w:val="17"/>
          <w:szCs w:val="17"/>
          <w:color w:val="auto"/>
        </w:rPr>
        <w:t>We will not be required to accept for exchange any unregistered notes, and may</w:t>
      </w:r>
    </w:p>
    <w:p>
      <w:pPr>
        <w:spacing w:after="0" w:line="31" w:lineRule="exact"/>
        <w:rPr>
          <w:sz w:val="20"/>
          <w:szCs w:val="20"/>
          <w:color w:val="auto"/>
        </w:rPr>
      </w:pPr>
    </w:p>
    <w:p>
      <w:pPr>
        <w:ind w:left="4600" w:right="300"/>
        <w:spacing w:after="0" w:line="261" w:lineRule="auto"/>
        <w:rPr>
          <w:sz w:val="20"/>
          <w:szCs w:val="20"/>
          <w:color w:val="auto"/>
        </w:rPr>
      </w:pPr>
      <w:r>
        <w:rPr>
          <w:rFonts w:ascii="Times New Roman" w:cs="Times New Roman" w:eastAsia="Times New Roman" w:hAnsi="Times New Roman"/>
          <w:sz w:val="18"/>
          <w:szCs w:val="18"/>
          <w:color w:val="auto"/>
        </w:rPr>
        <w:t>amend or terminate an exchange offer, if any of the following conditions or events occurs:</w:t>
      </w:r>
    </w:p>
    <w:p>
      <w:pPr>
        <w:spacing w:after="0" w:line="7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the applicable exchange offer or the making of any exchange by a holder of</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unregistered notes violates applicable law or any applicable interpretation of the</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staff of the SEC;</w:t>
      </w:r>
    </w:p>
    <w:p>
      <w:pPr>
        <w:spacing w:after="0" w:line="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any action or proceeding shall have been instituted or threatened with respect to the</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applicable exchange offer which, in our reasonable judgment, would impair our</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ability to proceed with the exchange offer; and</w:t>
      </w:r>
    </w:p>
    <w:p>
      <w:pPr>
        <w:spacing w:after="0" w:line="99" w:lineRule="exact"/>
        <w:rPr>
          <w:sz w:val="20"/>
          <w:szCs w:val="20"/>
          <w:color w:val="auto"/>
        </w:rPr>
      </w:pPr>
    </w:p>
    <w:p>
      <w:pPr>
        <w:ind w:left="4760" w:right="20" w:hanging="161"/>
        <w:spacing w:after="0" w:line="266" w:lineRule="auto"/>
        <w:rPr>
          <w:sz w:val="20"/>
          <w:szCs w:val="20"/>
          <w:color w:val="auto"/>
        </w:rPr>
      </w:pPr>
      <w:r>
        <w:rPr>
          <w:rFonts w:ascii="Times New Roman" w:cs="Times New Roman" w:eastAsia="Times New Roman" w:hAnsi="Times New Roman"/>
          <w:sz w:val="18"/>
          <w:szCs w:val="18"/>
          <w:color w:val="auto"/>
        </w:rPr>
        <w:t>• any laws, rules or regulations or applicable interpretations of the staff of the SEC are issued or promulgated which, in our good faith determination, do not permit us to effect the applicable exchange offer.</w:t>
      </w:r>
    </w:p>
    <w:p>
      <w:pPr>
        <w:sectPr>
          <w:pgSz w:w="11900" w:h="16838" w:orient="portrait"/>
          <w:cols w:equalWidth="0" w:num="1">
            <w:col w:w="10820"/>
          </w:cols>
          <w:pgMar w:left="240" w:top="415"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5" w:right="8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00" w:right="100"/>
        <w:spacing w:after="0" w:line="266" w:lineRule="auto"/>
        <w:rPr>
          <w:sz w:val="20"/>
          <w:szCs w:val="20"/>
          <w:color w:val="auto"/>
        </w:rPr>
      </w:pPr>
      <w:r>
        <w:rPr>
          <w:rFonts w:ascii="Times New Roman" w:cs="Times New Roman" w:eastAsia="Times New Roman" w:hAnsi="Times New Roman"/>
          <w:sz w:val="18"/>
          <w:szCs w:val="18"/>
          <w:color w:val="auto"/>
        </w:rPr>
        <w:t>We will give oral or written notice of any non-acceptance, amendment or termination to the registered holders of the unregistered notes as promptly as practicable. We reserve the right to waive any conditions of any exchange offer.</w:t>
      </w:r>
    </w:p>
    <w:p>
      <w:pPr>
        <w:spacing w:after="0" w:line="64"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Resale of the Exchange Notes</w:t>
      </w:r>
      <w:r>
        <w:rPr>
          <w:sz w:val="20"/>
          <w:szCs w:val="20"/>
          <w:color w:val="auto"/>
        </w:rPr>
        <w:tab/>
      </w:r>
      <w:r>
        <w:rPr>
          <w:rFonts w:ascii="Times New Roman" w:cs="Times New Roman" w:eastAsia="Times New Roman" w:hAnsi="Times New Roman"/>
          <w:sz w:val="17"/>
          <w:szCs w:val="17"/>
          <w:color w:val="auto"/>
        </w:rPr>
        <w:t>Under existing interpretations of the Securities Act by the SEC contained in several no</w:t>
      </w:r>
    </w:p>
    <w:p>
      <w:pPr>
        <w:spacing w:after="0" w:line="31" w:lineRule="exact"/>
        <w:rPr>
          <w:sz w:val="20"/>
          <w:szCs w:val="20"/>
          <w:color w:val="auto"/>
        </w:rPr>
      </w:pPr>
    </w:p>
    <w:p>
      <w:pPr>
        <w:ind w:left="4600"/>
        <w:spacing w:after="0" w:line="252" w:lineRule="auto"/>
        <w:rPr>
          <w:sz w:val="20"/>
          <w:szCs w:val="20"/>
          <w:color w:val="auto"/>
        </w:rPr>
      </w:pPr>
      <w:r>
        <w:rPr>
          <w:rFonts w:ascii="Times New Roman" w:cs="Times New Roman" w:eastAsia="Times New Roman" w:hAnsi="Times New Roman"/>
          <w:sz w:val="18"/>
          <w:szCs w:val="18"/>
          <w:color w:val="auto"/>
        </w:rPr>
        <w:t>action letters to third parties, and subject to the immediately following sentence, we believe that the exchange notes would generally be freely transferable by holders thereof after the applicable exchange offer without further registration under the Securities Act (subject to certain representations required to be made by each holder of unregistered notes, as set forth below). However, any purchaser of notes who is an “affiliate” of us or any guarantor and any purchaser of notes who intends to participate in any exchange offer for the purpose of distributing the exchange notes:</w:t>
      </w:r>
    </w:p>
    <w:p>
      <w:pPr>
        <w:spacing w:after="0" w:line="8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will not be able to rely on the interpretation of the staff of the SEC;</w:t>
      </w:r>
    </w:p>
    <w:p>
      <w:pPr>
        <w:spacing w:after="0" w:line="11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will not be able to tender its unregistered notes in the exchange offer; and</w:t>
      </w:r>
    </w:p>
    <w:p>
      <w:pPr>
        <w:spacing w:after="0" w:line="11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must comply with the registration and prospectus delivery requirements of the</w:t>
      </w:r>
    </w:p>
    <w:p>
      <w:pPr>
        <w:spacing w:after="0" w:line="27" w:lineRule="exact"/>
        <w:rPr>
          <w:sz w:val="20"/>
          <w:szCs w:val="20"/>
          <w:color w:val="auto"/>
        </w:rPr>
      </w:pPr>
    </w:p>
    <w:p>
      <w:pPr>
        <w:ind w:left="4760" w:right="180"/>
        <w:spacing w:after="0" w:line="261" w:lineRule="auto"/>
        <w:rPr>
          <w:sz w:val="20"/>
          <w:szCs w:val="20"/>
          <w:color w:val="auto"/>
        </w:rPr>
      </w:pPr>
      <w:r>
        <w:rPr>
          <w:rFonts w:ascii="Times New Roman" w:cs="Times New Roman" w:eastAsia="Times New Roman" w:hAnsi="Times New Roman"/>
          <w:sz w:val="18"/>
          <w:szCs w:val="18"/>
          <w:color w:val="auto"/>
        </w:rPr>
        <w:t>Securities Act in connection with any sale or transfer of the notes unless such sale or transfer is made pursuant to an exemption from such requirements.</w:t>
      </w:r>
    </w:p>
    <w:p>
      <w:pPr>
        <w:spacing w:after="0" w:line="72" w:lineRule="exact"/>
        <w:rPr>
          <w:sz w:val="20"/>
          <w:szCs w:val="20"/>
          <w:color w:val="auto"/>
        </w:rPr>
      </w:pPr>
    </w:p>
    <w:p>
      <w:pPr>
        <w:ind w:left="4600" w:right="100"/>
        <w:spacing w:after="0" w:line="252" w:lineRule="auto"/>
        <w:rPr>
          <w:sz w:val="20"/>
          <w:szCs w:val="20"/>
          <w:color w:val="auto"/>
        </w:rPr>
      </w:pPr>
      <w:r>
        <w:rPr>
          <w:rFonts w:ascii="Times New Roman" w:cs="Times New Roman" w:eastAsia="Times New Roman" w:hAnsi="Times New Roman"/>
          <w:sz w:val="18"/>
          <w:szCs w:val="18"/>
          <w:color w:val="auto"/>
        </w:rPr>
        <w:t>In addition, in connection with any resales of exchange notes, any broker dealer, which we refer to as a Participating Broker Dealer, which acquired the unregistered notes for its own account as a result of market making or other trading activities must deliver a prospectus meeting the requirements of the Securities Act. The SEC has taken the position that Participating Broker Dealers may fulfill their prospectus delivery requirements with respect to the exchange notes with this prospectus. If we receive notice from one or more Participating Broker Dealers in connection with an exchange offer or within 20 days after consummation of the exchange offer that such Participating Broker Dealer is exchanging or has exchanged notes acquired for the account of such Participating Broker Dealer as a result of market-making or other trading activities, we will agree to make available for a period of up to 180 days after consummation of the exchange offer a prospectus meeting the requirements of the Securities Act to any Participating Broker Dealer and any other persons with similar prospectus delivery requirements for use in connection with any resale of exchange notes. A Participating Broker Dealer or any other person that delivers such a prospectus to purchasers in connection with such resales will be subject to certain of the civil liability provisions under the Securities Act and will be bound by the provisions of the registration rights agreement (including certain indemnification rights and obligations thereunder).</w:t>
      </w:r>
    </w:p>
    <w:p>
      <w:pPr>
        <w:spacing w:after="0" w:line="84" w:lineRule="exact"/>
        <w:rPr>
          <w:sz w:val="20"/>
          <w:szCs w:val="20"/>
          <w:color w:val="auto"/>
        </w:rPr>
      </w:pPr>
    </w:p>
    <w:p>
      <w:pPr>
        <w:ind w:left="4600" w:right="100"/>
        <w:spacing w:after="0" w:line="266" w:lineRule="auto"/>
        <w:rPr>
          <w:sz w:val="20"/>
          <w:szCs w:val="20"/>
          <w:color w:val="auto"/>
        </w:rPr>
      </w:pPr>
      <w:r>
        <w:rPr>
          <w:rFonts w:ascii="Times New Roman" w:cs="Times New Roman" w:eastAsia="Times New Roman" w:hAnsi="Times New Roman"/>
          <w:sz w:val="18"/>
          <w:szCs w:val="18"/>
          <w:color w:val="auto"/>
        </w:rPr>
        <w:t>Each holder of the unregistered notes who wishes to exchange their notes for exchange notes in an exchange offer will be required to make certain representations, including representations that:</w:t>
      </w:r>
    </w:p>
    <w:p>
      <w:pPr>
        <w:spacing w:after="0" w:line="6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any exchange notes to be received by it will be acquired in the ordinary course of its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business;</w:t>
      </w:r>
    </w:p>
    <w:p>
      <w:pPr>
        <w:sectPr>
          <w:pgSz w:w="11900" w:h="16838" w:orient="portrait"/>
          <w:cols w:equalWidth="0" w:num="1">
            <w:col w:w="10840"/>
          </w:cols>
          <w:pgMar w:left="240" w:top="41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5" w:right="819" w:bottom="1440" w:gutter="0" w:footer="0" w:header="0"/>
          <w:type w:val="continuous"/>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hyperlink w:anchor="page16">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213360</wp:posOffset>
            </wp:positionV>
            <wp:extent cx="6598920" cy="7705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20"/>
        <w:spacing w:after="0" w:line="286" w:lineRule="auto"/>
        <w:rPr>
          <w:sz w:val="20"/>
          <w:szCs w:val="20"/>
          <w:color w:val="auto"/>
        </w:rPr>
      </w:pPr>
      <w:r>
        <w:rPr>
          <w:rFonts w:ascii="Times New Roman" w:cs="Times New Roman" w:eastAsia="Times New Roman" w:hAnsi="Times New Roman"/>
          <w:sz w:val="18"/>
          <w:szCs w:val="18"/>
          <w:b w:val="1"/>
          <w:bCs w:val="1"/>
          <w:color w:val="auto"/>
        </w:rPr>
        <w:t>Accrued Interest on the Exchange Notes and Unregistered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4" w:right="220" w:hanging="164"/>
        <w:spacing w:after="0" w:line="313" w:lineRule="auto"/>
        <w:tabs>
          <w:tab w:leader="none" w:pos="11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no arrangement or understanding with any person to participate in the distribution (within the meaning of the Securities Act) of the exchange notes; and</w:t>
      </w:r>
    </w:p>
    <w:p>
      <w:pPr>
        <w:spacing w:after="0" w:line="30" w:lineRule="exact"/>
        <w:rPr>
          <w:rFonts w:ascii="Times New Roman" w:cs="Times New Roman" w:eastAsia="Times New Roman" w:hAnsi="Times New Roman"/>
          <w:sz w:val="17"/>
          <w:szCs w:val="17"/>
          <w:color w:val="auto"/>
        </w:rPr>
      </w:pPr>
    </w:p>
    <w:p>
      <w:pPr>
        <w:ind w:left="164" w:right="160" w:hanging="164"/>
        <w:spacing w:after="0" w:line="282" w:lineRule="auto"/>
        <w:tabs>
          <w:tab w:leader="none" w:pos="1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“affiliate” (as defined in Rule 405 under the Securities Act) of us or any guarantor.</w:t>
      </w:r>
    </w:p>
    <w:p>
      <w:pPr>
        <w:spacing w:after="0" w:line="54"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Holders of unregistered notes whose unregistered notes are accepted for exchange in the exchange offers will be deemed to have waived the right to receive any payment in respect of interest on the unregistered notes accrued from the date of issuance or the last interest payment date, as applicable. Consequently, holders who exchange their unregistered notes for exchange notes will receive the same interest payment on the next interest payment date with respect to the unregistered notes and the first interest payment date with respect to the exchange notes following consummation of the exchange offers that they would have received if they had not accepted the exchange offer. We will pay interest on the exchange notes semi-annually on March 1 and September 1, commencing September 1, 2010 (in the case of the 2020 exchange notes and 2040 exchange notes), March 15 and September 15, commencing September 15, 2010 (in the case of the 2019 exchange notes), and May 15 and November 15, commencing November 15, 2010 (in the case of the 2021 exchange notes).</w:t>
      </w:r>
    </w:p>
    <w:p>
      <w:pPr>
        <w:spacing w:after="0" w:line="77" w:lineRule="exact"/>
        <w:rPr>
          <w:sz w:val="20"/>
          <w:szCs w:val="20"/>
          <w:color w:val="auto"/>
        </w:rPr>
      </w:pPr>
    </w:p>
    <w:p>
      <w:pPr>
        <w:sectPr>
          <w:pgSz w:w="11900" w:h="16838" w:orient="portrait"/>
          <w:cols w:equalWidth="0" w:num="2">
            <w:col w:w="4340" w:space="256"/>
            <w:col w:w="6244"/>
          </w:cols>
          <w:pgMar w:left="240" w:top="415" w:right="819" w:bottom="1440" w:gutter="0" w:footer="0" w:header="0"/>
          <w:type w:val="continuous"/>
        </w:sect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Procedures for Tendering Unregistered Notes</w:t>
      </w:r>
      <w:r>
        <w:rPr>
          <w:sz w:val="20"/>
          <w:szCs w:val="20"/>
          <w:color w:val="auto"/>
        </w:rPr>
        <w:tab/>
      </w:r>
      <w:r>
        <w:rPr>
          <w:rFonts w:ascii="Times New Roman" w:cs="Times New Roman" w:eastAsia="Times New Roman" w:hAnsi="Times New Roman"/>
          <w:sz w:val="17"/>
          <w:szCs w:val="17"/>
          <w:color w:val="auto"/>
        </w:rPr>
        <w:t>If you wish to participate in an exchange offer, you must:</w:t>
      </w:r>
    </w:p>
    <w:p>
      <w:pPr>
        <w:spacing w:after="0" w:line="1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transmit a properly completed and signed letter of transmittal, and all other</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documents required by the letter of transmittal, to the applicable exchange agent at</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address set forth in the letter of transmittal. These materials must be received by</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applicable exchange agent before 5:00 p.m., New York City time, on August 2,</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2010, the expiration date of the exchange offers. You must also provide physical</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delivery of your unregistered notes to the applicable exchange agent’s address as set</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forth in the letter of transmittal. The letter of transmittal must also contain the</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representations you must make to us as described under “The Exchange Offers</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Procedures for Tendering”; or</w:t>
      </w:r>
    </w:p>
    <w:p>
      <w:pPr>
        <w:spacing w:after="0" w:line="11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you may effect a tender of unregistered notes electronically by book-entry transfer</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into the exchange agent’s account at DTC. By tendering the unregistered notes by</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book-entry transfer, you must agree to be bound by the terms of the letter of</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transmittal.</w:t>
      </w:r>
    </w:p>
    <w:p>
      <w:pPr>
        <w:spacing w:after="0" w:line="95"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Special Procedures for Beneficial Owners</w:t>
      </w:r>
      <w:r>
        <w:rPr>
          <w:sz w:val="20"/>
          <w:szCs w:val="20"/>
          <w:color w:val="auto"/>
        </w:rPr>
        <w:tab/>
      </w:r>
      <w:r>
        <w:rPr>
          <w:rFonts w:ascii="Times New Roman" w:cs="Times New Roman" w:eastAsia="Times New Roman" w:hAnsi="Times New Roman"/>
          <w:sz w:val="17"/>
          <w:szCs w:val="17"/>
          <w:color w:val="auto"/>
        </w:rPr>
        <w:t>If you are a beneficial owner of unregistered notes that are held through a broker-</w:t>
      </w:r>
    </w:p>
    <w:p>
      <w:pPr>
        <w:spacing w:after="0" w:line="31" w:lineRule="exact"/>
        <w:rPr>
          <w:sz w:val="20"/>
          <w:szCs w:val="20"/>
          <w:color w:val="auto"/>
        </w:rPr>
      </w:pPr>
    </w:p>
    <w:p>
      <w:pPr>
        <w:ind w:left="4600" w:right="20"/>
        <w:spacing w:after="0" w:line="255" w:lineRule="auto"/>
        <w:rPr>
          <w:sz w:val="20"/>
          <w:szCs w:val="20"/>
          <w:color w:val="auto"/>
        </w:rPr>
      </w:pPr>
      <w:r>
        <w:rPr>
          <w:rFonts w:ascii="Times New Roman" w:cs="Times New Roman" w:eastAsia="Times New Roman" w:hAnsi="Times New Roman"/>
          <w:sz w:val="18"/>
          <w:szCs w:val="18"/>
          <w:color w:val="auto"/>
        </w:rPr>
        <w:t>dealer, commercial bank, trust company or other nominee and you wish to tender such unregistered notes, you should contact the registered holder promptly and instruct them to tender your unregistered notes on your behalf.</w:t>
      </w:r>
    </w:p>
    <w:p>
      <w:pPr>
        <w:spacing w:after="0" w:line="74"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Acceptance of Outstanding Notes and</w:t>
      </w:r>
      <w:r>
        <w:rPr>
          <w:sz w:val="20"/>
          <w:szCs w:val="20"/>
          <w:color w:val="auto"/>
        </w:rPr>
        <w:tab/>
      </w:r>
      <w:r>
        <w:rPr>
          <w:rFonts w:ascii="Times New Roman" w:cs="Times New Roman" w:eastAsia="Times New Roman" w:hAnsi="Times New Roman"/>
          <w:sz w:val="17"/>
          <w:szCs w:val="17"/>
          <w:color w:val="auto"/>
        </w:rPr>
        <w:t>Subject to customary conditions, we will accept outstanding unregistered notes that</w:t>
      </w:r>
    </w:p>
    <w:p>
      <w:pPr>
        <w:spacing w:after="0" w:line="31"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Delivery of Exchange Notes</w:t>
      </w:r>
      <w:r>
        <w:rPr>
          <w:sz w:val="20"/>
          <w:szCs w:val="20"/>
          <w:color w:val="auto"/>
        </w:rPr>
        <w:tab/>
      </w:r>
      <w:r>
        <w:rPr>
          <w:rFonts w:ascii="Times New Roman" w:cs="Times New Roman" w:eastAsia="Times New Roman" w:hAnsi="Times New Roman"/>
          <w:sz w:val="18"/>
          <w:szCs w:val="18"/>
          <w:color w:val="auto"/>
        </w:rPr>
        <w:t>are properly tendered in the exchange offers and not</w:t>
      </w:r>
    </w:p>
    <w:p>
      <w:pPr>
        <w:sectPr>
          <w:pgSz w:w="11900" w:h="16838" w:orient="portrait"/>
          <w:cols w:equalWidth="0" w:num="1">
            <w:col w:w="10840"/>
          </w:cols>
          <w:pgMar w:left="240" w:top="415"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5" w:right="81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00" w:right="40"/>
        <w:spacing w:after="0" w:line="282" w:lineRule="auto"/>
        <w:rPr>
          <w:sz w:val="20"/>
          <w:szCs w:val="20"/>
          <w:color w:val="auto"/>
        </w:rPr>
      </w:pPr>
      <w:r>
        <w:rPr>
          <w:rFonts w:ascii="Times New Roman" w:cs="Times New Roman" w:eastAsia="Times New Roman" w:hAnsi="Times New Roman"/>
          <w:sz w:val="18"/>
          <w:szCs w:val="18"/>
          <w:color w:val="auto"/>
        </w:rPr>
        <w:t>withdrawn prior to the expiration date. The exchange notes will be delivered promptly following the expiration date.</w:t>
      </w:r>
    </w:p>
    <w:p>
      <w:pPr>
        <w:spacing w:after="0" w:line="63"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Withdrawal Rights</w:t>
      </w:r>
      <w:r>
        <w:rPr>
          <w:sz w:val="20"/>
          <w:szCs w:val="20"/>
          <w:color w:val="auto"/>
        </w:rPr>
        <w:tab/>
      </w:r>
      <w:r>
        <w:rPr>
          <w:rFonts w:ascii="Times New Roman" w:cs="Times New Roman" w:eastAsia="Times New Roman" w:hAnsi="Times New Roman"/>
          <w:sz w:val="17"/>
          <w:szCs w:val="17"/>
          <w:color w:val="auto"/>
        </w:rPr>
        <w:t>You may withdraw the tender of your unregistered notes at any time prior to</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5:00 p.m., New York City time, on August 2, 2010, the expiration date.</w:t>
      </w:r>
    </w:p>
    <w:p>
      <w:pPr>
        <w:spacing w:after="0" w:line="108"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Consequences of Failure to Exchange</w:t>
      </w:r>
      <w:r>
        <w:rPr>
          <w:sz w:val="20"/>
          <w:szCs w:val="20"/>
          <w:color w:val="auto"/>
        </w:rPr>
        <w:tab/>
      </w:r>
      <w:r>
        <w:rPr>
          <w:rFonts w:ascii="Times New Roman" w:cs="Times New Roman" w:eastAsia="Times New Roman" w:hAnsi="Times New Roman"/>
          <w:sz w:val="17"/>
          <w:szCs w:val="17"/>
          <w:color w:val="auto"/>
        </w:rPr>
        <w:t>If you are eligible to participate in the exchange offers and you do not tender your</w:t>
      </w:r>
    </w:p>
    <w:p>
      <w:pPr>
        <w:spacing w:after="0" w:line="31" w:lineRule="exact"/>
        <w:rPr>
          <w:sz w:val="20"/>
          <w:szCs w:val="20"/>
          <w:color w:val="auto"/>
        </w:rPr>
      </w:pPr>
    </w:p>
    <w:p>
      <w:pPr>
        <w:ind w:left="4600" w:right="160"/>
        <w:spacing w:after="0" w:line="252" w:lineRule="auto"/>
        <w:rPr>
          <w:sz w:val="20"/>
          <w:szCs w:val="20"/>
          <w:color w:val="auto"/>
        </w:rPr>
      </w:pPr>
      <w:r>
        <w:rPr>
          <w:rFonts w:ascii="Times New Roman" w:cs="Times New Roman" w:eastAsia="Times New Roman" w:hAnsi="Times New Roman"/>
          <w:sz w:val="18"/>
          <w:szCs w:val="18"/>
          <w:color w:val="auto"/>
        </w:rPr>
        <w:t>unregistered notes as described in this prospectus, your unregistered notes may continue to be subject to transfer restrictions. As a result of the transfer restrictions and the availability of exchange notes, the market for the unregistered notes is likely to be much less liquid than before the exchange offers. The unregistered notes will, after the exchange offers, bear interest at the same rate as the exchange notes. The unregistered notes will not retain any rights under the applicable registration rights agreement.</w:t>
      </w:r>
    </w:p>
    <w:p>
      <w:pPr>
        <w:spacing w:after="0" w:line="77"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Material United States Federal Income Tax</w:t>
      </w:r>
      <w:r>
        <w:rPr>
          <w:sz w:val="20"/>
          <w:szCs w:val="20"/>
          <w:color w:val="auto"/>
        </w:rPr>
        <w:tab/>
      </w:r>
      <w:r>
        <w:rPr>
          <w:rFonts w:ascii="Times New Roman" w:cs="Times New Roman" w:eastAsia="Times New Roman" w:hAnsi="Times New Roman"/>
          <w:sz w:val="17"/>
          <w:szCs w:val="17"/>
          <w:color w:val="auto"/>
        </w:rPr>
        <w:t>The exchange of the unregistered notes for exchange notes pursuant to the exchange</w:t>
      </w:r>
    </w:p>
    <w:p>
      <w:pPr>
        <w:spacing w:after="0" w:line="31"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Considerations</w:t>
      </w:r>
      <w:r>
        <w:rPr>
          <w:sz w:val="20"/>
          <w:szCs w:val="20"/>
          <w:color w:val="auto"/>
        </w:rPr>
        <w:tab/>
      </w:r>
      <w:r>
        <w:rPr>
          <w:rFonts w:ascii="Times New Roman" w:cs="Times New Roman" w:eastAsia="Times New Roman" w:hAnsi="Times New Roman"/>
          <w:sz w:val="18"/>
          <w:szCs w:val="18"/>
          <w:color w:val="auto"/>
        </w:rPr>
        <w:t>offers will not be a taxable event for U.S. federal income tax purposes. See “Material</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U.S. Federal Income Tax Considerations.”</w:t>
      </w:r>
    </w:p>
    <w:p>
      <w:pPr>
        <w:spacing w:after="0" w:line="95"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Exchange Agents</w:t>
      </w:r>
      <w:r>
        <w:rPr>
          <w:sz w:val="20"/>
          <w:szCs w:val="20"/>
          <w:color w:val="auto"/>
        </w:rPr>
        <w:tab/>
      </w:r>
      <w:r>
        <w:rPr>
          <w:rFonts w:ascii="Times New Roman" w:cs="Times New Roman" w:eastAsia="Times New Roman" w:hAnsi="Times New Roman"/>
          <w:sz w:val="17"/>
          <w:szCs w:val="17"/>
          <w:color w:val="auto"/>
        </w:rPr>
        <w:t>U.S. Bank National Association has been appointed as the exchange agent for the</w:t>
      </w:r>
    </w:p>
    <w:p>
      <w:pPr>
        <w:spacing w:after="0" w:line="31" w:lineRule="exact"/>
        <w:rPr>
          <w:sz w:val="20"/>
          <w:szCs w:val="20"/>
          <w:color w:val="auto"/>
        </w:rPr>
      </w:pPr>
    </w:p>
    <w:p>
      <w:pPr>
        <w:ind w:left="4600"/>
        <w:spacing w:after="0" w:line="255" w:lineRule="auto"/>
        <w:rPr>
          <w:sz w:val="20"/>
          <w:szCs w:val="20"/>
          <w:color w:val="auto"/>
        </w:rPr>
      </w:pPr>
      <w:r>
        <w:rPr>
          <w:rFonts w:ascii="Times New Roman" w:cs="Times New Roman" w:eastAsia="Times New Roman" w:hAnsi="Times New Roman"/>
          <w:sz w:val="18"/>
          <w:szCs w:val="18"/>
          <w:color w:val="auto"/>
        </w:rPr>
        <w:t>2020 exchange notes, 2021 exchange notes and 2040 exchange notes. The Bank of New York Mellon Trust Company, N.A., has been appointed as the exchange agent for the 2019 exchange notes.</w:t>
      </w:r>
    </w:p>
    <w:p>
      <w:pPr>
        <w:spacing w:after="0" w:line="74"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proceeds from the issuance of exchange notes in the exchange</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offers.</w:t>
      </w:r>
    </w:p>
    <w:p>
      <w:pPr>
        <w:sectPr>
          <w:pgSz w:w="11900" w:h="16838" w:orient="portrait"/>
          <w:cols w:equalWidth="0" w:num="1">
            <w:col w:w="10840"/>
          </w:cols>
          <w:pgMar w:left="240" w:top="41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5" w:right="81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Summary Description of the Exchange Notes</w:t>
      </w:r>
    </w:p>
    <w:p>
      <w:pPr>
        <w:spacing w:after="0" w:line="133" w:lineRule="exact"/>
        <w:rPr>
          <w:sz w:val="20"/>
          <w:szCs w:val="20"/>
          <w:color w:val="auto"/>
        </w:rPr>
      </w:pPr>
    </w:p>
    <w:p>
      <w:pPr>
        <w:jc w:val="both"/>
        <w:ind w:left="920" w:right="100" w:firstLine="397"/>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notes and is not intended to be complete. It may not contain all of the information that is important to you. Certain terms and conditions described below are subject to important limitations and exceptions. For a more complete description of the terms of the exchange notes, see “Description of the Notes”.</w:t>
      </w:r>
    </w:p>
    <w:p>
      <w:pPr>
        <w:spacing w:after="0" w:line="77"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Republic Services, Inc.</w:t>
      </w:r>
    </w:p>
    <w:p>
      <w:pPr>
        <w:spacing w:after="0" w:line="117"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Exchange Notes</w:t>
      </w:r>
      <w:r>
        <w:rPr>
          <w:sz w:val="20"/>
          <w:szCs w:val="20"/>
          <w:color w:val="auto"/>
        </w:rPr>
        <w:tab/>
      </w:r>
      <w:r>
        <w:rPr>
          <w:rFonts w:ascii="Times New Roman" w:cs="Times New Roman" w:eastAsia="Times New Roman" w:hAnsi="Times New Roman"/>
          <w:sz w:val="17"/>
          <w:szCs w:val="17"/>
          <w:color w:val="auto"/>
        </w:rPr>
        <w:t>$850,000,000 aggregate principal amount of 5.00% notes due 2020.</w:t>
      </w:r>
    </w:p>
    <w:p>
      <w:pPr>
        <w:spacing w:after="0" w:line="1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$600,000,000 aggregate principal amount of 5.25% notes due 2021.</w:t>
      </w:r>
    </w:p>
    <w:p>
      <w:pPr>
        <w:spacing w:after="0" w:line="11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$650,000,000 aggregate principal amount of 5.50% notes due 2019.</w:t>
      </w:r>
    </w:p>
    <w:p>
      <w:pPr>
        <w:spacing w:after="0" w:line="11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$650,000,000 aggregate principal amount of 6.20% notes due 2040.</w:t>
      </w:r>
    </w:p>
    <w:p>
      <w:pPr>
        <w:spacing w:after="0" w:line="113"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Maturity Dates</w:t>
      </w:r>
      <w:r>
        <w:rPr>
          <w:sz w:val="20"/>
          <w:szCs w:val="20"/>
          <w:color w:val="auto"/>
        </w:rPr>
        <w:tab/>
      </w:r>
      <w:r>
        <w:rPr>
          <w:rFonts w:ascii="Times New Roman" w:cs="Times New Roman" w:eastAsia="Times New Roman" w:hAnsi="Times New Roman"/>
          <w:sz w:val="17"/>
          <w:szCs w:val="17"/>
          <w:color w:val="auto"/>
        </w:rPr>
        <w:t>The 2020 exchange notes will mature on March 1, 2020.</w:t>
      </w:r>
    </w:p>
    <w:p>
      <w:pPr>
        <w:spacing w:after="0" w:line="1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The 2021 exchange notes will mature on November 15, 2021.</w:t>
      </w:r>
    </w:p>
    <w:p>
      <w:pPr>
        <w:spacing w:after="0" w:line="11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The 2019 exchange notes will mature on September 15, 2019.</w:t>
      </w:r>
    </w:p>
    <w:p>
      <w:pPr>
        <w:spacing w:after="0" w:line="11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The 2040 exchange notes will mature on March 1, 2040.</w:t>
      </w:r>
    </w:p>
    <w:p>
      <w:pPr>
        <w:spacing w:after="0" w:line="113"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Interest Rate</w:t>
      </w:r>
      <w:r>
        <w:rPr>
          <w:sz w:val="20"/>
          <w:szCs w:val="20"/>
          <w:color w:val="auto"/>
        </w:rPr>
        <w:tab/>
      </w:r>
      <w:r>
        <w:rPr>
          <w:rFonts w:ascii="Times New Roman" w:cs="Times New Roman" w:eastAsia="Times New Roman" w:hAnsi="Times New Roman"/>
          <w:sz w:val="17"/>
          <w:szCs w:val="17"/>
          <w:color w:val="auto"/>
        </w:rPr>
        <w:t>Interest on the exchange notes will accrue from the last interest payment date on</w:t>
      </w:r>
    </w:p>
    <w:p>
      <w:pPr>
        <w:spacing w:after="0" w:line="31" w:lineRule="exact"/>
        <w:rPr>
          <w:sz w:val="20"/>
          <w:szCs w:val="20"/>
          <w:color w:val="auto"/>
        </w:rPr>
      </w:pPr>
    </w:p>
    <w:p>
      <w:pPr>
        <w:ind w:left="4600"/>
        <w:spacing w:after="0" w:line="253" w:lineRule="auto"/>
        <w:rPr>
          <w:sz w:val="20"/>
          <w:szCs w:val="20"/>
          <w:color w:val="auto"/>
        </w:rPr>
      </w:pPr>
      <w:r>
        <w:rPr>
          <w:rFonts w:ascii="Times New Roman" w:cs="Times New Roman" w:eastAsia="Times New Roman" w:hAnsi="Times New Roman"/>
          <w:sz w:val="18"/>
          <w:szCs w:val="18"/>
          <w:color w:val="auto"/>
        </w:rPr>
        <w:t>which interest was paid on the unregistered notes or, if no interest has been paid on the unregistered notes, from the date of issuance of the unregistered notes. Interest will accrue on the exchange notes at the annual rate of 5.00%, in the case of the 2020 exchange notes, 5.25%, in the case of the 2021 exchange notes, 5.50%, in the case of the 2019 exchange notes and 6.20%, in the case of the 2040 exchange notes.</w:t>
      </w:r>
    </w:p>
    <w:p>
      <w:pPr>
        <w:spacing w:after="0" w:line="75"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Interest Payment Dates</w:t>
      </w:r>
      <w:r>
        <w:rPr>
          <w:sz w:val="20"/>
          <w:szCs w:val="20"/>
          <w:color w:val="auto"/>
        </w:rPr>
        <w:tab/>
      </w:r>
      <w:r>
        <w:rPr>
          <w:rFonts w:ascii="Times New Roman" w:cs="Times New Roman" w:eastAsia="Times New Roman" w:hAnsi="Times New Roman"/>
          <w:sz w:val="17"/>
          <w:szCs w:val="17"/>
          <w:color w:val="auto"/>
        </w:rPr>
        <w:t>March 1 and September 1, beginning September 1, 2010 for the 2020 exchange notes.</w:t>
      </w:r>
    </w:p>
    <w:p>
      <w:pPr>
        <w:spacing w:after="0" w:line="121" w:lineRule="exact"/>
        <w:rPr>
          <w:sz w:val="20"/>
          <w:szCs w:val="20"/>
          <w:color w:val="auto"/>
        </w:rPr>
      </w:pPr>
    </w:p>
    <w:p>
      <w:pPr>
        <w:ind w:left="4600" w:right="420"/>
        <w:spacing w:after="0" w:line="282" w:lineRule="auto"/>
        <w:rPr>
          <w:sz w:val="20"/>
          <w:szCs w:val="20"/>
          <w:color w:val="auto"/>
        </w:rPr>
      </w:pPr>
      <w:r>
        <w:rPr>
          <w:rFonts w:ascii="Times New Roman" w:cs="Times New Roman" w:eastAsia="Times New Roman" w:hAnsi="Times New Roman"/>
          <w:sz w:val="18"/>
          <w:szCs w:val="18"/>
          <w:color w:val="auto"/>
        </w:rPr>
        <w:t>May 15 and November 15, beginning November 15, 2010 for the 2021 exchange notes.</w:t>
      </w:r>
    </w:p>
    <w:p>
      <w:pPr>
        <w:spacing w:after="0" w:line="54" w:lineRule="exact"/>
        <w:rPr>
          <w:sz w:val="20"/>
          <w:szCs w:val="20"/>
          <w:color w:val="auto"/>
        </w:rPr>
      </w:pPr>
    </w:p>
    <w:p>
      <w:pPr>
        <w:ind w:left="4600" w:right="260"/>
        <w:spacing w:after="0" w:line="282" w:lineRule="auto"/>
        <w:rPr>
          <w:sz w:val="20"/>
          <w:szCs w:val="20"/>
          <w:color w:val="auto"/>
        </w:rPr>
      </w:pPr>
      <w:r>
        <w:rPr>
          <w:rFonts w:ascii="Times New Roman" w:cs="Times New Roman" w:eastAsia="Times New Roman" w:hAnsi="Times New Roman"/>
          <w:sz w:val="18"/>
          <w:szCs w:val="18"/>
          <w:color w:val="auto"/>
        </w:rPr>
        <w:t>March 15 and September 15, beginning September 15, 2010 for the 2019 exchange notes.</w:t>
      </w:r>
    </w:p>
    <w:p>
      <w:pPr>
        <w:spacing w:after="0" w:line="5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March 1 and September 1, beginning September 1, 2010 for the 2040 exchange notes.</w:t>
      </w:r>
    </w:p>
    <w:p>
      <w:pPr>
        <w:spacing w:after="0" w:line="113"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Guarantees</w:t>
      </w:r>
      <w:r>
        <w:rPr>
          <w:sz w:val="20"/>
          <w:szCs w:val="20"/>
          <w:color w:val="auto"/>
        </w:rPr>
        <w:tab/>
      </w:r>
      <w:r>
        <w:rPr>
          <w:rFonts w:ascii="Times New Roman" w:cs="Times New Roman" w:eastAsia="Times New Roman" w:hAnsi="Times New Roman"/>
          <w:sz w:val="18"/>
          <w:szCs w:val="18"/>
          <w:color w:val="auto"/>
        </w:rPr>
        <w:t>The exchange notes initially will be guaranteed, fully and unconditionally and jointly</w:t>
      </w:r>
    </w:p>
    <w:p>
      <w:pPr>
        <w:spacing w:after="0" w:line="31" w:lineRule="exact"/>
        <w:rPr>
          <w:sz w:val="20"/>
          <w:szCs w:val="20"/>
          <w:color w:val="auto"/>
        </w:rPr>
      </w:pPr>
    </w:p>
    <w:p>
      <w:pPr>
        <w:ind w:left="4600" w:right="40"/>
        <w:spacing w:after="0" w:line="252" w:lineRule="auto"/>
        <w:rPr>
          <w:sz w:val="20"/>
          <w:szCs w:val="20"/>
          <w:color w:val="auto"/>
        </w:rPr>
      </w:pPr>
      <w:r>
        <w:rPr>
          <w:rFonts w:ascii="Times New Roman" w:cs="Times New Roman" w:eastAsia="Times New Roman" w:hAnsi="Times New Roman"/>
          <w:sz w:val="18"/>
          <w:szCs w:val="18"/>
          <w:color w:val="auto"/>
        </w:rPr>
        <w:t>and severally, by all of our subsidiaries that guarantee the unregistered notes and our credit facilities. Each guarantee will be a senior obligation of the guarantor, will rank equally with all unsecured and unsubordinated indebtedness of the guarantor from time to time outstanding, will rank senior to any subordinated indebtedness of the guarantor from time to time outstanding and will rank junior to any secured indebtedness of a guarantor from time to time outstanding to the extent of the value of the assets securing such.</w:t>
      </w:r>
    </w:p>
    <w:p>
      <w:pPr>
        <w:spacing w:after="0" w:line="77"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Ranking</w:t>
      </w:r>
      <w:r>
        <w:rPr>
          <w:sz w:val="20"/>
          <w:szCs w:val="20"/>
          <w:color w:val="auto"/>
        </w:rPr>
        <w:tab/>
      </w:r>
      <w:r>
        <w:rPr>
          <w:rFonts w:ascii="Times New Roman" w:cs="Times New Roman" w:eastAsia="Times New Roman" w:hAnsi="Times New Roman"/>
          <w:sz w:val="18"/>
          <w:szCs w:val="18"/>
          <w:color w:val="auto"/>
        </w:rPr>
        <w:t>The exchange notes, like the unregistered notes, will be our unsecured unsubordinated</w:t>
      </w:r>
    </w:p>
    <w:p>
      <w:pPr>
        <w:spacing w:after="0" w:line="31" w:lineRule="exact"/>
        <w:rPr>
          <w:sz w:val="20"/>
          <w:szCs w:val="20"/>
          <w:color w:val="auto"/>
        </w:rPr>
      </w:pPr>
    </w:p>
    <w:p>
      <w:pPr>
        <w:ind w:left="4600" w:right="20"/>
        <w:spacing w:after="0" w:line="254" w:lineRule="auto"/>
        <w:rPr>
          <w:sz w:val="20"/>
          <w:szCs w:val="20"/>
          <w:color w:val="auto"/>
        </w:rPr>
      </w:pPr>
      <w:r>
        <w:rPr>
          <w:rFonts w:ascii="Times New Roman" w:cs="Times New Roman" w:eastAsia="Times New Roman" w:hAnsi="Times New Roman"/>
          <w:sz w:val="18"/>
          <w:szCs w:val="18"/>
          <w:color w:val="auto"/>
        </w:rPr>
        <w:t>obligations and will rank equally with all of our other unsecured and unsubordinated indebtedness from time to time outstanding. The exchange notes will be senior to any of our subordinated indebtedness from time to time outstanding and will rank junior to our</w:t>
      </w:r>
    </w:p>
    <w:p>
      <w:pPr>
        <w:sectPr>
          <w:pgSz w:w="11900" w:h="16838" w:orient="portrait"/>
          <w:cols w:equalWidth="0" w:num="1">
            <w:col w:w="10840"/>
          </w:cols>
          <w:pgMar w:left="240" w:top="41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5" w:right="81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00" w:right="140"/>
        <w:spacing w:after="0" w:line="258" w:lineRule="auto"/>
        <w:rPr>
          <w:sz w:val="20"/>
          <w:szCs w:val="20"/>
          <w:color w:val="auto"/>
        </w:rPr>
      </w:pPr>
      <w:r>
        <w:rPr>
          <w:rFonts w:ascii="Times New Roman" w:cs="Times New Roman" w:eastAsia="Times New Roman" w:hAnsi="Times New Roman"/>
          <w:sz w:val="18"/>
          <w:szCs w:val="18"/>
          <w:color w:val="auto"/>
        </w:rPr>
        <w:t>secured indebtedness from time to time outstanding to the extent of the value of the assets securing such indebtedness. The exchange notes will also be effectively junior in right of payment to all existing and future liabilities, including trade payables, of our domestic subsidiaries that do not guarantee the notes and all of our foreign subsidiaries, which will not guarantee the notes.</w:t>
      </w:r>
    </w:p>
    <w:p>
      <w:pPr>
        <w:spacing w:after="0" w:line="72"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Optional Redemption</w:t>
      </w:r>
      <w:r>
        <w:rPr>
          <w:sz w:val="20"/>
          <w:szCs w:val="20"/>
          <w:color w:val="auto"/>
        </w:rPr>
        <w:tab/>
      </w:r>
      <w:r>
        <w:rPr>
          <w:rFonts w:ascii="Times New Roman" w:cs="Times New Roman" w:eastAsia="Times New Roman" w:hAnsi="Times New Roman"/>
          <w:sz w:val="17"/>
          <w:szCs w:val="17"/>
          <w:color w:val="auto"/>
        </w:rPr>
        <w:t>At our option, we may redeem some or all of the exchange notes, at any time or from</w:t>
      </w:r>
    </w:p>
    <w:p>
      <w:pPr>
        <w:spacing w:after="0" w:line="31" w:lineRule="exact"/>
        <w:rPr>
          <w:sz w:val="20"/>
          <w:szCs w:val="20"/>
          <w:color w:val="auto"/>
        </w:rPr>
      </w:pPr>
    </w:p>
    <w:p>
      <w:pPr>
        <w:ind w:left="4600" w:right="380"/>
        <w:spacing w:after="0" w:line="255" w:lineRule="auto"/>
        <w:rPr>
          <w:sz w:val="20"/>
          <w:szCs w:val="20"/>
          <w:color w:val="auto"/>
        </w:rPr>
      </w:pPr>
      <w:r>
        <w:rPr>
          <w:rFonts w:ascii="Times New Roman" w:cs="Times New Roman" w:eastAsia="Times New Roman" w:hAnsi="Times New Roman"/>
          <w:sz w:val="18"/>
          <w:szCs w:val="18"/>
          <w:color w:val="auto"/>
        </w:rPr>
        <w:t>time to time at the redemption price described in this prospectus plus accrued and unpaid interest. The redemption prices are described under “Description of the Exchange Notes — Optional Redemption” in this prospectus.</w:t>
      </w:r>
    </w:p>
    <w:p>
      <w:pPr>
        <w:spacing w:after="0" w:line="74"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Change of Control</w:t>
      </w:r>
      <w:r>
        <w:rPr>
          <w:sz w:val="20"/>
          <w:szCs w:val="20"/>
          <w:color w:val="auto"/>
        </w:rPr>
        <w:tab/>
      </w:r>
      <w:r>
        <w:rPr>
          <w:rFonts w:ascii="Times New Roman" w:cs="Times New Roman" w:eastAsia="Times New Roman" w:hAnsi="Times New Roman"/>
          <w:sz w:val="18"/>
          <w:szCs w:val="18"/>
          <w:color w:val="auto"/>
        </w:rPr>
        <w:t>If we experience specific kinds of changes of control, each holder of the exchange</w:t>
      </w:r>
    </w:p>
    <w:p>
      <w:pPr>
        <w:spacing w:after="0" w:line="31" w:lineRule="exact"/>
        <w:rPr>
          <w:sz w:val="20"/>
          <w:szCs w:val="20"/>
          <w:color w:val="auto"/>
        </w:rPr>
      </w:pPr>
    </w:p>
    <w:p>
      <w:pPr>
        <w:ind w:left="4600"/>
        <w:spacing w:after="0" w:line="254" w:lineRule="auto"/>
        <w:rPr>
          <w:sz w:val="20"/>
          <w:szCs w:val="20"/>
          <w:color w:val="auto"/>
        </w:rPr>
      </w:pPr>
      <w:r>
        <w:rPr>
          <w:rFonts w:ascii="Times New Roman" w:cs="Times New Roman" w:eastAsia="Times New Roman" w:hAnsi="Times New Roman"/>
          <w:sz w:val="18"/>
          <w:szCs w:val="18"/>
          <w:color w:val="auto"/>
        </w:rPr>
        <w:t>notes will have the right to require us to purchase all or a portion of such holder’s exchange notes, at a purchase price equal to 101% of the principal amount thereof plus accrued and unpaid interest. See “Description of the Exchange Notes — Change in Control Triggering Event” in this prospectus.</w:t>
      </w:r>
    </w:p>
    <w:p>
      <w:pPr>
        <w:spacing w:after="0" w:line="74"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Covenants</w:t>
      </w:r>
      <w:r>
        <w:rPr>
          <w:sz w:val="20"/>
          <w:szCs w:val="20"/>
          <w:color w:val="auto"/>
        </w:rPr>
        <w:tab/>
      </w:r>
      <w:r>
        <w:rPr>
          <w:rFonts w:ascii="Times New Roman" w:cs="Times New Roman" w:eastAsia="Times New Roman" w:hAnsi="Times New Roman"/>
          <w:sz w:val="18"/>
          <w:szCs w:val="18"/>
          <w:color w:val="auto"/>
        </w:rPr>
        <w:t>The indentures governing the exchange notes provide for certain limitations on our</w:t>
      </w:r>
    </w:p>
    <w:p>
      <w:pPr>
        <w:spacing w:after="0" w:line="31" w:lineRule="exact"/>
        <w:rPr>
          <w:sz w:val="20"/>
          <w:szCs w:val="20"/>
          <w:color w:val="auto"/>
        </w:rPr>
      </w:pPr>
    </w:p>
    <w:p>
      <w:pPr>
        <w:ind w:left="4600" w:right="40"/>
        <w:spacing w:after="0" w:line="255" w:lineRule="auto"/>
        <w:rPr>
          <w:sz w:val="20"/>
          <w:szCs w:val="20"/>
          <w:color w:val="auto"/>
        </w:rPr>
      </w:pPr>
      <w:r>
        <w:rPr>
          <w:rFonts w:ascii="Times New Roman" w:cs="Times New Roman" w:eastAsia="Times New Roman" w:hAnsi="Times New Roman"/>
          <w:sz w:val="18"/>
          <w:szCs w:val="18"/>
          <w:color w:val="auto"/>
        </w:rPr>
        <w:t>ability and the ability of certain of our subsidiaries to (i) create liens on the capital stock or indebtedness of any principal subsidiary or certain property and (ii) enter into sale and leaseback transactions.</w:t>
      </w:r>
    </w:p>
    <w:p>
      <w:pPr>
        <w:spacing w:after="0" w:line="74"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Consolidations, Mergers and Sales of Assets</w:t>
      </w:r>
      <w:r>
        <w:rPr>
          <w:sz w:val="20"/>
          <w:szCs w:val="20"/>
          <w:color w:val="auto"/>
        </w:rPr>
        <w:tab/>
      </w:r>
      <w:r>
        <w:rPr>
          <w:rFonts w:ascii="Times New Roman" w:cs="Times New Roman" w:eastAsia="Times New Roman" w:hAnsi="Times New Roman"/>
          <w:sz w:val="17"/>
          <w:szCs w:val="17"/>
          <w:color w:val="auto"/>
        </w:rPr>
        <w:t>We may not consolidate, merge or sell substantially all of our assets as an entirety,</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unless, among other requirements: (i) the successor corporation assumes our</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obligations on the exchange notes and (ii) no Event of Default (as defined in the</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applicable indenture governing the exchange notes) has occurred and is continuing.</w:t>
      </w:r>
    </w:p>
    <w:p>
      <w:pPr>
        <w:spacing w:after="0" w:line="95"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Cross Default</w:t>
      </w:r>
      <w:r>
        <w:rPr>
          <w:sz w:val="20"/>
          <w:szCs w:val="20"/>
          <w:color w:val="auto"/>
        </w:rPr>
        <w:tab/>
      </w:r>
      <w:r>
        <w:rPr>
          <w:rFonts w:ascii="Times New Roman" w:cs="Times New Roman" w:eastAsia="Times New Roman" w:hAnsi="Times New Roman"/>
          <w:sz w:val="17"/>
          <w:szCs w:val="17"/>
          <w:color w:val="auto"/>
        </w:rPr>
        <w:t>Failure to pay when due any of our obligations or any of our principal subsidiaries’</w:t>
      </w:r>
    </w:p>
    <w:p>
      <w:pPr>
        <w:spacing w:after="0" w:line="31" w:lineRule="exact"/>
        <w:rPr>
          <w:sz w:val="20"/>
          <w:szCs w:val="20"/>
          <w:color w:val="auto"/>
        </w:rPr>
      </w:pPr>
    </w:p>
    <w:p>
      <w:pPr>
        <w:ind w:left="4600" w:right="60"/>
        <w:spacing w:after="0" w:line="254" w:lineRule="auto"/>
        <w:rPr>
          <w:sz w:val="20"/>
          <w:szCs w:val="20"/>
          <w:color w:val="auto"/>
        </w:rPr>
      </w:pPr>
      <w:r>
        <w:rPr>
          <w:rFonts w:ascii="Times New Roman" w:cs="Times New Roman" w:eastAsia="Times New Roman" w:hAnsi="Times New Roman"/>
          <w:sz w:val="18"/>
          <w:szCs w:val="18"/>
          <w:color w:val="auto"/>
        </w:rPr>
        <w:t>obligations in the aggregate principal amount of at least $25 million that continues for 25 days after notice to us by the trustee or holders of at least 25% in principal amount of any series of notes then outstanding constitutes a default under the applicable indenture governing the series of notes.</w:t>
      </w:r>
    </w:p>
    <w:p>
      <w:pPr>
        <w:spacing w:after="0" w:line="74" w:lineRule="exact"/>
        <w:rPr>
          <w:sz w:val="20"/>
          <w:szCs w:val="20"/>
          <w:color w:val="auto"/>
        </w:rPr>
      </w:pPr>
    </w:p>
    <w:p>
      <w:pPr>
        <w:ind w:left="9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Discharge</w:t>
      </w:r>
      <w:r>
        <w:rPr>
          <w:sz w:val="20"/>
          <w:szCs w:val="20"/>
          <w:color w:val="auto"/>
        </w:rPr>
        <w:tab/>
      </w:r>
      <w:r>
        <w:rPr>
          <w:rFonts w:ascii="Times New Roman" w:cs="Times New Roman" w:eastAsia="Times New Roman" w:hAnsi="Times New Roman"/>
          <w:sz w:val="18"/>
          <w:szCs w:val="18"/>
          <w:color w:val="auto"/>
        </w:rPr>
        <w:t>The indentures governing the exchange notes are subject to defeasance and discharge</w:t>
      </w:r>
    </w:p>
    <w:p>
      <w:pPr>
        <w:spacing w:after="0" w:line="3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under certain circumstances.</w:t>
      </w:r>
    </w:p>
    <w:p>
      <w:pPr>
        <w:spacing w:after="0" w:line="110" w:lineRule="exact"/>
        <w:rPr>
          <w:sz w:val="20"/>
          <w:szCs w:val="20"/>
          <w:color w:val="auto"/>
        </w:rPr>
      </w:pPr>
    </w:p>
    <w:p>
      <w:pPr>
        <w:ind w:left="92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Investing in the exchange notes involves substantial risks. See “Risk Factors” beginning on page 11 for a discussion of certain risks relating to us, our business and an investment in the notes that you should carefully consider before investing in the exchange notes.</w:t>
      </w:r>
    </w:p>
    <w:p>
      <w:pPr>
        <w:sectPr>
          <w:pgSz w:w="11900" w:h="16838" w:orient="portrait"/>
          <w:cols w:equalWidth="0" w:num="1">
            <w:col w:w="10840"/>
          </w:cols>
          <w:pgMar w:left="240" w:top="41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5" w:right="81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Data</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Statement of Operations Data and Other Operating Data for each of the years ended December 31, 2009, 2008, 2007, 2006 and</w:t>
      </w:r>
    </w:p>
    <w:p>
      <w:pPr>
        <w:spacing w:after="0" w:line="27"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18"/>
          <w:szCs w:val="18"/>
          <w:color w:val="auto"/>
        </w:rPr>
        <w:t>2005 and the Balance Sheet Data at December 31, 2009, 2008, 2007, 2006 and 2005 is derived from our audited consolidated financial statements. The Statement of Operations Data and Other Operating Data for the three months ended March 31, 2010 and 2009 and the Balance Sheet Data as of March 31, 2010 is derived from our unaudited condensed consolidated financial statements. You should not regard the results of operations for the three months ended March 31, 2010 as indicative of the results that may be expected for the entire fiscal year. You should read our discussion regarding “The Company” beginning on page 1.</w:t>
      </w:r>
    </w:p>
    <w:p>
      <w:pPr>
        <w:spacing w:after="0" w:line="93" w:lineRule="exact"/>
        <w:rPr>
          <w:sz w:val="20"/>
          <w:szCs w:val="20"/>
          <w:color w:val="auto"/>
        </w:rPr>
      </w:pPr>
    </w:p>
    <w:p>
      <w:pPr>
        <w:ind w:left="920" w:right="60" w:firstLine="397"/>
        <w:spacing w:after="0" w:line="261"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our historical consolidated financial statements and the related notes and “Management’s Discussion and Analysis of Financial Condition and Results of Operations” included in our Interim Report on Form 10-Q for the three months ended March 31, 2010, and in our Annual Report on Form 10-K for the year ended December 31, 2009, which are incorporated by reference herein.</w:t>
      </w:r>
    </w:p>
    <w:p>
      <w:pPr>
        <w:spacing w:after="0" w:line="86" w:lineRule="exact"/>
        <w:rPr>
          <w:sz w:val="20"/>
          <w:szCs w:val="20"/>
          <w:color w:val="auto"/>
        </w:rPr>
      </w:pPr>
    </w:p>
    <w:p>
      <w:pPr>
        <w:ind w:left="920" w:right="220" w:firstLine="397"/>
        <w:spacing w:after="0" w:line="258" w:lineRule="auto"/>
        <w:rPr>
          <w:sz w:val="20"/>
          <w:szCs w:val="20"/>
          <w:color w:val="auto"/>
        </w:rPr>
      </w:pPr>
      <w:r>
        <w:rPr>
          <w:rFonts w:ascii="Times New Roman" w:cs="Times New Roman" w:eastAsia="Times New Roman" w:hAnsi="Times New Roman"/>
          <w:sz w:val="18"/>
          <w:szCs w:val="18"/>
          <w:color w:val="auto"/>
        </w:rPr>
        <w:t>We are the second largest provider of services in the domestic non-hazardous solid waste industry, as measured by revenue. We provide non-hazardous solid waste collection services for commercial, industrial, municipal and residential customers through 367 collection companies in 40 states and Puerto Rico. We own or operate 217 transfer stations, 190 active solid waste landfills and 77 recycling facilities. We also operate 75 landfill gas and renewable energy projects. We completed our merger with Allied in December 2008.</w:t>
      </w:r>
    </w:p>
    <w:p>
      <w:pPr>
        <w:spacing w:after="0" w:line="89" w:lineRule="exact"/>
        <w:rPr>
          <w:sz w:val="20"/>
          <w:szCs w:val="20"/>
          <w:color w:val="auto"/>
        </w:rPr>
      </w:pPr>
    </w:p>
    <w:p>
      <w:pPr>
        <w:ind w:left="920" w:right="620" w:firstLine="397"/>
        <w:spacing w:after="0" w:line="282" w:lineRule="auto"/>
        <w:rPr>
          <w:sz w:val="20"/>
          <w:szCs w:val="20"/>
          <w:color w:val="auto"/>
        </w:rPr>
      </w:pPr>
      <w:r>
        <w:rPr>
          <w:rFonts w:ascii="Times New Roman" w:cs="Times New Roman" w:eastAsia="Times New Roman" w:hAnsi="Times New Roman"/>
          <w:sz w:val="18"/>
          <w:szCs w:val="18"/>
          <w:color w:val="auto"/>
        </w:rPr>
        <w:t>On December 5, 2008, we acquired all of the issued and outstanding shares of Allied in a stock-for-stock transaction for an aggregate purchase price of $12.1 billion, which included approximately $5.4 billion of debt, at fair value.</w:t>
      </w:r>
    </w:p>
    <w:p>
      <w:pPr>
        <w:spacing w:after="0" w:line="67" w:lineRule="exact"/>
        <w:rPr>
          <w:sz w:val="20"/>
          <w:szCs w:val="20"/>
          <w:color w:val="auto"/>
        </w:rPr>
      </w:pPr>
    </w:p>
    <w:p>
      <w:pPr>
        <w:ind w:left="920" w:right="60" w:firstLine="397"/>
        <w:spacing w:after="0" w:line="261" w:lineRule="auto"/>
        <w:rPr>
          <w:sz w:val="20"/>
          <w:szCs w:val="20"/>
          <w:color w:val="auto"/>
        </w:rPr>
      </w:pPr>
      <w:r>
        <w:rPr>
          <w:rFonts w:ascii="Times New Roman" w:cs="Times New Roman" w:eastAsia="Times New Roman" w:hAnsi="Times New Roman"/>
          <w:sz w:val="18"/>
          <w:szCs w:val="18"/>
          <w:color w:val="auto"/>
        </w:rPr>
        <w:t>We primarily used the proceeds from the unregistered notes to redeem or tender for certain of our outstanding senior notes before their scheduled maturity. As such for the three months ended March 31, 2010 and the year ended December 31, 2009, we incurred a loss on extinguishment of debt in the amount of $132.1 million and $134.1 million for premiums paid to repurchase debt, charges for unamortized debt discounts and professional fees paid to effectuate the repurchase of the senior notes.</w:t>
      </w:r>
    </w:p>
    <w:p>
      <w:pPr>
        <w:spacing w:after="0" w:line="86" w:lineRule="exact"/>
        <w:rPr>
          <w:sz w:val="20"/>
          <w:szCs w:val="20"/>
          <w:color w:val="auto"/>
        </w:rPr>
      </w:pPr>
    </w:p>
    <w:p>
      <w:pPr>
        <w:ind w:left="920" w:right="20" w:firstLine="397"/>
        <w:spacing w:after="0" w:line="282" w:lineRule="auto"/>
        <w:rPr>
          <w:sz w:val="20"/>
          <w:szCs w:val="20"/>
          <w:color w:val="auto"/>
        </w:rPr>
      </w:pPr>
      <w:r>
        <w:rPr>
          <w:rFonts w:ascii="Times New Roman" w:cs="Times New Roman" w:eastAsia="Times New Roman" w:hAnsi="Times New Roman"/>
          <w:sz w:val="18"/>
          <w:szCs w:val="18"/>
          <w:color w:val="auto"/>
        </w:rPr>
        <w:t>These historical results are not necessarily indicative of the results to be expected in the future. Amounts are in millions, except per share data.</w:t>
      </w:r>
    </w:p>
    <w:p>
      <w:pPr>
        <w:sectPr>
          <w:pgSz w:w="11900" w:h="16838" w:orient="portrait"/>
          <w:cols w:equalWidth="0" w:num="1">
            <w:col w:w="10800"/>
          </w:cols>
          <w:pgMar w:left="240" w:top="415"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5" w:right="85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10"/>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10"/>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1,957.7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2,060.5</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8,199.1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3,685.1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3,176.2</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3,070.6</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Cost of operations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1,136.8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1,208.7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4,844.2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2,416.7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1,924.4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depletion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disposition of assets and impairments, net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Income attributable to noncontrolling interests</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Republic Services, Inc.</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 attributable to Republic</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 Inc. stockholders: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Diluted earnings per share attributable to Republic</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Services, Inc. stockholders: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Weighted average common and common equivalent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outstanding</w:t>
            </w: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Operating Data: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1,396.5</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5"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3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center"/>
              <w:ind w:right="4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18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80" w:type="dxa"/>
            <w:vAlign w:val="bottom"/>
          </w:tcPr>
          <w:p>
            <w:pPr>
              <w:spacing w:after="0"/>
              <w:rPr>
                <w:sz w:val="12"/>
                <w:szCs w:val="12"/>
                <w:color w:val="auto"/>
              </w:rPr>
            </w:pPr>
          </w:p>
        </w:tc>
        <w:tc>
          <w:tcPr>
            <w:tcW w:w="9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r>
      <w:tr>
        <w:trPr>
          <w:trHeight w:val="184"/>
        </w:trPr>
        <w:tc>
          <w:tcPr>
            <w:tcW w:w="3100" w:type="dxa"/>
            <w:vAlign w:val="bottom"/>
          </w:tcPr>
          <w:p>
            <w:pPr>
              <w:spacing w:after="0"/>
              <w:rPr>
                <w:sz w:val="15"/>
                <w:szCs w:val="15"/>
                <w:color w:val="auto"/>
              </w:rPr>
            </w:pPr>
          </w:p>
        </w:tc>
        <w:tc>
          <w:tcPr>
            <w:tcW w:w="15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2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81.4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21.8</w:t>
            </w:r>
          </w:p>
        </w:tc>
        <w:tc>
          <w:tcPr>
            <w:tcW w:w="8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   29.1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131.8</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marketable securities</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221.8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153.3</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255.3</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Pr>
          <w:p>
            <w:pPr>
              <w:spacing w:after="0"/>
              <w:rPr>
                <w:sz w:val="18"/>
                <w:szCs w:val="18"/>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w w:val="95"/>
              </w:rPr>
              <w:t>19,465.3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8"/>
              </w:rPr>
              <w:t>19,540.3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19,921.4</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4,467.8</w:t>
            </w:r>
          </w:p>
        </w:tc>
        <w:tc>
          <w:tcPr>
            <w:tcW w:w="8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4,429.4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4,550.5</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7,114.0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6,962.6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7,702.5</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1,567.8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1,547.2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1,475.1</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Pr>
          <w:p>
            <w:pPr>
              <w:spacing w:after="0"/>
              <w:rPr>
                <w:sz w:val="20"/>
                <w:szCs w:val="20"/>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7,568.7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7,567.1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7,282.5</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1,303.8</w:t>
            </w:r>
          </w:p>
        </w:tc>
        <w:tc>
          <w:tcPr>
            <w:tcW w:w="80" w:type="dxa"/>
            <w:vAlign w:val="bottom"/>
          </w:tcPr>
          <w:p>
            <w:pPr>
              <w:spacing w:after="0"/>
              <w:rPr>
                <w:sz w:val="20"/>
                <w:szCs w:val="20"/>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1,422.1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33"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before making a decision to participate in the exchange offers. Prior to making a decision about whether to participate in the exchange offers, you should carefully consider all of the information set forth in this prospectus and any documents incorporated by reference herein and, in particular, the risks and uncertainties described below, together with the risk factors discussed in our Annual Report on Form 10-K for the year ended December 31, 2009. The occurrence of any of those risks and uncertainties may materially adversely affect our financial condition, results of operations, cash flows or business. In that case, the price or value of our securities could decline and you could lose all or part of your investment. You are encouraged to perform your own investigation with respect to the exchange notes and our company. Some of the statements in this discussion of risk factors are forward-looking statements. See “Forward-Looking Statements.”</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Risks Related to the Exchange Notes and the Exchange Offers</w:t>
      </w:r>
    </w:p>
    <w:p>
      <w:pPr>
        <w:spacing w:after="0" w:line="1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indebtedness, which may limit our financial flexibility.</w:t>
      </w:r>
    </w:p>
    <w:p>
      <w:pPr>
        <w:spacing w:after="0" w:line="135" w:lineRule="exact"/>
        <w:rPr>
          <w:sz w:val="20"/>
          <w:szCs w:val="20"/>
          <w:color w:val="auto"/>
        </w:rPr>
      </w:pPr>
    </w:p>
    <w:p>
      <w:pPr>
        <w:ind w:left="700" w:right="100" w:firstLine="397"/>
        <w:spacing w:after="0" w:line="255" w:lineRule="auto"/>
        <w:rPr>
          <w:sz w:val="20"/>
          <w:szCs w:val="20"/>
          <w:color w:val="auto"/>
        </w:rPr>
      </w:pPr>
      <w:r>
        <w:rPr>
          <w:rFonts w:ascii="Times New Roman" w:cs="Times New Roman" w:eastAsia="Times New Roman" w:hAnsi="Times New Roman"/>
          <w:sz w:val="18"/>
          <w:szCs w:val="18"/>
          <w:color w:val="auto"/>
        </w:rPr>
        <w:t>As of March 31, 2010, we had approximately $7.5 billion in principal value of debt and capital leases outstanding. This amount of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restrictive covenants of our debt instruments. Further, our ability to comply with the financial and other covenants contained in our debt instruments may be affected by changes in economic or business conditions or other events that are beyond our control. If we do not comply with these covenants and restrictions, we may be required to take actions such as reducing or delaying capital expenditures, reducing dividends, selling assets, restructuring or refinancing all or part of our existing debt, or seeking additional equity capital.</w:t>
      </w:r>
    </w:p>
    <w:p>
      <w:pPr>
        <w:spacing w:after="0" w:line="1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We may be able to incur substantially more debt. This could exacerbate the risks associated with our indebtedness.</w:t>
      </w:r>
    </w:p>
    <w:p>
      <w:pPr>
        <w:spacing w:after="0" w:line="135" w:lineRule="exact"/>
        <w:rPr>
          <w:sz w:val="20"/>
          <w:szCs w:val="20"/>
          <w:color w:val="auto"/>
        </w:rPr>
      </w:pPr>
    </w:p>
    <w:p>
      <w:pPr>
        <w:jc w:val="both"/>
        <w:ind w:left="700" w:right="40" w:firstLine="397"/>
        <w:spacing w:after="0" w:line="261"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The exchange notes and the existing terms of our other debt do not prohibit us and our subsidiaries from incurring significant additional indebtedness in the future, subject to maintenance of certain financial covenants in our credit facilities. If new debt is added to our current debt levels, the related risks that we and our subsidiaries now face could intensify.</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purchase the exchange notes if we experience a change of control triggering event.</w:t>
      </w:r>
    </w:p>
    <w:p>
      <w:pPr>
        <w:spacing w:after="0" w:line="135" w:lineRule="exact"/>
        <w:rPr>
          <w:sz w:val="20"/>
          <w:szCs w:val="20"/>
          <w:color w:val="auto"/>
        </w:rPr>
      </w:pPr>
    </w:p>
    <w:p>
      <w:pPr>
        <w:ind w:left="700" w:right="160" w:firstLine="397"/>
        <w:spacing w:after="0" w:line="255" w:lineRule="auto"/>
        <w:rPr>
          <w:sz w:val="20"/>
          <w:szCs w:val="20"/>
          <w:color w:val="auto"/>
        </w:rPr>
      </w:pPr>
      <w:r>
        <w:rPr>
          <w:rFonts w:ascii="Times New Roman" w:cs="Times New Roman" w:eastAsia="Times New Roman" w:hAnsi="Times New Roman"/>
          <w:sz w:val="18"/>
          <w:szCs w:val="18"/>
          <w:color w:val="auto"/>
        </w:rPr>
        <w:t>If we experience a change of control triggering event, we will be required to offer to purchase each holder’s exchange notes at a price equal to 101% of their principal amount plus accrued and unpaid interest. When such change of control event occurs, we may not have sufficient financial resources to purchase all of the exchange notes that holders tender to us in connection with a change of control offer. The instruments governing our credit facilities also provide that a change of control will be a default that allows the lenders thereunder to accelerate the maturity of borrowings thereunder and we have other debt that must be repurchased upon a change of control. Any future debt agreements may contain similar provisions. Our failure to purchase the exchange notes as required under the applicable indenture governing the exchange notes would be a default, which could have material adverse consequences for us. See “Description of the Exchange Notes — Change of Control Triggering Event”.</w:t>
      </w:r>
    </w:p>
    <w:p>
      <w:pPr>
        <w:spacing w:after="0" w:line="195" w:lineRule="exact"/>
        <w:rPr>
          <w:sz w:val="20"/>
          <w:szCs w:val="20"/>
          <w:color w:val="auto"/>
        </w:rPr>
      </w:pPr>
    </w:p>
    <w:p>
      <w:pPr>
        <w:ind w:lef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exchange notes and guarantees are unsecured and will be effectively subordinated to all of our and our subsidiary guarantors’ existing and future secured obligations to the extent of the collateral securing such obligations.</w:t>
      </w:r>
    </w:p>
    <w:p>
      <w:pPr>
        <w:spacing w:after="0" w:line="64" w:lineRule="exact"/>
        <w:rPr>
          <w:sz w:val="20"/>
          <w:szCs w:val="20"/>
          <w:color w:val="auto"/>
        </w:rPr>
      </w:pPr>
    </w:p>
    <w:p>
      <w:pPr>
        <w:ind w:left="700" w:right="160" w:firstLine="397"/>
        <w:spacing w:after="0" w:line="276" w:lineRule="auto"/>
        <w:rPr>
          <w:sz w:val="20"/>
          <w:szCs w:val="20"/>
          <w:color w:val="auto"/>
        </w:rPr>
      </w:pPr>
      <w:r>
        <w:rPr>
          <w:rFonts w:ascii="Times New Roman" w:cs="Times New Roman" w:eastAsia="Times New Roman" w:hAnsi="Times New Roman"/>
          <w:sz w:val="17"/>
          <w:szCs w:val="17"/>
          <w:color w:val="auto"/>
        </w:rPr>
        <w:t>The exchange notes and guarantees are unsecured and will be effectively subordinated to all of our and our subsidiary guarantors’ secured obligations from time to time outstanding to the extent of the collateral securing such obligations. Our $1.75 billion and</w:t>
      </w:r>
    </w:p>
    <w:p>
      <w:pPr>
        <w:spacing w:after="0" w:line="1" w:lineRule="exact"/>
        <w:rPr>
          <w:sz w:val="20"/>
          <w:szCs w:val="20"/>
          <w:color w:val="auto"/>
        </w:rPr>
      </w:pPr>
    </w:p>
    <w:p>
      <w:pPr>
        <w:ind w:left="700" w:right="20"/>
        <w:spacing w:after="0" w:line="261" w:lineRule="auto"/>
        <w:rPr>
          <w:sz w:val="20"/>
          <w:szCs w:val="20"/>
          <w:color w:val="auto"/>
        </w:rPr>
      </w:pPr>
      <w:r>
        <w:rPr>
          <w:rFonts w:ascii="Times New Roman" w:cs="Times New Roman" w:eastAsia="Times New Roman" w:hAnsi="Times New Roman"/>
          <w:sz w:val="18"/>
          <w:szCs w:val="18"/>
          <w:color w:val="auto"/>
        </w:rPr>
        <w:t>$1.0 billion revolving credit facilities are unsecured. As of March 31, 2010, we had $91.6 million of obligations under capital leases. The applicable indenture governing the exchange notes</w:t>
      </w:r>
    </w:p>
    <w:p>
      <w:pPr>
        <w:spacing w:after="0" w:line="3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66" w:lineRule="auto"/>
        <w:rPr>
          <w:sz w:val="20"/>
          <w:szCs w:val="20"/>
          <w:color w:val="auto"/>
        </w:rPr>
      </w:pPr>
      <w:r>
        <w:rPr>
          <w:rFonts w:ascii="Times New Roman" w:cs="Times New Roman" w:eastAsia="Times New Roman" w:hAnsi="Times New Roman"/>
          <w:sz w:val="18"/>
          <w:szCs w:val="18"/>
          <w:color w:val="auto"/>
        </w:rPr>
        <w:t>generally will allow us to incur liens in an amount up to, in addition to specified permitted liens, 20% of our consolidated net tangible assets. As of March 31, 2010, the book value of our property and equipment, including landfill development costs, approximated $6.6 billion.</w:t>
      </w:r>
    </w:p>
    <w:p>
      <w:pPr>
        <w:spacing w:after="0" w:line="186" w:lineRule="exact"/>
        <w:rPr>
          <w:sz w:val="20"/>
          <w:szCs w:val="20"/>
          <w:color w:val="auto"/>
        </w:rPr>
      </w:pPr>
    </w:p>
    <w:p>
      <w:pPr>
        <w:ind w:left="900"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conduct a substantial portion of our operations through our subsidiaries. Not all of our subsidiaries will guarantee the exchange notes and assets of our non-guarantor subsidiaries may not be available to make payments on the exchange notes.</w:t>
      </w:r>
    </w:p>
    <w:p>
      <w:pPr>
        <w:spacing w:after="0" w:line="41" w:lineRule="exact"/>
        <w:rPr>
          <w:sz w:val="20"/>
          <w:szCs w:val="20"/>
          <w:color w:val="auto"/>
        </w:rPr>
      </w:pPr>
    </w:p>
    <w:p>
      <w:pPr>
        <w:ind w:left="700" w:right="60" w:firstLine="397"/>
        <w:spacing w:after="0" w:line="253" w:lineRule="auto"/>
        <w:rPr>
          <w:sz w:val="20"/>
          <w:szCs w:val="20"/>
          <w:color w:val="auto"/>
        </w:rPr>
      </w:pPr>
      <w:r>
        <w:rPr>
          <w:rFonts w:ascii="Times New Roman" w:cs="Times New Roman" w:eastAsia="Times New Roman" w:hAnsi="Times New Roman"/>
          <w:sz w:val="18"/>
          <w:szCs w:val="18"/>
          <w:color w:val="auto"/>
        </w:rPr>
        <w:t>Cash flow and our ability to service debt, including the exchange notes, depends substantially on the distribution of earnings, loans or other payments made by our subsidiaries to us. If distributions from our subsidiaries to us were eliminated, delayed, reduced or otherwise impaired, our ability to make payments on the exchange notes would be substantially impaired. Payments on the exchange notes will only be required to be made by us and the subsidiary guarantors. The non-guarantor subsidiaries include subsidiaries that are not wholly owned, insurance companies, other finance-related subsidiaries and other subsidiaries which are not guarantors under our credit facilities. Because the non-guaranteeing subsidiaries may have other creditors and are not obligated to repay and do not guarantee repayment of the exchange notes, you cannot rely on such subsidiaries to make any payments on the exchange notes directly to you or to make sufficient distributions to enable us to satisfy our obligations to you under the exchange notes. If any or all of our non-guarantor subsidiaries become the subject of a bankruptcy, liquidation or reorganization, the creditors of the subsidiary or subsidiaries, including debt holders, must be paid in full out of the subsidiary’s or subsidiaries’ assets before any monies may be distributed to us as the holder of the equity in the subsidiary or subsidiaries.</w:t>
      </w:r>
    </w:p>
    <w:p>
      <w:pPr>
        <w:spacing w:after="0" w:line="20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The subsidiary guarantees of the exchange notes may be limited in duration.</w:t>
      </w:r>
    </w:p>
    <w:p>
      <w:pPr>
        <w:spacing w:after="0" w:line="135"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The exchange notes will be guaranteed by substantially all of our subsidiaries. The subsidiary guarantors may be released from their respective obligations under the applicable indenture under certain circumstances. Under such circumstances the exchange notes would no longer have the benefit of subsidiary guarantees and holders of the exchange notes would no longer have direct claims against the subsidiary guarantors.</w:t>
      </w:r>
    </w:p>
    <w:p>
      <w:pPr>
        <w:spacing w:after="0" w:line="190" w:lineRule="exact"/>
        <w:rPr>
          <w:sz w:val="20"/>
          <w:szCs w:val="20"/>
          <w:color w:val="auto"/>
        </w:rPr>
      </w:pPr>
    </w:p>
    <w:p>
      <w:pPr>
        <w:ind w:left="90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subsidiary guarantees of the exchange notes may be subject to review under United States federal or state fraudulent transfer law, which could limit their enforceability.</w:t>
      </w:r>
    </w:p>
    <w:p>
      <w:pPr>
        <w:spacing w:after="0" w:line="64"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To the extent that a United States court were to find that (x) the guarantees were incurred with intent to hinder, delay or defraud any present or future creditor, or a subsidiary guarantor contemplated insolvency with a design to prefer one or more creditors to the exclusion in whole or in part of others, or (y) the subsidiary issuing the guarantee did not receive fair consideration or reasonably equivalent value for issuing its guarantees and any subsidiary guarantor (i) was insolvent, (ii) was rendered insolvent by reason of the issuance of the guarantees, (iii) was engaged or about to engage in a business or transaction for which the remaining assets of a subsidiary guarantor constituted unreasonably small capital to carry on its business or (iv) intended to incur, or believed that it would incur, debts beyond its ability to pay such debts as they matured, that court could avoid or subordinate the guarantees in favor of a subsidiary guarantor’s other creditors. If the guarantees are subordinated, payments of principal and interest on the exchange notes generally would be subject to the prior payment in full of all other indebtedness of the subsidiary guarantor. Among other things, a legal challenge of the guarantees on fraudulent conveyance grounds may focus on the benefits, if any, realized by the subsidiary guarantor as a result of the issuance by us of the exchange notes. The extent (if any) to which a particular subsidiary guarantor may be deemed to have received such benefits may depend on our use of the proceeds of this offering, including the extent (if any) to which such proceeds or benefits therefrom are contributed to the subsidiary guarantor. The measure of insolvency for purposes of the foregoing will vary depending on the law of the applicable jurisdiction. Generally, however, an entity would be considered insolvent if the sum of its debts (including contingent or unliquidated debts) is greater than all of its property at a fair valuation or if the present fair saleable value of its assets is less than the amount that will be required to pay its probable liability under its existing debts as such debts become absolute and matured. Based upon financial and other information currently available to us, we presently believe that the guarantees are being incurred for proper purposes and in good faith, and that the subsidiary guarantors (i) are solvent and will continue to be solvent after issuing the guarantees, (ii) will have sufficient capital for carrying on their business after such issuance and (iii) will</w:t>
      </w:r>
    </w:p>
    <w:p>
      <w:pPr>
        <w:spacing w:after="0" w:line="3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66" w:lineRule="auto"/>
        <w:rPr>
          <w:sz w:val="20"/>
          <w:szCs w:val="20"/>
          <w:color w:val="auto"/>
        </w:rPr>
      </w:pPr>
      <w:r>
        <w:rPr>
          <w:rFonts w:ascii="Times New Roman" w:cs="Times New Roman" w:eastAsia="Times New Roman" w:hAnsi="Times New Roman"/>
          <w:sz w:val="18"/>
          <w:szCs w:val="18"/>
          <w:color w:val="auto"/>
        </w:rPr>
        <w:t>be able to pay their debts as they mature. There can be no assurance, however, that a court would necessarily agree with these conclusions, or determine that any particular subsidiary guarantor received fair consideration or reasonably equivalent value for issuing its guarantee.</w:t>
      </w:r>
    </w:p>
    <w:p>
      <w:pPr>
        <w:spacing w:after="0" w:line="186" w:lineRule="exact"/>
        <w:rPr>
          <w:sz w:val="20"/>
          <w:szCs w:val="20"/>
          <w:color w:val="auto"/>
        </w:rPr>
      </w:pPr>
    </w:p>
    <w:p>
      <w:pPr>
        <w:ind w:left="90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ability to transfer the exchange notes may be limited by the absence of an active trading market, and there is no assurance that any active trading market will develop for the exchange notes.</w:t>
      </w:r>
    </w:p>
    <w:p>
      <w:pPr>
        <w:spacing w:after="0" w:line="64"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There is no existing trading market for the exchange notes. We do not intend to have the exchange notes listed on a national securities exchange. The initial purchasers of the unregistered notes have advised us that they intend to make a market in the exchange notes, as permitted by applicable laws and regulations; however, the initial purchasers of the unregistered notes are not obligated to make a market in the exchange notes, and they may discontinue their market-making activities at any time without notice. Therefore, we cannot assure you that an active market for the exchange notes will develop or, if developed, that such a market will continue. In addition, subsequent to the exchange offers, the exchange notes may trade at a discount from their initial offering price, depending upon prevailing interest rates, the market for similar notes, our performance and other factors.</w:t>
      </w:r>
    </w:p>
    <w:p>
      <w:pPr>
        <w:spacing w:after="0" w:line="199" w:lineRule="exact"/>
        <w:rPr>
          <w:sz w:val="20"/>
          <w:szCs w:val="20"/>
          <w:color w:val="auto"/>
        </w:rPr>
      </w:pPr>
    </w:p>
    <w:p>
      <w:pPr>
        <w:ind w:left="90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be able to sell your unregistered notes if you do not exchange them for exchange notes in the applicable exchange offer.</w:t>
      </w:r>
    </w:p>
    <w:p>
      <w:pPr>
        <w:spacing w:after="0" w:line="64" w:lineRule="exact"/>
        <w:rPr>
          <w:sz w:val="20"/>
          <w:szCs w:val="20"/>
          <w:color w:val="auto"/>
        </w:rPr>
      </w:pPr>
    </w:p>
    <w:p>
      <w:pPr>
        <w:ind w:left="700" w:right="280" w:firstLine="397"/>
        <w:spacing w:after="0" w:line="266" w:lineRule="auto"/>
        <w:rPr>
          <w:sz w:val="20"/>
          <w:szCs w:val="20"/>
          <w:color w:val="auto"/>
        </w:rPr>
      </w:pPr>
      <w:r>
        <w:rPr>
          <w:rFonts w:ascii="Times New Roman" w:cs="Times New Roman" w:eastAsia="Times New Roman" w:hAnsi="Times New Roman"/>
          <w:sz w:val="18"/>
          <w:szCs w:val="18"/>
          <w:color w:val="auto"/>
        </w:rPr>
        <w:t>If you do not exchange your unregistered notes for exchange notes in the applicable exchange offer, your unregistered notes will continue to be subject to the restrictions on transfer as stated in the legend on the unregistered notes. In general, you may not reoffer, resell or otherwise transfer the unregistered notes in the United States unless they are:</w:t>
      </w:r>
    </w:p>
    <w:p>
      <w:pPr>
        <w:spacing w:after="0" w:line="82" w:lineRule="exact"/>
        <w:rPr>
          <w:sz w:val="20"/>
          <w:szCs w:val="20"/>
          <w:color w:val="auto"/>
        </w:rPr>
      </w:pPr>
    </w:p>
    <w:p>
      <w:pPr>
        <w:ind w:left="1300" w:hanging="20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under the Securities Act;</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or sold under an exemption from the Securities Act and applicable state securities laws; or</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or sold in a transaction not subject to the Securities Act and applicable state securities laws.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We do not currently anticipate that we will register the offer or sale of the unregistered notes under the Securities Act.</w:t>
      </w:r>
    </w:p>
    <w:p>
      <w:pPr>
        <w:spacing w:after="0" w:line="235" w:lineRule="exact"/>
        <w:rPr>
          <w:sz w:val="20"/>
          <w:szCs w:val="20"/>
          <w:color w:val="auto"/>
        </w:rPr>
      </w:pPr>
    </w:p>
    <w:p>
      <w:pPr>
        <w:ind w:left="90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unregistered notes who do not tender their unregistered notes will have no further registration rights under the applicable registration rights agreement.</w:t>
      </w:r>
    </w:p>
    <w:p>
      <w:pPr>
        <w:spacing w:after="0" w:line="64" w:lineRule="exact"/>
        <w:rPr>
          <w:sz w:val="20"/>
          <w:szCs w:val="20"/>
          <w:color w:val="auto"/>
        </w:rPr>
      </w:pPr>
    </w:p>
    <w:p>
      <w:pPr>
        <w:ind w:left="700" w:right="360" w:firstLine="397"/>
        <w:spacing w:after="0" w:line="282" w:lineRule="auto"/>
        <w:rPr>
          <w:sz w:val="20"/>
          <w:szCs w:val="20"/>
          <w:color w:val="auto"/>
        </w:rPr>
      </w:pPr>
      <w:r>
        <w:rPr>
          <w:rFonts w:ascii="Times New Roman" w:cs="Times New Roman" w:eastAsia="Times New Roman" w:hAnsi="Times New Roman"/>
          <w:sz w:val="18"/>
          <w:szCs w:val="18"/>
          <w:color w:val="auto"/>
        </w:rPr>
        <w:t>Holders who do not tender their unregistered notes will not have any further registration rights under the applicable registration rights agreement or otherwise and will not have rights to receive additional interest.</w:t>
      </w:r>
    </w:p>
    <w:p>
      <w:pPr>
        <w:spacing w:after="0" w:line="171" w:lineRule="exact"/>
        <w:rPr>
          <w:sz w:val="20"/>
          <w:szCs w:val="20"/>
          <w:color w:val="auto"/>
        </w:rPr>
      </w:pPr>
    </w:p>
    <w:p>
      <w:pPr>
        <w:ind w:left="90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unregistered notes may be significantly more limited after the exchange offers and you may not be able to sell your unregistered notes after the exchange offers.</w:t>
      </w:r>
    </w:p>
    <w:p>
      <w:pPr>
        <w:spacing w:after="0" w:line="64" w:lineRule="exact"/>
        <w:rPr>
          <w:sz w:val="20"/>
          <w:szCs w:val="20"/>
          <w:color w:val="auto"/>
        </w:rPr>
      </w:pPr>
    </w:p>
    <w:p>
      <w:pPr>
        <w:ind w:left="700" w:right="60" w:firstLine="397"/>
        <w:spacing w:after="0" w:line="254" w:lineRule="auto"/>
        <w:rPr>
          <w:sz w:val="20"/>
          <w:szCs w:val="20"/>
          <w:color w:val="auto"/>
        </w:rPr>
      </w:pPr>
      <w:r>
        <w:rPr>
          <w:rFonts w:ascii="Times New Roman" w:cs="Times New Roman" w:eastAsia="Times New Roman" w:hAnsi="Times New Roman"/>
          <w:sz w:val="18"/>
          <w:szCs w:val="18"/>
          <w:color w:val="auto"/>
        </w:rPr>
        <w:t>If unregistered notes are tendered and accepted for exchange under the applicable exchange offer, the trading market for unregistered notes that remain outstanding may be significantly more limited. As a result, the liquidity of the unregistered notes not tendered for exchange could be adversely affected. The extent of the market for unregistered notes of any series and the availability of price quotations would depend upon a number of factors, including the number of holders of unregistered notes of that series remaining outstanding and the interest of securities firms in maintaining a market in the unregistered notes of that series. An issue of securities with a similar outstanding market value available for trading, which is called the “float,” may command a lower price than would be comparable to an issue of securities with a greater float. As a result, the market price for unregistered notes that are not exchanged in the exchange offers may be affected adversely as unregistered notes exchanged in the exchange offers reduce the float. The reduced float also may make the trading price of the unregistered notes that are not exchanged more volatile.</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Your unregistered notes will not be accepted for exchange if you fail to follow the applicable exchange offer procedures and, as a result, your unregistered notes will continue to be subject to existing transfer restrictions and you may not be able to sell your unregistered notes.</w:t>
      </w:r>
    </w:p>
    <w:p>
      <w:pPr>
        <w:spacing w:after="0" w:line="80"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We will not accept your unregistered notes for exchange if you do not follow the applicable exchange offer procedures. We will issue exchange notes as part of the applicable exchange offer only after timely receipt of your unregistered notes, a properly completed and duly executed letter of transmittal and all other required documents. Therefore, if you want to tender your unregistered notes, please allow sufficient time to ensure timely delivery. If we do not receive your unregistered notes, letter of transmittal and other required documents by the expiration date of the applicable exchange offer, we will not accept your unregistered notes for exchange. We are under no duty to give notification of defects or irregularities with respect to the tenders of unregistered notes for exchange. If there are defects or irregularities with respect to your tender of unregistered notes, we will not accept your unregistered notes for exchange.</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Some persons who participate in the exchange offers must deliver a prospectus in connection with resales of the exchange notes.</w:t>
      </w:r>
    </w:p>
    <w:p>
      <w:pPr>
        <w:spacing w:after="0" w:line="135" w:lineRule="exact"/>
        <w:rPr>
          <w:sz w:val="20"/>
          <w:szCs w:val="20"/>
          <w:color w:val="auto"/>
        </w:rPr>
      </w:pPr>
    </w:p>
    <w:p>
      <w:pPr>
        <w:ind w:left="700" w:right="40" w:firstLine="397"/>
        <w:spacing w:after="0" w:line="255" w:lineRule="auto"/>
        <w:rPr>
          <w:sz w:val="20"/>
          <w:szCs w:val="20"/>
          <w:color w:val="auto"/>
        </w:rPr>
      </w:pPr>
      <w:r>
        <w:rPr>
          <w:rFonts w:ascii="Times New Roman" w:cs="Times New Roman" w:eastAsia="Times New Roman" w:hAnsi="Times New Roman"/>
          <w:sz w:val="18"/>
          <w:szCs w:val="18"/>
          <w:color w:val="auto"/>
        </w:rPr>
        <w:t>Based on interpretations of the staff of the SEC contained in no action letters with third parties unrelated to us, we believe that you may offer for resale, resell or otherwise transfer the exchange notes without compliance with the registration and prospectus delivery requirements of the Securities Act so long as the conditions described in “The Exchange Offers — Resale of Exchange Notes” are satisfied. However, in some instances, including those described in this prospectus under “Plan of Distribution,” you will remain obligated to comply with certain prospectus delivery requirements of the Securities Act to transfer your exchange notes. In these cases, if you transfer any exchange note without delivering a prospectus meeting the requirements of the Securities Act or without an exemption from registration of your exchange notes under the Securities Act, you may incur liability under this Act. We do not and will not assume, or indemnify you against, this liability.</w:t>
      </w:r>
    </w:p>
    <w:p>
      <w:pPr>
        <w:spacing w:after="0" w:line="1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Risks Related to the Company</w:t>
      </w:r>
    </w:p>
    <w:p>
      <w:pPr>
        <w:spacing w:after="0" w:line="1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The downturn in the U.S. economy may continue to have an adverse impact on our operating results.</w:t>
      </w:r>
    </w:p>
    <w:p>
      <w:pPr>
        <w:spacing w:after="0" w:line="135"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A weak economy generally results in decreases in the volumes of waste generated. In 2009, weakness in the U.S. economy had a negative effect on our revenue, operating results and operating cash flows. The current and previous economic slowdowns have negatively impacted the portion of our collection business servicing the manufacturing and construction industries and our proceeds from sales of recycled commodities. As a result of the global economic crisis, we may experience the negative effects of increased competitive pricing pressure and customer turnover as well. We cannot assure you that worsening economic conditions or a prolonged or recurring recession will not have a significant adverse impact on our consolidated financial condition, results of operations or cash flows. Further, we cannot assure you that an improvement in economic conditions will result in an immediate, or any, improvement in our consolidated financial condition, results of operations or cash flows.</w:t>
      </w:r>
    </w:p>
    <w:p>
      <w:pPr>
        <w:spacing w:after="0" w:line="195" w:lineRule="exact"/>
        <w:rPr>
          <w:sz w:val="20"/>
          <w:szCs w:val="20"/>
          <w:color w:val="auto"/>
        </w:rPr>
      </w:pPr>
    </w:p>
    <w:p>
      <w:pPr>
        <w:ind w:left="90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downturn in the U.S. economy may expose us to credit risk for amounts due from governmental agencies, large national accounts and others.</w:t>
      </w:r>
    </w:p>
    <w:p>
      <w:pPr>
        <w:spacing w:after="0" w:line="64" w:lineRule="exact"/>
        <w:rPr>
          <w:sz w:val="20"/>
          <w:szCs w:val="20"/>
          <w:color w:val="auto"/>
        </w:rPr>
      </w:pPr>
    </w:p>
    <w:p>
      <w:pPr>
        <w:ind w:left="700" w:right="80" w:firstLine="397"/>
        <w:spacing w:after="0" w:line="256" w:lineRule="auto"/>
        <w:rPr>
          <w:sz w:val="20"/>
          <w:szCs w:val="20"/>
          <w:color w:val="auto"/>
        </w:rPr>
      </w:pPr>
      <w:r>
        <w:rPr>
          <w:rFonts w:ascii="Times New Roman" w:cs="Times New Roman" w:eastAsia="Times New Roman" w:hAnsi="Times New Roman"/>
          <w:sz w:val="18"/>
          <w:szCs w:val="18"/>
          <w:color w:val="auto"/>
        </w:rPr>
        <w:t>The weak U.S. economy has reduced the amount of taxes collected by various governmental agencies. We provide services to a number of these agencies including numerous municipalities. These governmental agencies may suffer financial difficulties resulting from a decrease in tax revenue and may ultimately be unable or unwilling to pay amounts owed to us. In addition, the weak economy may cause other customers, including our large national accounts, to suffer financial difficulties and ultimately to be unable or unwilling to pay amounts owed to us. This could have a negative impact on our consolidated financial condition, results of operations and cash flows.</w:t>
      </w:r>
    </w:p>
    <w:p>
      <w:pPr>
        <w:spacing w:after="0" w:line="197" w:lineRule="exact"/>
        <w:rPr>
          <w:sz w:val="20"/>
          <w:szCs w:val="20"/>
          <w:color w:val="auto"/>
        </w:rPr>
      </w:pPr>
    </w:p>
    <w:p>
      <w:pPr>
        <w:ind w:left="90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downturn in the U.S. economy and in the financial markets could expose us to counter-party risk associated with our derivatives.</w:t>
      </w:r>
    </w:p>
    <w:p>
      <w:pPr>
        <w:spacing w:after="0" w:line="64" w:lineRule="exact"/>
        <w:rPr>
          <w:sz w:val="20"/>
          <w:szCs w:val="20"/>
          <w:color w:val="auto"/>
        </w:rPr>
      </w:pPr>
    </w:p>
    <w:p>
      <w:pPr>
        <w:ind w:left="700" w:right="480" w:firstLine="397"/>
        <w:spacing w:after="0" w:line="282" w:lineRule="auto"/>
        <w:rPr>
          <w:sz w:val="20"/>
          <w:szCs w:val="20"/>
          <w:color w:val="auto"/>
        </w:rPr>
      </w:pPr>
      <w:r>
        <w:rPr>
          <w:rFonts w:ascii="Times New Roman" w:cs="Times New Roman" w:eastAsia="Times New Roman" w:hAnsi="Times New Roman"/>
          <w:sz w:val="18"/>
          <w:szCs w:val="18"/>
          <w:color w:val="auto"/>
        </w:rPr>
        <w:t>To reduce our exposure to fluctuations in various commodities and interest rates, we have entered into a number of derivative agreements. These derivative agreements require us or the counter-party to such agreements to</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61" w:lineRule="auto"/>
        <w:rPr>
          <w:sz w:val="20"/>
          <w:szCs w:val="20"/>
          <w:color w:val="auto"/>
        </w:rPr>
      </w:pPr>
      <w:r>
        <w:rPr>
          <w:rFonts w:ascii="Times New Roman" w:cs="Times New Roman" w:eastAsia="Times New Roman" w:hAnsi="Times New Roman"/>
          <w:sz w:val="18"/>
          <w:szCs w:val="18"/>
          <w:color w:val="auto"/>
        </w:rPr>
        <w:t>make payments to the other party if the price of certain commodities or interest rates vary from a specified amount. A continued downturn in the U.S. economy or in the financial markets could adversely impact the financial stability of the counter-parties with which we do business, potentially limiting their ability to fulfill their obligations under our derivative agreements. This could have a negative impact on our consolidated financial condition, results of operations and cash flows.</w:t>
      </w:r>
    </w:p>
    <w:p>
      <w:pPr>
        <w:spacing w:after="0" w:line="190" w:lineRule="exact"/>
        <w:rPr>
          <w:sz w:val="20"/>
          <w:szCs w:val="20"/>
          <w:color w:val="auto"/>
        </w:rPr>
      </w:pPr>
    </w:p>
    <w:p>
      <w:pPr>
        <w:ind w:left="900"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waste industry is highly competitive and includes competitors that may have greater financial and operational resources, flexibility to reduce prices and other competitive advantages that could make it difficult for us to compete effectively.</w:t>
      </w:r>
    </w:p>
    <w:p>
      <w:pPr>
        <w:spacing w:after="0" w:line="41" w:lineRule="exact"/>
        <w:rPr>
          <w:sz w:val="20"/>
          <w:szCs w:val="20"/>
          <w:color w:val="auto"/>
        </w:rPr>
      </w:pPr>
    </w:p>
    <w:p>
      <w:pPr>
        <w:ind w:left="700" w:right="40" w:firstLine="397"/>
        <w:spacing w:after="0" w:line="254" w:lineRule="auto"/>
        <w:rPr>
          <w:sz w:val="20"/>
          <w:szCs w:val="20"/>
          <w:color w:val="auto"/>
        </w:rPr>
      </w:pPr>
      <w:r>
        <w:rPr>
          <w:rFonts w:ascii="Times New Roman" w:cs="Times New Roman" w:eastAsia="Times New Roman" w:hAnsi="Times New Roman"/>
          <w:sz w:val="18"/>
          <w:szCs w:val="18"/>
          <w:color w:val="auto"/>
        </w:rPr>
        <w:t>We principally compete with large national waste management companies, municipalities and numerous regional and local companies for collection and disposal accounts. Competition for collection accounts is primarily based on price and the quality of services. Competition for disposal business is primarily based on disposal costs, geographic location and quality of operations. Some of our competitors may have greater financial and operational resources than us. Many counties and municipalities that operate their own waste collection and disposal facilities have the benefits of tax revenue or tax-exempt financing. Our ability to obtain solid waste volume for our landfills may also be limited by the fact that some major collection companies also own or operate landfills to which they send their waste. In markets in which we do not own or operate a landfill, our collection operations may operate at a disadvantage to fully integrated competitors. As a result of these factors, we may have difficulty competing effectively from time to time or in certain markets. If we were to lower prices to address these competitive issues, it could negatively impact our revenue growth and profitability.</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Price increases may not be adequate to offset the impact of increased costs and may cause us to lose volume.</w:t>
      </w:r>
    </w:p>
    <w:p>
      <w:pPr>
        <w:spacing w:after="0" w:line="135" w:lineRule="exact"/>
        <w:rPr>
          <w:sz w:val="20"/>
          <w:szCs w:val="20"/>
          <w:color w:val="auto"/>
        </w:rPr>
      </w:pPr>
    </w:p>
    <w:p>
      <w:pPr>
        <w:ind w:left="700" w:right="40" w:firstLine="397"/>
        <w:spacing w:after="0" w:line="258" w:lineRule="auto"/>
        <w:rPr>
          <w:sz w:val="20"/>
          <w:szCs w:val="20"/>
          <w:color w:val="auto"/>
        </w:rPr>
      </w:pPr>
      <w:r>
        <w:rPr>
          <w:rFonts w:ascii="Times New Roman" w:cs="Times New Roman" w:eastAsia="Times New Roman" w:hAnsi="Times New Roman"/>
          <w:sz w:val="18"/>
          <w:szCs w:val="18"/>
          <w:color w:val="auto"/>
        </w:rPr>
        <w:t>We seek to secure price increases necessary to offset increased costs (including fuel and environmental costs), to improve operating margins and to obtain adequate returns on our substantial investments in assets such as our landfills. From time to time, our competitors may reduce their prices in an effort to expand their market share. Contractual, general economic or market-specific conditions may also limit our ability to raise prices. As a result, we may be unable to offset increases in costs, improve our operating margins and obtain adequate investment returns through price increases. We may also lose volume to lower-cost competitors.</w:t>
      </w:r>
    </w:p>
    <w:p>
      <w:pPr>
        <w:spacing w:after="0" w:line="193" w:lineRule="exact"/>
        <w:rPr>
          <w:sz w:val="20"/>
          <w:szCs w:val="20"/>
          <w:color w:val="auto"/>
        </w:rPr>
      </w:pPr>
    </w:p>
    <w:p>
      <w:pPr>
        <w:ind w:left="90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 of fuel or petrochemicals will increase our operating expenses, and we cannot assure you that we will be able to recover fuel or oil cost increases from our customers.</w:t>
      </w:r>
    </w:p>
    <w:p>
      <w:pPr>
        <w:spacing w:after="0" w:line="64"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We depend on fuel to run our collection and transfer trucks and other equipment used for collection, transfer, and disposal. We buy fuel in the open market. Fuel prices are unpredictable and can fluctuate significantly based on events beyond our control, including geopolitical developments, actions by the Organization of the Petroleum Exporting Countries and other oil and gas producers, supply and demand for oil and gas, war, terrorism and unrest in oil-producing countries, and regional production patterns. We may not be able to offset such volatility through fuel surcharges. For example, our fuel costs were $349.8 million in 2009, representing 4.3% of our revenue compared to $235.3 million in 2008, representing 6.4% of our revenue. This decrease in fuel costs as a percent of revenue primarily reflects a decrease in the price of fuel.</w:t>
      </w:r>
    </w:p>
    <w:p>
      <w:pPr>
        <w:spacing w:after="0" w:line="95" w:lineRule="exact"/>
        <w:rPr>
          <w:sz w:val="20"/>
          <w:szCs w:val="20"/>
          <w:color w:val="auto"/>
        </w:rPr>
      </w:pPr>
    </w:p>
    <w:p>
      <w:pPr>
        <w:ind w:left="700" w:right="120" w:firstLine="397"/>
        <w:spacing w:after="0" w:line="266" w:lineRule="auto"/>
        <w:rPr>
          <w:sz w:val="20"/>
          <w:szCs w:val="20"/>
          <w:color w:val="auto"/>
        </w:rPr>
      </w:pPr>
      <w:r>
        <w:rPr>
          <w:rFonts w:ascii="Times New Roman" w:cs="Times New Roman" w:eastAsia="Times New Roman" w:hAnsi="Times New Roman"/>
          <w:sz w:val="18"/>
          <w:szCs w:val="18"/>
          <w:color w:val="auto"/>
        </w:rPr>
        <w:t>In order to manage our exposure to volatility in fuel prices, we have entered into multiple swap agreements whereby we receive or make payments to counter-parties if the price of fuel varies from a specified amount. However, we do not hedge our entire fuel usage. During 2009, only 6.4% of our fuel purchases were hedged.</w:t>
      </w:r>
    </w:p>
    <w:p>
      <w:pPr>
        <w:spacing w:after="0" w:line="82"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Over the last several years, regulations have been adopted mandating the reduction of vehicle tail pipe emissions and, in October 2009, the EPA indicated it will establish the first U.S. standards for greenhouse gas emissions from automobiles. The regulations could affect the type of fuel our trucks use and could materially increase the cost and consumption of our fuel. Our operations also require the use of products (such as liners at our landfills) whose costs may vary with the price of petrochemicals. An increase in the price of petrochemicals could increase the cost of those products, which would increase our operating and capital costs. We are also susceptible to increases in indirect fuel surcharges from our vendors.</w:t>
      </w:r>
    </w:p>
    <w:p>
      <w:pPr>
        <w:spacing w:after="0" w:line="3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prices for recycled commodities that we sell to customers may adversely affect our consolidated financial condition, results of operations and cash flows.</w:t>
      </w:r>
    </w:p>
    <w:p>
      <w:pPr>
        <w:spacing w:after="0" w:line="64" w:lineRule="exact"/>
        <w:rPr>
          <w:sz w:val="20"/>
          <w:szCs w:val="20"/>
          <w:color w:val="auto"/>
        </w:rPr>
      </w:pPr>
    </w:p>
    <w:p>
      <w:pPr>
        <w:ind w:left="700" w:right="80" w:firstLine="397"/>
        <w:spacing w:after="0" w:line="261" w:lineRule="auto"/>
        <w:rPr>
          <w:sz w:val="20"/>
          <w:szCs w:val="20"/>
          <w:color w:val="auto"/>
        </w:rPr>
      </w:pPr>
      <w:r>
        <w:rPr>
          <w:rFonts w:ascii="Times New Roman" w:cs="Times New Roman" w:eastAsia="Times New Roman" w:hAnsi="Times New Roman"/>
          <w:sz w:val="18"/>
          <w:szCs w:val="18"/>
          <w:color w:val="auto"/>
        </w:rPr>
        <w:t>We process recyclable materials such as paper, cardboard, plastics, aluminum and other metals for sale to third parties. Our results of operations may be affected by changing prices or market requirements for recyclable materials. The resale and purchase prices of, and market demand for, recyclable materials can be volatile due to changes in economic conditions and numerous other factors beyond our control. These fluctuations may affect our consolidated financial condition, results of operations and cash flows.</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Adverse weather conditions may limit our operations and increase the costs of collection and disposal.</w:t>
      </w:r>
    </w:p>
    <w:p>
      <w:pPr>
        <w:spacing w:after="0" w:line="135"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Our collection and landfill operations could be adversely impacted by extended periods of inclement weather, or by increased severity of weather and climate extremes resulting in the future from climate change, any of which could increase the volume of waste collected under our existing contracts (without corresponding compensation), interfere with collection and landfill operations, delay the development of landfill capacity or reduce the volume of waste generated by our customers. In addition, adverse weather conditions may result in the temporary suspension of our operations, which can significantly affect our operating results in the affected regions during those periods.</w:t>
      </w:r>
    </w:p>
    <w:p>
      <w:pPr>
        <w:spacing w:after="0" w:line="197" w:lineRule="exact"/>
        <w:rPr>
          <w:sz w:val="20"/>
          <w:szCs w:val="20"/>
          <w:color w:val="auto"/>
        </w:rPr>
      </w:pPr>
    </w:p>
    <w:p>
      <w:pPr>
        <w:ind w:left="90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matters pending with the Internal Revenue Service (the “IRS”), which could result in large cash expenditures and could have a material adverse impact on our operating results and cash flows.</w:t>
      </w:r>
    </w:p>
    <w:p>
      <w:pPr>
        <w:spacing w:after="0" w:line="64" w:lineRule="exact"/>
        <w:rPr>
          <w:sz w:val="20"/>
          <w:szCs w:val="20"/>
          <w:color w:val="auto"/>
        </w:rPr>
      </w:pPr>
    </w:p>
    <w:p>
      <w:pPr>
        <w:ind w:left="700" w:right="120" w:firstLine="397"/>
        <w:spacing w:after="0" w:line="266" w:lineRule="auto"/>
        <w:rPr>
          <w:sz w:val="20"/>
          <w:szCs w:val="20"/>
          <w:color w:val="auto"/>
        </w:rPr>
      </w:pPr>
      <w:r>
        <w:rPr>
          <w:rFonts w:ascii="Times New Roman" w:cs="Times New Roman" w:eastAsia="Times New Roman" w:hAnsi="Times New Roman"/>
          <w:sz w:val="18"/>
          <w:szCs w:val="18"/>
          <w:color w:val="auto"/>
        </w:rPr>
        <w:t>We are currently under examination by the IRS with regard to Allied’s federal income tax returns for tax years 2007 and 2008, and Allied’s 2000 through 2006 federal income tax returns are at appeals. Republic is under audit for its 2007 and 2008 federal income tax returns, and under examination for its 2008 federal income tax return.</w:t>
      </w:r>
    </w:p>
    <w:p>
      <w:pPr>
        <w:spacing w:after="0" w:line="82"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During its examination of Allied’s 2002 tax year, the IRS asserted that a 2002 redemption of four partnership interests in waste-to-energy businesses should have been recharacterized as disguised sale transactions. This issue is currently before the Appeals Division of the IRS. The Company believes its position is supported by relevant technical authorities and strong business purpose and we intend to vigorously defend our position on this matter. The potential tax and interest through December 31, 2009 (to the extent unpaid) have been fully reserved in our consolidated balance sheet. A disallowance would not materially affect our consolidated results of operations; however, a deficiency payment would adversely impact our cash flow in the period the payment was made. The accrual of additional interest charges through the time this matter is resolved will affect our consolidated results of operations. In addition, the successful assertion by the IRS of penalty and penalty-related interest in connection with this matter could have a material adverse impact on our consolidated financial condition, results of operations and cash flows.</w:t>
      </w:r>
    </w:p>
    <w:p>
      <w:pPr>
        <w:spacing w:after="0" w:line="95" w:lineRule="exact"/>
        <w:rPr>
          <w:sz w:val="20"/>
          <w:szCs w:val="20"/>
          <w:color w:val="auto"/>
        </w:rPr>
      </w:pPr>
    </w:p>
    <w:p>
      <w:pPr>
        <w:ind w:left="700" w:right="40" w:firstLine="397"/>
        <w:spacing w:after="0" w:line="255" w:lineRule="auto"/>
        <w:rPr>
          <w:sz w:val="20"/>
          <w:szCs w:val="20"/>
          <w:color w:val="auto"/>
        </w:rPr>
      </w:pPr>
      <w:r>
        <w:rPr>
          <w:rFonts w:ascii="Times New Roman" w:cs="Times New Roman" w:eastAsia="Times New Roman" w:hAnsi="Times New Roman"/>
          <w:sz w:val="18"/>
          <w:szCs w:val="18"/>
          <w:color w:val="auto"/>
        </w:rPr>
        <w:t>Additionally, during its examination of Allied’s 2000 through 2003 tax years, the IRS proposed that certain landfill costs be allocated to the collection and control of methane gas that is naturally emitted from landfills. The IRS’ position is that the methane gas emitted by a landfill constitutes a joint product resulting from landfill operations and, therefore, associated costs should not be expensed until the methane gas is sold or otherwise disposed. We believe we have several meritorious defenses, including the fact that methane gas is not actively produced for sale by us but rather arises naturally in the context of providing disposal services. Therefore, we believe that the resolution of this issue will not have a material adverse impact on our consolidated financial position, results of operations or cash flows.</w:t>
      </w:r>
    </w:p>
    <w:p>
      <w:pPr>
        <w:spacing w:after="0" w:line="93" w:lineRule="exact"/>
        <w:rPr>
          <w:sz w:val="20"/>
          <w:szCs w:val="20"/>
          <w:color w:val="auto"/>
        </w:rPr>
      </w:pPr>
    </w:p>
    <w:p>
      <w:pPr>
        <w:ind w:left="700" w:right="180" w:firstLine="397"/>
        <w:spacing w:after="0" w:line="267" w:lineRule="auto"/>
        <w:rPr>
          <w:sz w:val="20"/>
          <w:szCs w:val="20"/>
          <w:color w:val="auto"/>
        </w:rPr>
      </w:pPr>
      <w:r>
        <w:rPr>
          <w:rFonts w:ascii="Times New Roman" w:cs="Times New Roman" w:eastAsia="Times New Roman" w:hAnsi="Times New Roman"/>
          <w:sz w:val="18"/>
          <w:szCs w:val="18"/>
          <w:color w:val="auto"/>
        </w:rPr>
        <w:t xml:space="preserve">For additional information on these matters, see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consolidated financial statements in Item 8 of our Annual Report on Form 10-K for the year ended December 31, 2009 and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our unaudited consolidated financial statements in Item 1 of our Quarterly Report on Form 10-Q for the quarter ended March 31, 2010.</w:t>
      </w:r>
    </w:p>
    <w:p>
      <w:pPr>
        <w:spacing w:after="0" w:line="81" w:lineRule="exact"/>
        <w:rPr>
          <w:sz w:val="20"/>
          <w:szCs w:val="20"/>
          <w:color w:val="auto"/>
        </w:rPr>
      </w:pPr>
    </w:p>
    <w:p>
      <w:pPr>
        <w:ind w:left="700" w:right="140" w:firstLine="397"/>
        <w:spacing w:after="0" w:line="282" w:lineRule="auto"/>
        <w:rPr>
          <w:sz w:val="20"/>
          <w:szCs w:val="20"/>
          <w:color w:val="auto"/>
        </w:rPr>
      </w:pPr>
      <w:r>
        <w:rPr>
          <w:rFonts w:ascii="Times New Roman" w:cs="Times New Roman" w:eastAsia="Times New Roman" w:hAnsi="Times New Roman"/>
          <w:sz w:val="18"/>
          <w:szCs w:val="18"/>
          <w:color w:val="auto"/>
        </w:rPr>
        <w:t>Other matters may also arise in the course of tax audits that could adversely impact our consolidated financial condition, results of operations or cash flows.</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our financial strategy.</w:t>
      </w:r>
    </w:p>
    <w:p>
      <w:pPr>
        <w:spacing w:after="0" w:line="135"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Our ability to execute our financial strategy depends on our ability to maintain investment grade ratings on our senior debt. The credit rating process is contingent upon a number of factors, many of which are beyond our control. We cannot assure you that we will be able to maintain our investment grade ratings in the future. Our interest expense would increase and our ability to obtain financing on favorable terms may be adversely affected should we fail to maintain investment grade ratings.</w:t>
      </w:r>
    </w:p>
    <w:p>
      <w:pPr>
        <w:spacing w:after="0" w:line="86"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Our financial strategy is also dependent on our ability to generate sufficient cash flow to reinvest in our existing business, fund internal growth, acquire other solid waste businesses, pay dividends, reduce indebtedness and minimize borrowings, and take other actions to enhance shareholder value. We cannot assure you that: we will be successful in executing our broad-based pricing program; we will generate sufficient cash flow to execute our financial strategy; we will be able to pay cash dividends at our present rate, that we will be able to increase the amount of such dividends, or that we will be able to reinstitute our share repurchase program.</w:t>
      </w:r>
    </w:p>
    <w:p>
      <w:pPr>
        <w:spacing w:after="0" w:line="193" w:lineRule="exact"/>
        <w:rPr>
          <w:sz w:val="20"/>
          <w:szCs w:val="20"/>
          <w:color w:val="auto"/>
        </w:rPr>
      </w:pPr>
    </w:p>
    <w:p>
      <w:pPr>
        <w:ind w:left="90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in our bond ratings could adversely affect our liquidity by increasing the cost of debt and financial assurance instruments.</w:t>
      </w:r>
    </w:p>
    <w:p>
      <w:pPr>
        <w:spacing w:after="0" w:line="64"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color w:val="auto"/>
        </w:rPr>
        <w:t>While downgrades of our bond ratings may not have an immediate impact on our cost of debt or liquidity, they may impact our cost of debt and liquidity over the near to medium term. If the rating agencies downgrade our debt, this may increase the interest rate we must pay to issue new debt, and it may even make it prohibitively expensive for us to issue new debt. If our debt ratings are downgraded, future access to financial assurance markets at a reasonable cost, or at all, also may be adversely impacted.</w:t>
      </w:r>
    </w:p>
    <w:p>
      <w:pPr>
        <w:spacing w:after="0" w:line="190" w:lineRule="exact"/>
        <w:rPr>
          <w:sz w:val="20"/>
          <w:szCs w:val="20"/>
          <w:color w:val="auto"/>
        </w:rPr>
      </w:pPr>
    </w:p>
    <w:p>
      <w:pPr>
        <w:ind w:left="900"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solid waste industry is a capital-intensive industry and the amount we spend on capital expenditures may exceed current expectations, which could require us to obtain additional funding for our operations or impair our ability to grow our business.</w:t>
      </w:r>
    </w:p>
    <w:p>
      <w:pPr>
        <w:spacing w:after="0" w:line="41" w:lineRule="exact"/>
        <w:rPr>
          <w:sz w:val="20"/>
          <w:szCs w:val="20"/>
          <w:color w:val="auto"/>
        </w:rPr>
      </w:pPr>
    </w:p>
    <w:p>
      <w:pPr>
        <w:ind w:left="700" w:right="60" w:firstLine="397"/>
        <w:spacing w:after="0" w:line="255" w:lineRule="auto"/>
        <w:rPr>
          <w:sz w:val="20"/>
          <w:szCs w:val="20"/>
          <w:color w:val="auto"/>
        </w:rPr>
      </w:pPr>
      <w:r>
        <w:rPr>
          <w:rFonts w:ascii="Times New Roman" w:cs="Times New Roman" w:eastAsia="Times New Roman" w:hAnsi="Times New Roman"/>
          <w:sz w:val="18"/>
          <w:szCs w:val="18"/>
          <w:color w:val="auto"/>
        </w:rPr>
        <w:t>Our ability to remain competitive and to grow and expand our operations largely depends on our cash flow from operations and access to capital. If our capital efficiency programs are unable to offset the impact of inflation and business growth, it may be necessary to increase the amount we spend. Additionally, if we make acquisitions or further expand our operations, the amount we expend on capital, capping, closure, post-closure and environmental remediation expenditures will increase. Our cash needs also will increase if the expenditures for capping, closure, post-closure and remediation activities increase above our current estimates, which may occur over a long period due to changes in federal, state or local government requirements and other factors beyond our control. Increases in expenditures would negatively impact our cash flows.</w:t>
      </w:r>
    </w:p>
    <w:p>
      <w:pPr>
        <w:spacing w:after="0" w:line="95" w:lineRule="exact"/>
        <w:rPr>
          <w:sz w:val="20"/>
          <w:szCs w:val="20"/>
          <w:color w:val="auto"/>
        </w:rPr>
      </w:pPr>
    </w:p>
    <w:p>
      <w:pPr>
        <w:ind w:left="700" w:right="40" w:firstLine="397"/>
        <w:spacing w:after="0" w:line="258" w:lineRule="auto"/>
        <w:rPr>
          <w:sz w:val="20"/>
          <w:szCs w:val="20"/>
          <w:color w:val="auto"/>
        </w:rPr>
      </w:pPr>
      <w:r>
        <w:rPr>
          <w:rFonts w:ascii="Times New Roman" w:cs="Times New Roman" w:eastAsia="Times New Roman" w:hAnsi="Times New Roman"/>
          <w:sz w:val="18"/>
          <w:szCs w:val="18"/>
          <w:color w:val="auto"/>
        </w:rPr>
        <w:t>Over the last several years, regulations have been adopted mandating the reduction of vehicle tail pipe emissions. These regulations have caused some increases in the costs of the collection vehicles we buy. The EPA recently has indicated it intends to adopt further regulations addressing greenhouse gas emissions from automobiles. As a result, we could experience an increase in capital costs. This also could cause an increase in vehicle operating costs or a reduction in operating efficiency. We may reduce the number of vehicles we purchase until manufacturers adopt the new standards to increase efficiency.</w:t>
      </w:r>
    </w:p>
    <w:p>
      <w:pPr>
        <w:spacing w:after="0" w:line="193" w:lineRule="exact"/>
        <w:rPr>
          <w:sz w:val="20"/>
          <w:szCs w:val="20"/>
          <w:color w:val="auto"/>
        </w:rPr>
      </w:pPr>
    </w:p>
    <w:p>
      <w:pPr>
        <w:ind w:left="90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64"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We cannot assure you that we will successfully obtain or maintain the permits we require to operate our business because permits to operate non-hazardous solid waste landfills and to expand the permitted capacity of existing landfills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 or seek to impose liability on us for environmental damage. Responding to these challenges has, at times, increased our costs and extended the time associated with establishing new</w:t>
      </w:r>
    </w:p>
    <w:p>
      <w:pPr>
        <w:spacing w:after="0" w:line="3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7" w:lineRule="auto"/>
        <w:rPr>
          <w:sz w:val="20"/>
          <w:szCs w:val="20"/>
          <w:color w:val="auto"/>
        </w:rPr>
      </w:pPr>
      <w:r>
        <w:rPr>
          <w:rFonts w:ascii="Times New Roman" w:cs="Times New Roman" w:eastAsia="Times New Roman" w:hAnsi="Times New Roman"/>
          <w:sz w:val="17"/>
          <w:szCs w:val="17"/>
          <w:color w:val="auto"/>
        </w:rPr>
        <w:t>facilities and expanding existing facilities. In addition, failure to receive regulatory and zoning approval may prohibit us from establishing new facilities, maintaining permits for our facilities or expanding existing facilities. Our failure to obtain the required permits to operate our non-hazardous solid waste landfills could have a material adverse impact on our consolidated financial condition, results of operations and cash flows. In addition, we may have to dispose collected waste at landfills operated by our competitors or haul the waste long distances at a higher cost to one of our landfills, either of which could significantly increase our waste disposal costs.</w:t>
      </w:r>
    </w:p>
    <w:p>
      <w:pPr>
        <w:spacing w:after="0" w:line="74" w:lineRule="exact"/>
        <w:rPr>
          <w:sz w:val="20"/>
          <w:szCs w:val="20"/>
          <w:color w:val="auto"/>
        </w:rPr>
      </w:pPr>
    </w:p>
    <w:p>
      <w:pPr>
        <w:ind w:left="700" w:right="300" w:firstLine="397"/>
        <w:spacing w:after="0" w:line="282" w:lineRule="auto"/>
        <w:rPr>
          <w:sz w:val="20"/>
          <w:szCs w:val="20"/>
          <w:color w:val="auto"/>
        </w:rPr>
      </w:pPr>
      <w:r>
        <w:rPr>
          <w:rFonts w:ascii="Times New Roman" w:cs="Times New Roman" w:eastAsia="Times New Roman" w:hAnsi="Times New Roman"/>
          <w:sz w:val="18"/>
          <w:szCs w:val="18"/>
          <w:color w:val="auto"/>
        </w:rPr>
        <w:t>The waste industry is subject to extensive government regulation, and existing or future regulations may restrict our operations, increase our costs of operations or require us to make additional capital expenditures.</w:t>
      </w:r>
    </w:p>
    <w:p>
      <w:pPr>
        <w:spacing w:after="0" w:line="171" w:lineRule="exact"/>
        <w:rPr>
          <w:sz w:val="20"/>
          <w:szCs w:val="20"/>
          <w:color w:val="auto"/>
        </w:rPr>
      </w:pPr>
    </w:p>
    <w:p>
      <w:pPr>
        <w:ind w:left="90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inadequately accrue for landfill capping, closure and post-closure costs, our financial condition and results of operations may be adversely affected.</w:t>
      </w:r>
    </w:p>
    <w:p>
      <w:pPr>
        <w:spacing w:after="0" w:line="64" w:lineRule="exact"/>
        <w:rPr>
          <w:sz w:val="20"/>
          <w:szCs w:val="20"/>
          <w:color w:val="auto"/>
        </w:rPr>
      </w:pPr>
    </w:p>
    <w:p>
      <w:pPr>
        <w:ind w:left="700" w:right="100" w:firstLine="397"/>
        <w:spacing w:after="0" w:line="254" w:lineRule="auto"/>
        <w:rPr>
          <w:sz w:val="20"/>
          <w:szCs w:val="20"/>
          <w:color w:val="auto"/>
        </w:rPr>
      </w:pPr>
      <w:r>
        <w:rPr>
          <w:rFonts w:ascii="Times New Roman" w:cs="Times New Roman" w:eastAsia="Times New Roman" w:hAnsi="Times New Roman"/>
          <w:sz w:val="18"/>
          <w:szCs w:val="18"/>
          <w:color w:val="auto"/>
        </w:rPr>
        <w:t>A landfill must be closed and capped, and post-closure maintenance commenced, once the permitted capacity of the landfill is reached and additional capacity is not authorized. We have significant financial obligations relating to capping, closure and post-closure costs at our existing owned or operated landfills, and will have material financial obligations with respect to any future owned or operated landfills. We establish accruals for the estimated costs associated with capping, closure and post-closure financial obligations. We could underestimate such accruals, and our financial obligations for capping, closure or post-closure costs could exceed the amount accrued or amounts otherwise receivable pursuant to trust funds established for this purpose. Such a shortfall could result in significant unanticipated charges to income. Additionally, if a landfill is required to be closed earlier than expected or its remaining airspace is reduced for any other reason, the accruals for capping, closure and post-closure could be required to be accelerated, which could have a material adverse impact on our consolidated financial condition, results of operations and cash flows.</w:t>
      </w:r>
    </w:p>
    <w:p>
      <w:pPr>
        <w:spacing w:after="0" w:line="199" w:lineRule="exact"/>
        <w:rPr>
          <w:sz w:val="20"/>
          <w:szCs w:val="20"/>
          <w:color w:val="auto"/>
        </w:rPr>
      </w:pPr>
    </w:p>
    <w:p>
      <w:pPr>
        <w:ind w:left="90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we will continue to operate our landfills at current volumes due to the use of alternatives to landfill disposal caused by state requirements or voluntary initiatives.</w:t>
      </w:r>
    </w:p>
    <w:p>
      <w:pPr>
        <w:spacing w:after="0" w:line="64"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Most of the states in which we operate landfills require counties and municipalities to formulate comprehensive plans to reduce the volume of solid waste deposited in landfills through waste planning, composting and recycling, or other programs. Some state and local governments mandate waste reduction at the source and prohibit the disposal of certain types of wastes, such as yard waste, at landfills. Although such actions are useful in protecting our environment, these actions, as well as voluntary private initiatives by customers to reduce waste or seek disposal alternatives, have and may in the future reduce the volume of waste going to landfills in certain areas. If this occurs, we cannot assure you that we will be able to operate our landfills at their current volumes or charge current prices for landfill disposal services due to the decrease in demand for such services.</w:t>
      </w:r>
    </w:p>
    <w:p>
      <w:pPr>
        <w:spacing w:after="0" w:line="199" w:lineRule="exact"/>
        <w:rPr>
          <w:sz w:val="20"/>
          <w:szCs w:val="20"/>
          <w:color w:val="auto"/>
        </w:rPr>
      </w:pPr>
    </w:p>
    <w:p>
      <w:pPr>
        <w:ind w:left="90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possibility of landfill and transfer station site development projects, expansion projects or pending acquisitions not being completed or certain other events could result in a material charge to income.</w:t>
      </w:r>
    </w:p>
    <w:p>
      <w:pPr>
        <w:spacing w:after="0" w:line="64"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We capitalize certain expenditures relating to development, expansion and other projects. If a facility or operation is permanently shut down or determined to be impaired, or a development or expansion project is not completed or is determined to be impaired, we will charge any unamortized capitalized expenditures to income relating to such facility or project that we are unable to recover through sale, transfer or otherwise. In future periods, we may incur charges against earnings in accordance with this policy, or other events may cause impairments. Such charges could have a material adverse impact on our consolidated financial condition, results of operations and cash flows.</w:t>
      </w:r>
    </w:p>
    <w:p>
      <w:pPr>
        <w:spacing w:after="0" w:line="197" w:lineRule="exact"/>
        <w:rPr>
          <w:sz w:val="20"/>
          <w:szCs w:val="20"/>
          <w:color w:val="auto"/>
        </w:rPr>
      </w:pPr>
    </w:p>
    <w:p>
      <w:pPr>
        <w:ind w:lef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costly environmental regulations and flow-control regulations that may affect our operating margins, restrict our operations and subject us to additional liability.</w:t>
      </w:r>
    </w:p>
    <w:p>
      <w:pPr>
        <w:spacing w:after="0" w:line="64"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Complying with laws and regulations governing the use, treatment, storage, transfer and disposal of solid and hazardous wastes and materials, air quality, water quality and the remediation of contamination associated with the release of hazardous substances is costly. Laws and regulations often require us to enhance or replace our equipment and to modify landfill operations or initiate final closure of a landfill. We cannot assure you that we will be able to</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66" w:lineRule="auto"/>
        <w:rPr>
          <w:sz w:val="20"/>
          <w:szCs w:val="20"/>
          <w:color w:val="auto"/>
        </w:rPr>
      </w:pPr>
      <w:r>
        <w:rPr>
          <w:rFonts w:ascii="Times New Roman" w:cs="Times New Roman" w:eastAsia="Times New Roman" w:hAnsi="Times New Roman"/>
          <w:sz w:val="18"/>
          <w:szCs w:val="18"/>
          <w:color w:val="auto"/>
        </w:rPr>
        <w:t>implement price increases sufficient to offset the costs of complying with these laws and regulations. In addition, environmental regulatory changes could accelerate or increase expenditures for capping, closure and post-closure, and environmental and remediation activities at solid waste facilities and obligate us to spend sums in addition to those presently accrued for such purposes.</w:t>
      </w:r>
    </w:p>
    <w:p>
      <w:pPr>
        <w:spacing w:after="0" w:line="82" w:lineRule="exact"/>
        <w:rPr>
          <w:sz w:val="20"/>
          <w:szCs w:val="20"/>
          <w:color w:val="auto"/>
        </w:rPr>
      </w:pPr>
    </w:p>
    <w:p>
      <w:pPr>
        <w:ind w:left="700" w:right="40" w:firstLine="397"/>
        <w:spacing w:after="0" w:line="266" w:lineRule="auto"/>
        <w:rPr>
          <w:sz w:val="20"/>
          <w:szCs w:val="20"/>
          <w:color w:val="auto"/>
        </w:rPr>
      </w:pPr>
      <w:r>
        <w:rPr>
          <w:rFonts w:ascii="Times New Roman" w:cs="Times New Roman" w:eastAsia="Times New Roman" w:hAnsi="Times New Roman"/>
          <w:sz w:val="18"/>
          <w:szCs w:val="18"/>
          <w:color w:val="auto"/>
        </w:rPr>
        <w:t>Our collection, transfer, and landfill operations are, and may in the future continue to be, affected by state or local laws or regulations that restrict the transportation of solid waste across state, county or other jurisdictional lines. Such laws and regulations could negatively affect our operations, resulting in declines in landfill volumes and increased costs of alternate disposal.</w:t>
      </w:r>
    </w:p>
    <w:p>
      <w:pPr>
        <w:spacing w:after="0" w:line="82"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In addition to the costs of complying with environmental regulations, we incur costs to defend against litigation brought by government agencies and private parties who may allege we are in violation of our permits and applicable environmental laws and regulations, or who assert claims alleging environmental damage, personal injury or property damage. As a result, we may be required to pay fines or implement corrective measures, or we may have our permits and licenses modified or revoked. A significant judgment against us, the loss of a significant permit or license, or the imposition of a significant fine could have a material adverse impact on our consolidated financial condition, results of operations and cash flows. We establish accruals for our estimates of the costs associated with our environmental obligations. We could underestimate such accruals and remediation costs could exceed amounts accrued. Such shortfalls could result in significant unanticipated charges to income.</w:t>
      </w:r>
    </w:p>
    <w:p>
      <w:pPr>
        <w:spacing w:after="0" w:line="1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Regulation of greenhouse gas emissions could impose costs on our operations, the magnitude of which we cannot yet estimate.</w:t>
      </w:r>
    </w:p>
    <w:p>
      <w:pPr>
        <w:spacing w:after="0" w:line="135" w:lineRule="exact"/>
        <w:rPr>
          <w:sz w:val="20"/>
          <w:szCs w:val="20"/>
          <w:color w:val="auto"/>
        </w:rPr>
      </w:pPr>
    </w:p>
    <w:p>
      <w:pPr>
        <w:ind w:left="700" w:right="160" w:firstLine="397"/>
        <w:spacing w:after="0" w:line="255" w:lineRule="auto"/>
        <w:rPr>
          <w:sz w:val="20"/>
          <w:szCs w:val="20"/>
          <w:color w:val="auto"/>
        </w:rPr>
      </w:pPr>
      <w:r>
        <w:rPr>
          <w:rFonts w:ascii="Times New Roman" w:cs="Times New Roman" w:eastAsia="Times New Roman" w:hAnsi="Times New Roman"/>
          <w:sz w:val="18"/>
          <w:szCs w:val="18"/>
          <w:color w:val="auto"/>
        </w:rPr>
        <w:t>Efforts to curtail the emission of greenhouse gases (GHGs), to ameliorate the effect of climate change, continue to advance on the federal, regional, and state level. Our landfill operations emit methane, identified as a GHG. In June 2009, the U.S. House of Representatives passed a bill that would regulate GHGs comprehensively. While the centerpiece of that bill would be a GHG emission allowance cap-and-trade system, landfills would not be compelled to hold allowances for their GHG emissions. Rather, they would be subject to certain further emission controls to be determined through administrative rule-making. Senate passage of counterpart legislation, and whether such legislation would treat landfills in the same manner, is uncertain. Should comprehensive federal climate change legislation be enacted, we expect it to impose costs on our operations, the materiality of which we cannot predict.</w:t>
      </w:r>
    </w:p>
    <w:p>
      <w:pPr>
        <w:spacing w:after="0" w:line="95"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Absent comprehensive federal legislation to control GHG emissions, EPA is moving ahead administratively under its existing Clean Air Act authority. In October 2009, EPA published a Proposed Prevention of Significant Deterioration and Title V Greenhouse Gas Tailoring Rule (“PSD tailoring rule”). The proposed rule would set new thresholds for GHG emissions that define when Clean Air Act permits would be required and would “tailor” these programs to limit which facilities would be required to obtain permits. EPA’s legal authority to “tailor” this rule in the manner it proposed has been challenged. If finalized as proposed, many of our landfills would be subject to the PSD tailoring rule, which could require permit amendments and additional emission controls. In December 2009, EPA finalized its finding that six GHGs endanger public health. While EPA made its finding in the context of regulating air emissions from motor vehicles, other Clean Air Act provisions appear to compel EPA to make comparable findings for stationary sources, such as landfills. We cannot predict the requirements or effective date of stationary source rules that might apply to landfills as a result of this endangerment finding and, accordingly, we cannot assure you that further developments in this area will not have a material effect on our landfill operations or on our consolidated financial condition, results of operations or cash flows.</w:t>
      </w:r>
    </w:p>
    <w:p>
      <w:pPr>
        <w:spacing w:after="0" w:line="202" w:lineRule="exact"/>
        <w:rPr>
          <w:sz w:val="20"/>
          <w:szCs w:val="20"/>
          <w:color w:val="auto"/>
        </w:rPr>
      </w:pPr>
    </w:p>
    <w:p>
      <w:pPr>
        <w:ind w:left="90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potential environmental liabilities that are not covered by our insurance. Changes in insurance markets also may impact our financial results.</w:t>
      </w:r>
    </w:p>
    <w:p>
      <w:pPr>
        <w:spacing w:after="0" w:line="64" w:lineRule="exact"/>
        <w:rPr>
          <w:sz w:val="20"/>
          <w:szCs w:val="20"/>
          <w:color w:val="auto"/>
        </w:rPr>
      </w:pPr>
    </w:p>
    <w:p>
      <w:pPr>
        <w:ind w:left="700" w:right="80" w:firstLine="397"/>
        <w:spacing w:after="0" w:line="261" w:lineRule="auto"/>
        <w:rPr>
          <w:sz w:val="20"/>
          <w:szCs w:val="20"/>
          <w:color w:val="auto"/>
        </w:rPr>
      </w:pPr>
      <w:r>
        <w:rPr>
          <w:rFonts w:ascii="Times New Roman" w:cs="Times New Roman" w:eastAsia="Times New Roman" w:hAnsi="Times New Roman"/>
          <w:sz w:val="18"/>
          <w:szCs w:val="18"/>
          <w:color w:val="auto"/>
        </w:rPr>
        <w:t>We may incur liabilities for the deterioration of the environment as a result of our operations. We maintain high deductibles for our environmental liability insurance coverage. If we were to incur substantial liability for environmental damage, our insurance coverage may be inadequate to cover such liability. This could have a material adverse impact on our consolidated financial condition, results of operations and cash flows.</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Also, due to the variable condition of the insurance market, we may experience future increases in self- insurance levels as a result of increased retention levels and increased premiums. As we assume more risk for self- insurance through higher retention levels, we may experience more variability in our self-insurance reserves and expense.</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Despite our efforts, we may incur additional hazardous substances liability in excess of amounts presently known and accrued.</w:t>
      </w:r>
    </w:p>
    <w:p>
      <w:pPr>
        <w:spacing w:after="0" w:line="135" w:lineRule="exact"/>
        <w:rPr>
          <w:sz w:val="20"/>
          <w:szCs w:val="20"/>
          <w:color w:val="auto"/>
        </w:rPr>
      </w:pPr>
    </w:p>
    <w:p>
      <w:pPr>
        <w:ind w:left="700" w:right="20" w:firstLine="397"/>
        <w:spacing w:after="0" w:line="253" w:lineRule="auto"/>
        <w:rPr>
          <w:sz w:val="20"/>
          <w:szCs w:val="20"/>
          <w:color w:val="auto"/>
        </w:rPr>
      </w:pPr>
      <w:r>
        <w:rPr>
          <w:rFonts w:ascii="Times New Roman" w:cs="Times New Roman" w:eastAsia="Times New Roman" w:hAnsi="Times New Roman"/>
          <w:sz w:val="18"/>
          <w:szCs w:val="18"/>
          <w:color w:val="auto"/>
        </w:rPr>
        <w:t>We are a potentially responsible party at many sites under CERCLA, which provides for the remediation of contaminated facilities and imposes strict, joint and several liability for the cost of remediation on current owners and operators of a facility at which there has been a release or a threatened release of a “hazardous substance,” on parties who were site owners and operators at the time hazardous substances were disposed of, and on persons who arrange for the disposal of such substances at the facility (i.e., generators of the waste and transporters who selected the disposal site). Hundreds of substances are defined as “hazardous” under CERCLA and their presence, even in minute amounts, can result in substantial liability. Notwithstanding our efforts to comply with applicable regulations and to avoid transporting and receiving hazardous substances, we may have additional liability under CERCLA or similar laws in excess of our current reserves because such substances may be present in waste collected by us or disposed of in our landfills, or in waste collected, transported or disposed of in the past by companies we have acquired. Actual costs for these liabilities could be significantly greater than amounts presently accrued for these purposes, which could have a material adverse impact on our consolidated financial position, results of operations and cash flows.</w:t>
      </w:r>
    </w:p>
    <w:p>
      <w:pPr>
        <w:spacing w:after="0" w:line="202" w:lineRule="exact"/>
        <w:rPr>
          <w:sz w:val="20"/>
          <w:szCs w:val="20"/>
          <w:color w:val="auto"/>
        </w:rPr>
      </w:pPr>
    </w:p>
    <w:p>
      <w:pPr>
        <w:ind w:left="90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Currently pending or future litigation or governmental proceedings could result in material adverse consequences, including judgments or settlements.</w:t>
      </w:r>
    </w:p>
    <w:p>
      <w:pPr>
        <w:spacing w:after="0" w:line="64"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We are, and from time to time become, involved in lawsuits, regulatory inquiries, and governmental and other legal proceedings arising out of the ordinary course of our business. Many of these matters raise difficult and complicated factual and legal issues and are subject to uncertainties and complexities. The timing of the final resolutions to lawsuits, regulatory inquiries, and governmental and other legal proceedings is uncertain. Additionally, the possible outcomes or resolutions to these matters could include adverse judgments or settlements, either of which could require substantial payments, adversely affecting our consolidated financial condition, results of operations and cash flows.</w:t>
      </w:r>
    </w:p>
    <w:p>
      <w:pPr>
        <w:spacing w:after="0" w:line="1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growth effectively.</w:t>
      </w:r>
    </w:p>
    <w:p>
      <w:pPr>
        <w:spacing w:after="0" w:line="135" w:lineRule="exact"/>
        <w:rPr>
          <w:sz w:val="20"/>
          <w:szCs w:val="20"/>
          <w:color w:val="auto"/>
        </w:rPr>
      </w:pPr>
    </w:p>
    <w:p>
      <w:pPr>
        <w:ind w:left="700" w:right="180" w:firstLine="397"/>
        <w:spacing w:after="0" w:line="261" w:lineRule="auto"/>
        <w:rPr>
          <w:sz w:val="20"/>
          <w:szCs w:val="20"/>
          <w:color w:val="auto"/>
        </w:rPr>
      </w:pPr>
      <w:r>
        <w:rPr>
          <w:rFonts w:ascii="Times New Roman" w:cs="Times New Roman" w:eastAsia="Times New Roman" w:hAnsi="Times New Roman"/>
          <w:sz w:val="18"/>
          <w:szCs w:val="18"/>
          <w:color w:val="auto"/>
        </w:rPr>
        <w:t>Our growth strategy places significant demands on our financial, operational and management resources. To continue our growth, we may need to add administrative and other personnel, and will need to make additional investments in operations and systems. We cannot assure you that we will be able to find and train qualified personnel, or do so on a timely basis, or expand our operations and systems to the extent, and in the time, required.</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our acquisition growth strategy.</w:t>
      </w:r>
    </w:p>
    <w:p>
      <w:pPr>
        <w:spacing w:after="0" w:line="135" w:lineRule="exact"/>
        <w:rPr>
          <w:sz w:val="20"/>
          <w:szCs w:val="20"/>
          <w:color w:val="auto"/>
        </w:rPr>
      </w:pPr>
    </w:p>
    <w:p>
      <w:pPr>
        <w:ind w:left="700" w:right="140" w:firstLine="397"/>
        <w:spacing w:after="0" w:line="261" w:lineRule="auto"/>
        <w:rPr>
          <w:sz w:val="20"/>
          <w:szCs w:val="20"/>
          <w:color w:val="auto"/>
        </w:rPr>
      </w:pPr>
      <w:r>
        <w:rPr>
          <w:rFonts w:ascii="Times New Roman" w:cs="Times New Roman" w:eastAsia="Times New Roman" w:hAnsi="Times New Roman"/>
          <w:sz w:val="18"/>
          <w:szCs w:val="18"/>
          <w:color w:val="auto"/>
        </w:rPr>
        <w:t>Our ability to execute our growth strategy depends in part on our ability to identify and acquire desirable acquisition candidates as well as our ability to successfully consolidate acquired operations into our business. The consolidation of our operations with those of acquired companies may present significant challenges to our management. In addition, competition among our competitors for acquisition candidates may prevent us from acquiring certain acquisition candidates. As such, we cannot assure you that:</w:t>
      </w:r>
    </w:p>
    <w:p>
      <w:pPr>
        <w:spacing w:after="0" w:line="86" w:lineRule="exact"/>
        <w:rPr>
          <w:sz w:val="20"/>
          <w:szCs w:val="20"/>
          <w:color w:val="auto"/>
        </w:rPr>
      </w:pPr>
    </w:p>
    <w:p>
      <w:pPr>
        <w:ind w:left="1300" w:hanging="20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desirable acquisition candidates exist or will be identified;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acquire any of the candidates identified;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effectively consolidate companies we acquire; or</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will be profitable or accretive to our earnings.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If any of the aforementioned factors force us to alter our growth strategy, our growth prospects could be adversely affected.</w:t>
      </w:r>
    </w:p>
    <w:p>
      <w:pPr>
        <w:spacing w:after="0" w:line="2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Businesses we acquire may have undisclosed liabilities.</w:t>
      </w:r>
    </w:p>
    <w:p>
      <w:pPr>
        <w:spacing w:after="0" w:line="135"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In pursuing our acquisition strategy, our due diligence investigations of the acquisition candidates may fail to discover certain undisclosed liabilities of the acquisition candidates. If we acquire a company having undisclosed liabilities such as environmental, remediation or contractual, as a successor owner we may be responsible for such undisclosed liabilities. We expect to try to minimize our exposure to such liabilities by conducting due diligence, by obtaining indemnification from each of the sellers of the acquired companies, by deferring payment of a portion of the purchase price as security for the indemnification and by acquiring only specified assets. However, we cannot assure you that we will be able to obtain indemnification or that any indemnification obtained will be enforceable, collectible or sufficient in amount, scope or duration to fully offset any undisclosed liabilities arising from our acquisitions.</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Our consolidated financial statements are based on estimates and assumptions that may differ from actual results.</w:t>
      </w:r>
    </w:p>
    <w:p>
      <w:pPr>
        <w:spacing w:after="0" w:line="135"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and necessarily include amounts based on estimates and assumptions made by management. Actual results could differ from these amounts. Significant items requiring management to make subjective or complex judgments about matters that are inherently uncertain include the carrying value of long-lived assets, the depletion and amortization of landfill development costs, accruals for final capping, closure and post-closure costs, valuation allowances for accounts receivable and deferred tax assets, liabilities for potential litigation, claims and assessments, and liabilities for environmental remediation, employee benefit and pension plans, deferred taxes, uncertain tax positions and self- insurance.</w:t>
      </w:r>
    </w:p>
    <w:p>
      <w:pPr>
        <w:spacing w:after="0" w:line="93" w:lineRule="exact"/>
        <w:rPr>
          <w:sz w:val="20"/>
          <w:szCs w:val="20"/>
          <w:color w:val="auto"/>
        </w:rPr>
      </w:pPr>
    </w:p>
    <w:p>
      <w:pPr>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We cannot assure you that the liabilities recorded for landfill and environmental costs will be adequate to cover the requirements of existing environmental regulations, future changes to or interpretations of existing regulations, or the identification of adverse environmental conditions previously unknown to management.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The introduction of new accounting rules, laws or regulations could adversely impact our results of operations.</w:t>
      </w:r>
    </w:p>
    <w:p>
      <w:pPr>
        <w:spacing w:after="0" w:line="135" w:lineRule="exact"/>
        <w:rPr>
          <w:sz w:val="20"/>
          <w:szCs w:val="20"/>
          <w:color w:val="auto"/>
        </w:rPr>
      </w:pPr>
    </w:p>
    <w:p>
      <w:pPr>
        <w:ind w:left="700" w:right="180" w:firstLine="397"/>
        <w:spacing w:after="0" w:line="282" w:lineRule="auto"/>
        <w:rPr>
          <w:sz w:val="20"/>
          <w:szCs w:val="20"/>
          <w:color w:val="auto"/>
        </w:rPr>
      </w:pPr>
      <w:r>
        <w:rPr>
          <w:rFonts w:ascii="Times New Roman" w:cs="Times New Roman" w:eastAsia="Times New Roman" w:hAnsi="Times New Roman"/>
          <w:sz w:val="18"/>
          <w:szCs w:val="18"/>
          <w:color w:val="auto"/>
        </w:rPr>
        <w:t>Complying with new accounting rules, laws or regulations could adversely impact our financial condition, results of operations or cash flows, or cause unanticipated fluctuations in our results of operations in future periods.</w:t>
      </w:r>
    </w:p>
    <w:p>
      <w:pPr>
        <w:spacing w:after="0" w:line="171" w:lineRule="exact"/>
        <w:rPr>
          <w:sz w:val="20"/>
          <w:szCs w:val="20"/>
          <w:color w:val="auto"/>
        </w:rPr>
      </w:pPr>
    </w:p>
    <w:p>
      <w:pPr>
        <w:ind w:left="90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workforce influences, including work stoppages, which could increase our operating costs and disrupt our operations.</w:t>
      </w:r>
    </w:p>
    <w:p>
      <w:pPr>
        <w:spacing w:after="0" w:line="64" w:lineRule="exact"/>
        <w:rPr>
          <w:sz w:val="20"/>
          <w:szCs w:val="20"/>
          <w:color w:val="auto"/>
        </w:rPr>
      </w:pPr>
    </w:p>
    <w:p>
      <w:pPr>
        <w:ind w:left="700" w:right="60" w:firstLine="397"/>
        <w:spacing w:after="0" w:line="258" w:lineRule="auto"/>
        <w:rPr>
          <w:sz w:val="20"/>
          <w:szCs w:val="20"/>
          <w:color w:val="auto"/>
        </w:rPr>
      </w:pPr>
      <w:r>
        <w:rPr>
          <w:rFonts w:ascii="Times New Roman" w:cs="Times New Roman" w:eastAsia="Times New Roman" w:hAnsi="Times New Roman"/>
          <w:sz w:val="18"/>
          <w:szCs w:val="18"/>
          <w:color w:val="auto"/>
        </w:rPr>
        <w:t>As of December 31, 2009, approximately 27% of our workforce was represented by various local labor unions. If our unionized workers were to engage in a strike, work stoppage or other slowdown, we could experience a significant disruption of our operations and an increase in our operating costs, which could have an adverse impact on our consolidated financial condition, results of operations and cash flows. In addition, if a greater percentage of our workforce becomes unionized, our business and financial results could be materially and adversely impacted due to the potential for increased operating costs.</w:t>
      </w:r>
    </w:p>
    <w:p>
      <w:pPr>
        <w:spacing w:after="0" w:line="1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Our obligation to fund multi-employer pension plans to which we contribute may have an adverse impact on us.</w:t>
      </w:r>
    </w:p>
    <w:p>
      <w:pPr>
        <w:spacing w:after="0" w:line="135"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We contribute to at least 25 multi-employer pension plans covering at least 17% of our current employees. We do not administer these plans and generally are not represented on the boards of trustees of these plans. The Pension Protection Act enacted in 2006 (the PPA) requires under-funded pension plans to improve their funding ratios. Based on the information available to us, we believe that some of the multi-employer plans to which we contribute are either “critical” or “endangered” as those terms are defined in the PPA. We cannot determine at this time the amount of additional funding, if any, we may be required to make to these plans and, therefore, have not recorded</w:t>
      </w:r>
    </w:p>
    <w:p>
      <w:pPr>
        <w:spacing w:after="0" w:line="3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5" w:lineRule="auto"/>
        <w:rPr>
          <w:sz w:val="20"/>
          <w:szCs w:val="20"/>
          <w:color w:val="auto"/>
        </w:rPr>
      </w:pPr>
      <w:r>
        <w:rPr>
          <w:rFonts w:ascii="Times New Roman" w:cs="Times New Roman" w:eastAsia="Times New Roman" w:hAnsi="Times New Roman"/>
          <w:sz w:val="18"/>
          <w:szCs w:val="18"/>
          <w:color w:val="auto"/>
        </w:rPr>
        <w:t>any related liabilities. However, plan assessments could have an adverse impact on our results of operations or cash flows for a given period. Furthermore, under current law, upon the termination of a multi-employer pension plan, or in the event of a withdrawal by us (which we consider from time to time) or a mass withdrawal of contributing employers (each, a “Withdrawal Event”), we would be required to make payments to the plan for our proportionate share of the plan’s unfunded vested liabilities. We cannot assure you that there will not be a Withdrawal Event with respect to any of the multi-employer pension plans to which we contribute or that, in the event of such a Withdrawal Event, the amounts we would be required to contribute would not have a material adverse impact on our consolidated financial condition, results of operations and cash flows.</w:t>
      </w:r>
    </w:p>
    <w:p>
      <w:pPr>
        <w:spacing w:after="0" w:line="199" w:lineRule="exact"/>
        <w:rPr>
          <w:sz w:val="20"/>
          <w:szCs w:val="20"/>
          <w:color w:val="auto"/>
        </w:rPr>
      </w:pPr>
    </w:p>
    <w:p>
      <w:pPr>
        <w:ind w:left="90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costs of providing for pension benefits and related funding requirements are subject to changes in pension fund values and fluctuating actuarial assumptions, and may have a material adverse impact on our results of operations and cash flows.</w:t>
      </w:r>
    </w:p>
    <w:p>
      <w:pPr>
        <w:spacing w:after="0" w:line="64"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We sponsor a defined benefit pension plan which is funded with trustee assets invested in a diversified portfolio of debt and equity securities. Our costs for providing such benefits and related funding requirements are subject to changes in the market value of plan assets. Our pension expenses and related funding requirements are also subject to various actuarial calculations and assumptions, which may differ materially from actual results due to changing market and economic conditions, interest rates and other factors. A significant increase in our pension obligations and funding requirements could have a material adverse impact on our consolidated financial condition, results of operations and cash flows.</w:t>
      </w:r>
    </w:p>
    <w:p>
      <w:pPr>
        <w:spacing w:after="0" w:line="197" w:lineRule="exact"/>
        <w:rPr>
          <w:sz w:val="20"/>
          <w:szCs w:val="20"/>
          <w:color w:val="auto"/>
        </w:rPr>
      </w:pPr>
    </w:p>
    <w:p>
      <w:pPr>
        <w:ind w:left="90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 material adverse effect on our consolidated financial condition, results of operations, cash flows and growth prospects.</w:t>
      </w:r>
    </w:p>
    <w:p>
      <w:pPr>
        <w:spacing w:after="0" w:line="64"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Our future success depends on the continued contributions of several key employees and officers. The loss of the services of key employees and officers, whether such loss is through resignation or other causes, or the inability to attract additional qualified personnel, could have a material adverse effect on our financial condition, results of operations, cash flows and growth prospects.</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5" w:right="11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135" w:lineRule="exact"/>
        <w:rPr>
          <w:sz w:val="20"/>
          <w:szCs w:val="20"/>
          <w:color w:val="auto"/>
        </w:rPr>
      </w:pPr>
    </w:p>
    <w:p>
      <w:pPr>
        <w:ind w:left="700" w:right="60" w:firstLine="397"/>
        <w:spacing w:after="0" w:line="255" w:lineRule="auto"/>
        <w:rPr>
          <w:sz w:val="20"/>
          <w:szCs w:val="20"/>
          <w:color w:val="auto"/>
        </w:rPr>
      </w:pPr>
      <w:r>
        <w:rPr>
          <w:rFonts w:ascii="Times New Roman" w:cs="Times New Roman" w:eastAsia="Times New Roman" w:hAnsi="Times New Roman"/>
          <w:sz w:val="18"/>
          <w:szCs w:val="18"/>
          <w:color w:val="auto"/>
        </w:rPr>
        <w:t>The following table shows our ratio of earnings to fixed charges for the three months ended March 31, 2010 and for each of the years ended December 31, 2009, 2008, 2007, 2006 and 2005. It should be noted that on December 5, 2008 we acquired all the issued and outstanding shares of Allied in a stock-for-stock transaction for an aggregate purchase price of $12.1 billion, which included approximately $5.4 billion of debt, at fair value. For the purpose of computing these ratios, the numerator, earnings, consists of income from continuing operations before provision for income taxes plus interest expense and an estimate of interest within rent expense divided by the denominator, fixed charges, which consists of interest expense including amounts capitalized and an estimate of interest within rent expense.</w:t>
      </w:r>
    </w:p>
    <w:p>
      <w:pPr>
        <w:spacing w:after="0" w:line="8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10"/>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10"/>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720" w:type="dxa"/>
            <w:vAlign w:val="bottom"/>
            <w:tcBorders>
              <w:bottom w:val="single" w:sz="8" w:color="auto"/>
            </w:tcBorders>
            <w:gridSpan w:val="2"/>
          </w:tcPr>
          <w:p>
            <w:pPr>
              <w:jc w:val="center"/>
              <w:ind w:left="32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4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720" w:type="dxa"/>
            <w:vAlign w:val="bottom"/>
            <w:gridSpan w:val="2"/>
          </w:tcPr>
          <w:p>
            <w:pPr>
              <w:jc w:val="center"/>
              <w:ind w:left="324"/>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83</w:t>
            </w:r>
          </w:p>
        </w:tc>
        <w:tc>
          <w:tcPr>
            <w:tcW w:w="400" w:type="dxa"/>
            <w:vAlign w:val="bottom"/>
          </w:tcPr>
          <w:p>
            <w:pPr>
              <w:spacing w:after="0"/>
              <w:rPr>
                <w:sz w:val="22"/>
                <w:szCs w:val="22"/>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39</w:t>
            </w:r>
          </w:p>
        </w:tc>
        <w:tc>
          <w:tcPr>
            <w:tcW w:w="10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14</w:t>
            </w:r>
          </w:p>
        </w:tc>
        <w:tc>
          <w:tcPr>
            <w:tcW w:w="100" w:type="dxa"/>
            <w:vAlign w:val="bottom"/>
          </w:tcPr>
          <w:p>
            <w:pPr>
              <w:spacing w:after="0"/>
              <w:rPr>
                <w:sz w:val="22"/>
                <w:szCs w:val="22"/>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63</w:t>
            </w:r>
          </w:p>
        </w:tc>
        <w:tc>
          <w:tcPr>
            <w:tcW w:w="10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35</w:t>
            </w:r>
          </w:p>
        </w:tc>
        <w:tc>
          <w:tcPr>
            <w:tcW w:w="100" w:type="dxa"/>
            <w:vAlign w:val="bottom"/>
          </w:tcPr>
          <w:p>
            <w:pPr>
              <w:spacing w:after="0"/>
              <w:rPr>
                <w:sz w:val="22"/>
                <w:szCs w:val="22"/>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72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35" w:lineRule="exact"/>
        <w:rPr>
          <w:sz w:val="20"/>
          <w:szCs w:val="20"/>
          <w:color w:val="auto"/>
        </w:rPr>
      </w:pPr>
    </w:p>
    <w:p>
      <w:pPr>
        <w:ind w:left="700" w:right="160" w:firstLine="397"/>
        <w:spacing w:after="0" w:line="256" w:lineRule="auto"/>
        <w:rPr>
          <w:sz w:val="20"/>
          <w:szCs w:val="20"/>
          <w:color w:val="auto"/>
        </w:rPr>
      </w:pPr>
      <w:r>
        <w:rPr>
          <w:rFonts w:ascii="Times New Roman" w:cs="Times New Roman" w:eastAsia="Times New Roman" w:hAnsi="Times New Roman"/>
          <w:sz w:val="18"/>
          <w:szCs w:val="18"/>
          <w:color w:val="auto"/>
        </w:rPr>
        <w:t>The exchange offers are intended to satisfy our obligations under the registration rights agreements for the unregistered notes. We will not receive any cash proceeds from the issuance of the exchange notes pursuant to the exchange offers. In consideration for issuing the exchange notes as contemplated in this prospectus, we will receive a like principal amount of the unregistered notes, the terms of which are identical in all material respects to the exchange notes, except as otherwise noted in this prospectus. We will retire and cancel all of the unregistered notes tendered in the exchange offers. Accordingly, the issuance of the exchange notes will not result in any change in our indebtedness or capitalization.</w:t>
      </w:r>
    </w:p>
    <w:p>
      <w:pPr>
        <w:spacing w:after="0" w:line="3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THE EXCHANGE OFFERS</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Purpose and Effect of Exchange Offers; Registration Rights</w:t>
      </w:r>
    </w:p>
    <w:p>
      <w:pPr>
        <w:spacing w:after="0" w:line="135"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We and the guarantors entered into a registration rights agreement with the initial purchasers of each series of unregistered notes on September 8, 2009 (in the case of the 2019 notes), November 25, 2009 (in the case of the 2021 notes) and March 4, 2010 (in the case of the 2020 notes and 2040 notes), pursuant to which we and the guarantors agreed, to the extent not prohibited by any applicable law or applicable interpretations of the staff of the SEC, for the benefit of the holders of the unregistered notes, that on or before September 8, 2010 (in the case of the 2019 notes), or November 25, 2010 (in the case of the 2020 notes, 2021 notes and 2040 notes), we would, at our own expense, use our reasonable best efforts to:</w:t>
      </w:r>
    </w:p>
    <w:p>
      <w:pPr>
        <w:spacing w:after="0" w:line="93" w:lineRule="exact"/>
        <w:rPr>
          <w:sz w:val="20"/>
          <w:szCs w:val="20"/>
          <w:color w:val="auto"/>
        </w:rPr>
      </w:pPr>
    </w:p>
    <w:p>
      <w:pPr>
        <w:jc w:val="both"/>
        <w:ind w:left="1300" w:right="20" w:hanging="202"/>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registration statement (which we refer to as an exchange offer registration statement) with respect to a registered exchange offer (which we refer to as an exchange offer) to exchange the unregistered notes for new notes with terms substantially identical in all material respects with the unregistered notes (except that the exchange notes will not contain transfer restrictions);</w:t>
      </w:r>
    </w:p>
    <w:p>
      <w:pPr>
        <w:spacing w:after="0" w:line="68"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registration statement to be declared effective by the SEC under the Securities Act;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the exchange offer.</w:t>
      </w:r>
    </w:p>
    <w:p>
      <w:pPr>
        <w:spacing w:after="0" w:line="131" w:lineRule="exact"/>
        <w:rPr>
          <w:sz w:val="20"/>
          <w:szCs w:val="20"/>
          <w:color w:val="auto"/>
        </w:rPr>
      </w:pPr>
    </w:p>
    <w:p>
      <w:pPr>
        <w:ind w:left="700" w:right="220" w:firstLine="397"/>
        <w:spacing w:after="0" w:line="261" w:lineRule="auto"/>
        <w:rPr>
          <w:sz w:val="20"/>
          <w:szCs w:val="20"/>
          <w:color w:val="auto"/>
        </w:rPr>
      </w:pPr>
      <w:r>
        <w:rPr>
          <w:rFonts w:ascii="Times New Roman" w:cs="Times New Roman" w:eastAsia="Times New Roman" w:hAnsi="Times New Roman"/>
          <w:sz w:val="18"/>
          <w:szCs w:val="18"/>
          <w:color w:val="auto"/>
        </w:rPr>
        <w:t>In addition, we agreed to keep each exchange offer open for at least 20 business days after the date that we deliver notice of the exchange offer to the holders of the unregistered notes and to use our reasonable best efforts to cause each exchange offer to be consummated not later than 60 days after the date on which the exchange offer registration statement becomes effective. The exchange notes are being offered under this prospectus to satisfy our obligations under the registration rights agreements.</w:t>
      </w:r>
    </w:p>
    <w:p>
      <w:pPr>
        <w:spacing w:after="0" w:line="86" w:lineRule="exact"/>
        <w:rPr>
          <w:sz w:val="20"/>
          <w:szCs w:val="20"/>
          <w:color w:val="auto"/>
        </w:rPr>
      </w:pPr>
    </w:p>
    <w:p>
      <w:pPr>
        <w:jc w:val="both"/>
        <w:ind w:left="700" w:right="180" w:firstLine="397"/>
        <w:spacing w:after="0" w:line="266" w:lineRule="auto"/>
        <w:rPr>
          <w:sz w:val="20"/>
          <w:szCs w:val="20"/>
          <w:color w:val="auto"/>
        </w:rPr>
      </w:pPr>
      <w:r>
        <w:rPr>
          <w:rFonts w:ascii="Times New Roman" w:cs="Times New Roman" w:eastAsia="Times New Roman" w:hAnsi="Times New Roman"/>
          <w:sz w:val="18"/>
          <w:szCs w:val="18"/>
          <w:color w:val="auto"/>
        </w:rPr>
        <w:t>If you participate in the exchange offers, you will, with limited exceptions, receive exchange notes that are freely tradable and not subject to restrictions on transfer. You should read the information in this prospectus under the heading “— Resale of Exchange Notes” for more information relating to your ability to transfer exchange notes.</w:t>
      </w:r>
    </w:p>
    <w:p>
      <w:pPr>
        <w:spacing w:after="0" w:line="82" w:lineRule="exact"/>
        <w:rPr>
          <w:sz w:val="20"/>
          <w:szCs w:val="20"/>
          <w:color w:val="auto"/>
        </w:rPr>
      </w:pPr>
    </w:p>
    <w:p>
      <w:pPr>
        <w:jc w:val="both"/>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No exchange offer is being made to, nor will we accept tenders for exchange from, holders of unregistered notes in any jurisdiction in which the exchange offer or the acceptance of the exchange offer would not be in compliance with the securities laws or blue sky laws of such jurisdiction.</w:t>
      </w:r>
    </w:p>
    <w:p>
      <w:pPr>
        <w:spacing w:after="0" w:line="82"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If you are eligible to participate in an exchange offer and you do not tender your unregistered notes as described in this prospectus, you will not have any further registration rights. In that case, your unregistered notes may continue to be subject to restrictions on transfer under the Securities Act.</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Shelf Registration</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 the registration rights agreements, we agreed that in the event that:</w:t>
      </w:r>
    </w:p>
    <w:p>
      <w:pPr>
        <w:spacing w:after="0" w:line="131" w:lineRule="exact"/>
        <w:rPr>
          <w:sz w:val="20"/>
          <w:szCs w:val="20"/>
          <w:color w:val="auto"/>
        </w:rPr>
      </w:pPr>
    </w:p>
    <w:p>
      <w:pPr>
        <w:ind w:left="1300" w:right="320" w:hanging="202"/>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law or the applicable interpretations of the staff of the SEC do not permit us to effect the applicable exchange offer;</w:t>
      </w:r>
    </w:p>
    <w:p>
      <w:pPr>
        <w:spacing w:after="0" w:line="53" w:lineRule="exact"/>
        <w:rPr>
          <w:rFonts w:ascii="Times New Roman" w:cs="Times New Roman" w:eastAsia="Times New Roman" w:hAnsi="Times New Roman"/>
          <w:sz w:val="18"/>
          <w:szCs w:val="18"/>
          <w:color w:val="auto"/>
        </w:rPr>
      </w:pPr>
    </w:p>
    <w:p>
      <w:pPr>
        <w:ind w:left="1300" w:right="180" w:hanging="202"/>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the applicable exchange offer is not consummated on or before September 8, 2010 (in the case of the 2019 notes), or November 25, 2010 (in the case of the 2020 notes, 2021 notes and 2040 notes);</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circumstances, the initial purchasers shall so request; or</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notes (other than the initial purchasers) is not eligible to participate in the exchange offer,</w:t>
      </w:r>
    </w:p>
    <w:p>
      <w:pPr>
        <w:spacing w:after="0" w:line="131" w:lineRule="exact"/>
        <w:rPr>
          <w:sz w:val="20"/>
          <w:szCs w:val="20"/>
          <w:color w:val="auto"/>
        </w:rPr>
      </w:pPr>
    </w:p>
    <w:p>
      <w:pPr>
        <w:ind w:left="700" w:right="40"/>
        <w:spacing w:after="0" w:line="256" w:lineRule="auto"/>
        <w:rPr>
          <w:sz w:val="20"/>
          <w:szCs w:val="20"/>
          <w:color w:val="auto"/>
        </w:rPr>
      </w:pPr>
      <w:r>
        <w:rPr>
          <w:rFonts w:ascii="Times New Roman" w:cs="Times New Roman" w:eastAsia="Times New Roman" w:hAnsi="Times New Roman"/>
          <w:sz w:val="18"/>
          <w:szCs w:val="18"/>
          <w:color w:val="auto"/>
        </w:rPr>
        <w:t>then we and the guarantors will, at our expense, (i) within 60 days after such filing obligation arises (but in no event earlier than July 5, 2010 (in the case of the 2019 notes) or September 21, 2010 (in the case of the 2020 notes, 2021 notes and 2040 notes)), file with the SEC a shelf registration statement covering resales of the unregistered notes, (ii) use our reasonable best efforts to cause the shelf registration statement to be declared effective within 120 days after such filing obligation arises (but in no event earlier than September 8, 2010 (in the case of the 2019 notes), or November 25, 2010 (in the case of the 2020 notes, 2021 notes and 2040 notes)) and (iii) use our reasonable best</w:t>
      </w:r>
    </w:p>
    <w:p>
      <w:pPr>
        <w:spacing w:after="0" w:line="3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66" w:lineRule="auto"/>
        <w:rPr>
          <w:sz w:val="20"/>
          <w:szCs w:val="20"/>
          <w:color w:val="auto"/>
        </w:rPr>
      </w:pPr>
      <w:r>
        <w:rPr>
          <w:rFonts w:ascii="Times New Roman" w:cs="Times New Roman" w:eastAsia="Times New Roman" w:hAnsi="Times New Roman"/>
          <w:sz w:val="18"/>
          <w:szCs w:val="18"/>
          <w:color w:val="auto"/>
        </w:rPr>
        <w:t>efforts to keep the shelf registration statement effective for a period of at least one year following the effective date of such shelf registration statement (or shorter period that will terminate when all the notes covered by such shelf registration statement have been sold pursuant to such shelf registration statement).</w:t>
      </w:r>
    </w:p>
    <w:p>
      <w:pPr>
        <w:spacing w:after="0" w:line="82" w:lineRule="exact"/>
        <w:rPr>
          <w:sz w:val="20"/>
          <w:szCs w:val="20"/>
          <w:color w:val="auto"/>
        </w:rPr>
      </w:pPr>
    </w:p>
    <w:p>
      <w:pPr>
        <w:ind w:left="700" w:right="60" w:firstLine="397"/>
        <w:spacing w:after="0" w:line="253" w:lineRule="auto"/>
        <w:rPr>
          <w:sz w:val="20"/>
          <w:szCs w:val="20"/>
          <w:color w:val="auto"/>
        </w:rPr>
      </w:pPr>
      <w:r>
        <w:rPr>
          <w:rFonts w:ascii="Times New Roman" w:cs="Times New Roman" w:eastAsia="Times New Roman" w:hAnsi="Times New Roman"/>
          <w:sz w:val="18"/>
          <w:szCs w:val="18"/>
          <w:color w:val="auto"/>
        </w:rPr>
        <w:t>We will, in the event of the filing of the shelf registration statement, provide to each holder of the unregistered notes copies of the prospectus which is a part of the shelf registration statement, notify each such holder when the shelf registration statement has become effective and take certain other actions as are required to permit unrestricted resales of the unregistered notes. A holder of unregistered notes that sells its unregistered notes pursuant to the shelf registration statement generally (a) will be required to be named as a selling security holder in the related prospectus and to deliver a prospectus to purchasers, (b) will be subject to certain of the civil liability provisions under the Securities Act in connection with such sales and (c) will be bound by the provisions of the registration rights agreement that are applicable to such a holder (including certain indemnification rights and obligations thereunder). In addition, each holder of the unregistered notes will be required to deliver information to be used in connection with the shelf registration statement and to provide comments on the shelf registration statement within the time periods set forth in the registration rights agreement to have their unregistered notes included in the shelf registration statement and to benefit from the provisions regarding additional interest described below.</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Additional Interest</w:t>
      </w:r>
    </w:p>
    <w:p>
      <w:pPr>
        <w:spacing w:after="0" w:line="135" w:lineRule="exact"/>
        <w:rPr>
          <w:sz w:val="20"/>
          <w:szCs w:val="20"/>
          <w:color w:val="auto"/>
        </w:rPr>
      </w:pPr>
    </w:p>
    <w:p>
      <w:pPr>
        <w:ind w:left="700" w:right="220" w:firstLine="397"/>
        <w:spacing w:after="0" w:line="272" w:lineRule="auto"/>
        <w:rPr>
          <w:sz w:val="20"/>
          <w:szCs w:val="20"/>
          <w:color w:val="auto"/>
        </w:rPr>
      </w:pPr>
      <w:r>
        <w:rPr>
          <w:rFonts w:ascii="Times New Roman" w:cs="Times New Roman" w:eastAsia="Times New Roman" w:hAnsi="Times New Roman"/>
          <w:sz w:val="17"/>
          <w:szCs w:val="17"/>
          <w:color w:val="auto"/>
        </w:rPr>
        <w:t>If we have not exchanged the exchange notes for all unregistered notes validly tendered in accordance with the terms of an exchange offer on or before September 8, 2010 (in the case of the 2019 notes), or November 25, 2010 (in the case of the 2020 notes, 2021 notes and 2040 notes), or, if applicable, a shelf registration statement covering resales of the unregistered notes has not been filed</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within 60 days of the date such obligation arises (but in no event earlier than July 5, 2010 (in the case of the 2019 notes) or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September 21, 2010 (in the case of the 2020 notes, 2021 notes and 2040 notes)), or the shelf registration statement has not been declared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effective within 120 days of the date such obligation arises (but in no event earlier than September 8, 2010 (in the case of the 2019</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notes), or November 25, 2010 (in the case of the 2020 notes, 2021 notes and 2040 notes)), or such shelf registration statement ceases to</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be effective at any time during the shelf registration period, then, upon the occurrence of any of such events, additional interest shall</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 on the principal amount of the unregistered notes at a rate of 0.25% per annum for the first 90-day period immediately following</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such date and by an additional 0.25% per annum with respect to each subsequent 90-day period, up to a maximum additional rate of 1.0%</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per annum thereafter, until the exchange offer is completed, the shelf registration statement is filed or declared effective or, if such shelf</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registration statement ceased to be effective, again becomes effective.</w:t>
      </w:r>
    </w:p>
    <w:p>
      <w:pPr>
        <w:spacing w:after="0" w:line="112" w:lineRule="exact"/>
        <w:rPr>
          <w:sz w:val="20"/>
          <w:szCs w:val="20"/>
          <w:color w:val="auto"/>
        </w:rPr>
      </w:pPr>
    </w:p>
    <w:p>
      <w:pPr>
        <w:ind w:left="700" w:right="200" w:firstLine="397"/>
        <w:spacing w:after="0" w:line="258" w:lineRule="auto"/>
        <w:rPr>
          <w:sz w:val="20"/>
          <w:szCs w:val="20"/>
          <w:color w:val="auto"/>
        </w:rPr>
      </w:pPr>
      <w:r>
        <w:rPr>
          <w:rFonts w:ascii="Times New Roman" w:cs="Times New Roman" w:eastAsia="Times New Roman" w:hAnsi="Times New Roman"/>
          <w:sz w:val="18"/>
          <w:szCs w:val="18"/>
          <w:color w:val="auto"/>
        </w:rPr>
        <w:t>The exchange offers are intended to satisfy our exchange offer obligations under the registration rights agreements. The exchange notes will not have rights to additional interest as set forth above, upon the consummation of the applicable exchange offer. The above summary of the registration rights agreements is not complete and is subject to, and qualified by reference to, all the provisions of the applicable registration rights agreement. A copy of each registration rights agreement is an exhibit to the registration statement that includes this prospectus.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Terms of the Exchange Offers</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Upon the terms and subject to the conditions set forth in this prospectus and in the accompanying letter of transmittal, we are</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offering to exchange $1,000 principal amount of exchange notes for each $1,000 principal amount of the applicable series of unregistered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notes. You may tender some or all of your unregistered notes only in minimum denominations of $2,000 and larger integral multiples of</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$1,000. As of the date of this prospectus, $850,000,000 aggregate principal amount of the unregistered 5.00% notes due 2020,</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$600,000,000 aggregate principal amount of the unregistered 5.25% notes due 2021, $650,000,000 aggregate principal amount of the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unregistered 5.50% notes due 2019 and $650,000,000 aggregate principal amount of the unregistered 6.20% notes due 2040 notes are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outstanding.</w:t>
      </w:r>
    </w:p>
    <w:p>
      <w:pPr>
        <w:spacing w:after="0" w:line="112" w:lineRule="exact"/>
        <w:rPr>
          <w:sz w:val="20"/>
          <w:szCs w:val="20"/>
          <w:color w:val="auto"/>
        </w:rPr>
      </w:pPr>
    </w:p>
    <w:p>
      <w:pPr>
        <w:jc w:val="both"/>
        <w:ind w:left="700" w:right="220" w:firstLine="397"/>
        <w:spacing w:after="0" w:line="261" w:lineRule="auto"/>
        <w:rPr>
          <w:sz w:val="20"/>
          <w:szCs w:val="20"/>
          <w:color w:val="auto"/>
        </w:rPr>
      </w:pPr>
      <w:r>
        <w:rPr>
          <w:rFonts w:ascii="Times New Roman" w:cs="Times New Roman" w:eastAsia="Times New Roman" w:hAnsi="Times New Roman"/>
          <w:sz w:val="18"/>
          <w:szCs w:val="18"/>
          <w:color w:val="auto"/>
        </w:rPr>
        <w:t>The terms of each series of the exchange notes to be issued are substantially similar to the applicable series of unregistered notes, except that the offering of the exchange notes will have been registered under the Securities Act and, therefore, the certificates for the exchange notes will not bear legends restricting their transfer. In addition, the exchange notes will not have registration rights and will not have rights to additional interest. Each series of</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82" w:lineRule="auto"/>
        <w:rPr>
          <w:sz w:val="20"/>
          <w:szCs w:val="20"/>
          <w:color w:val="auto"/>
        </w:rPr>
      </w:pPr>
      <w:r>
        <w:rPr>
          <w:rFonts w:ascii="Times New Roman" w:cs="Times New Roman" w:eastAsia="Times New Roman" w:hAnsi="Times New Roman"/>
          <w:sz w:val="18"/>
          <w:szCs w:val="18"/>
          <w:color w:val="auto"/>
        </w:rPr>
        <w:t>exchange notes will be issued under and be entitled to the benefits of the applicable indenture pursuant to which the applicable series of unregistered notes were issued.</w:t>
      </w:r>
    </w:p>
    <w:p>
      <w:pPr>
        <w:spacing w:after="0" w:line="67" w:lineRule="exact"/>
        <w:rPr>
          <w:sz w:val="20"/>
          <w:szCs w:val="20"/>
          <w:color w:val="auto"/>
        </w:rPr>
      </w:pPr>
    </w:p>
    <w:p>
      <w:pPr>
        <w:jc w:val="both"/>
        <w:ind w:left="700" w:right="300" w:firstLine="397"/>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unregistered notes, we arranged for the unregistered notes to be issued and transferable in book-entry form through the facilities of DTC. The exchange notes will also be issuable and transferable in book-entry form through DTC.</w:t>
      </w:r>
    </w:p>
    <w:p>
      <w:pPr>
        <w:spacing w:after="0" w:line="82" w:lineRule="exact"/>
        <w:rPr>
          <w:sz w:val="20"/>
          <w:szCs w:val="20"/>
          <w:color w:val="auto"/>
        </w:rPr>
      </w:pPr>
    </w:p>
    <w:p>
      <w:pPr>
        <w:ind w:left="700" w:right="60" w:firstLine="397"/>
        <w:spacing w:after="0" w:line="258" w:lineRule="auto"/>
        <w:rPr>
          <w:sz w:val="20"/>
          <w:szCs w:val="20"/>
          <w:color w:val="auto"/>
        </w:rPr>
      </w:pPr>
      <w:r>
        <w:rPr>
          <w:rFonts w:ascii="Times New Roman" w:cs="Times New Roman" w:eastAsia="Times New Roman" w:hAnsi="Times New Roman"/>
          <w:sz w:val="18"/>
          <w:szCs w:val="18"/>
          <w:color w:val="auto"/>
        </w:rPr>
        <w:t>There will be no fixed record date for determining the eligible holders of the unregistered notes that are entitled to participate in the exchange offers. We will be deemed to have accepted for exchange validly tendered unregistered notes when and if we have given oral (promptly confirmed in writing) or written notice of acceptance to the applicable exchange agent. The applicable exchange agent will act as agent for the tendering holders of unregistered notes for the purpose of receiving exchange notes from us and delivering them to such holders.</w:t>
      </w:r>
    </w:p>
    <w:p>
      <w:pPr>
        <w:spacing w:after="0" w:line="89" w:lineRule="exact"/>
        <w:rPr>
          <w:sz w:val="20"/>
          <w:szCs w:val="20"/>
          <w:color w:val="auto"/>
        </w:rPr>
      </w:pPr>
    </w:p>
    <w:p>
      <w:pPr>
        <w:jc w:val="both"/>
        <w:ind w:left="700" w:right="380" w:firstLine="397"/>
        <w:spacing w:after="0" w:line="266" w:lineRule="auto"/>
        <w:rPr>
          <w:sz w:val="20"/>
          <w:szCs w:val="20"/>
          <w:color w:val="auto"/>
        </w:rPr>
      </w:pPr>
      <w:r>
        <w:rPr>
          <w:rFonts w:ascii="Times New Roman" w:cs="Times New Roman" w:eastAsia="Times New Roman" w:hAnsi="Times New Roman"/>
          <w:sz w:val="18"/>
          <w:szCs w:val="18"/>
          <w:color w:val="auto"/>
        </w:rPr>
        <w:t>If any tendered unregistered notes are not accepted for exchange because of an invalid tender or the occurrence of certain other events described herein, certificates for any such unaccepted unregistered notes will be returned, without expenses, to the tendering holder thereof promptly after the expiration of the applicable exchange offer.</w:t>
      </w:r>
    </w:p>
    <w:p>
      <w:pPr>
        <w:spacing w:after="0" w:line="82"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Holders of unregistered notes who tender in an exchange offer will not be required to pay brokerage commissions or fees or, subject to the instructions in the letter of transmittal, transfer taxes with respect to the exchange of unregistered notes for exchange notes pursuant to an exchange offer. We will pay all charges and expenses, other than certain applicable taxes, in connection with the exchange offers. It is important that you read the section “Fees and Expenses” below for more details regarding fees and expenses incurred in the exchange offers.</w:t>
      </w:r>
    </w:p>
    <w:p>
      <w:pPr>
        <w:spacing w:after="0" w:line="89"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color w:val="auto"/>
        </w:rPr>
        <w:t>Any unregistered notes which holders do not tender or which we do not accept in the exchange offers will remain outstanding and continue to accrue interest and may be subject to restrictions on transfer under the Securities Act. We will not have any obligation to register the offer or sale of such unregistered notes under the Securities Act. Holders wishing to transfer unregistered notes would have to rely on exemptions from the registration requirements of the Securities Act.</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Conditions of the Exchange Offers</w:t>
      </w:r>
    </w:p>
    <w:p>
      <w:pPr>
        <w:spacing w:after="0" w:line="135" w:lineRule="exact"/>
        <w:rPr>
          <w:sz w:val="20"/>
          <w:szCs w:val="20"/>
          <w:color w:val="auto"/>
        </w:rPr>
      </w:pPr>
    </w:p>
    <w:p>
      <w:pPr>
        <w:jc w:val="both"/>
        <w:ind w:left="700" w:right="40" w:firstLine="397"/>
        <w:spacing w:after="0" w:line="266" w:lineRule="auto"/>
        <w:rPr>
          <w:sz w:val="20"/>
          <w:szCs w:val="20"/>
          <w:color w:val="auto"/>
        </w:rPr>
      </w:pPr>
      <w:r>
        <w:rPr>
          <w:rFonts w:ascii="Times New Roman" w:cs="Times New Roman" w:eastAsia="Times New Roman" w:hAnsi="Times New Roman"/>
          <w:sz w:val="18"/>
          <w:szCs w:val="18"/>
          <w:color w:val="auto"/>
        </w:rPr>
        <w:t>You must tender your unregistered notes in accordance with the requirements of this prospectus and the letter of transmittal in order to participate in the exchange offers. Notwithstanding any other provision of any exchange offer, or any extension of any exchange offer, we will not be required to accept for exchange any unregistered notes, and may amend or terminate any exchange offer if:</w:t>
      </w:r>
    </w:p>
    <w:p>
      <w:pPr>
        <w:spacing w:after="0" w:line="82" w:lineRule="exact"/>
        <w:rPr>
          <w:sz w:val="20"/>
          <w:szCs w:val="20"/>
          <w:color w:val="auto"/>
        </w:rPr>
      </w:pPr>
    </w:p>
    <w:p>
      <w:pPr>
        <w:ind w:left="1300" w:right="240" w:hanging="202"/>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exchange offer, or the making of any exchange by a holder of unregistered notes, violates applicable law or any applicable interpretation of the staff of the SEC;</w:t>
      </w:r>
    </w:p>
    <w:p>
      <w:pPr>
        <w:spacing w:after="0" w:line="53" w:lineRule="exact"/>
        <w:rPr>
          <w:rFonts w:ascii="Times New Roman" w:cs="Times New Roman" w:eastAsia="Times New Roman" w:hAnsi="Times New Roman"/>
          <w:sz w:val="18"/>
          <w:szCs w:val="18"/>
          <w:color w:val="auto"/>
        </w:rPr>
      </w:pPr>
    </w:p>
    <w:p>
      <w:pPr>
        <w:ind w:left="1300" w:right="400" w:hanging="202"/>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shall have been instituted or threatened with respect to the applicable exchange offer which, in our reasonable judgment, would impair our ability to proceed with the exchange offer; and</w:t>
      </w:r>
    </w:p>
    <w:p>
      <w:pPr>
        <w:spacing w:after="0" w:line="53" w:lineRule="exact"/>
        <w:rPr>
          <w:rFonts w:ascii="Times New Roman" w:cs="Times New Roman" w:eastAsia="Times New Roman" w:hAnsi="Times New Roman"/>
          <w:sz w:val="18"/>
          <w:szCs w:val="18"/>
          <w:color w:val="auto"/>
        </w:rPr>
      </w:pPr>
    </w:p>
    <w:p>
      <w:pPr>
        <w:ind w:left="1300" w:right="240" w:hanging="202"/>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rule or regulation or applicable interpretations of the staff of the SEC have been issued or promulgated, which, in our good faith determination, does not permit us to effect the applicable exchange offer.</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Expiration Date; Extensions; Amendment; Termination</w:t>
      </w:r>
    </w:p>
    <w:p>
      <w:pPr>
        <w:spacing w:after="0" w:line="135"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The exchange offers will expire at 5:00 p.m., New York City time, on August 2, 2010, unless we, in our sole discretion, extend any of them. In the case of any extension, we will notify the applicable exchange agent orally (promptly confirmed in writing) or in writing of any extension. We will also notify the registered holders of the applicable unregistered notes of the extension no later than 9:00 a.m., New York City time, on the business day after the previously scheduled expiration of the exchange offer.</w:t>
      </w:r>
    </w:p>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To the extent we are legally permitted to do so, we expressly reserve the right, in our sole discretion, to:</w:t>
      </w:r>
    </w:p>
    <w:p>
      <w:pPr>
        <w:spacing w:after="0" w:line="131" w:lineRule="exact"/>
        <w:rPr>
          <w:sz w:val="20"/>
          <w:szCs w:val="20"/>
          <w:color w:val="auto"/>
        </w:rPr>
      </w:pPr>
    </w:p>
    <w:p>
      <w:pPr>
        <w:ind w:left="1300" w:hanging="20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accepting any unregistered senior note due to an extension of the exchange offer;</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condition of any exchange offer; and</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amend the terms of any exchange offer in any manner.</w:t>
      </w:r>
    </w:p>
    <w:p>
      <w:pPr>
        <w:spacing w:after="0" w:line="131" w:lineRule="exact"/>
        <w:rPr>
          <w:sz w:val="20"/>
          <w:szCs w:val="20"/>
          <w:color w:val="auto"/>
        </w:rPr>
      </w:pPr>
    </w:p>
    <w:p>
      <w:pPr>
        <w:ind w:left="700" w:right="340" w:firstLine="397"/>
        <w:spacing w:after="0" w:line="266" w:lineRule="auto"/>
        <w:rPr>
          <w:sz w:val="20"/>
          <w:szCs w:val="20"/>
          <w:color w:val="auto"/>
        </w:rPr>
      </w:pPr>
      <w:r>
        <w:rPr>
          <w:rFonts w:ascii="Times New Roman" w:cs="Times New Roman" w:eastAsia="Times New Roman" w:hAnsi="Times New Roman"/>
          <w:sz w:val="18"/>
          <w:szCs w:val="18"/>
          <w:color w:val="auto"/>
        </w:rPr>
        <w:t>We will give oral or written notice of any non-acceptance or amendment to the registered holders of the applicable unregistered notes as promptly as practicable. If we consider an amendment to an exchange offer to be material, we will promptly inform the registered holders of the applicable unregistered notes of such amendment in a reasonable manner.</w:t>
      </w:r>
    </w:p>
    <w:p>
      <w:pPr>
        <w:spacing w:after="0" w:line="82" w:lineRule="exact"/>
        <w:rPr>
          <w:sz w:val="20"/>
          <w:szCs w:val="20"/>
          <w:color w:val="auto"/>
        </w:rPr>
      </w:pPr>
    </w:p>
    <w:p>
      <w:pPr>
        <w:ind w:left="700" w:firstLine="397"/>
        <w:spacing w:after="0" w:line="282" w:lineRule="auto"/>
        <w:rPr>
          <w:sz w:val="20"/>
          <w:szCs w:val="20"/>
          <w:color w:val="auto"/>
        </w:rPr>
      </w:pPr>
      <w:r>
        <w:rPr>
          <w:rFonts w:ascii="Times New Roman" w:cs="Times New Roman" w:eastAsia="Times New Roman" w:hAnsi="Times New Roman"/>
          <w:sz w:val="18"/>
          <w:szCs w:val="18"/>
          <w:color w:val="auto"/>
        </w:rPr>
        <w:t>If we determine, in our sole discretion, that any of the events or conditions described in “— Conditions of the Exchange Offers” has occurred, we may terminate any exchange offer. We may:</w:t>
      </w:r>
    </w:p>
    <w:p>
      <w:pPr>
        <w:spacing w:after="0" w:line="67" w:lineRule="exact"/>
        <w:rPr>
          <w:sz w:val="20"/>
          <w:szCs w:val="20"/>
          <w:color w:val="auto"/>
        </w:rPr>
      </w:pPr>
    </w:p>
    <w:p>
      <w:pPr>
        <w:ind w:left="1300" w:hanging="202"/>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accept any unregistered notes and return to the holders any unregistered notes that have been tendered;</w:t>
      </w:r>
    </w:p>
    <w:p>
      <w:pPr>
        <w:spacing w:after="0" w:line="117" w:lineRule="exact"/>
        <w:rPr>
          <w:rFonts w:ascii="Times New Roman" w:cs="Times New Roman" w:eastAsia="Times New Roman" w:hAnsi="Times New Roman"/>
          <w:sz w:val="18"/>
          <w:szCs w:val="18"/>
          <w:color w:val="auto"/>
        </w:rPr>
      </w:pPr>
    </w:p>
    <w:p>
      <w:pPr>
        <w:ind w:left="1300" w:right="200" w:hanging="202"/>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exchange offer and retain all unregistered notes tendered prior to the expiration of the exchange offer, subject to the rights of the holders to withdraw their tendered unregistered notes; or</w:t>
      </w:r>
    </w:p>
    <w:p>
      <w:pPr>
        <w:spacing w:after="0" w:line="53" w:lineRule="exact"/>
        <w:rPr>
          <w:rFonts w:ascii="Times New Roman" w:cs="Times New Roman" w:eastAsia="Times New Roman" w:hAnsi="Times New Roman"/>
          <w:sz w:val="18"/>
          <w:szCs w:val="18"/>
          <w:color w:val="auto"/>
        </w:rPr>
      </w:pPr>
    </w:p>
    <w:p>
      <w:pPr>
        <w:ind w:left="1300" w:right="320" w:hanging="202"/>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condition with respect to the exchange offer and accept all properly tendered unregistered notes that have not been withdrawn.</w:t>
      </w:r>
    </w:p>
    <w:p>
      <w:pPr>
        <w:spacing w:after="0" w:line="67" w:lineRule="exact"/>
        <w:rPr>
          <w:sz w:val="20"/>
          <w:szCs w:val="20"/>
          <w:color w:val="auto"/>
        </w:rPr>
      </w:pPr>
    </w:p>
    <w:p>
      <w:pPr>
        <w:ind w:left="700" w:right="260" w:firstLine="397"/>
        <w:spacing w:after="0" w:line="261" w:lineRule="auto"/>
        <w:rPr>
          <w:sz w:val="20"/>
          <w:szCs w:val="20"/>
          <w:color w:val="auto"/>
        </w:rPr>
      </w:pPr>
      <w:r>
        <w:rPr>
          <w:rFonts w:ascii="Times New Roman" w:cs="Times New Roman" w:eastAsia="Times New Roman" w:hAnsi="Times New Roman"/>
          <w:sz w:val="18"/>
          <w:szCs w:val="18"/>
          <w:color w:val="auto"/>
        </w:rPr>
        <w:t>If any such waiver constitutes a material change in any exchange offer, we will disclose the change by means of a supplement to this prospectus that will be distributed to each registered holder of the applicable unregistered notes, and we will extend the exchange offer for a period of five to ten business days, depending upon the significance of the waiver and the manner of disclosure to the registered holders of the applicable unregistered notes, if the exchange offer would otherwise expire during that period.</w:t>
      </w:r>
    </w:p>
    <w:p>
      <w:pPr>
        <w:spacing w:after="0" w:line="86" w:lineRule="exact"/>
        <w:rPr>
          <w:sz w:val="20"/>
          <w:szCs w:val="20"/>
          <w:color w:val="auto"/>
        </w:rPr>
      </w:pPr>
    </w:p>
    <w:p>
      <w:pPr>
        <w:ind w:left="700" w:right="80" w:firstLine="397"/>
        <w:spacing w:after="0" w:line="261" w:lineRule="auto"/>
        <w:rPr>
          <w:sz w:val="20"/>
          <w:szCs w:val="20"/>
          <w:color w:val="auto"/>
        </w:rPr>
      </w:pPr>
      <w:r>
        <w:rPr>
          <w:rFonts w:ascii="Times New Roman" w:cs="Times New Roman" w:eastAsia="Times New Roman" w:hAnsi="Times New Roman"/>
          <w:sz w:val="18"/>
          <w:szCs w:val="18"/>
          <w:color w:val="auto"/>
        </w:rPr>
        <w:t>Any determination by us concerning the events described above will be final and binding upon the parties. Without limiting the manner by which we may choose to make public announcements of any extension, delay in acceptance, amendment or termination of an exchange offer, we will have no obligation to publish, advertise, or otherwise communicate any public announcement, other than by making a timely release to a financial news service.</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Interest on the Exchange Notes</w:t>
      </w:r>
    </w:p>
    <w:p>
      <w:pPr>
        <w:spacing w:after="0" w:line="135" w:lineRule="exact"/>
        <w:rPr>
          <w:sz w:val="20"/>
          <w:szCs w:val="20"/>
          <w:color w:val="auto"/>
        </w:rPr>
      </w:pPr>
    </w:p>
    <w:p>
      <w:pPr>
        <w:ind w:left="700" w:right="80" w:firstLine="397"/>
        <w:spacing w:after="0" w:line="254" w:lineRule="auto"/>
        <w:rPr>
          <w:sz w:val="20"/>
          <w:szCs w:val="20"/>
          <w:color w:val="auto"/>
        </w:rPr>
      </w:pPr>
      <w:r>
        <w:rPr>
          <w:rFonts w:ascii="Times New Roman" w:cs="Times New Roman" w:eastAsia="Times New Roman" w:hAnsi="Times New Roman"/>
          <w:sz w:val="18"/>
          <w:szCs w:val="18"/>
          <w:color w:val="auto"/>
        </w:rPr>
        <w:t>We will pay interest on the exchange notes semi-annually on March 1 and September 1, commencing September 1, 2010 (in the case of the 2020 exchange notes and 2040 exchange notes), May 15 and November 15, commencing November 15, 2010 (in the case of the 2021 exchange notes), and March 15 and September 15, commencing September 15, 2010 (in the case of the 2019 exchange notes). Holders of unregistered notes whose unregistered notes are accepted for exchange in the exchange offers will be deemed to have waived the right to receive any payment in respect of interest on the unregistered notes accrued from the date of issuance or the last interest payment date, as applicable. Consequently, holders who exchange their unregistered notes for exchange notes will receive the same interest payment on the next interest payment date with respect to the unregistered notes and the first interest payment date with respect to the exchange notes following consummation of the exchange offers that they would have received if they had not accepted the exchange offer.</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Resale of Exchange Notes</w:t>
      </w:r>
    </w:p>
    <w:p>
      <w:pPr>
        <w:spacing w:after="0" w:line="135" w:lineRule="exact"/>
        <w:rPr>
          <w:sz w:val="20"/>
          <w:szCs w:val="20"/>
          <w:color w:val="auto"/>
        </w:rPr>
      </w:pPr>
    </w:p>
    <w:p>
      <w:pPr>
        <w:ind w:left="700" w:right="120" w:firstLine="397"/>
        <w:spacing w:after="0" w:line="258" w:lineRule="auto"/>
        <w:rPr>
          <w:sz w:val="20"/>
          <w:szCs w:val="20"/>
          <w:color w:val="auto"/>
        </w:rPr>
      </w:pPr>
      <w:r>
        <w:rPr>
          <w:rFonts w:ascii="Times New Roman" w:cs="Times New Roman" w:eastAsia="Times New Roman" w:hAnsi="Times New Roman"/>
          <w:sz w:val="18"/>
          <w:szCs w:val="18"/>
          <w:color w:val="auto"/>
        </w:rPr>
        <w:t>Under existing interpretations of the Securities Act by the SEC contained in several no action letters to third parties, and subject to the immediately following sentence, we believe that the exchange notes would generally be freely transferable by holders thereof after the exchange offer without further registration under the Securities Act (subject to certain representations required to be made by each holder of unregistered notes, as set forth below). However, any purchaser of notes who is an “affiliate” of us or any guarantor and any purchaser of notes who intends to participate in any exchange offer for the purpose of distributing the exchange notes:</w:t>
      </w:r>
    </w:p>
    <w:p>
      <w:pPr>
        <w:spacing w:after="0" w:line="89" w:lineRule="exact"/>
        <w:rPr>
          <w:sz w:val="20"/>
          <w:szCs w:val="20"/>
          <w:color w:val="auto"/>
        </w:rPr>
      </w:pPr>
    </w:p>
    <w:p>
      <w:pPr>
        <w:ind w:left="1300" w:hanging="20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able to rely on the interpretation of the staff of the SEC;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able to tender its unregistered notes in any exchange offer; and</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300" w:right="400" w:hanging="202"/>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comply with the registration and prospectus delivery requirements of the Securities Act in connection with any sale or transfer of the notes unless such sale or transfer is made pursuant to an exemption from such requirements.</w:t>
      </w:r>
    </w:p>
    <w:p>
      <w:pPr>
        <w:spacing w:after="0" w:line="67"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In addition, in connection with any resales of exchange notes, any broker dealer, which we refer to as a Participating Broker Dealer, which acquired the unregistered notes for its own account as a result of market making or other trading activities must deliver a prospectus meeting the requirements of the Securities Act. The SEC has taken the position that Participating Broker Dealers may fulfill their prospectus delivery requirements with respect to the exchange notes with this prospectus. If we receive notice from one or more Participating Broker Dealers in connection with an exchange offer or within 20 days after consummation of the exchange offer that such Participating Broker Dealer is exchanging or has exchanged notes acquired for the account of such Participating Broker Dealer as a result of market-making or other trading activities, we will agree to make available for a period of up to 180 days after consummation of the exchange offer a prospectus meeting the requirements of the Securities Act to any Participating Broker Dealer and any other persons with similar prospectus delivery requirements for use in connection with any resale of exchange notes. A Participating Broker Dealer or any other person that delivers such a prospectus to purchasers in connection with such resales will be subject to certain of the civil liability provisions under the Securities Act and will be bound by the provisions of the registration rights agreement (including certain indemnification rights and obligations thereunder).</w:t>
      </w:r>
    </w:p>
    <w:p>
      <w:pPr>
        <w:spacing w:after="0" w:line="96" w:lineRule="exact"/>
        <w:rPr>
          <w:sz w:val="20"/>
          <w:szCs w:val="20"/>
          <w:color w:val="auto"/>
        </w:rPr>
      </w:pPr>
    </w:p>
    <w:p>
      <w:pPr>
        <w:ind w:left="700" w:right="120" w:firstLine="397"/>
        <w:spacing w:after="0" w:line="282" w:lineRule="auto"/>
        <w:rPr>
          <w:sz w:val="20"/>
          <w:szCs w:val="20"/>
          <w:color w:val="auto"/>
        </w:rPr>
      </w:pPr>
      <w:r>
        <w:rPr>
          <w:rFonts w:ascii="Times New Roman" w:cs="Times New Roman" w:eastAsia="Times New Roman" w:hAnsi="Times New Roman"/>
          <w:sz w:val="18"/>
          <w:szCs w:val="18"/>
          <w:color w:val="auto"/>
        </w:rPr>
        <w:t>Each holder of the unregistered notes who wishes to exchange their notes for exchange notes in an exchange offer will be required to make certain representations, including representations that:</w:t>
      </w:r>
    </w:p>
    <w:p>
      <w:pPr>
        <w:spacing w:after="0" w:line="67" w:lineRule="exact"/>
        <w:rPr>
          <w:sz w:val="20"/>
          <w:szCs w:val="20"/>
          <w:color w:val="auto"/>
        </w:rPr>
      </w:pPr>
    </w:p>
    <w:p>
      <w:pPr>
        <w:ind w:left="1300" w:hanging="20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notes to be received by it will be acquired in the ordinary course of its business;</w:t>
      </w:r>
    </w:p>
    <w:p>
      <w:pPr>
        <w:spacing w:after="0" w:line="117" w:lineRule="exact"/>
        <w:rPr>
          <w:rFonts w:ascii="Times New Roman" w:cs="Times New Roman" w:eastAsia="Times New Roman" w:hAnsi="Times New Roman"/>
          <w:sz w:val="18"/>
          <w:szCs w:val="18"/>
          <w:color w:val="auto"/>
        </w:rPr>
      </w:pPr>
    </w:p>
    <w:p>
      <w:pPr>
        <w:ind w:left="1300" w:right="260" w:hanging="202"/>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arrangement or understanding with any person to participate in the distribution (within the meaning of the Securities Act) of the exchange notes; and</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“affiliate” (as defined in Rule 405 under the Securities Act) of us or any guarantor.</w:t>
      </w:r>
    </w:p>
    <w:p>
      <w:pPr>
        <w:spacing w:after="0" w:line="131" w:lineRule="exact"/>
        <w:rPr>
          <w:sz w:val="20"/>
          <w:szCs w:val="20"/>
          <w:color w:val="auto"/>
        </w:rPr>
      </w:pPr>
    </w:p>
    <w:p>
      <w:pPr>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Upon consummation of the exchange offer, the exchange notes will have different CUSIP and ISIN numbers from the unregistered notes.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Procedures for Tendering</w:t>
      </w:r>
    </w:p>
    <w:p>
      <w:pPr>
        <w:spacing w:after="0" w:line="135" w:lineRule="exact"/>
        <w:rPr>
          <w:sz w:val="20"/>
          <w:szCs w:val="20"/>
          <w:color w:val="auto"/>
        </w:rPr>
      </w:pPr>
    </w:p>
    <w:p>
      <w:pPr>
        <w:jc w:val="both"/>
        <w:ind w:left="700" w:right="220" w:firstLine="397"/>
        <w:spacing w:after="0" w:line="266" w:lineRule="auto"/>
        <w:rPr>
          <w:sz w:val="20"/>
          <w:szCs w:val="20"/>
          <w:color w:val="auto"/>
        </w:rPr>
      </w:pPr>
      <w:r>
        <w:rPr>
          <w:rFonts w:ascii="Times New Roman" w:cs="Times New Roman" w:eastAsia="Times New Roman" w:hAnsi="Times New Roman"/>
          <w:sz w:val="18"/>
          <w:szCs w:val="18"/>
          <w:color w:val="auto"/>
        </w:rPr>
        <w:t>The term “holder” with respect to the exchange offers means any person in whose name unregistered notes are registered on our agent’s books or any other person who has obtained a properly completed bond power from the registered holder, or any person whose unregistered notes are held of record by DTC who desires to deliver such unregistered notes by book-entry transfer at DTC.</w:t>
      </w:r>
    </w:p>
    <w:p>
      <w:pPr>
        <w:spacing w:after="0" w:line="82" w:lineRule="exact"/>
        <w:rPr>
          <w:sz w:val="20"/>
          <w:szCs w:val="20"/>
          <w:color w:val="auto"/>
        </w:rPr>
      </w:pPr>
    </w:p>
    <w:p>
      <w:pPr>
        <w:ind w:left="700" w:right="560" w:firstLine="397"/>
        <w:spacing w:after="0" w:line="313" w:lineRule="auto"/>
        <w:rPr>
          <w:sz w:val="20"/>
          <w:szCs w:val="20"/>
          <w:color w:val="auto"/>
        </w:rPr>
      </w:pPr>
      <w:r>
        <w:rPr>
          <w:rFonts w:ascii="Times New Roman" w:cs="Times New Roman" w:eastAsia="Times New Roman" w:hAnsi="Times New Roman"/>
          <w:sz w:val="17"/>
          <w:szCs w:val="17"/>
          <w:color w:val="auto"/>
        </w:rPr>
        <w:t>Except in limited circumstances, only a DTC participant listed on a DTC notes position listing with respect to the applicable unregistered notes may tender its unregistered notes in an exchange offer. To tender unregistered notes in an exchange offer:</w:t>
      </w:r>
    </w:p>
    <w:p>
      <w:pPr>
        <w:spacing w:after="0" w:line="44" w:lineRule="exact"/>
        <w:rPr>
          <w:sz w:val="20"/>
          <w:szCs w:val="20"/>
          <w:color w:val="auto"/>
        </w:rPr>
      </w:pPr>
    </w:p>
    <w:p>
      <w:pPr>
        <w:ind w:left="1300" w:right="80" w:hanging="20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unregistered notes that are DTC participants may follow the procedures for book-entry transfer as provided for below under “— Book-Entry Transfer” and in the letter of transmittal.</w:t>
      </w:r>
    </w:p>
    <w:p>
      <w:pPr>
        <w:spacing w:after="0" w:line="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 addition:</w:t>
      </w:r>
    </w:p>
    <w:p>
      <w:pPr>
        <w:spacing w:after="0" w:line="131" w:lineRule="exact"/>
        <w:rPr>
          <w:sz w:val="20"/>
          <w:szCs w:val="20"/>
          <w:color w:val="auto"/>
        </w:rPr>
      </w:pPr>
    </w:p>
    <w:p>
      <w:pPr>
        <w:ind w:left="1300" w:right="80" w:hanging="202"/>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exchange agent must receive any corresponding certificate or certificates representing the applicable unregistered notes along with the letter of transmittal; or</w:t>
      </w:r>
    </w:p>
    <w:p>
      <w:pPr>
        <w:spacing w:after="0" w:line="53" w:lineRule="exact"/>
        <w:rPr>
          <w:rFonts w:ascii="Times New Roman" w:cs="Times New Roman" w:eastAsia="Times New Roman" w:hAnsi="Times New Roman"/>
          <w:sz w:val="18"/>
          <w:szCs w:val="18"/>
          <w:color w:val="auto"/>
        </w:rPr>
      </w:pPr>
    </w:p>
    <w:p>
      <w:pPr>
        <w:ind w:left="1300" w:right="180" w:hanging="202"/>
        <w:spacing w:after="0" w:line="289"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exchange agent must receive, before expiration of the applicable exchange offer, a timely confirmation of book-entry transfer of applicable unregistered notes into the applicable exchange agent’s account at DTC according to standard operating procedures for electronic tenders described below and a properly transmitted agent’s message described below.</w:t>
      </w:r>
    </w:p>
    <w:p>
      <w:pPr>
        <w:spacing w:after="0" w:line="64" w:lineRule="exact"/>
        <w:rPr>
          <w:sz w:val="20"/>
          <w:szCs w:val="20"/>
          <w:color w:val="auto"/>
        </w:rPr>
      </w:pPr>
    </w:p>
    <w:p>
      <w:pPr>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The tender by a holder of unregistered notes will constitute an agreement between such holder and us in accordance with the terms and subject to the conditions set forth in this prospectus and in the letter of transmittal. If less than all the unregistered notes held by a holder of unregistered notes are tendered, a tendering holder should fill</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360"/>
        <w:spacing w:after="0" w:line="282" w:lineRule="auto"/>
        <w:rPr>
          <w:sz w:val="20"/>
          <w:szCs w:val="20"/>
          <w:color w:val="auto"/>
        </w:rPr>
      </w:pPr>
      <w:r>
        <w:rPr>
          <w:rFonts w:ascii="Times New Roman" w:cs="Times New Roman" w:eastAsia="Times New Roman" w:hAnsi="Times New Roman"/>
          <w:sz w:val="18"/>
          <w:szCs w:val="18"/>
          <w:color w:val="auto"/>
        </w:rPr>
        <w:t>in the amount of unregistered notes being tendered in the specified box on the letter of transmittal. The entire amount of unregistered notes delivered to the applicable exchange agent will be deemed to have been tendered unless otherwise indicated.</w:t>
      </w:r>
    </w:p>
    <w:p>
      <w:pPr>
        <w:spacing w:after="0" w:line="67"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The method of delivery of unregistered notes, the letter of transmittal and all other required documents or transmission of an agent’s message, as described under “— Book Entry Transfer,” to the applicable exchange agent is at the election and risk of the holder. Instead of delivery by mail, we recommend that holders use an overnight or hand delivery service. In all cases, sufficient time should be allowed to assure timely delivery prior to the expiration of the applicable exchange offer. No letter of transmittal or unregistered notes should be sent to us but must instead be delivered to the applicable exchange agent. Delivery of documents to DTC in accordance with their procedures will not constitute delivery to the applicable exchange agent.</w:t>
      </w:r>
    </w:p>
    <w:p>
      <w:pPr>
        <w:spacing w:after="0" w:line="93"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unregistered notes that are registered in the name of a broker, dealer, commercial bank, trust company or other nominee and you wish to tender your unregistered notes, you should contact the registered holder promptly and instruct the registered holder to tender on your behalf. If you wish to tender on your own behalf, you must, prior to completing and executing the letter of transmittal and delivering your unregistered notes, either:</w:t>
      </w:r>
    </w:p>
    <w:p>
      <w:pPr>
        <w:spacing w:after="0" w:line="86" w:lineRule="exact"/>
        <w:rPr>
          <w:sz w:val="20"/>
          <w:szCs w:val="20"/>
          <w:color w:val="auto"/>
        </w:rPr>
      </w:pPr>
    </w:p>
    <w:p>
      <w:pPr>
        <w:ind w:left="1300" w:hanging="20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appropriate arrangements to register ownership of the unregistered notes in your name; or</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properly completed bond power from the registered holder.</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transfer of record ownership may take considerable time and might not be completed prior to the expiration date.</w:t>
      </w:r>
    </w:p>
    <w:p>
      <w:pPr>
        <w:spacing w:after="0" w:line="131"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Signatures on a letter of transmittal or a notice of withdrawal as described in “— Withdrawal of Tenders” below, as the case may be, must be guaranteed by a member firm of a registered national securities exchange or the Financial Industry Regulatory Authority, Inc., a commercial bank or trust company having an office or correspondent in the United States or an “eligible guarantor institution” within the meaning of Rule 17Ad-15 under the Exchange Act, unless the unregistered notes tendered pursuant thereto are tendered:</w:t>
      </w:r>
    </w:p>
    <w:p>
      <w:pPr>
        <w:spacing w:after="0" w:line="86" w:lineRule="exact"/>
        <w:rPr>
          <w:sz w:val="20"/>
          <w:szCs w:val="20"/>
          <w:color w:val="auto"/>
        </w:rPr>
      </w:pPr>
    </w:p>
    <w:p>
      <w:pPr>
        <w:ind w:left="1300" w:right="800" w:hanging="202"/>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registered holder who has not completed the box entitled “Special Registration Instructions” or “Special Delivery Instructions” in the letter of transmittal; or</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account of an eligible institution.</w:t>
      </w:r>
    </w:p>
    <w:p>
      <w:pPr>
        <w:spacing w:after="0" w:line="131" w:lineRule="exact"/>
        <w:rPr>
          <w:sz w:val="20"/>
          <w:szCs w:val="20"/>
          <w:color w:val="auto"/>
        </w:rPr>
      </w:pPr>
    </w:p>
    <w:p>
      <w:pPr>
        <w:ind w:left="700" w:right="180" w:firstLine="397"/>
        <w:spacing w:after="0" w:line="255" w:lineRule="auto"/>
        <w:rPr>
          <w:sz w:val="20"/>
          <w:szCs w:val="20"/>
          <w:color w:val="auto"/>
        </w:rPr>
      </w:pPr>
      <w:r>
        <w:rPr>
          <w:rFonts w:ascii="Times New Roman" w:cs="Times New Roman" w:eastAsia="Times New Roman" w:hAnsi="Times New Roman"/>
          <w:sz w:val="18"/>
          <w:szCs w:val="18"/>
          <w:color w:val="auto"/>
        </w:rPr>
        <w:t>If the letter of transmittal is signed by a person other than the registered holder of any unregistered notes listed therein, the applicable unregistered notes must be endorsed or accompanied by appropriate bond powers which authorize the person to tender the applicable unregistered notes on behalf of the registered holder, in either case signed as the name of the registered holder or holders appears on the applicable unregistered notes. If the letter of transmittal or any unregistered notes or bond powers are signed by trustees, executors, administrators, guardians, attorneys-in-fact, officers of corporations or others acting in a fiduciary or representative capacity, such persons should so indicate when signing and, unless waived by us, evidence satisfactory to us of their authority to so act must be submitted with the letter of transmittal.</w:t>
      </w:r>
    </w:p>
    <w:p>
      <w:pPr>
        <w:spacing w:after="0" w:line="95" w:lineRule="exact"/>
        <w:rPr>
          <w:sz w:val="20"/>
          <w:szCs w:val="20"/>
          <w:color w:val="auto"/>
        </w:rPr>
      </w:pPr>
    </w:p>
    <w:p>
      <w:pPr>
        <w:ind w:left="700" w:right="120" w:firstLine="397"/>
        <w:spacing w:after="0" w:line="253" w:lineRule="auto"/>
        <w:rPr>
          <w:sz w:val="20"/>
          <w:szCs w:val="20"/>
          <w:color w:val="auto"/>
        </w:rPr>
      </w:pPr>
      <w:r>
        <w:rPr>
          <w:rFonts w:ascii="Times New Roman" w:cs="Times New Roman" w:eastAsia="Times New Roman" w:hAnsi="Times New Roman"/>
          <w:sz w:val="18"/>
          <w:szCs w:val="18"/>
          <w:color w:val="auto"/>
        </w:rPr>
        <w:t>We will determine in our sole discretion all the questions as to the validity, form, eligibility (including time of receipt), acceptance and withdrawal of the tendered unregistered notes. Our determinations will be final and binding. We reserve the absolute right to reject any and all unregistered notes not validly tendered or any unregistered notes the acceptance of which would, in the opinion of our counsel, be unlawful. We reserve the absolute right to waive any irregularities or conditions of tender as to particular unregistered notes; provided that any waiver of a condition of tender will apply to all unregistered notes and not only to particular unregistered notes. Our interpretation of the terms and conditions of the exchange offers (including the instructions in the letter of transmittal) will be final and binding on all parties. Unless waived, any defects or irregularities in connection with tenders of unregistered notes must be cured within such time as we will determine. However, all conditions must be satisfied or waived prior to the expiration of the exchange offer (as extended, if applicable). Neither we, the applicable exchange agent nor any other person shall be under any duty to give notification of defects or irregularities with respect to tenders of unregistered notes nor shall any of them incur any liability for failure to give such notification. Tenders of unregistered notes will not be deemed to have been made until such</w:t>
      </w:r>
    </w:p>
    <w:p>
      <w:pPr>
        <w:spacing w:after="0" w:line="3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1" w:lineRule="auto"/>
        <w:rPr>
          <w:sz w:val="20"/>
          <w:szCs w:val="20"/>
          <w:color w:val="auto"/>
        </w:rPr>
      </w:pPr>
      <w:r>
        <w:rPr>
          <w:rFonts w:ascii="Times New Roman" w:cs="Times New Roman" w:eastAsia="Times New Roman" w:hAnsi="Times New Roman"/>
          <w:sz w:val="18"/>
          <w:szCs w:val="18"/>
          <w:color w:val="auto"/>
        </w:rPr>
        <w:t>irregularities have been cured or waived. Any unregistered notes received by the applicable exchange agent that are not properly tendered and as to which the defects or irregularities have not been cured or waived will be returned without cost by the applicable exchange agent to the tendering holder of such unregistered notes, unless otherwise provided in the letter of transmittal, promptly following the expiration date of the exchange offer.</w:t>
      </w:r>
    </w:p>
    <w:p>
      <w:pPr>
        <w:spacing w:after="0" w:line="86" w:lineRule="exact"/>
        <w:rPr>
          <w:sz w:val="20"/>
          <w:szCs w:val="20"/>
          <w:color w:val="auto"/>
        </w:rPr>
      </w:pPr>
    </w:p>
    <w:p>
      <w:pPr>
        <w:ind w:left="700" w:right="140" w:firstLine="397"/>
        <w:spacing w:after="0" w:line="261" w:lineRule="auto"/>
        <w:rPr>
          <w:sz w:val="20"/>
          <w:szCs w:val="20"/>
          <w:color w:val="auto"/>
        </w:rPr>
      </w:pPr>
      <w:r>
        <w:rPr>
          <w:rFonts w:ascii="Times New Roman" w:cs="Times New Roman" w:eastAsia="Times New Roman" w:hAnsi="Times New Roman"/>
          <w:sz w:val="18"/>
          <w:szCs w:val="18"/>
          <w:color w:val="auto"/>
        </w:rPr>
        <w:t>In addition, we reserve the right in our sole discretion to (1) purchase or make offers for any unregistered notes that remain outstanding subsequent to the expiration date, and (2) to the extent permitted by applicable law, purchase unregistered notes in the open market, in privately negotiated transactions or otherwise. The terms of any such purchases or offers may differ from the terms of the exchange offers.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Book-Entry Transfer</w:t>
      </w:r>
    </w:p>
    <w:p>
      <w:pPr>
        <w:spacing w:after="0" w:line="13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We understand that the applicable exchange agent will make a request promptly after the date of this document to establish an account with respect to the applicable unregistered notes at DTC for the purpose of facilitating the applicable exchange offer. Any financial institution that is a participant in DTC’s system may make book-entry delivery of unregistered notes by causing DTC to transfer such unregistered notes into the applicable exchange agent’s DTC account in accordance with DTC’s Automated Tender Offer Program procedures for such transfer. The exchange for tendered unregistered notes will only be made after a timely confirmation of a book-entry transfer of the unregistered notes into the applicable exchange agent’s account at DTC, and timely receipt by the applicable exchange agent of an agent’s message.</w:t>
      </w:r>
    </w:p>
    <w:p>
      <w:pPr>
        <w:spacing w:after="0" w:line="95"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The term “agent’s message” means a message, transmitted by DTC and received by the applicable exchange agent and forming part of the confirmation of a book-entry transfer, which states that DTC has received an express acknowledgment from a participant tendering unregistered notes and that such participant has received an appropriate letter of transmittal and agrees to be bound by the terms of the letter of transmittal, and we may enforce such agreement against the participant. Delivery of an agent’s message will also constitute an acknowledgment from the tendering DTC participant that the representations contained in the appropriate letter of transmittal and described above are true and correct.</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Withdrawal of Tenders</w:t>
      </w:r>
    </w:p>
    <w:p>
      <w:pPr>
        <w:spacing w:after="0" w:line="135" w:lineRule="exact"/>
        <w:rPr>
          <w:sz w:val="20"/>
          <w:szCs w:val="20"/>
          <w:color w:val="auto"/>
        </w:rPr>
      </w:pPr>
    </w:p>
    <w:p>
      <w:pPr>
        <w:ind w:left="700" w:firstLine="397"/>
        <w:spacing w:after="0" w:line="282" w:lineRule="auto"/>
        <w:rPr>
          <w:sz w:val="20"/>
          <w:szCs w:val="20"/>
          <w:color w:val="auto"/>
        </w:rPr>
      </w:pPr>
      <w:r>
        <w:rPr>
          <w:rFonts w:ascii="Times New Roman" w:cs="Times New Roman" w:eastAsia="Times New Roman" w:hAnsi="Times New Roman"/>
          <w:sz w:val="18"/>
          <w:szCs w:val="18"/>
          <w:color w:val="auto"/>
        </w:rPr>
        <w:t>Except as otherwise provided herein, tenders of unregistered notes may be withdrawn at any time prior to 5:00 p.m., New York City time, on August 2, 2010, the expiration date of the exchange offers.</w:t>
      </w:r>
    </w:p>
    <w:p>
      <w:pPr>
        <w:spacing w:after="0" w:line="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For a withdrawal to be effective:</w:t>
      </w:r>
    </w:p>
    <w:p>
      <w:pPr>
        <w:spacing w:after="0" w:line="131" w:lineRule="exact"/>
        <w:rPr>
          <w:sz w:val="20"/>
          <w:szCs w:val="20"/>
          <w:color w:val="auto"/>
        </w:rPr>
      </w:pPr>
    </w:p>
    <w:p>
      <w:pPr>
        <w:ind w:left="1300" w:right="160" w:hanging="202"/>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exchange agent must receive a written notice of withdrawal, which may be by facsimile transmission or letter, at the applicable address set forth below under “Exchange Agent”; or</w:t>
      </w:r>
    </w:p>
    <w:p>
      <w:pPr>
        <w:spacing w:after="0" w:line="53" w:lineRule="exact"/>
        <w:rPr>
          <w:rFonts w:ascii="Times New Roman" w:cs="Times New Roman" w:eastAsia="Times New Roman" w:hAnsi="Times New Roman"/>
          <w:sz w:val="18"/>
          <w:szCs w:val="18"/>
          <w:color w:val="auto"/>
        </w:rPr>
      </w:pPr>
    </w:p>
    <w:p>
      <w:pPr>
        <w:ind w:left="1300" w:right="320" w:hanging="202"/>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DTC participants, holders must comply with their respective standard operating procedures for electronic tenders and the applicable exchange agent must receive an electronic notice of withdrawal from DTC.</w:t>
      </w:r>
    </w:p>
    <w:p>
      <w:pPr>
        <w:spacing w:after="0" w:line="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Any notice of withdrawal must:</w:t>
      </w:r>
    </w:p>
    <w:p>
      <w:pPr>
        <w:spacing w:after="0" w:line="131" w:lineRule="exact"/>
        <w:rPr>
          <w:sz w:val="20"/>
          <w:szCs w:val="20"/>
          <w:color w:val="auto"/>
        </w:rPr>
      </w:pPr>
    </w:p>
    <w:p>
      <w:pPr>
        <w:ind w:left="1300" w:hanging="20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of the person who tendered the unregistered notes to be withdrawn;</w:t>
      </w:r>
    </w:p>
    <w:p>
      <w:pPr>
        <w:spacing w:after="0" w:line="117" w:lineRule="exact"/>
        <w:rPr>
          <w:rFonts w:ascii="Times New Roman" w:cs="Times New Roman" w:eastAsia="Times New Roman" w:hAnsi="Times New Roman"/>
          <w:sz w:val="18"/>
          <w:szCs w:val="18"/>
          <w:color w:val="auto"/>
        </w:rPr>
      </w:pPr>
    </w:p>
    <w:p>
      <w:pPr>
        <w:ind w:left="1300" w:right="680" w:hanging="202"/>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unregistered notes to be withdrawn, including the certificate number or numbers and principal amount to be withdrawn;</w:t>
      </w:r>
    </w:p>
    <w:p>
      <w:pPr>
        <w:spacing w:after="0" w:line="53" w:lineRule="exact"/>
        <w:rPr>
          <w:rFonts w:ascii="Times New Roman" w:cs="Times New Roman" w:eastAsia="Times New Roman" w:hAnsi="Times New Roman"/>
          <w:sz w:val="18"/>
          <w:szCs w:val="18"/>
          <w:color w:val="auto"/>
        </w:rPr>
      </w:pPr>
    </w:p>
    <w:p>
      <w:pPr>
        <w:ind w:left="1300" w:right="640" w:hanging="202"/>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the person who tendered the unregistered notes in the same manner as the original signature on the letter of transmittal, including any required signature guarantees; and</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in which the unregistered notes are to be re-registered, if different from that of the withdrawing holder.</w:t>
      </w:r>
    </w:p>
    <w:p>
      <w:pPr>
        <w:spacing w:after="0" w:line="131"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color w:val="auto"/>
        </w:rPr>
        <w:t>If unregistered notes have been tendered pursuant to the procedure for book-entry transfer described above, any notice of withdrawal must specify the name and number of the account at DTC to be credited with the withdrawn unregistered notes and otherwise comply with the procedures of the facility. We will determine all questions as to the validity, form and eligibility (including time of receipt) for such withdrawal notices, and our</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61" w:lineRule="auto"/>
        <w:rPr>
          <w:sz w:val="20"/>
          <w:szCs w:val="20"/>
          <w:color w:val="auto"/>
        </w:rPr>
      </w:pPr>
      <w:r>
        <w:rPr>
          <w:rFonts w:ascii="Times New Roman" w:cs="Times New Roman" w:eastAsia="Times New Roman" w:hAnsi="Times New Roman"/>
          <w:sz w:val="18"/>
          <w:szCs w:val="18"/>
          <w:color w:val="auto"/>
        </w:rPr>
        <w:t>determination shall be final and binding on all parties. Any unregistered notes so withdrawn will be deemed not to have been validly tendered for purposes of the exchange offers, and no exchange notes will be issued with respect thereto unless the unregistered notes so withdrawn are validly re-tendered. Properly withdrawn unregistered notes may be re-tendered by following the procedures described above under “Procedures for Tendering” at any time prior to the expiration of the applicable exchange offer.</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135" w:lineRule="exact"/>
        <w:rPr>
          <w:sz w:val="20"/>
          <w:szCs w:val="20"/>
          <w:color w:val="auto"/>
        </w:rPr>
      </w:pPr>
    </w:p>
    <w:p>
      <w:pPr>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If you do not tender your unregistered notes to be exchanged in the exchange offers, they will remain “restricted securities” within the meaning of Rule 144(a)(3) of the Securities Act.</w:t>
      </w:r>
    </w:p>
    <w:p>
      <w:pPr>
        <w:spacing w:after="0" w:line="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Accordingly, they:</w:t>
      </w:r>
    </w:p>
    <w:p>
      <w:pPr>
        <w:spacing w:after="0" w:line="131" w:lineRule="exact"/>
        <w:rPr>
          <w:sz w:val="20"/>
          <w:szCs w:val="20"/>
          <w:color w:val="auto"/>
        </w:rPr>
      </w:pPr>
    </w:p>
    <w:p>
      <w:pPr>
        <w:ind w:left="1300" w:right="140" w:hanging="202"/>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resold only if (1) registered pursuant to the Securities Act, (2) an exemption from registration is available or (3) neither registration nor an exemption is required by law; and</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continue to bear a legend restricting transfer in the absence of registration or an exemption therefrom.</w:t>
      </w:r>
    </w:p>
    <w:p>
      <w:pPr>
        <w:spacing w:after="0" w:line="131" w:lineRule="exact"/>
        <w:rPr>
          <w:sz w:val="20"/>
          <w:szCs w:val="20"/>
          <w:color w:val="auto"/>
        </w:rPr>
      </w:pPr>
    </w:p>
    <w:p>
      <w:pPr>
        <w:ind w:left="700" w:right="20" w:firstLine="397"/>
        <w:spacing w:after="0" w:line="282" w:lineRule="auto"/>
        <w:rPr>
          <w:sz w:val="20"/>
          <w:szCs w:val="20"/>
          <w:color w:val="auto"/>
        </w:rPr>
      </w:pPr>
      <w:r>
        <w:rPr>
          <w:rFonts w:ascii="Times New Roman" w:cs="Times New Roman" w:eastAsia="Times New Roman" w:hAnsi="Times New Roman"/>
          <w:sz w:val="18"/>
          <w:szCs w:val="18"/>
          <w:color w:val="auto"/>
        </w:rPr>
        <w:t>As a result of the restrictions on transfer of the unregistered notes, as well as the availability of the exchange notes, the unregistered notes are likely to be much less liquid than before the exchange offers.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Exchange Agents</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U.S. Bank National Association has been appointed as the exchange agent for the 2020 exchange notes, 2021 exchange notes and</w:t>
      </w:r>
    </w:p>
    <w:p>
      <w:pPr>
        <w:spacing w:after="0" w:line="27" w:lineRule="exact"/>
        <w:rPr>
          <w:sz w:val="20"/>
          <w:szCs w:val="20"/>
          <w:color w:val="auto"/>
        </w:rPr>
      </w:pPr>
    </w:p>
    <w:p>
      <w:pPr>
        <w:ind w:left="700" w:right="440"/>
        <w:spacing w:after="0" w:line="255" w:lineRule="auto"/>
        <w:rPr>
          <w:sz w:val="20"/>
          <w:szCs w:val="20"/>
          <w:color w:val="auto"/>
        </w:rPr>
      </w:pPr>
      <w:r>
        <w:rPr>
          <w:rFonts w:ascii="Times New Roman" w:cs="Times New Roman" w:eastAsia="Times New Roman" w:hAnsi="Times New Roman"/>
          <w:sz w:val="18"/>
          <w:szCs w:val="18"/>
          <w:color w:val="auto"/>
        </w:rPr>
        <w:t>2040 exchange notes. The Bank of New York Mellon Trust Company, N.A., has been appointed as the exchange agent for the 2019 exchange notes. Questions and requests for assistance relating to the exchange of the unregistered notes should be directed to the applicable exchange agent addressed as follows:</w:t>
      </w:r>
    </w:p>
    <w:p>
      <w:pPr>
        <w:sectPr>
          <w:pgSz w:w="11900" w:h="16838" w:orient="portrait"/>
          <w:cols w:equalWidth="0" w:num="1">
            <w:col w:w="10580"/>
          </w:cols>
          <w:pgMar w:left="240" w:top="415" w:right="1079" w:bottom="1440" w:gutter="0" w:footer="0" w:header="0"/>
        </w:sectPr>
      </w:pPr>
    </w:p>
    <w:p>
      <w:pPr>
        <w:spacing w:after="0" w:line="101" w:lineRule="exact"/>
        <w:rPr>
          <w:sz w:val="20"/>
          <w:szCs w:val="20"/>
          <w:color w:val="auto"/>
        </w:rPr>
      </w:pPr>
    </w:p>
    <w:p>
      <w:pPr>
        <w:ind w:left="700" w:right="1100"/>
        <w:spacing w:after="0" w:line="299" w:lineRule="auto"/>
        <w:rPr>
          <w:sz w:val="20"/>
          <w:szCs w:val="20"/>
          <w:color w:val="auto"/>
        </w:rPr>
      </w:pPr>
      <w:r>
        <w:rPr>
          <w:rFonts w:ascii="Times New Roman" w:cs="Times New Roman" w:eastAsia="Times New Roman" w:hAnsi="Times New Roman"/>
          <w:sz w:val="17"/>
          <w:szCs w:val="17"/>
          <w:b w:val="1"/>
          <w:bCs w:val="1"/>
          <w:color w:val="auto"/>
        </w:rPr>
        <w:t>In the case of the 2020 exchange notes, 2021 exchange notes and 2040 exchanges notes:</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By Mail:</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West Side Flats Operations Center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Attn: Rachel Muehlbauer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60 Livingston Avenue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 Paul, MN 55107</w:t>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By Overnight Mail or Courier:</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West Side Flats Operations Center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Attn: Rachel Muehlbauer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60 Livingston Avenue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 Paul, MN 55107</w:t>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By Facsimile (for Eligible Institutions Only):</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(651) 495-8158</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For Information or Confirmation by Telephone:</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(651) 495-3511</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case of the 2019 exchange notes: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Mail: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Trust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Reorganization 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Barclay Street - 7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Ms. Diane Amoroso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Overnight Mail or Courier: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Trust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Reorganization 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Barclay Street - 7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Ms. Diane Amoroso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Facsimile (for Eligible Institutions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298-1915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Information or Confirmation by Telephone: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815-2742</w:t>
      </w:r>
    </w:p>
    <w:p>
      <w:pPr>
        <w:spacing w:after="0" w:line="558" w:lineRule="exact"/>
        <w:rPr>
          <w:sz w:val="20"/>
          <w:szCs w:val="20"/>
          <w:color w:val="auto"/>
        </w:rPr>
      </w:pPr>
    </w:p>
    <w:p>
      <w:pPr>
        <w:sectPr>
          <w:pgSz w:w="11900" w:h="16838" w:orient="portrait"/>
          <w:cols w:equalWidth="0" w:num="2">
            <w:col w:w="5140" w:space="720"/>
            <w:col w:w="4720"/>
          </w:cols>
          <w:pgMar w:left="240" w:top="415" w:right="1079" w:bottom="1440" w:gutter="0" w:footer="0" w:header="0"/>
          <w:type w:val="continuous"/>
        </w:sect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We will bear the expenses of soliciting tenders pursuant to the exchange offers. The principal solicitation for tenders pursuant to the exchange offers is being made by mail. Additional solicitations may be made by our officers and regular employees and our affiliates in person or by telephone.</w:t>
      </w:r>
    </w:p>
    <w:p>
      <w:pPr>
        <w:spacing w:after="0" w:line="82" w:lineRule="exact"/>
        <w:rPr>
          <w:sz w:val="20"/>
          <w:szCs w:val="20"/>
          <w:color w:val="auto"/>
        </w:rPr>
      </w:pPr>
    </w:p>
    <w:p>
      <w:pPr>
        <w:ind w:left="700" w:right="260" w:firstLine="397"/>
        <w:spacing w:after="0" w:line="282" w:lineRule="auto"/>
        <w:rPr>
          <w:sz w:val="20"/>
          <w:szCs w:val="20"/>
          <w:color w:val="auto"/>
        </w:rPr>
      </w:pPr>
      <w:r>
        <w:rPr>
          <w:rFonts w:ascii="Times New Roman" w:cs="Times New Roman" w:eastAsia="Times New Roman" w:hAnsi="Times New Roman"/>
          <w:sz w:val="18"/>
          <w:szCs w:val="18"/>
          <w:color w:val="auto"/>
        </w:rPr>
        <w:t>We will not make any payments to brokers, dealers or other persons soliciting acceptances of the exchange offers. We, however, will pay the exchange agents reasonable and customary fees for its services and will reimburse</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61" w:lineRule="auto"/>
        <w:rPr>
          <w:sz w:val="20"/>
          <w:szCs w:val="20"/>
          <w:color w:val="auto"/>
        </w:rPr>
      </w:pPr>
      <w:r>
        <w:rPr>
          <w:rFonts w:ascii="Times New Roman" w:cs="Times New Roman" w:eastAsia="Times New Roman" w:hAnsi="Times New Roman"/>
          <w:sz w:val="18"/>
          <w:szCs w:val="18"/>
          <w:color w:val="auto"/>
        </w:rPr>
        <w:t>each of the exchange agents for its related reasonable out-of-pocket expenses and accounting and legal fees. We may also pay brokerage houses and other custodians, nominees and fiduciaries the reasonable out-of-pocket expenses incurred by them in forwarding copies of this prospectus, letters of transmittal and related documents to the beneficial owners of the unregistered notes and in handling or forwarding tenders for exchange.</w:t>
      </w:r>
    </w:p>
    <w:p>
      <w:pPr>
        <w:spacing w:after="0" w:line="86" w:lineRule="exact"/>
        <w:rPr>
          <w:sz w:val="20"/>
          <w:szCs w:val="20"/>
          <w:color w:val="auto"/>
        </w:rPr>
      </w:pPr>
    </w:p>
    <w:p>
      <w:pPr>
        <w:ind w:left="700" w:right="220" w:firstLine="397"/>
        <w:spacing w:after="0" w:line="313" w:lineRule="auto"/>
        <w:rPr>
          <w:sz w:val="20"/>
          <w:szCs w:val="20"/>
          <w:color w:val="auto"/>
        </w:rPr>
      </w:pPr>
      <w:r>
        <w:rPr>
          <w:rFonts w:ascii="Times New Roman" w:cs="Times New Roman" w:eastAsia="Times New Roman" w:hAnsi="Times New Roman"/>
          <w:sz w:val="17"/>
          <w:szCs w:val="17"/>
          <w:color w:val="auto"/>
        </w:rPr>
        <w:t>We will pay all transfer taxes, if any, applicable to the exchange of unregistered notes pursuant to the exchange offers. The tendering holder, however, will be required to pay any transfer taxes, whether imposed on the registered holder or any other person, if:</w:t>
      </w:r>
    </w:p>
    <w:p>
      <w:pPr>
        <w:spacing w:after="0" w:line="44" w:lineRule="exact"/>
        <w:rPr>
          <w:sz w:val="20"/>
          <w:szCs w:val="20"/>
          <w:color w:val="auto"/>
        </w:rPr>
      </w:pPr>
    </w:p>
    <w:p>
      <w:pPr>
        <w:jc w:val="both"/>
        <w:ind w:left="1300" w:right="20" w:hanging="202"/>
        <w:spacing w:after="0" w:line="313" w:lineRule="auto"/>
        <w:tabs>
          <w:tab w:leader="none" w:pos="1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certificates representing exchange notes or unregistered notes for principal amounts not tendered or accepted for exchange are to be delivered to, or are to be registered or issued in the name of, any person other than the registered holder of the notes tendered;</w:t>
      </w:r>
    </w:p>
    <w:p>
      <w:pPr>
        <w:spacing w:after="0" w:line="30" w:lineRule="exact"/>
        <w:rPr>
          <w:rFonts w:ascii="Times New Roman" w:cs="Times New Roman" w:eastAsia="Times New Roman" w:hAnsi="Times New Roman"/>
          <w:sz w:val="17"/>
          <w:szCs w:val="17"/>
          <w:color w:val="auto"/>
        </w:rPr>
      </w:pPr>
    </w:p>
    <w:p>
      <w:pPr>
        <w:ind w:left="1300" w:hanging="202"/>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tendered notes are registered in the name of any person other than the person signing the letter of transmittal; or</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tax is imposed for any reason other than the exchange of unregistered notes under the exchange offer.</w:t>
      </w:r>
    </w:p>
    <w:p>
      <w:pPr>
        <w:spacing w:after="0" w:line="131" w:lineRule="exact"/>
        <w:rPr>
          <w:sz w:val="20"/>
          <w:szCs w:val="20"/>
          <w:color w:val="auto"/>
        </w:rPr>
      </w:pPr>
    </w:p>
    <w:p>
      <w:pPr>
        <w:ind w:left="700" w:right="60" w:firstLine="397"/>
        <w:spacing w:after="0" w:line="282" w:lineRule="auto"/>
        <w:rPr>
          <w:sz w:val="20"/>
          <w:szCs w:val="20"/>
          <w:color w:val="auto"/>
        </w:rPr>
      </w:pPr>
      <w:r>
        <w:rPr>
          <w:rFonts w:ascii="Times New Roman" w:cs="Times New Roman" w:eastAsia="Times New Roman" w:hAnsi="Times New Roman"/>
          <w:sz w:val="18"/>
          <w:szCs w:val="18"/>
          <w:color w:val="auto"/>
        </w:rPr>
        <w:t>If satisfactory evidence of payment of such taxes or exemption therefrom is not submitted with the letter of transmittal, the amount of such transfer taxes will be billed directly to such tendering holder.</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35"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We will record the exchange notes in our accounting records at the same carrying value as the unregistered notes, which is the aggregate principal amount as reflected in our accounting records on the date of applicable exchange. Accordingly, we will not recognize any gain or loss for accounting purposes upon the consummation of the exchange offers. The exchange offers costs will be amortized as part of deferred financing costs over the life of the notes.</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DESCRIPTION OF THE EXCHANGE NOTES</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700" w:right="40" w:firstLine="397"/>
        <w:spacing w:after="0" w:line="255" w:lineRule="auto"/>
        <w:rPr>
          <w:sz w:val="20"/>
          <w:szCs w:val="20"/>
          <w:color w:val="auto"/>
        </w:rPr>
      </w:pPr>
      <w:r>
        <w:rPr>
          <w:rFonts w:ascii="Times New Roman" w:cs="Times New Roman" w:eastAsia="Times New Roman" w:hAnsi="Times New Roman"/>
          <w:sz w:val="18"/>
          <w:szCs w:val="18"/>
          <w:color w:val="auto"/>
        </w:rPr>
        <w:t>The 2020 exchange notes, 2021 exchange notes and 2040 exchange notes will be issued under an indenture, dated as of November 25, 2009, as supplemented by the First Supplemental Indenture, dated as of November 25, 2009, the Second Supplemental Indenture and the Third Supplemental Indenture, each dated March 4, 2010, among the Company, as issuer, the guarantors named therein and U.S. Bank National Association, as trustee (collectively, the “U.S. Bank Indenture”). The 2019 exchange notes will be issued under an indenture, dated as of September 8, 2009, as supplemented by the First Supplemental Indenture, dated as of September 8, 2009, among the Company, as issuer, the guarantors named therein and The Bank of New York Mellon Trust Company, N.A., as trustee (the “BNY Mellon Indenture”, and together with the U.S. Bank Indenture, the “indentures”). The term “notes” refers collectively to the exchange notes and the unregistered notes.</w:t>
      </w:r>
    </w:p>
    <w:p>
      <w:pPr>
        <w:spacing w:after="0" w:line="91"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In the discussion that follows, we summarize the material provisions of the indenture. Whenever particular provisions or defined terms in the indenture are referred to in this offering memorandum, these provisions or defined terms are incorporated by reference in this offering memorandum. References, in this section only, to the “Company” refer to Republic Services, Inc., exclusive of our subsidiaries. Since our discussion of indenture provisions is only a summary, the Company urges you to read the applicable indenture because it, and not this description, defines your rights as a holder of the notes. The indentures have been filed as exhibits to the registration statement that includes this prospectus. See “Where You Can Find More Information.”</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Maturity, Principal and Interest</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2020 exchange notes will:</w:t>
      </w:r>
    </w:p>
    <w:p>
      <w:pPr>
        <w:spacing w:after="0" w:line="131" w:lineRule="exact"/>
        <w:rPr>
          <w:sz w:val="20"/>
          <w:szCs w:val="20"/>
          <w:color w:val="auto"/>
        </w:rPr>
      </w:pPr>
    </w:p>
    <w:p>
      <w:pPr>
        <w:ind w:left="1300" w:hanging="20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Company’s unsecured unsubordinated obligations;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Company’s other unsecured and unsubordinated indebtedness from time to time outstanding;</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senior to any of the Company’s subordinated indebtedness from time to time outstanding;</w:t>
      </w:r>
    </w:p>
    <w:p>
      <w:pPr>
        <w:spacing w:after="0" w:line="117" w:lineRule="exact"/>
        <w:rPr>
          <w:rFonts w:ascii="Times New Roman" w:cs="Times New Roman" w:eastAsia="Times New Roman" w:hAnsi="Times New Roman"/>
          <w:sz w:val="18"/>
          <w:szCs w:val="18"/>
          <w:color w:val="auto"/>
        </w:rPr>
      </w:pPr>
    </w:p>
    <w:p>
      <w:pPr>
        <w:ind w:left="1300" w:right="40" w:hanging="202"/>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junior to the Company’s secured indebtedness from time to time outstanding to the extent of the value of the assets securing such indebtedness;</w:t>
      </w:r>
    </w:p>
    <w:p>
      <w:pPr>
        <w:spacing w:after="0" w:line="53" w:lineRule="exact"/>
        <w:rPr>
          <w:rFonts w:ascii="Times New Roman" w:cs="Times New Roman" w:eastAsia="Times New Roman" w:hAnsi="Times New Roman"/>
          <w:sz w:val="18"/>
          <w:szCs w:val="18"/>
          <w:color w:val="auto"/>
        </w:rPr>
      </w:pPr>
    </w:p>
    <w:p>
      <w:pPr>
        <w:jc w:val="both"/>
        <w:ind w:left="1300" w:right="60" w:hanging="202"/>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junior in right of payment to all existing and future liabilities, including trade payables, of those of the Company’s domestic subsidiaries that do not guarantee the notes and of any of the Company’s foreign subsidiaries, which will not guarantee the notes;</w:t>
      </w:r>
    </w:p>
    <w:p>
      <w:pPr>
        <w:spacing w:after="0" w:line="68"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initially limited to $850 million aggregate principal amount;</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registered form in minimum denominations of $2,000 and in integral multiples of $1,000;</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March 1, 2020; and</w:t>
      </w:r>
    </w:p>
    <w:p>
      <w:pPr>
        <w:spacing w:after="0" w:line="117" w:lineRule="exact"/>
        <w:rPr>
          <w:rFonts w:ascii="Times New Roman" w:cs="Times New Roman" w:eastAsia="Times New Roman" w:hAnsi="Times New Roman"/>
          <w:sz w:val="18"/>
          <w:szCs w:val="18"/>
          <w:color w:val="auto"/>
        </w:rPr>
      </w:pPr>
    </w:p>
    <w:p>
      <w:pPr>
        <w:jc w:val="both"/>
        <w:ind w:left="1300" w:right="80" w:hanging="202"/>
        <w:spacing w:after="0" w:line="289" w:lineRule="auto"/>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bear interest at a rate of 5.00% per annum, payable semiannually in arrears on March 1 and September 1 in each year (the “2020 interest payment dates”), commencing on September 1, 2010, to the person in whose name the note (or any predecessor note) is registered at the close of business on the February 15 or August 15 immediately preceding the relevant interest payment date.</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2021 exchange notes will:</w:t>
      </w:r>
    </w:p>
    <w:p>
      <w:pPr>
        <w:spacing w:after="0" w:line="131" w:lineRule="exact"/>
        <w:rPr>
          <w:sz w:val="20"/>
          <w:szCs w:val="20"/>
          <w:color w:val="auto"/>
        </w:rPr>
      </w:pPr>
    </w:p>
    <w:p>
      <w:pPr>
        <w:ind w:left="1300" w:hanging="20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Company’s unsecured unsubordinated obligations;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Company’s other unsecured and unsubordinated indebtedness from time to time outstanding;</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senior to any of the Company’s subordinated indebtedness from time to time outstanding;</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junior to the Company’s secured indebtedness from time to time outstanding to the extent of the value of the assets securing such indebtedness;</w:t>
      </w:r>
    </w:p>
    <w:p>
      <w:pPr>
        <w:spacing w:after="0" w:line="53" w:lineRule="exact"/>
        <w:rPr>
          <w:rFonts w:ascii="Times New Roman" w:cs="Times New Roman" w:eastAsia="Times New Roman" w:hAnsi="Times New Roman"/>
          <w:sz w:val="18"/>
          <w:szCs w:val="18"/>
          <w:color w:val="auto"/>
        </w:rPr>
      </w:pPr>
    </w:p>
    <w:p>
      <w:pPr>
        <w:jc w:val="both"/>
        <w:ind w:left="1300" w:right="20" w:hanging="202"/>
        <w:spacing w:after="0" w:line="26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junior in right of payment to all existing and future liabilities, including trade payables, of those of the Company’s domestic subsidiaries that do not guarantee the notes and of any of the Company’s foreign subsidiaries, which will not guarantee the notes;</w:t>
      </w:r>
    </w:p>
    <w:p>
      <w:pPr>
        <w:spacing w:after="0" w:line="68"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initially limited to $600 million aggregate principal amount;</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registered form in minimum denominations of $2,000 and in integral multiples of $1,000;</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November 15, 2021; and</w:t>
      </w:r>
    </w:p>
    <w:p>
      <w:pPr>
        <w:spacing w:after="0" w:line="117" w:lineRule="exact"/>
        <w:rPr>
          <w:rFonts w:ascii="Times New Roman" w:cs="Times New Roman" w:eastAsia="Times New Roman" w:hAnsi="Times New Roman"/>
          <w:sz w:val="18"/>
          <w:szCs w:val="18"/>
          <w:color w:val="auto"/>
        </w:rPr>
      </w:pPr>
    </w:p>
    <w:p>
      <w:pPr>
        <w:ind w:left="1300" w:hanging="202"/>
        <w:spacing w:after="0" w:line="26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interest at a rate of 5.25% per annum, payable semiannually in arrears on May 15 and November 15 in each year (the “2021 interest payment dates”), commencing November 15, 2010, to the person in whose name the note (or any predecessor note) is registered at the close of business on the May 1 or November 1 immediately preceding the relevant interest payment date.</w:t>
      </w:r>
    </w:p>
    <w:p>
      <w:pPr>
        <w:spacing w:after="0" w:line="8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2019 exchange notes will:</w:t>
      </w:r>
    </w:p>
    <w:p>
      <w:pPr>
        <w:spacing w:after="0" w:line="131" w:lineRule="exact"/>
        <w:rPr>
          <w:sz w:val="20"/>
          <w:szCs w:val="20"/>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Company’s unsecured unsubordinated obligations;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Company’s other unsecured and unsubordinated indebtedness from time to time outstanding;</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senior to any of the Company’s subordinated indebtedness from time to time outstanding;</w:t>
      </w:r>
    </w:p>
    <w:p>
      <w:pPr>
        <w:spacing w:after="0" w:line="117" w:lineRule="exact"/>
        <w:rPr>
          <w:rFonts w:ascii="Times New Roman" w:cs="Times New Roman" w:eastAsia="Times New Roman" w:hAnsi="Times New Roman"/>
          <w:sz w:val="18"/>
          <w:szCs w:val="18"/>
          <w:color w:val="auto"/>
        </w:rPr>
      </w:pPr>
    </w:p>
    <w:p>
      <w:pPr>
        <w:ind w:left="1300" w:hanging="202"/>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junior to the Company’s secured indebtedness from time to time outstanding to the extent of the value of the assets securing such indebtedness;</w:t>
      </w:r>
    </w:p>
    <w:p>
      <w:pPr>
        <w:spacing w:after="0" w:line="53" w:lineRule="exact"/>
        <w:rPr>
          <w:rFonts w:ascii="Times New Roman" w:cs="Times New Roman" w:eastAsia="Times New Roman" w:hAnsi="Times New Roman"/>
          <w:sz w:val="18"/>
          <w:szCs w:val="18"/>
          <w:color w:val="auto"/>
        </w:rPr>
      </w:pPr>
    </w:p>
    <w:p>
      <w:pPr>
        <w:jc w:val="both"/>
        <w:ind w:left="1300" w:right="20" w:hanging="202"/>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junior in right of payment to all existing and future liabilities, including trade payables, of those of the Company’s domestic subsidiaries that do not guarantee the notes and of any of the Company’s foreign subsidiaries, which will not guarantee the notes;</w:t>
      </w:r>
    </w:p>
    <w:p>
      <w:pPr>
        <w:spacing w:after="0" w:line="68"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initially limited to $650 million aggregate principal amount;</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registered form in minimum denominations of $2,000 and in integral multiples of $1,000;</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September 15, 2019; and</w:t>
      </w:r>
    </w:p>
    <w:p>
      <w:pPr>
        <w:spacing w:after="0" w:line="117" w:lineRule="exact"/>
        <w:rPr>
          <w:rFonts w:ascii="Times New Roman" w:cs="Times New Roman" w:eastAsia="Times New Roman" w:hAnsi="Times New Roman"/>
          <w:sz w:val="18"/>
          <w:szCs w:val="18"/>
          <w:color w:val="auto"/>
        </w:rPr>
      </w:pPr>
    </w:p>
    <w:p>
      <w:pPr>
        <w:ind w:left="1300" w:right="100" w:hanging="202"/>
        <w:spacing w:after="0" w:line="261"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interest at a rate of 5.50% per annum, payable semiannually in arrears on March 15 and September 15 in each year (the “2019 interest payment dates”), commencing on September 15, 2010, to the person in whose name the note (or any predecessor note) is registered at the close of business on the March 1 or September 1 immediately preceding the relevant interest payment date.</w:t>
      </w:r>
    </w:p>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2040 exchange notes will:</w:t>
      </w:r>
    </w:p>
    <w:p>
      <w:pPr>
        <w:spacing w:after="0" w:line="131" w:lineRule="exact"/>
        <w:rPr>
          <w:sz w:val="20"/>
          <w:szCs w:val="20"/>
          <w:color w:val="auto"/>
        </w:rPr>
      </w:pPr>
    </w:p>
    <w:p>
      <w:pPr>
        <w:ind w:left="1300" w:hanging="202"/>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Company’s unsecured unsubordinated obligations;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Company’s other unsecured and unsubordinated indebtedness from time to time outstanding;</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senior to any of the Company’s subordinated indebtedness from time to time outstanding;</w:t>
      </w:r>
    </w:p>
    <w:p>
      <w:pPr>
        <w:spacing w:after="0" w:line="117" w:lineRule="exact"/>
        <w:rPr>
          <w:rFonts w:ascii="Times New Roman" w:cs="Times New Roman" w:eastAsia="Times New Roman" w:hAnsi="Times New Roman"/>
          <w:sz w:val="18"/>
          <w:szCs w:val="18"/>
          <w:color w:val="auto"/>
        </w:rPr>
      </w:pPr>
    </w:p>
    <w:p>
      <w:pPr>
        <w:ind w:left="1300" w:hanging="202"/>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junior to the Company’s secured indebtedness from time to time outstanding to the extent of the value of the assets securing such indebtedness;</w:t>
      </w:r>
    </w:p>
    <w:p>
      <w:pPr>
        <w:spacing w:after="0" w:line="53" w:lineRule="exact"/>
        <w:rPr>
          <w:rFonts w:ascii="Times New Roman" w:cs="Times New Roman" w:eastAsia="Times New Roman" w:hAnsi="Times New Roman"/>
          <w:sz w:val="18"/>
          <w:szCs w:val="18"/>
          <w:color w:val="auto"/>
        </w:rPr>
      </w:pPr>
    </w:p>
    <w:p>
      <w:pPr>
        <w:jc w:val="both"/>
        <w:ind w:left="1300" w:right="20" w:hanging="202"/>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junior in right of payment to all existing and future liabilities, including trade payables, of those of the Company’s domestic subsidiaries that do not guarantee the notes and of any of the Company’s foreign subsidiaries, which will not guarantee the notes;</w:t>
      </w:r>
    </w:p>
    <w:p>
      <w:pPr>
        <w:spacing w:after="0" w:line="68"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initially limited to $650 million aggregate principal amount;</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registered form in minimum denominations of $2,000 and in integral multiples of $1,000;</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March 1, 2040; and</w:t>
      </w:r>
    </w:p>
    <w:p>
      <w:pPr>
        <w:spacing w:after="0" w:line="117" w:lineRule="exact"/>
        <w:rPr>
          <w:rFonts w:ascii="Times New Roman" w:cs="Times New Roman" w:eastAsia="Times New Roman" w:hAnsi="Times New Roman"/>
          <w:sz w:val="18"/>
          <w:szCs w:val="18"/>
          <w:color w:val="auto"/>
        </w:rPr>
      </w:pPr>
    </w:p>
    <w:p>
      <w:pPr>
        <w:ind w:left="1300" w:right="80" w:hanging="202"/>
        <w:spacing w:after="0" w:line="258"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interest at a rate of 6.20% per annum, payable semiannually in arrears on March 1 and September 1 in each year (the “2040 interest payment dates”, and together with each of the 2020 interest payment dates, 2021 interest payment dates and 2019 interest payment dates, an “interest payment date”), commencing on September 1, 2010, to the person in whose name the note (or any predecessor note) is registered at the close of business on the February 15 or August 15 immediately preceding the relevant interest payment date.</w:t>
      </w:r>
    </w:p>
    <w:p>
      <w:pPr>
        <w:spacing w:after="0" w:line="89"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Additional notes of the same class and series may be issued in one or more tranches from time to time, without notice to or the consent of the existing holders of the notes. Additional notes of the same class and series may not be fungible with the 2020 exchange notes, the 2021 exchange notes, the 2019 exchange notes and or the 2040 exchange notes for federal income tax purposes. Interest will be computed on the basis of a 360-day year comprised of twelve 30-day months.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35" w:lineRule="exact"/>
        <w:rPr>
          <w:sz w:val="20"/>
          <w:szCs w:val="20"/>
          <w:color w:val="auto"/>
        </w:rPr>
      </w:pPr>
    </w:p>
    <w:p>
      <w:pPr>
        <w:ind w:left="700" w:right="40" w:firstLine="397"/>
        <w:spacing w:after="0" w:line="258" w:lineRule="auto"/>
        <w:rPr>
          <w:sz w:val="20"/>
          <w:szCs w:val="20"/>
          <w:color w:val="auto"/>
        </w:rPr>
      </w:pPr>
      <w:r>
        <w:rPr>
          <w:rFonts w:ascii="Times New Roman" w:cs="Times New Roman" w:eastAsia="Times New Roman" w:hAnsi="Times New Roman"/>
          <w:sz w:val="18"/>
          <w:szCs w:val="18"/>
          <w:color w:val="auto"/>
        </w:rPr>
        <w:t>The notes initially will be guaranteed, fully and unconditionally and jointly and severally, by all of the Company’s subsidiaries that guarantee the Company’s revolving credit facilities. Each guarantee will be a senior obligation of the guarantor, will rank equally with all unsecured and unsubordinated indebtedness of the guarantor from time to time outstanding, will rank senior to any subordinated indebtedness of the guarantor from time to time outstanding and will rank junior to any secured indebtedness of a guarantor from time to time outstanding to the extent of the value of the assets securing such indebtedness.</w:t>
      </w:r>
    </w:p>
    <w:p>
      <w:pPr>
        <w:spacing w:after="0" w:line="89" w:lineRule="exact"/>
        <w:rPr>
          <w:sz w:val="20"/>
          <w:szCs w:val="20"/>
          <w:color w:val="auto"/>
        </w:rPr>
      </w:pPr>
    </w:p>
    <w:p>
      <w:pPr>
        <w:ind w:left="700" w:right="900" w:firstLine="397"/>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applicable indenture, each guarantee of a guarantor will be released in the following circumstances:</w:t>
      </w:r>
    </w:p>
    <w:p>
      <w:pPr>
        <w:spacing w:after="0" w:line="67" w:lineRule="exact"/>
        <w:rPr>
          <w:sz w:val="20"/>
          <w:szCs w:val="20"/>
          <w:color w:val="auto"/>
        </w:rPr>
      </w:pPr>
    </w:p>
    <w:p>
      <w:pPr>
        <w:ind w:left="1300" w:right="560" w:hanging="202"/>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satisfaction and discharge of the applicable indenture in accordance with the terms of the applicable indenture;</w:t>
      </w:r>
    </w:p>
    <w:p>
      <w:pPr>
        <w:spacing w:after="0" w:line="53" w:lineRule="exact"/>
        <w:rPr>
          <w:rFonts w:ascii="Times New Roman" w:cs="Times New Roman" w:eastAsia="Times New Roman" w:hAnsi="Times New Roman"/>
          <w:sz w:val="18"/>
          <w:szCs w:val="18"/>
          <w:color w:val="auto"/>
        </w:rPr>
      </w:pPr>
    </w:p>
    <w:p>
      <w:pPr>
        <w:ind w:left="1300" w:right="200" w:hanging="202"/>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defeasance or covenant defeasance of the applicable notes in accordance with the terms of the applicable indenture;</w:t>
      </w:r>
    </w:p>
    <w:p>
      <w:pPr>
        <w:spacing w:after="0" w:line="53" w:lineRule="exact"/>
        <w:rPr>
          <w:rFonts w:ascii="Times New Roman" w:cs="Times New Roman" w:eastAsia="Times New Roman" w:hAnsi="Times New Roman"/>
          <w:sz w:val="18"/>
          <w:szCs w:val="18"/>
          <w:color w:val="auto"/>
        </w:rPr>
      </w:pPr>
    </w:p>
    <w:p>
      <w:pPr>
        <w:ind w:left="1300" w:right="300" w:hanging="202"/>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any transaction (whether involving a sale or other disposition of securities, a merger or otherwise) whereby the guarantor ceases to be a Subsidiary of the Company; or</w:t>
      </w:r>
    </w:p>
    <w:p>
      <w:pPr>
        <w:spacing w:after="0" w:line="53" w:lineRule="exact"/>
        <w:rPr>
          <w:rFonts w:ascii="Times New Roman" w:cs="Times New Roman" w:eastAsia="Times New Roman" w:hAnsi="Times New Roman"/>
          <w:sz w:val="18"/>
          <w:szCs w:val="18"/>
          <w:color w:val="auto"/>
        </w:rPr>
      </w:pPr>
    </w:p>
    <w:p>
      <w:pPr>
        <w:ind w:left="1300" w:right="400" w:hanging="202"/>
        <w:spacing w:after="0" w:line="313" w:lineRule="auto"/>
        <w:tabs>
          <w:tab w:leader="none" w:pos="1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termination of such guarantor’s obligations under its guarantees provided with respect to the Company’s revolving credit facilities, or upon the release of such guarantor from its obligations under the Company’s revolving credit facilities.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35" w:lineRule="exact"/>
        <w:rPr>
          <w:sz w:val="20"/>
          <w:szCs w:val="20"/>
          <w:color w:val="auto"/>
        </w:rPr>
      </w:pPr>
    </w:p>
    <w:p>
      <w:pPr>
        <w:ind w:left="700" w:right="40" w:firstLine="397"/>
        <w:spacing w:after="0" w:line="282" w:lineRule="auto"/>
        <w:rPr>
          <w:sz w:val="20"/>
          <w:szCs w:val="20"/>
          <w:color w:val="auto"/>
        </w:rPr>
      </w:pPr>
      <w:r>
        <w:rPr>
          <w:rFonts w:ascii="Times New Roman" w:cs="Times New Roman" w:eastAsia="Times New Roman" w:hAnsi="Times New Roman"/>
          <w:sz w:val="18"/>
          <w:szCs w:val="18"/>
          <w:color w:val="auto"/>
        </w:rPr>
        <w:t>The notes of each series will be redeemable, as a whole or in part, at the option of the Company, at any time or from time to time, at a redemption price equal to the greater of:</w:t>
      </w:r>
    </w:p>
    <w:p>
      <w:pPr>
        <w:spacing w:after="0" w:line="67" w:lineRule="exact"/>
        <w:rPr>
          <w:sz w:val="20"/>
          <w:szCs w:val="20"/>
          <w:color w:val="auto"/>
        </w:rPr>
      </w:pPr>
    </w:p>
    <w:p>
      <w:pPr>
        <w:ind w:left="1720" w:hanging="249"/>
        <w:spacing w:after="0"/>
        <w:tabs>
          <w:tab w:leader="none" w:pos="1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w:t>
      </w:r>
    </w:p>
    <w:p>
      <w:pPr>
        <w:spacing w:after="0" w:line="130" w:lineRule="exact"/>
        <w:rPr>
          <w:rFonts w:ascii="Times New Roman" w:cs="Times New Roman" w:eastAsia="Times New Roman" w:hAnsi="Times New Roman"/>
          <w:sz w:val="18"/>
          <w:szCs w:val="18"/>
          <w:color w:val="auto"/>
        </w:rPr>
      </w:pPr>
    </w:p>
    <w:p>
      <w:pPr>
        <w:ind w:left="1080" w:firstLine="391"/>
        <w:spacing w:after="0" w:line="258" w:lineRule="auto"/>
        <w:tabs>
          <w:tab w:leader="none" w:pos="17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on the notes to be redeemed (and, in the case of the 2020 exchange notes and the 2040 exchange notes, not including any portion of any interest accrued to the redemption date) discounted to the date of redemption on a semi-annual basis (assuming a 360-day year consisting of twelve 30-day months) at the applicable Treasury Rate, plus 25 basis points (in the case of the 2020 exchange notes), 30 basis points (in the case of the 2021 exchange notes and 2040 exchange notes), or 35 basis points (in the case of the 2019 exchange notes).</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 the case of each of clauses (1) and (2), accrued interest will be payable to the redemption date.</w:t>
      </w:r>
    </w:p>
    <w:p>
      <w:pPr>
        <w:spacing w:after="0" w:line="131" w:lineRule="exact"/>
        <w:rPr>
          <w:sz w:val="20"/>
          <w:szCs w:val="20"/>
          <w:color w:val="auto"/>
        </w:rPr>
      </w:pPr>
    </w:p>
    <w:p>
      <w:pPr>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Holders of notes to be redeemed will receive notice thereof by first-class mail at least 30 and not more than 60 days before the date fixed for redemption. If fewer than all of the notes of a series are to be redeemed, the applicable trustee will select, at least 30 and not more than 60 days prior to the redemption date, the particular notes</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82" w:lineRule="auto"/>
        <w:rPr>
          <w:sz w:val="20"/>
          <w:szCs w:val="20"/>
          <w:color w:val="auto"/>
        </w:rPr>
      </w:pPr>
      <w:r>
        <w:rPr>
          <w:rFonts w:ascii="Times New Roman" w:cs="Times New Roman" w:eastAsia="Times New Roman" w:hAnsi="Times New Roman"/>
          <w:sz w:val="18"/>
          <w:szCs w:val="18"/>
          <w:color w:val="auto"/>
        </w:rPr>
        <w:t>or portions thereof for redemption from the outstanding notes of such series not previously called by such method as the applicable trustee deems fair and appropriate.</w:t>
      </w:r>
    </w:p>
    <w:p>
      <w:pPr>
        <w:spacing w:after="0" w:line="67" w:lineRule="exact"/>
        <w:rPr>
          <w:sz w:val="20"/>
          <w:szCs w:val="20"/>
          <w:color w:val="auto"/>
        </w:rPr>
      </w:pPr>
    </w:p>
    <w:p>
      <w:pPr>
        <w:ind w:left="700" w:right="180" w:firstLine="397"/>
        <w:spacing w:after="0" w:line="261" w:lineRule="auto"/>
        <w:rPr>
          <w:sz w:val="20"/>
          <w:szCs w:val="20"/>
          <w:color w:val="auto"/>
        </w:rPr>
      </w:pPr>
      <w:r>
        <w:rPr>
          <w:rFonts w:ascii="Times New Roman" w:cs="Times New Roman" w:eastAsia="Times New Roman" w:hAnsi="Times New Roman"/>
          <w:sz w:val="18"/>
          <w:szCs w:val="18"/>
          <w:color w:val="auto"/>
        </w:rPr>
        <w:t>On and after the redemption date, interest will cease to accrue on the notes of a series or any portion of the notes of a series called for redemption unless the Company defaults in the payment of the redemption price and accrued interest. On or before the redemption date, the Company will deposit with a paying agent (or the applicable trustee) money sufficient to pay the redemption price of and accrued interest on the notes of a series to be redeemed on that date.</w:t>
      </w:r>
    </w:p>
    <w:p>
      <w:pPr>
        <w:spacing w:after="0" w:line="84" w:lineRule="exact"/>
        <w:rPr>
          <w:sz w:val="20"/>
          <w:szCs w:val="20"/>
          <w:color w:val="auto"/>
        </w:rPr>
      </w:pPr>
    </w:p>
    <w:p>
      <w:pPr>
        <w:ind w:left="700" w:right="12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“Comparable Treasury Issue” </w:t>
      </w:r>
      <w:r>
        <w:rPr>
          <w:rFonts w:ascii="Times New Roman" w:cs="Times New Roman" w:eastAsia="Times New Roman" w:hAnsi="Times New Roman"/>
          <w:sz w:val="18"/>
          <w:szCs w:val="18"/>
          <w:color w:val="auto"/>
        </w:rPr>
        <w:t>means the U.S. Treasury security selected by an Independent Investment Banker as having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comparable to the remaining term (“Remaining Life”) of the notes of a series to be redeemed that would be utilized, at the time of selection and in accordance with customary financial practice, in pricing new issues of corporate debt securities of comparable maturity to the remaining term of such notes.</w:t>
      </w:r>
    </w:p>
    <w:p>
      <w:pPr>
        <w:spacing w:after="0" w:line="86" w:lineRule="exact"/>
        <w:rPr>
          <w:sz w:val="20"/>
          <w:szCs w:val="20"/>
          <w:color w:val="auto"/>
        </w:rPr>
      </w:pPr>
    </w:p>
    <w:p>
      <w:pPr>
        <w:ind w:left="700" w:right="200" w:firstLine="397"/>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“Comparable Treasury Price” </w:t>
      </w:r>
      <w:r>
        <w:rPr>
          <w:rFonts w:ascii="Times New Roman" w:cs="Times New Roman" w:eastAsia="Times New Roman" w:hAnsi="Times New Roman"/>
          <w:sz w:val="17"/>
          <w:szCs w:val="17"/>
          <w:color w:val="auto"/>
        </w:rPr>
        <w:t>means, with respect to any redemption date, (1) the average of five Reference Treasury Dealer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Quotations for such redemption date, after excluding the highest and lowest Reference Treasury Dealer Quotations, or (2) if the Independent Investment Banker obtains fewer than five such Reference Treasury Dealer Quotations, the average of all such quotations.</w:t>
      </w:r>
    </w:p>
    <w:p>
      <w:pPr>
        <w:spacing w:after="0" w:line="61"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“Independent Investment Banker” </w:t>
      </w:r>
      <w:r>
        <w:rPr>
          <w:rFonts w:ascii="Times New Roman" w:cs="Times New Roman" w:eastAsia="Times New Roman" w:hAnsi="Times New Roman"/>
          <w:sz w:val="18"/>
          <w:szCs w:val="18"/>
          <w:color w:val="auto"/>
        </w:rPr>
        <w:t>means (1) with respect to the 2020 exchange notes, any of Barclays Capital Inc., J.P. Morgan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Inc. and UBS Securities LLC, (2) with respect to the 2021 exchange notes, any of Banc of America Securities LLC, RBS Securities Inc., BNP Paribas Securities Corp. or Wells Fargo Securities, LLC, (3) with respect to the 2019 exchange notes, any of Banc of America Securities LLC, Barclays Capital or J.P. Morgan Securities Inc., and (4) with respect to the 2040 exchange notes, any of Banc of America Securities LLC and J.P. Morgan Securities Inc., and; in each case, their respective successors, or, in each case, if all of such firms are unwilling or unable to select the Comparable Treasury Issue, an independent investment banking institution of national standing appointed by the Company.</w:t>
      </w:r>
    </w:p>
    <w:p>
      <w:pPr>
        <w:spacing w:after="0" w:line="89" w:lineRule="exact"/>
        <w:rPr>
          <w:sz w:val="20"/>
          <w:szCs w:val="20"/>
          <w:color w:val="auto"/>
        </w:rPr>
      </w:pPr>
    </w:p>
    <w:p>
      <w:pPr>
        <w:ind w:left="700" w:right="80"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“Reference Treasury Dealer” </w:t>
      </w:r>
      <w:r>
        <w:rPr>
          <w:rFonts w:ascii="Times New Roman" w:cs="Times New Roman" w:eastAsia="Times New Roman" w:hAnsi="Times New Roman"/>
          <w:sz w:val="18"/>
          <w:szCs w:val="18"/>
          <w:color w:val="auto"/>
        </w:rPr>
        <w:t>means (1) (a) with respect to the 2020 exchange notes, any of Barclays Capital Inc., J.P. Morgan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Inc. and UBS Securities LLC, (b) with respect to the 2021 exchange notes, each of Banc of America Securities LLC, RBS Securities Inc. and BNP Paribas Securities Corp., and a Primary Treasury Dealer (as defined below) selected by Wells Fargo Securities, LLC, (c) with respect to the 2019 exchange notes, each of Banc of America Securities LLC, Barclays Capital Inc. and J.P. Morgan Securities Inc, (d) with respect to the 2040 exchange notes, any of Banc of America Securities LLC and J.P. Morgan Securities Inc., and, in each case, their respective successors; provided, however, that if any of the foregoing shall cease to be a primary U.S. Government securities dealer in New York City in the case of the 2019 exchange notes and 2021 exchange notes, or generally, in the case of the 2020 exchange notes and 2040 exchange notes (a “Primary Treasury Dealer”), the Company will substitute for such bank another Primary Treasury Dealer and (2) any other Primary Treasury Dealer selected by the Independent Investment Banker after consultation with the Company.</w:t>
      </w:r>
    </w:p>
    <w:p>
      <w:pPr>
        <w:spacing w:after="0" w:line="92" w:lineRule="exact"/>
        <w:rPr>
          <w:sz w:val="20"/>
          <w:szCs w:val="20"/>
          <w:color w:val="auto"/>
        </w:rPr>
      </w:pPr>
    </w:p>
    <w:p>
      <w:pPr>
        <w:ind w:left="700" w:right="4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“Reference Treasury Dealer Quotations” </w:t>
      </w:r>
      <w:r>
        <w:rPr>
          <w:rFonts w:ascii="Times New Roman" w:cs="Times New Roman" w:eastAsia="Times New Roman" w:hAnsi="Times New Roman"/>
          <w:sz w:val="18"/>
          <w:szCs w:val="18"/>
          <w:color w:val="auto"/>
        </w:rPr>
        <w:t>means, with respect to each Reference Treasury Dealer and any redemption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as determined by any Independent Investment Banker, of the bid and asked prices for the Comparable Treasury Issue (expressed in each case as a percentage of its principal amount) quoted in writing to such Independent Investment Banker at 5:00 p.m., New York City time, on the third business day preceding such redemption date.</w:t>
      </w:r>
    </w:p>
    <w:p>
      <w:pPr>
        <w:spacing w:after="0" w:line="86"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“Treasury Rate” </w:t>
      </w:r>
      <w:r>
        <w:rPr>
          <w:rFonts w:ascii="Times New Roman" w:cs="Times New Roman" w:eastAsia="Times New Roman" w:hAnsi="Times New Roman"/>
          <w:sz w:val="18"/>
          <w:szCs w:val="18"/>
          <w:color w:val="auto"/>
        </w:rPr>
        <w:t>means, with respect to any redemption date, (1) the yield, under the heading which represents the average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will be determined and the Treasury Rate will be interpolated or extrapolated from such yields on a straight line basis, rounding to the nearest month) or (2) if such release (or any successor release) is not published during the week preceding the calculation date or does not contain such yields, the rate per annum equal to the semi-annual equivalent yield to</w:t>
      </w:r>
    </w:p>
    <w:p>
      <w:pPr>
        <w:spacing w:after="0" w:line="3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66" w:lineRule="auto"/>
        <w:rPr>
          <w:sz w:val="20"/>
          <w:szCs w:val="20"/>
          <w:color w:val="auto"/>
        </w:rPr>
      </w:pPr>
      <w:r>
        <w:rPr>
          <w:rFonts w:ascii="Times New Roman" w:cs="Times New Roman" w:eastAsia="Times New Roman" w:hAnsi="Times New Roman"/>
          <w:sz w:val="18"/>
          <w:szCs w:val="18"/>
          <w:color w:val="auto"/>
        </w:rPr>
        <w:t>maturity of the Comparable Treasury Issue, calculated using a price for the Comparable Treasury Issue (expressed as a percentage of its principal amount) equal to the Comparable Treasury Price for such redemption date. The Treasury Rate will be calculated on the third business day preceding the redemption date.</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Change of Control Triggering Event</w:t>
      </w:r>
    </w:p>
    <w:p>
      <w:pPr>
        <w:spacing w:after="0" w:line="13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with respect to the notes of any series, unless the Company has exercised its right to redeem the notes of that series as described under “— Optional Redemption,” each holder of notes of that series will have the right to require the Company to purchase all or a portion (equal to $2,000 or an integral multiple of $1,000 in excess thereof) of such holder’s notes of that series pursuant to the offer described below (the “Change of Control Offer”), at a purchase price equal to 101% of the principal amount thereof plus accrued and unpaid interest, if any, to the date of purchase (the “Change of Control Payment”), subject to the rights of holders of notes of that series on the relevant record date to receive interest due on the relevant interest payment date.</w:t>
      </w:r>
    </w:p>
    <w:p>
      <w:pPr>
        <w:spacing w:after="0" w:line="95" w:lineRule="exact"/>
        <w:rPr>
          <w:sz w:val="20"/>
          <w:szCs w:val="20"/>
          <w:color w:val="auto"/>
        </w:rPr>
      </w:pPr>
    </w:p>
    <w:p>
      <w:pPr>
        <w:ind w:left="700" w:right="280" w:firstLine="397"/>
        <w:spacing w:after="0" w:line="255" w:lineRule="auto"/>
        <w:rPr>
          <w:sz w:val="20"/>
          <w:szCs w:val="20"/>
          <w:color w:val="auto"/>
        </w:rPr>
      </w:pPr>
      <w:r>
        <w:rPr>
          <w:rFonts w:ascii="Times New Roman" w:cs="Times New Roman" w:eastAsia="Times New Roman" w:hAnsi="Times New Roman"/>
          <w:sz w:val="18"/>
          <w:szCs w:val="18"/>
          <w:color w:val="auto"/>
        </w:rPr>
        <w:t>Within 30 days following the date upon which the Change of Control Triggering Event occurred with respect to the notes of that series, or at the option of the Company, prior to any Change of Control but after the public announcement of the pending Change of Control, the Company will be required to send, by first class mail, a notice to each holder of notes of that series, with a copy to the applicable trustee, which notice will govern the terms of the Change of Control Offer. Such notice will state, among other things, the purchase date, which must be no earlier than 30 days nor later than 60 days from the date such notice is mailed, other than as may be required by law (the “</w:t>
      </w:r>
      <w:r>
        <w:rPr>
          <w:rFonts w:ascii="Times New Roman" w:cs="Times New Roman" w:eastAsia="Times New Roman" w:hAnsi="Times New Roman"/>
          <w:sz w:val="18"/>
          <w:szCs w:val="18"/>
          <w:i w:val="1"/>
          <w:iCs w:val="1"/>
          <w:color w:val="auto"/>
        </w:rPr>
        <w:t>Change of Control Payment Date</w:t>
      </w:r>
      <w:r>
        <w:rPr>
          <w:rFonts w:ascii="Times New Roman" w:cs="Times New Roman" w:eastAsia="Times New Roman" w:hAnsi="Times New Roman"/>
          <w:sz w:val="18"/>
          <w:szCs w:val="18"/>
          <w:color w:val="auto"/>
        </w:rPr>
        <w:t>”). The notice, if mailed prior to the date of consummation of the Change of Control, will state that the Change of Control Offer is conditioned on the Change of Control being consummated on or prior to the Change of Control Payment Date.</w:t>
      </w:r>
    </w:p>
    <w:p>
      <w:pPr>
        <w:spacing w:after="0" w:line="91" w:lineRule="exact"/>
        <w:rPr>
          <w:sz w:val="20"/>
          <w:szCs w:val="20"/>
          <w:color w:val="auto"/>
        </w:rPr>
      </w:pPr>
    </w:p>
    <w:p>
      <w:pPr>
        <w:ind w:left="700" w:right="320" w:firstLine="397"/>
        <w:spacing w:after="0" w:line="258" w:lineRule="auto"/>
        <w:rPr>
          <w:sz w:val="20"/>
          <w:szCs w:val="20"/>
          <w:color w:val="auto"/>
        </w:rPr>
      </w:pPr>
      <w:r>
        <w:rPr>
          <w:rFonts w:ascii="Times New Roman" w:cs="Times New Roman" w:eastAsia="Times New Roman" w:hAnsi="Times New Roman"/>
          <w:sz w:val="18"/>
          <w:szCs w:val="18"/>
          <w:color w:val="auto"/>
        </w:rPr>
        <w:t>On the Change of Control Payment Date, the Company will, to the extent lawful, (1) accept or cause a third party to accept for payment all notes or portions of notes properly tendered pursuant to the Change of Control Offer; (2) deposit or cause a third party to deposit with the paying agent an amount equal to the Change of Control Payment in respect of all notes or portions of notes properly tendered; and (3) deliver or cause to be delivered to the trustee the notes accepted together with an officers’ certificate stating the aggregate principal amount of notes or portions of notes being repurchased.</w:t>
      </w:r>
    </w:p>
    <w:p>
      <w:pPr>
        <w:spacing w:after="0" w:line="89" w:lineRule="exact"/>
        <w:rPr>
          <w:sz w:val="20"/>
          <w:szCs w:val="20"/>
          <w:color w:val="auto"/>
        </w:rPr>
      </w:pPr>
    </w:p>
    <w:p>
      <w:pPr>
        <w:jc w:val="both"/>
        <w:ind w:left="700" w:right="220" w:firstLine="397"/>
        <w:spacing w:after="0" w:line="266" w:lineRule="auto"/>
        <w:rPr>
          <w:sz w:val="20"/>
          <w:szCs w:val="20"/>
          <w:color w:val="auto"/>
        </w:rPr>
      </w:pPr>
      <w:r>
        <w:rPr>
          <w:rFonts w:ascii="Times New Roman" w:cs="Times New Roman" w:eastAsia="Times New Roman" w:hAnsi="Times New Roman"/>
          <w:sz w:val="18"/>
          <w:szCs w:val="18"/>
          <w:color w:val="auto"/>
        </w:rPr>
        <w:t>The Company will not be required to make a Change of Control Offer with respect to the notes of the applicable series if a third party makes such an offer in the manner, at the times and otherwise in compliance with the requirements for such an offer made by the Company and such third party purchases all the notes properly tendered and not withdrawn under its offer.</w:t>
      </w:r>
    </w:p>
    <w:p>
      <w:pPr>
        <w:spacing w:after="0" w:line="82"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The Company will comply in all material respects with the requirements of Rule 14e-1 under the Securities Exchange Act of 1934, as amended (the “Exchange Act”) and any other securities laws and regulations thereunder to the extent those laws and regulations are applicable in connection with the repurchase of the notes of the applicable series as a result of a Change of Control Triggering Event. To the extent that the provisions of any such securities laws or regulations conflict with the Change of Control Offer provisions of the notes, the Company will comply with those securities laws and regulations and will not be deemed to have breached the Company’s obligations under the Change of Control Offer provisions of the notes by virtue of any such conflict.</w:t>
      </w:r>
    </w:p>
    <w:p>
      <w:pPr>
        <w:spacing w:after="0" w:line="9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For purposes of the foregoing discussion of a Change of Control Offer, the following definitions are applicable:</w:t>
      </w:r>
    </w:p>
    <w:p>
      <w:pPr>
        <w:spacing w:after="0" w:line="1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 xml:space="preserve">“Change of Control” </w:t>
      </w:r>
      <w:r>
        <w:rPr>
          <w:rFonts w:ascii="Times New Roman" w:cs="Times New Roman" w:eastAsia="Times New Roman" w:hAnsi="Times New Roman"/>
          <w:sz w:val="18"/>
          <w:szCs w:val="18"/>
          <w:color w:val="auto"/>
        </w:rPr>
        <w:t>means the occurrence of any of the following after the date of issuance of the notes:</w:t>
      </w:r>
    </w:p>
    <w:p>
      <w:pPr>
        <w:spacing w:after="0" w:line="133" w:lineRule="exact"/>
        <w:rPr>
          <w:sz w:val="20"/>
          <w:szCs w:val="20"/>
          <w:color w:val="auto"/>
        </w:rPr>
      </w:pPr>
    </w:p>
    <w:p>
      <w:pPr>
        <w:jc w:val="both"/>
        <w:ind w:left="1080" w:right="100" w:firstLine="391"/>
        <w:spacing w:after="0" w:line="261" w:lineRule="auto"/>
        <w:tabs>
          <w:tab w:leader="none" w:pos="17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lease, transfer, conveyance or other disposition (other than by way of merger or consolidation), in one or a series of related transactions, of all or substantially all of the assets of Republic Services, Inc. and its Subsidiaries taken as a whole to any “person” or “group” (as those terms are used in Section 13(d)(3) of the Exchange Act) other than to Republic Services, Inc. or one of its Subsidiaries;</w:t>
      </w:r>
    </w:p>
    <w:p>
      <w:pPr>
        <w:spacing w:after="0" w:line="85" w:lineRule="exact"/>
        <w:rPr>
          <w:rFonts w:ascii="Times New Roman" w:cs="Times New Roman" w:eastAsia="Times New Roman" w:hAnsi="Times New Roman"/>
          <w:sz w:val="18"/>
          <w:szCs w:val="18"/>
          <w:color w:val="auto"/>
        </w:rPr>
      </w:pPr>
    </w:p>
    <w:p>
      <w:pPr>
        <w:ind w:left="1080" w:firstLine="391"/>
        <w:spacing w:after="0" w:line="266" w:lineRule="auto"/>
        <w:tabs>
          <w:tab w:leader="none" w:pos="17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it being agreed that an employee of Republic Services, Inc. or any of its Subsidiaries for whom shares are</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58" w:lineRule="auto"/>
        <w:rPr>
          <w:sz w:val="20"/>
          <w:szCs w:val="20"/>
          <w:color w:val="auto"/>
        </w:rPr>
      </w:pPr>
      <w:r>
        <w:rPr>
          <w:rFonts w:ascii="Times New Roman" w:cs="Times New Roman" w:eastAsia="Times New Roman" w:hAnsi="Times New Roman"/>
          <w:sz w:val="18"/>
          <w:szCs w:val="18"/>
          <w:color w:val="auto"/>
        </w:rPr>
        <w:t>held under an employee stock ownership, employee retirement, employee savings or similar plan and whose shares are voted in accordance with the instructions of such employee shall not be a member of a “group” (as that term is used in Section 13(d)(3) of the Exchange Act) solely because such employee’s shares are held by a trustee under said plan) becomes the “beneficial owner” (as defined in Rules 13d-3 and 13d-5 under the Exchange Act), directly or indirectly, of the Company’s Voting Stock representing more than 50% of the voting power of the Company’s outstanding Voting Stock;</w:t>
      </w:r>
    </w:p>
    <w:p>
      <w:pPr>
        <w:spacing w:after="0" w:line="89" w:lineRule="exact"/>
        <w:rPr>
          <w:sz w:val="20"/>
          <w:szCs w:val="20"/>
          <w:color w:val="auto"/>
        </w:rPr>
      </w:pPr>
    </w:p>
    <w:p>
      <w:pPr>
        <w:ind w:left="1080" w:firstLine="391"/>
        <w:spacing w:after="0" w:line="256" w:lineRule="auto"/>
        <w:tabs>
          <w:tab w:leader="none" w:pos="17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consolidates with, or merge with or into, any Person, or any Person consolidates with, or merges with or into, the Company, in any such event pursuant to a transaction in which any of the Company’s outstanding Voting Stock or Voting Stock of such other Person is converted into or exchanged for cash, securities or other property, other than any such transaction where the Company’s Voting Stock outstanding immediately prior to such transaction constitutes, or is converted into or exchanged for, Voting Stock representing more than 50% of the voting power of the Voting Stock of the surviving Person immediately after giving effect to such transaction;</w:t>
      </w:r>
    </w:p>
    <w:p>
      <w:pPr>
        <w:spacing w:after="0" w:line="93" w:lineRule="exact"/>
        <w:rPr>
          <w:rFonts w:ascii="Times New Roman" w:cs="Times New Roman" w:eastAsia="Times New Roman" w:hAnsi="Times New Roman"/>
          <w:sz w:val="18"/>
          <w:szCs w:val="18"/>
          <w:color w:val="auto"/>
        </w:rPr>
      </w:pPr>
    </w:p>
    <w:p>
      <w:pPr>
        <w:ind w:left="1080" w:right="80" w:firstLine="391"/>
        <w:spacing w:after="0" w:line="256" w:lineRule="auto"/>
        <w:tabs>
          <w:tab w:leader="none" w:pos="17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24 consecutive calendar months, the majority of the members of the Company’s board of directors shall no longer be composed of individuals (a) who were members of the Company’s board of directors on the first day of such period or (b) whose election or nomination to the Company’s board of directors was approved by individuals referred to in clause (a) above constituting, at the time of such election or nomination, at least a majority of the Company’s board of directors or, if directors are nominated by a committee of the Company’s board of directors, constituting at the time of such nomination, at least a majority of such committee; or</w:t>
      </w:r>
    </w:p>
    <w:p>
      <w:pPr>
        <w:spacing w:after="0" w:line="93" w:lineRule="exact"/>
        <w:rPr>
          <w:rFonts w:ascii="Times New Roman" w:cs="Times New Roman" w:eastAsia="Times New Roman" w:hAnsi="Times New Roman"/>
          <w:sz w:val="18"/>
          <w:szCs w:val="18"/>
          <w:color w:val="auto"/>
        </w:rPr>
      </w:pPr>
    </w:p>
    <w:p>
      <w:pPr>
        <w:ind w:left="1720" w:hanging="249"/>
        <w:spacing w:after="0"/>
        <w:tabs>
          <w:tab w:leader="none" w:pos="1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the Company’s liquidation or dissolution.</w:t>
      </w:r>
    </w:p>
    <w:p>
      <w:pPr>
        <w:spacing w:after="0" w:line="129"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“Change of Control Triggering Event” </w:t>
      </w:r>
      <w:r>
        <w:rPr>
          <w:rFonts w:ascii="Times New Roman" w:cs="Times New Roman" w:eastAsia="Times New Roman" w:hAnsi="Times New Roman"/>
          <w:sz w:val="18"/>
          <w:szCs w:val="18"/>
          <w:color w:val="auto"/>
        </w:rPr>
        <w:t>means, with respect to the notes of any series, the notes of that series cease to be 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Grade by each of the Rating Agencies on any date during the period (the “Trigger Period”) commencing 60 days prior to the first public announcement by the Company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If a Rating Agency is not providing a rating for the notes of any series at the commencement of any Trigger Period, the notes of that series will be deemed to have ceased to be rated Investment Grade by such Rating Agency during that Trigger Period. Notwithstanding the foregoing, no Change of Control Triggering Event will be deemed to have occurred in connection with any particular Change of Control unless and until such Change of Control has actually been consummated.</w:t>
      </w:r>
    </w:p>
    <w:p>
      <w:pPr>
        <w:spacing w:after="0" w:line="95" w:lineRule="exact"/>
        <w:rPr>
          <w:sz w:val="20"/>
          <w:szCs w:val="20"/>
          <w:color w:val="auto"/>
        </w:rPr>
      </w:pPr>
    </w:p>
    <w:p>
      <w:pPr>
        <w:ind w:left="700" w:right="60"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“Investment Grade” </w:t>
      </w:r>
      <w:r>
        <w:rPr>
          <w:rFonts w:ascii="Times New Roman" w:cs="Times New Roman" w:eastAsia="Times New Roman" w:hAnsi="Times New Roman"/>
          <w:sz w:val="18"/>
          <w:szCs w:val="18"/>
          <w:color w:val="auto"/>
        </w:rPr>
        <w:t>means a rating of Baa3 or better by Moody’s (or its equivalent under any successor rating category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Moody’s) and a rating of BBB-or better by S&amp;P (or its equivalent under any successor rating category of S&amp;P), and the equivalent investment grade credit rating from any replacement rating agency or rating agencies selected by the Company under the circumstances permitting the Company to select a replacement agency and in the manner for selecting a replacement agency, in each case as set forth in the definition of “Rating Agency.”</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 xml:space="preserve">“Moody’s” </w:t>
      </w:r>
      <w:r>
        <w:rPr>
          <w:rFonts w:ascii="Times New Roman" w:cs="Times New Roman" w:eastAsia="Times New Roman" w:hAnsi="Times New Roman"/>
          <w:sz w:val="18"/>
          <w:szCs w:val="18"/>
          <w:color w:val="auto"/>
        </w:rPr>
        <w:t>means Moody’s Investors Service, Inc., a subsidiary of Moody’s Corporation, and its successors.</w:t>
      </w:r>
    </w:p>
    <w:p>
      <w:pPr>
        <w:spacing w:after="0" w:line="131" w:lineRule="exact"/>
        <w:rPr>
          <w:sz w:val="20"/>
          <w:szCs w:val="20"/>
          <w:color w:val="auto"/>
        </w:rPr>
      </w:pPr>
    </w:p>
    <w:p>
      <w:pPr>
        <w:ind w:left="70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any individual, corporation, partnership, limited liability company, joint venture, association, joint-stock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trusts, unincorporated organization or government or any agency or political subdivisions thereof.</w:t>
      </w:r>
    </w:p>
    <w:p>
      <w:pPr>
        <w:spacing w:after="0" w:line="64" w:lineRule="exact"/>
        <w:rPr>
          <w:sz w:val="20"/>
          <w:szCs w:val="20"/>
          <w:color w:val="auto"/>
        </w:rPr>
      </w:pPr>
    </w:p>
    <w:p>
      <w:pPr>
        <w:ind w:left="700" w:right="140"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“Rating Agency” </w:t>
      </w:r>
      <w:r>
        <w:rPr>
          <w:rFonts w:ascii="Times New Roman" w:cs="Times New Roman" w:eastAsia="Times New Roman" w:hAnsi="Times New Roman"/>
          <w:sz w:val="18"/>
          <w:szCs w:val="18"/>
          <w:color w:val="auto"/>
        </w:rPr>
        <w:t>means each of Moody’s and S&amp;P; provided, that if any of Moody’s or S&amp;P ceases to rate the notes of any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fails to make a rating of the notes of that series publicly available for reasons outside the Company’s control, the Company may appoint another “nationally recognized statistical rating organization” within the meaning of Rule 15c3-1(c)(2)(vi)(F) under the Exchange Act as a replacement for such Rating Agency; provided, that the Company shall give notice of such appointment to the applicable trustee.</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 xml:space="preserve">“S&amp;P” </w:t>
      </w:r>
      <w:r>
        <w:rPr>
          <w:rFonts w:ascii="Times New Roman" w:cs="Times New Roman" w:eastAsia="Times New Roman" w:hAnsi="Times New Roman"/>
          <w:sz w:val="18"/>
          <w:szCs w:val="18"/>
          <w:color w:val="auto"/>
        </w:rPr>
        <w:t>means Standard &amp; Poor’s Ratings Services, a division of The McGraw-Hill Companies, Inc., and its successors.</w:t>
      </w:r>
    </w:p>
    <w:p>
      <w:pPr>
        <w:spacing w:after="0" w:line="200" w:lineRule="exact"/>
        <w:rPr>
          <w:sz w:val="20"/>
          <w:szCs w:val="20"/>
          <w:color w:val="auto"/>
        </w:rPr>
      </w:pPr>
    </w:p>
    <w:p>
      <w:pPr>
        <w:spacing w:after="0" w:line="2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00" w:right="44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Stock” </w:t>
      </w:r>
      <w:r>
        <w:rPr>
          <w:rFonts w:ascii="Times New Roman" w:cs="Times New Roman" w:eastAsia="Times New Roman" w:hAnsi="Times New Roman"/>
          <w:sz w:val="18"/>
          <w:szCs w:val="18"/>
          <w:color w:val="auto"/>
        </w:rPr>
        <w:t>of any specified Person as of any date means the capital stock of such Person that is at the time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in the election of the board of directors of such Person.</w:t>
      </w:r>
    </w:p>
    <w:p>
      <w:pPr>
        <w:spacing w:after="0" w:line="66"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the properties or assets of Republic Services, Inc. and its Subsidiaries taken as a whole. Although there is a limited body of case law interpreting the phrase “substantially all,” there is no precise, established definition of the phrase under applicable law. Accordingly, the applicability of the requirement that the Company offer to repurchase the notes as a result of a sale, lease, transfer, conveyance or other disposition of less than all of the assets of Republic Services, Inc. and its Subsidiaries taken as a whole to another Person or group may be uncertain.</w:t>
      </w:r>
    </w:p>
    <w:p>
      <w:pPr>
        <w:spacing w:after="0" w:line="93"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In addition, under a recent Delaware Chancery Court interpretation of a change of control repurchase requirement with a continuing director provision, a board of directors may approve a slate of shareholder-nominated directors without endorsing them or while simultaneously recommending and endorsing its own slate instead. The foregoing interpretation would permit the Company’s board to approve a slate of directors that included a majority of dissident directors nominated pursuant to a proxy contest, and the ultimate election of such dissident slate would not constitute a “Change of Control Triggering Event” that would trigger your right to require the Company to repurchase your notes as described above.</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following restrictions will apply to each series of notes:</w:t>
      </w:r>
    </w:p>
    <w:p>
      <w:pPr>
        <w:spacing w:after="0" w:line="2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Liens</w:t>
      </w:r>
    </w:p>
    <w:p>
      <w:pPr>
        <w:spacing w:after="0" w:line="135" w:lineRule="exact"/>
        <w:rPr>
          <w:sz w:val="20"/>
          <w:szCs w:val="20"/>
          <w:color w:val="auto"/>
        </w:rPr>
      </w:pPr>
    </w:p>
    <w:p>
      <w:pPr>
        <w:ind w:left="700" w:right="300" w:firstLine="397"/>
        <w:spacing w:after="0" w:line="281" w:lineRule="auto"/>
        <w:rPr>
          <w:sz w:val="20"/>
          <w:szCs w:val="20"/>
          <w:color w:val="auto"/>
        </w:rPr>
      </w:pPr>
      <w:r>
        <w:rPr>
          <w:rFonts w:ascii="Times New Roman" w:cs="Times New Roman" w:eastAsia="Times New Roman" w:hAnsi="Times New Roman"/>
          <w:sz w:val="17"/>
          <w:szCs w:val="17"/>
          <w:color w:val="auto"/>
        </w:rPr>
        <w:t>The Company will not, and will not permit any Restricted Subsidiary to, Incur any Lien on any shares of stock, Indebtedness or other obligations of a Subsidiary or any Principal Property of the Company’s or a Restricted Subsidiary, whether such shares of stock, Indebtedness or other obligations of a Subsidiary or Principal Property is owned at the date of the applicable indenture or thereafter acquired, without in any such case effectively providing that all the notes will be directly secured equally and ratably with such Lien.</w:t>
      </w:r>
    </w:p>
    <w:p>
      <w:pPr>
        <w:spacing w:after="0" w:line="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These restrictions do not apply to:</w:t>
      </w:r>
    </w:p>
    <w:p>
      <w:pPr>
        <w:spacing w:after="0" w:line="131" w:lineRule="exact"/>
        <w:rPr>
          <w:sz w:val="20"/>
          <w:szCs w:val="20"/>
          <w:color w:val="auto"/>
        </w:rPr>
      </w:pPr>
    </w:p>
    <w:p>
      <w:pPr>
        <w:ind w:left="1080" w:right="180" w:firstLine="391"/>
        <w:spacing w:after="0" w:line="254" w:lineRule="auto"/>
        <w:tabs>
          <w:tab w:leader="none" w:pos="17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any Lien on any shares of stock, Indebtedness or other obligations of a Subsidiary or any Principal Property acquired after the date of the applicable indenture (including acquisitions by way of merger or consolidation) by the Company or a Restricted Subsidiary contemporaneously with such acquisition, or within 120 days thereafter, to secure or provide for the payment or financing of any part of the purchase price thereof, or the assumption of any Lien upon any shares of stock, Indebtedness or other obligations of a Subsidiary or any Principal Property acquired after the date of the applicable indenture existing at the time of such acquisition, or the acquisition of any shares of stock, Indebtedness or other obligations of a Subsidiary or any Principal Property subject to any Lien without the assumption thereof, provided that every such Lien referred to in this clause (1) shall attach only to the shares of stock, Indebtedness or other obligations of a Subsidiary or any Principal Property so acquired and fixed improvements thereon;</w:t>
      </w:r>
    </w:p>
    <w:p>
      <w:pPr>
        <w:spacing w:after="0" w:line="94" w:lineRule="exact"/>
        <w:rPr>
          <w:rFonts w:ascii="Times New Roman" w:cs="Times New Roman" w:eastAsia="Times New Roman" w:hAnsi="Times New Roman"/>
          <w:sz w:val="18"/>
          <w:szCs w:val="18"/>
          <w:color w:val="auto"/>
        </w:rPr>
      </w:pPr>
    </w:p>
    <w:p>
      <w:pPr>
        <w:ind w:left="1080" w:right="40" w:firstLine="391"/>
        <w:spacing w:after="0" w:line="282" w:lineRule="auto"/>
        <w:tabs>
          <w:tab w:leader="none" w:pos="17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shares of stock, Indebtedness or other obligations of a Subsidiary or any Principal Property existing on the date the notes are initially issued;</w:t>
      </w:r>
    </w:p>
    <w:p>
      <w:pPr>
        <w:spacing w:after="0" w:line="67" w:lineRule="exact"/>
        <w:rPr>
          <w:rFonts w:ascii="Times New Roman" w:cs="Times New Roman" w:eastAsia="Times New Roman" w:hAnsi="Times New Roman"/>
          <w:sz w:val="18"/>
          <w:szCs w:val="18"/>
          <w:color w:val="auto"/>
        </w:rPr>
      </w:pPr>
    </w:p>
    <w:p>
      <w:pPr>
        <w:ind w:left="1080" w:right="340" w:firstLine="391"/>
        <w:spacing w:after="0" w:line="282" w:lineRule="auto"/>
        <w:tabs>
          <w:tab w:leader="none" w:pos="17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shares of stock, Indebtedness or other obligations of a Subsidiary or any Principal Property in favor of Republic Services, Inc. or any Restricted Subsidiary;</w:t>
      </w:r>
    </w:p>
    <w:p>
      <w:pPr>
        <w:spacing w:after="0" w:line="67" w:lineRule="exact"/>
        <w:rPr>
          <w:rFonts w:ascii="Times New Roman" w:cs="Times New Roman" w:eastAsia="Times New Roman" w:hAnsi="Times New Roman"/>
          <w:sz w:val="18"/>
          <w:szCs w:val="18"/>
          <w:color w:val="auto"/>
        </w:rPr>
      </w:pPr>
    </w:p>
    <w:p>
      <w:pPr>
        <w:ind w:left="1080" w:right="1080" w:firstLine="391"/>
        <w:spacing w:after="0" w:line="282" w:lineRule="auto"/>
        <w:tabs>
          <w:tab w:leader="none" w:pos="17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Principal Property being constructed or improved securing loans to finance such construction or improvements;</w:t>
      </w:r>
    </w:p>
    <w:p>
      <w:pPr>
        <w:spacing w:after="0" w:line="67" w:lineRule="exact"/>
        <w:rPr>
          <w:rFonts w:ascii="Times New Roman" w:cs="Times New Roman" w:eastAsia="Times New Roman" w:hAnsi="Times New Roman"/>
          <w:sz w:val="18"/>
          <w:szCs w:val="18"/>
          <w:color w:val="auto"/>
        </w:rPr>
      </w:pPr>
    </w:p>
    <w:p>
      <w:pPr>
        <w:ind w:left="1080" w:right="600" w:firstLine="391"/>
        <w:spacing w:after="0" w:line="282" w:lineRule="auto"/>
        <w:tabs>
          <w:tab w:leader="none" w:pos="17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shares of stock, Indebtedness or other obligations of a Subsidiary or any Principal Property Incurred in connection with the issuance of tax-exempt government obligations; and</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80" w:firstLine="391"/>
        <w:spacing w:after="0" w:line="282" w:lineRule="auto"/>
        <w:tabs>
          <w:tab w:leader="none" w:pos="17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renewal of or substitution for any Lien permitted by any of the preceding clauses (1) through (5), provided, in the case of a Lien permitted under clause (1), (2) or (4), the debt secured is not increased nor the Lien extended to any additional assets.</w:t>
      </w:r>
    </w:p>
    <w:p>
      <w:pPr>
        <w:spacing w:after="0" w:line="67" w:lineRule="exact"/>
        <w:rPr>
          <w:sz w:val="20"/>
          <w:szCs w:val="20"/>
          <w:color w:val="auto"/>
        </w:rPr>
      </w:pPr>
    </w:p>
    <w:p>
      <w:pPr>
        <w:ind w:left="700" w:right="80" w:firstLine="397"/>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Company or any Restricted Subsidiary may create or assume Liens in addition to those permitted by clauses (1) through (6), and renew, extend or replace such Liens, provided that at the time of such creation, assumption, renewal, extension or replacement of such Lien, and after giving effect thereto, together with any sale and leaseback transactions entered into pursuant to the provisions of the applicable indenture described below in the last paragraph under “— Certain Covenants — Limitations on Sale and Leaseback Transactions,” Exempted Debt does not exceed 20% of Consolidated Net Tangible Assets.</w:t>
      </w:r>
    </w:p>
    <w:p>
      <w:pPr>
        <w:spacing w:after="0" w:line="89" w:lineRule="exact"/>
        <w:rPr>
          <w:sz w:val="20"/>
          <w:szCs w:val="20"/>
          <w:color w:val="auto"/>
        </w:rPr>
      </w:pPr>
    </w:p>
    <w:p>
      <w:pPr>
        <w:ind w:left="700" w:right="80" w:firstLine="397"/>
        <w:spacing w:after="0" w:line="258" w:lineRule="auto"/>
        <w:rPr>
          <w:sz w:val="20"/>
          <w:szCs w:val="20"/>
          <w:color w:val="auto"/>
        </w:rPr>
      </w:pPr>
      <w:r>
        <w:rPr>
          <w:rFonts w:ascii="Times New Roman" w:cs="Times New Roman" w:eastAsia="Times New Roman" w:hAnsi="Times New Roman"/>
          <w:sz w:val="18"/>
          <w:szCs w:val="18"/>
          <w:color w:val="auto"/>
        </w:rPr>
        <w:t>For the purposes of this “Restrictions on Liens” covenant and the “Limitation on Sale and Leaseback Transactions” covenant, the giving of a guarantee which is secured by a Lien on any shares of stock, Indebtedness or other obligations of a Subsidiary or any Principal Property, and the creation of a Lien on any shares of stock, Indebtedness or other obligations of a Subsidiary or any Principal Property to secure Indebtedness that existed prior to the creation of such Lien, shall be deemed to involve the creation of Indebtedness in an amount equal to the principal amount guaranteed or secured by such Lien.</w:t>
      </w:r>
    </w:p>
    <w:p>
      <w:pPr>
        <w:spacing w:after="0" w:line="89" w:lineRule="exact"/>
        <w:rPr>
          <w:sz w:val="20"/>
          <w:szCs w:val="20"/>
          <w:color w:val="auto"/>
        </w:rPr>
      </w:pPr>
    </w:p>
    <w:p>
      <w:pPr>
        <w:ind w:left="700" w:right="320" w:firstLine="397"/>
        <w:spacing w:after="0" w:line="282" w:lineRule="auto"/>
        <w:rPr>
          <w:sz w:val="20"/>
          <w:szCs w:val="20"/>
          <w:color w:val="auto"/>
        </w:rPr>
      </w:pPr>
      <w:r>
        <w:rPr>
          <w:rFonts w:ascii="Times New Roman" w:cs="Times New Roman" w:eastAsia="Times New Roman" w:hAnsi="Times New Roman"/>
          <w:sz w:val="18"/>
          <w:szCs w:val="18"/>
          <w:color w:val="auto"/>
        </w:rPr>
        <w:t>Given the size of the Company’s operations, at any given time the Company expects to have very few or no Principal Properties and, accordingly, very few or no Restricted Subsidiaries.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35"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The indentures provide that the Company will not, and will not permit any Restricted Subsidiary to, sell or transfer, directly or indirectly, except to the Company or a Restricted Subsidiary, any Principal Property as an entirety, or any substantial portion thereof, with the intention of taking back a lease of such property, except a lease for a period of two years or less at the end of which it is intended that the use of such property by the lessee will be discontinued; provided that, notwithstanding the foregoing, the Company or any Restricted Subsidiary may sell any such Principal Property and lease it back for a longer period:</w:t>
      </w:r>
    </w:p>
    <w:p>
      <w:pPr>
        <w:spacing w:after="0" w:line="89" w:lineRule="exact"/>
        <w:rPr>
          <w:sz w:val="20"/>
          <w:szCs w:val="20"/>
          <w:color w:val="auto"/>
        </w:rPr>
      </w:pPr>
    </w:p>
    <w:p>
      <w:pPr>
        <w:ind w:left="1080" w:right="100" w:firstLine="391"/>
        <w:spacing w:after="0" w:line="261" w:lineRule="auto"/>
        <w:tabs>
          <w:tab w:leader="none" w:pos="17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such Restricted Subsidiary would be entitled, pursuant to the provisions of the applicable indenture described above under “— Certain Covenants — Restrictions on Liens,” to create a mortgage on the property to be leased securing Funded Debt in an amount equal to the Attributable Debt with respect to such sale and leaseback transaction without equally and ratably securing the outstanding notes; or</w:t>
      </w:r>
    </w:p>
    <w:p>
      <w:pPr>
        <w:spacing w:after="0" w:line="85" w:lineRule="exact"/>
        <w:rPr>
          <w:rFonts w:ascii="Times New Roman" w:cs="Times New Roman" w:eastAsia="Times New Roman" w:hAnsi="Times New Roman"/>
          <w:sz w:val="18"/>
          <w:szCs w:val="18"/>
          <w:color w:val="auto"/>
        </w:rPr>
      </w:pPr>
    </w:p>
    <w:p>
      <w:pPr>
        <w:ind w:left="1080" w:firstLine="391"/>
        <w:spacing w:after="0" w:line="252" w:lineRule="auto"/>
        <w:tabs>
          <w:tab w:leader="none" w:pos="17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promptly informs the applicable trustee of such transaction, the net proceeds of such transaction are at least equal to the fair market value (as determined by board resolution) of such property, and the Company causes an amount equal to the net proceeds of the sale to be applied to the retirement, within 180 days after receipt of such proceeds, of Funded Debt Incurred or assumed by the Company or a Restricted Subsidiary (including the notes); provided further that, in lieu of applying all or any part of such net proceeds to such retirement, the Company may, within 75 days after such sale or transfer, deliver or cause to be delivered to the applicable trustee for cancellation either debentures or notes evidencing Funded Debt of the Company (which may include the notes offered hereby) or of a Restricted Subsidiary previously authenticated and delivered by the applicable trustee, and not theretofore tendered for sinking fund purposes or called for a sinking fund or otherwise applied as a credit against an obligation to redeem or retire such notes or debentures. If the Company so delivers debentures or notes to the applicable trustee and an officer’s certificate to the applicable trustee for the notes, the amount of cash that the Company will be required to apply to the retirement of Funded Debt will be reduced by an amount equal to the aggregate of the then applicable optional redemption prices (not including any optional sinking fund redemption prices) of such debentures or notes, or if there are no such redemption prices, the principal amount of such debentures or notes, provided, that in the case of debentures or notes which provide for an amount less than the principal amount thereof to be due and payable upon a declaration of the maturity thereof, such amount of cash shall be reduced by the amount of principal of such debentures or notes that would be due and payable as of the date of such application upon a declaration of acceleration of the maturity thereof pursuant to the terms of the indenture pursuant to which such debentures or notes were issued; or</w:t>
      </w:r>
    </w:p>
    <w:p>
      <w:pPr>
        <w:spacing w:after="0" w:line="38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80" w:firstLine="391"/>
        <w:spacing w:after="0" w:line="258" w:lineRule="auto"/>
        <w:tabs>
          <w:tab w:leader="none" w:pos="17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within 180 days after the sale or transfer, apply or cause a Restricted Subsidiary to apply an amount equal to the greater of the net proceeds of such sale or transfer or the fair market value of the Principal Property (or portion thereof) so sold and leased back at the time of entering into such sale and leaseback transaction (in either case as determined by board resolution) to purchase other Principal Property having a fair market value at least equal to the fair market value of the Principal Property (or portion thereof) sold or transferred in such sale and leaseback transaction.</w:t>
      </w:r>
    </w:p>
    <w:p>
      <w:pPr>
        <w:spacing w:after="0" w:line="89" w:lineRule="exact"/>
        <w:rPr>
          <w:sz w:val="20"/>
          <w:szCs w:val="20"/>
          <w:color w:val="auto"/>
        </w:rPr>
      </w:pPr>
    </w:p>
    <w:p>
      <w:pPr>
        <w:ind w:left="700" w:right="180" w:firstLine="397"/>
        <w:spacing w:after="0" w:line="277" w:lineRule="auto"/>
        <w:rPr>
          <w:sz w:val="20"/>
          <w:szCs w:val="20"/>
          <w:color w:val="auto"/>
        </w:rPr>
      </w:pPr>
      <w:r>
        <w:rPr>
          <w:rFonts w:ascii="Times New Roman" w:cs="Times New Roman" w:eastAsia="Times New Roman" w:hAnsi="Times New Roman"/>
          <w:sz w:val="17"/>
          <w:szCs w:val="17"/>
          <w:color w:val="auto"/>
        </w:rPr>
        <w:t>Notwithstanding the foregoing, the Company or any Restricted Subsidiary may enter into sale and leaseback transactions in addition to those permitted in the foregoing paragraph and without any obligation to retire any outstanding notes or other Funded Debt, provided that at the time of entering into such sale and leaseback transactions and after giving effect thereto, together with any Liens created, assumed or otherwise incurred pursuant to the provisions of the applicable indenture described above in the third paragraph under “— Certain Covenants — Restrictions on Liens,” Exempted Debt does not exceed 20% of Consolidated Net Tangible Assets.</w:t>
      </w:r>
    </w:p>
    <w:p>
      <w:pPr>
        <w:spacing w:after="0" w:line="1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135" w:lineRule="exact"/>
        <w:rPr>
          <w:sz w:val="20"/>
          <w:szCs w:val="20"/>
          <w:color w:val="auto"/>
        </w:rPr>
      </w:pPr>
    </w:p>
    <w:p>
      <w:pPr>
        <w:ind w:left="700" w:right="120" w:firstLine="397"/>
        <w:spacing w:after="0" w:line="282" w:lineRule="auto"/>
        <w:rPr>
          <w:sz w:val="20"/>
          <w:szCs w:val="20"/>
          <w:color w:val="auto"/>
        </w:rPr>
      </w:pPr>
      <w:r>
        <w:rPr>
          <w:rFonts w:ascii="Times New Roman" w:cs="Times New Roman" w:eastAsia="Times New Roman" w:hAnsi="Times New Roman"/>
          <w:sz w:val="18"/>
          <w:szCs w:val="18"/>
          <w:color w:val="auto"/>
        </w:rPr>
        <w:t>Set forth below are certain defined terms used in the indentures. Reference is made to the applicable indenture for a full disclosure of all such terms, as well as any other capitalized terms used herein for which no definition is provided.</w:t>
      </w:r>
    </w:p>
    <w:p>
      <w:pPr>
        <w:spacing w:after="0" w:line="65" w:lineRule="exact"/>
        <w:rPr>
          <w:sz w:val="20"/>
          <w:szCs w:val="20"/>
          <w:color w:val="auto"/>
        </w:rPr>
      </w:pPr>
    </w:p>
    <w:p>
      <w:pPr>
        <w:ind w:left="700" w:right="120"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“Attributable Debt” </w:t>
      </w:r>
      <w:r>
        <w:rPr>
          <w:rFonts w:ascii="Times New Roman" w:cs="Times New Roman" w:eastAsia="Times New Roman" w:hAnsi="Times New Roman"/>
          <w:sz w:val="18"/>
          <w:szCs w:val="18"/>
          <w:color w:val="auto"/>
        </w:rPr>
        <w:t>means, when used in connection with a sale and leaseback transaction, at any date of determination,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of (1) the net proceeds from such sale and leaseback transaction multiplied by (2) a fraction, the numerator of which is the number of full years of the term of the lease relating to the property involved in such sale and leaseback transaction (without regard to any options to renew or extend such term) remaining at the date of the making of such computation and the denominator of which is the number of full years of the term of such lease measured from the first day of such term.</w:t>
      </w:r>
    </w:p>
    <w:p>
      <w:pPr>
        <w:spacing w:after="0" w:line="85" w:lineRule="exact"/>
        <w:rPr>
          <w:sz w:val="20"/>
          <w:szCs w:val="20"/>
          <w:color w:val="auto"/>
        </w:rPr>
      </w:pPr>
    </w:p>
    <w:p>
      <w:pPr>
        <w:ind w:left="700" w:firstLine="39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Stock” </w:t>
      </w:r>
      <w:r>
        <w:rPr>
          <w:rFonts w:ascii="Times New Roman" w:cs="Times New Roman" w:eastAsia="Times New Roman" w:hAnsi="Times New Roman"/>
          <w:sz w:val="18"/>
          <w:szCs w:val="18"/>
          <w:color w:val="auto"/>
        </w:rPr>
        <w:t>means, with respect to any Person, any and all shares, interests, rights to purchase, warrants, options, participations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equivalents of or interests (including partnership interests) in (however designated) the equity of such Person, including any preferred stock, but excluding any debt securities convertible into such equity.</w:t>
      </w:r>
    </w:p>
    <w:p>
      <w:pPr>
        <w:spacing w:after="0" w:line="79"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“Consolidated Net Tangible Assets” </w:t>
      </w:r>
      <w:r>
        <w:rPr>
          <w:rFonts w:ascii="Times New Roman" w:cs="Times New Roman" w:eastAsia="Times New Roman" w:hAnsi="Times New Roman"/>
          <w:sz w:val="18"/>
          <w:szCs w:val="18"/>
          <w:color w:val="auto"/>
        </w:rPr>
        <w:t>means, as of any date, the total amount of assets of Republic Services, Inc. and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consolidated basis (less applicable reserves and other properly deductible items) after deducting therefrom (1) all current liabilities (excluding any current liabilities which are by their terms extendible or renewable at the option of the obligor thereon to a time more than 12 months after the time as of which the amount thereof is being computed or which are supported by other borrowings with a maturity of more than 12 months from the date of calculation), (2) all goodwill, trade names, trademarks, patents, unamortized debt discount and expense and other like intangibles and (3) appropriate adjustments on account of minority interests of other Persons holding stock of Republic Services, Inc.’s Subsidiaries, all as set forth on the most recent balance sheet of Republic Services, Inc. and its consolidated Subsidiaries (but, in any event, as of a date within 120 days of the date of determination), in each case excluding intercompany items and computed in accordance with generally accepted accounting principles.</w:t>
      </w:r>
    </w:p>
    <w:p>
      <w:pPr>
        <w:spacing w:after="0" w:line="95"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“Exempted Debt” </w:t>
      </w:r>
      <w:r>
        <w:rPr>
          <w:rFonts w:ascii="Times New Roman" w:cs="Times New Roman" w:eastAsia="Times New Roman" w:hAnsi="Times New Roman"/>
          <w:sz w:val="18"/>
          <w:szCs w:val="18"/>
          <w:color w:val="auto"/>
        </w:rPr>
        <w:t>means the sum, without duplication, of the following items outstanding as of the date Exempted Debt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with respect to each series of notes: (1) Indebtedness of Republic Services, Inc. and the Restricted Subsidiaries Incurred after the date of the applicable supplemental indenture and secured by Liens created, assumed or otherwise Incurred or permitted to exist pursuant to the provisions of the applicable indenture described above under “— Certain Covenants — Restrictions on Liens” and</w:t>
      </w:r>
    </w:p>
    <w:p>
      <w:pPr>
        <w:spacing w:after="0" w:line="2" w:lineRule="exact"/>
        <w:rPr>
          <w:sz w:val="20"/>
          <w:szCs w:val="20"/>
          <w:color w:val="auto"/>
        </w:rPr>
      </w:pPr>
    </w:p>
    <w:p>
      <w:pPr>
        <w:ind w:left="700" w:right="280" w:hanging="7"/>
        <w:spacing w:after="0" w:line="255" w:lineRule="auto"/>
        <w:tabs>
          <w:tab w:leader="none" w:pos="9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Debt of Republic Services, Inc. and the Restricted Subsidiaries in respect of all sale and leaseback transactions with regard to any Principal Property entered into pursuant to the provisions of the applicable indenture described above under “— Certain Covenants — Limitation on Sale and Leaseback Transactions.”</w:t>
      </w:r>
    </w:p>
    <w:p>
      <w:pPr>
        <w:spacing w:after="0" w:line="90" w:lineRule="exact"/>
        <w:rPr>
          <w:sz w:val="20"/>
          <w:szCs w:val="20"/>
          <w:color w:val="auto"/>
        </w:rPr>
      </w:pPr>
    </w:p>
    <w:p>
      <w:pPr>
        <w:ind w:left="700" w:right="20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“Funded Debt” </w:t>
      </w:r>
      <w:r>
        <w:rPr>
          <w:rFonts w:ascii="Times New Roman" w:cs="Times New Roman" w:eastAsia="Times New Roman" w:hAnsi="Times New Roman"/>
          <w:sz w:val="18"/>
          <w:szCs w:val="18"/>
          <w:color w:val="auto"/>
        </w:rPr>
        <w:t>means all Indebtedness for borrowed money, including purchase money indebtedness, having a maturity of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one year from the date of its creation or having a maturity of less than one year but by its</w:t>
      </w:r>
    </w:p>
    <w:p>
      <w:pPr>
        <w:spacing w:after="0" w:line="34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terms being renewable or extendible, at the option of the obligor in respect thereof, beyond one year from its creation.</w:t>
      </w:r>
    </w:p>
    <w:p>
      <w:pPr>
        <w:spacing w:after="0" w:line="129" w:lineRule="exact"/>
        <w:rPr>
          <w:sz w:val="20"/>
          <w:szCs w:val="20"/>
          <w:color w:val="auto"/>
        </w:rPr>
      </w:pPr>
    </w:p>
    <w:p>
      <w:pPr>
        <w:ind w:left="700" w:right="76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“Incur” </w:t>
      </w:r>
      <w:r>
        <w:rPr>
          <w:rFonts w:ascii="Times New Roman" w:cs="Times New Roman" w:eastAsia="Times New Roman" w:hAnsi="Times New Roman"/>
          <w:sz w:val="18"/>
          <w:szCs w:val="18"/>
          <w:color w:val="auto"/>
        </w:rPr>
        <w:t>means to issue, assume, guarantee, incur or otherwise become liable for. The terms “Incurred,” “Incurrence”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“Incurring” shall each have a correlative meaning.</w:t>
      </w:r>
    </w:p>
    <w:p>
      <w:pPr>
        <w:spacing w:after="0" w:line="64" w:lineRule="exact"/>
        <w:rPr>
          <w:sz w:val="20"/>
          <w:szCs w:val="20"/>
          <w:color w:val="auto"/>
        </w:rPr>
      </w:pPr>
    </w:p>
    <w:p>
      <w:pPr>
        <w:ind w:left="700" w:right="280" w:firstLine="397"/>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“Indebtedness” </w:t>
      </w:r>
      <w:r>
        <w:rPr>
          <w:rFonts w:ascii="Times New Roman" w:cs="Times New Roman" w:eastAsia="Times New Roman" w:hAnsi="Times New Roman"/>
          <w:sz w:val="17"/>
          <w:szCs w:val="17"/>
          <w:color w:val="auto"/>
        </w:rPr>
        <w:t>means with respect to any Person at any date of determination (without duplication), indebtedness for borrowed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money or indebtedness evidenced by bonds, notes, debentures or other similar instruments given to finance the acquisition of any businesses, properties or assets of any kind (including, without limitation, Capital Stock or other equity interests in any Person).</w:t>
      </w:r>
    </w:p>
    <w:p>
      <w:pPr>
        <w:spacing w:after="0" w:line="61" w:lineRule="exact"/>
        <w:rPr>
          <w:sz w:val="20"/>
          <w:szCs w:val="20"/>
          <w:color w:val="auto"/>
        </w:rPr>
      </w:pPr>
    </w:p>
    <w:p>
      <w:pPr>
        <w:ind w:left="700" w:firstLine="39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“Lien” </w:t>
      </w:r>
      <w:r>
        <w:rPr>
          <w:rFonts w:ascii="Times New Roman" w:cs="Times New Roman" w:eastAsia="Times New Roman" w:hAnsi="Times New Roman"/>
          <w:sz w:val="18"/>
          <w:szCs w:val="18"/>
          <w:color w:val="auto"/>
        </w:rPr>
        <w:t>with respect to any property or assets, means any mortgage or deed of trust, pledge, hypothecation, assignment,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security interest, lien, charge, easement (other than any easement not materially impairing usefulness or marketability), encumbrance, preference, priority or other security agreement or preferential arrangement of any kind or nature whatsoever on or with respect to such property or assets (including, without limitation, any conditional sale or other title retention agreement having substantially the same economic effect as any of the foregoing), but not including the interest of a lessor under a lease that is an operating lease under generally accepted accounting principles.</w:t>
      </w:r>
    </w:p>
    <w:p>
      <w:pPr>
        <w:spacing w:after="0" w:line="88"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land, land improvements or building, together with the land upon which it is erected and fixtures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comprising a part thereof, in each case, owned or leased by the Company or any Restricted Subsidiary and located in the United States, the gross book value (without deduction of any reserve for depreciation) of which on the date as of which the determination is being made is an amount which exceeds 2% of Consolidated Net Tangible Assets but not including such land, land improvements, buildings or portions thereof which is financed through the issuance of tax-exempt governmental obligations, or any such property that has been determined by a board resolution not to be of material importance to the respective businesses conducted by the Company or such Restricted Subsidiary effective as of the date such resolution is adopted by the Company’s board of directors.</w:t>
      </w:r>
    </w:p>
    <w:p>
      <w:pPr>
        <w:spacing w:after="0" w:line="89" w:lineRule="exact"/>
        <w:rPr>
          <w:sz w:val="20"/>
          <w:szCs w:val="20"/>
          <w:color w:val="auto"/>
        </w:rPr>
      </w:pPr>
    </w:p>
    <w:p>
      <w:pPr>
        <w:ind w:left="700" w:right="4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Subsidiary” </w:t>
      </w:r>
      <w:r>
        <w:rPr>
          <w:rFonts w:ascii="Times New Roman" w:cs="Times New Roman" w:eastAsia="Times New Roman" w:hAnsi="Times New Roman"/>
          <w:sz w:val="18"/>
          <w:szCs w:val="18"/>
          <w:color w:val="auto"/>
        </w:rPr>
        <w:t>means any Subsidiary which, at the time of determination, owns or is a lessee pursuant to a capital lease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Principal Property.</w:t>
      </w:r>
    </w:p>
    <w:p>
      <w:pPr>
        <w:spacing w:after="0" w:line="64" w:lineRule="exact"/>
        <w:rPr>
          <w:sz w:val="20"/>
          <w:szCs w:val="20"/>
          <w:color w:val="auto"/>
        </w:rPr>
      </w:pPr>
    </w:p>
    <w:p>
      <w:pPr>
        <w:ind w:left="700" w:right="4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of a Person means, with respect to any Person, any corporation, association, partnership or other business entity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at least a majority of the total voting power of the Capital Stock entitled (without regard to the occurrence of any contingency) to vote in the election of directors, managers or trustees thereof is at the time owned or controlled, directly or indirectly, by (1) such Person, (2) such Person and one or more Subsidiaries of such Person or (3) one or more Subsidiaries of such Person.</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Consolidation, Merger or Sale of Substantially All Assets</w:t>
      </w:r>
    </w:p>
    <w:p>
      <w:pPr>
        <w:spacing w:after="0" w:line="135"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The Company may consolidate or merge with, or sell all or substantially all of the Company’s assets to, another corporation as long as the surviving corporation is organized under the laws of the United States or any state thereof or the District of Columbia and the consolidation, merger or sale does not create a default under the applicable indenture. The remaining or acquiring corporation must assume all of the Company’s responsibilities and liabilities under the applicable indenture, including the payment of all amounts due on the notes and performance of the covenants. Under these circumstances, if the Company’s properties or assets become subject to a Lien not permitted by the applicable indenture, the Company will equally and ratably secure the notes.</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Filing of Financial Statements</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indentures require the Company to file quarterly and annual financial statements with the SEC.</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An event of default under the applicable indenture with respect to any series of notes includes the following:</w:t>
      </w:r>
    </w:p>
    <w:p>
      <w:pPr>
        <w:spacing w:after="0" w:line="131" w:lineRule="exact"/>
        <w:rPr>
          <w:sz w:val="20"/>
          <w:szCs w:val="20"/>
          <w:color w:val="auto"/>
        </w:rPr>
      </w:pPr>
    </w:p>
    <w:p>
      <w:pPr>
        <w:ind w:left="1300" w:hanging="202"/>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the notes of that series for 30 days;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on the notes of that series when due;</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300" w:right="120" w:hanging="202"/>
        <w:spacing w:after="0" w:line="261"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of the other covenants or agreements in the applicable indenture relating to the notes of that series that continues for 60 days after notice to the Company by the applicable trustee or holders of at least 25% in principal amount of the notes of that series then outstanding (for purposes of the financial statement reporting covenant, the 60-day grace period will be extended to 365 days);</w:t>
      </w:r>
    </w:p>
    <w:p>
      <w:pPr>
        <w:spacing w:after="0" w:line="71" w:lineRule="exact"/>
        <w:rPr>
          <w:rFonts w:ascii="Times New Roman" w:cs="Times New Roman" w:eastAsia="Times New Roman" w:hAnsi="Times New Roman"/>
          <w:sz w:val="18"/>
          <w:szCs w:val="18"/>
          <w:color w:val="auto"/>
        </w:rPr>
      </w:pPr>
    </w:p>
    <w:p>
      <w:pPr>
        <w:ind w:left="1300" w:right="200" w:hanging="202"/>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any Indebtedness of the Company or any Restricted Subsidiary having an aggregate principal amount outstanding of at least $25.0 million that continues for 25 days after notice to the Company by the applicable trustee or holders of at least 25% in principal amount of the notes of that series then outstanding; or</w:t>
      </w:r>
    </w:p>
    <w:p>
      <w:pPr>
        <w:spacing w:after="0" w:line="68"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relating to the Company or any Restricted Subsidiary.</w:t>
      </w:r>
    </w:p>
    <w:p>
      <w:pPr>
        <w:spacing w:after="0" w:line="131" w:lineRule="exact"/>
        <w:rPr>
          <w:sz w:val="20"/>
          <w:szCs w:val="20"/>
          <w:color w:val="auto"/>
        </w:rPr>
      </w:pPr>
    </w:p>
    <w:p>
      <w:pPr>
        <w:ind w:left="700" w:right="20" w:firstLine="397"/>
        <w:spacing w:after="0" w:line="282" w:lineRule="auto"/>
        <w:rPr>
          <w:sz w:val="20"/>
          <w:szCs w:val="20"/>
          <w:color w:val="auto"/>
        </w:rPr>
      </w:pPr>
      <w:r>
        <w:rPr>
          <w:rFonts w:ascii="Times New Roman" w:cs="Times New Roman" w:eastAsia="Times New Roman" w:hAnsi="Times New Roman"/>
          <w:sz w:val="18"/>
          <w:szCs w:val="18"/>
          <w:color w:val="auto"/>
        </w:rPr>
        <w:t>The indentures provide that the applicable trustee will, with certain exceptions, notify the holders of notes of the applicable series of any event of default known to it with respect to the notes of that series within 90 days after the occurrence of such event.</w:t>
      </w:r>
    </w:p>
    <w:p>
      <w:pPr>
        <w:spacing w:after="0" w:line="67"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If an event of default (other than with respect to certain events of bankruptcy, insolvency or reorganization) occurs and is continuing with respect to the notes of any series, the applicable trustee or the holders of not less than 25% in principal amount of the notes of that series then outstanding may declare the principal amount to be due and payable. In that case, subject to certain conditions, the holders of a majority in principal amount of the notes of that series then outstanding can rescind and annul such declaration and its consequences. If an event of default with respect to certain events of bankruptcy, insolvency or reorganization occurs and is continuing, then all of the notes will ipso facto become and be due and payable immediately in an amount equal to the principal amount of the notes, together with accrued and unpaid interest, if any, to the date the notes become due and payable, without any declaration or other act on the part of the applicable trustee or any holder.</w:t>
      </w:r>
    </w:p>
    <w:p>
      <w:pPr>
        <w:spacing w:after="0" w:line="91"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In the event of a declaration of acceleration because an event of default related to the failure to pay when due any Indebtedness having an aggregate principal amount outstanding of at least $25.0 million has occurred and is continuing, such declaration of acceleration shall be automatically rescinded and annulled if the default triggering such event of default shall be remedied or cured by the Company or the relevant Subsidiary or waived by the holders of the relevant Indebtedness within 60 days after the declaration of acceleration with respect thereto.</w:t>
      </w:r>
    </w:p>
    <w:p>
      <w:pPr>
        <w:spacing w:after="0" w:line="89" w:lineRule="exact"/>
        <w:rPr>
          <w:sz w:val="20"/>
          <w:szCs w:val="20"/>
          <w:color w:val="auto"/>
        </w:rPr>
      </w:pPr>
    </w:p>
    <w:p>
      <w:pPr>
        <w:ind w:left="700" w:right="60" w:firstLine="397"/>
        <w:spacing w:after="0" w:line="255" w:lineRule="auto"/>
        <w:rPr>
          <w:sz w:val="20"/>
          <w:szCs w:val="20"/>
          <w:color w:val="auto"/>
        </w:rPr>
      </w:pPr>
      <w:r>
        <w:rPr>
          <w:rFonts w:ascii="Times New Roman" w:cs="Times New Roman" w:eastAsia="Times New Roman" w:hAnsi="Times New Roman"/>
          <w:sz w:val="18"/>
          <w:szCs w:val="18"/>
          <w:color w:val="auto"/>
        </w:rPr>
        <w:t>The Company is required to file an annual officers’ certificate with the applicable trustee concerning the Company’s compliance with the applicable indenture. Subject to the provisions of the applicable indenture relating to the duties of the trustee, the applicable trustee is not obligated to exercise any of its rights or powers at the request or direction of any of the holders unless they have offered the applicable trustee security or indemnity satisfactory to the applicable trustee. If the holders provide security or indemnity satisfactory to the applicable trustee, the holders of a majority in principal amount of the outstanding notes of the applicable series during an event of default may direct the time, method and place of conducting any proceeding for any remedy available to the applicable trustee under the applicable indenture or exercising any of the applicable trustee’s trusts or powers with respect to the notes.</w:t>
      </w:r>
    </w:p>
    <w:p>
      <w:pPr>
        <w:spacing w:after="0" w:line="95" w:lineRule="exact"/>
        <w:rPr>
          <w:sz w:val="20"/>
          <w:szCs w:val="20"/>
          <w:color w:val="auto"/>
        </w:rPr>
      </w:pPr>
    </w:p>
    <w:p>
      <w:pPr>
        <w:ind w:left="700" w:right="120" w:firstLine="397"/>
        <w:spacing w:after="0" w:line="256" w:lineRule="auto"/>
        <w:rPr>
          <w:sz w:val="20"/>
          <w:szCs w:val="20"/>
          <w:color w:val="auto"/>
        </w:rPr>
      </w:pPr>
      <w:r>
        <w:rPr>
          <w:rFonts w:ascii="Times New Roman" w:cs="Times New Roman" w:eastAsia="Times New Roman" w:hAnsi="Times New Roman"/>
          <w:sz w:val="18"/>
          <w:szCs w:val="18"/>
          <w:color w:val="auto"/>
        </w:rPr>
        <w:t>Prior to the acceleration of the maturity of the notes of any series, the holders of not less than a majority in aggregate principal amount of the outstanding notes of that series may on behalf of the holders of all outstanding notes of that series waive any past default or event of default and its consequences, except a default or event of default (a) in the payment of the principal of, premium, if any, or interest on any note of that series (which may only be waived with the consent of each holder of notes affected) or (b) in respect of a covenant or a provision of the applicable indenture which cannot be modified or amended without the consent of the holder of each note outstanding affected by such modification or amendment.</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Modification and Amendment of the Indentures</w:t>
      </w:r>
    </w:p>
    <w:p>
      <w:pPr>
        <w:spacing w:after="0" w:line="135" w:lineRule="exact"/>
        <w:rPr>
          <w:sz w:val="20"/>
          <w:szCs w:val="20"/>
          <w:color w:val="auto"/>
        </w:rPr>
      </w:pPr>
    </w:p>
    <w:p>
      <w:pPr>
        <w:ind w:left="700" w:right="340" w:firstLine="397"/>
        <w:spacing w:after="0" w:line="282" w:lineRule="auto"/>
        <w:rPr>
          <w:sz w:val="20"/>
          <w:szCs w:val="20"/>
          <w:color w:val="auto"/>
        </w:rPr>
      </w:pPr>
      <w:r>
        <w:rPr>
          <w:rFonts w:ascii="Times New Roman" w:cs="Times New Roman" w:eastAsia="Times New Roman" w:hAnsi="Times New Roman"/>
          <w:sz w:val="18"/>
          <w:szCs w:val="18"/>
          <w:color w:val="auto"/>
        </w:rPr>
        <w:t>The Company and the guarantors may enter into supplemental indentures to the applicable indenture with the applicable trustee without the consent of the holders of the notes to, among other things:</w:t>
      </w:r>
    </w:p>
    <w:p>
      <w:pPr>
        <w:spacing w:after="0" w:line="67" w:lineRule="exact"/>
        <w:rPr>
          <w:sz w:val="20"/>
          <w:szCs w:val="20"/>
          <w:color w:val="auto"/>
        </w:rPr>
      </w:pPr>
    </w:p>
    <w:p>
      <w:pPr>
        <w:ind w:left="1300" w:hanging="202"/>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assumption by a successor corporation of the Company’s obligations;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for the protection of the holders of the notes of any series;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new series of securities under the applicable indenture;</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inconsistency in the applicable indenture;</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or security;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holders of the notes.</w:t>
      </w:r>
    </w:p>
    <w:p>
      <w:pPr>
        <w:spacing w:after="0" w:line="131" w:lineRule="exact"/>
        <w:rPr>
          <w:sz w:val="20"/>
          <w:szCs w:val="20"/>
          <w:color w:val="auto"/>
        </w:rPr>
      </w:pPr>
    </w:p>
    <w:p>
      <w:pPr>
        <w:ind w:left="700" w:right="160" w:firstLine="397"/>
        <w:spacing w:after="0" w:line="289" w:lineRule="auto"/>
        <w:rPr>
          <w:sz w:val="20"/>
          <w:szCs w:val="20"/>
          <w:color w:val="auto"/>
        </w:rPr>
      </w:pPr>
      <w:r>
        <w:rPr>
          <w:rFonts w:ascii="Times New Roman" w:cs="Times New Roman" w:eastAsia="Times New Roman" w:hAnsi="Times New Roman"/>
          <w:sz w:val="17"/>
          <w:szCs w:val="17"/>
          <w:color w:val="auto"/>
        </w:rPr>
        <w:t>With the consent of the holders of a majority in principal amount of the notes of any series then outstanding and affected, the Company and the guarantors may execute supplemental indentures with the applicable trustee to add provisions or change or eliminate any provision of the applicable indenture or any supplemental indenture or to modify the rights of the holders of the notes so affected.</w:t>
      </w:r>
    </w:p>
    <w:p>
      <w:pPr>
        <w:spacing w:after="0" w:line="64" w:lineRule="exact"/>
        <w:rPr>
          <w:sz w:val="20"/>
          <w:szCs w:val="20"/>
          <w:color w:val="auto"/>
        </w:rPr>
      </w:pPr>
    </w:p>
    <w:p>
      <w:pPr>
        <w:ind w:left="700" w:right="460" w:firstLine="397"/>
        <w:spacing w:after="0" w:line="282" w:lineRule="auto"/>
        <w:rPr>
          <w:sz w:val="20"/>
          <w:szCs w:val="20"/>
          <w:color w:val="auto"/>
        </w:rPr>
      </w:pPr>
      <w:r>
        <w:rPr>
          <w:rFonts w:ascii="Times New Roman" w:cs="Times New Roman" w:eastAsia="Times New Roman" w:hAnsi="Times New Roman"/>
          <w:sz w:val="18"/>
          <w:szCs w:val="18"/>
          <w:color w:val="auto"/>
        </w:rPr>
        <w:t>Without the consent of the holders of each outstanding note of a series affected, no supplemental indenture will, among other things:</w:t>
      </w:r>
    </w:p>
    <w:p>
      <w:pPr>
        <w:spacing w:after="0" w:line="67" w:lineRule="exact"/>
        <w:rPr>
          <w:sz w:val="20"/>
          <w:szCs w:val="20"/>
          <w:color w:val="auto"/>
        </w:rPr>
      </w:pPr>
    </w:p>
    <w:p>
      <w:pPr>
        <w:ind w:left="1300" w:right="20" w:hanging="202"/>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notes of that series, the consent of the holders of which is required for any such supplemental indenture;</w:t>
      </w:r>
    </w:p>
    <w:p>
      <w:pPr>
        <w:spacing w:after="0" w:line="53" w:lineRule="exact"/>
        <w:rPr>
          <w:rFonts w:ascii="Times New Roman" w:cs="Times New Roman" w:eastAsia="Times New Roman" w:hAnsi="Times New Roman"/>
          <w:sz w:val="18"/>
          <w:szCs w:val="18"/>
          <w:color w:val="auto"/>
        </w:rPr>
      </w:pPr>
    </w:p>
    <w:p>
      <w:pPr>
        <w:ind w:left="1300" w:hanging="202"/>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notes of that series or their interest rate or change the stated maturity of or extend the time for payment of interest on the notes of that series;</w:t>
      </w:r>
    </w:p>
    <w:p>
      <w:pPr>
        <w:spacing w:after="0" w:line="53" w:lineRule="exact"/>
        <w:rPr>
          <w:rFonts w:ascii="Times New Roman" w:cs="Times New Roman" w:eastAsia="Times New Roman" w:hAnsi="Times New Roman"/>
          <w:sz w:val="18"/>
          <w:szCs w:val="18"/>
          <w:color w:val="auto"/>
        </w:rPr>
      </w:pPr>
    </w:p>
    <w:p>
      <w:pPr>
        <w:ind w:left="1300" w:right="80" w:hanging="202"/>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premium payable upon redemption of the notes of that series or change the time when the notes of that series may or shall be redeemed;</w:t>
      </w:r>
    </w:p>
    <w:p>
      <w:pPr>
        <w:spacing w:after="0" w:line="53" w:lineRule="exact"/>
        <w:rPr>
          <w:rFonts w:ascii="Times New Roman" w:cs="Times New Roman" w:eastAsia="Times New Roman" w:hAnsi="Times New Roman"/>
          <w:sz w:val="18"/>
          <w:szCs w:val="18"/>
          <w:color w:val="auto"/>
        </w:rPr>
      </w:pPr>
    </w:p>
    <w:p>
      <w:pPr>
        <w:ind w:left="1300" w:right="180" w:hanging="202"/>
        <w:spacing w:after="0" w:line="26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change or modify the Company’s obligation to make and consummate a Change of Control Offer in the event of a Change of Control Triggering Event in accordance with “— Change of Control Triggering Event” above after such Change of Control Triggering Event has occurred, including amending, changing or modifying any definition related thereto;</w:t>
      </w:r>
    </w:p>
    <w:p>
      <w:pPr>
        <w:spacing w:after="0" w:line="68"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the notes of that series;</w:t>
      </w:r>
    </w:p>
    <w:p>
      <w:pPr>
        <w:spacing w:after="0" w:line="117" w:lineRule="exact"/>
        <w:rPr>
          <w:rFonts w:ascii="Times New Roman" w:cs="Times New Roman" w:eastAsia="Times New Roman" w:hAnsi="Times New Roman"/>
          <w:sz w:val="18"/>
          <w:szCs w:val="18"/>
          <w:color w:val="auto"/>
        </w:rPr>
      </w:pPr>
    </w:p>
    <w:p>
      <w:pPr>
        <w:ind w:left="1300" w:hanging="202"/>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notes of that series required for waiver of compliance with certain provisions of the applicable indenture or certain defaults; or</w:t>
      </w:r>
    </w:p>
    <w:p>
      <w:pPr>
        <w:spacing w:after="0" w:line="53" w:lineRule="exact"/>
        <w:rPr>
          <w:rFonts w:ascii="Times New Roman" w:cs="Times New Roman" w:eastAsia="Times New Roman" w:hAnsi="Times New Roman"/>
          <w:sz w:val="18"/>
          <w:szCs w:val="18"/>
          <w:color w:val="auto"/>
        </w:rPr>
      </w:pPr>
    </w:p>
    <w:p>
      <w:pPr>
        <w:ind w:left="1300" w:right="240" w:hanging="202"/>
        <w:spacing w:after="0" w:line="26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provisions with respect to modification and waiver, except to increase the percentage required for any modification or waiver or to provide that other provisions of the applicable indenture may not be modified or waived without your consent.</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135"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At the option of the Company, the Company (1) will be discharged from all obligations under the applicable indenture in respect of the notes of any series (except for certain obligations to exchange or register the transfer of the notes of that series, replace stolen, lost or mutilated notes of that series, maintain paying agencies and hold monies for payment in trust) or (2) need not comply with certain restrictive covenants of the applicable indenture (including the restrictions on Liens, the limitations on sale and lease back transactions and the requirement to make a Change of Control Offer) with respect to the notes of that series, in each case if the Company deposits with the applicable trustee, in trust, money or U.S. government obligations (or a combination thereof) sufficient to pay the principal of and any premium or interest on the notes of that series when due. In order to select option (1) above, the Company must provide the trustee with an opinion of counsel stating that (a) the Company received from, or there has been published by, the Internal Revenue Service a ruling or (b) since the date of the applicable indenture, there has been a change in the applicable federal income tax law, in either case to the effect that and based thereon such opinion of counsel shall confirm that, the holders and beneficial owners of the notes of that series will not recognize income, gain or loss for federal income tax purposes as a result of such defeasance and will be subject to federal income tax on the same amounts, in the same manner and at the same times as would have been the case if such defeasance had not occurred. In order to select option (2) above, the Company must provide the applicable trustee with an opinion of counsel to the effect that the holders and beneficial owners of the notes of that series will not recognize income, gain or loss for federal income tax purposes as a result of such covenant defeasance and will be</w:t>
      </w:r>
    </w:p>
    <w:p>
      <w:pPr>
        <w:spacing w:after="0" w:line="38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580"/>
        <w:spacing w:after="0" w:line="282" w:lineRule="auto"/>
        <w:rPr>
          <w:sz w:val="20"/>
          <w:szCs w:val="20"/>
          <w:color w:val="auto"/>
        </w:rPr>
      </w:pPr>
      <w:r>
        <w:rPr>
          <w:rFonts w:ascii="Times New Roman" w:cs="Times New Roman" w:eastAsia="Times New Roman" w:hAnsi="Times New Roman"/>
          <w:sz w:val="18"/>
          <w:szCs w:val="18"/>
          <w:color w:val="auto"/>
        </w:rPr>
        <w:t>subject to federal income tax on the same amounts, in the same manner and at the same times as would have been the case if such covenant defeasance had not occurred.</w:t>
      </w:r>
    </w:p>
    <w:p>
      <w:pPr>
        <w:spacing w:after="0" w:line="67" w:lineRule="exact"/>
        <w:rPr>
          <w:sz w:val="20"/>
          <w:szCs w:val="20"/>
          <w:color w:val="auto"/>
        </w:rPr>
      </w:pPr>
    </w:p>
    <w:p>
      <w:pPr>
        <w:ind w:left="700" w:right="60" w:firstLine="397"/>
        <w:spacing w:after="0" w:line="258" w:lineRule="auto"/>
        <w:rPr>
          <w:sz w:val="20"/>
          <w:szCs w:val="20"/>
          <w:color w:val="auto"/>
        </w:rPr>
      </w:pPr>
      <w:r>
        <w:rPr>
          <w:rFonts w:ascii="Times New Roman" w:cs="Times New Roman" w:eastAsia="Times New Roman" w:hAnsi="Times New Roman"/>
          <w:sz w:val="18"/>
          <w:szCs w:val="18"/>
          <w:color w:val="auto"/>
        </w:rPr>
        <w:t>In the event the Company exercises its option under (2) above with respect to the notes of any series and the notes of that series are declared due and payable because of the occurrence of any event of default other than default with respect to such obligations, the amount of money and U.S. government obligations on deposit with the applicable trustee will be sufficient to pay amounts due on the notes of that series at the time of their stated maturity but may not be sufficient to pay amounts due on the notes of that series at the time of the acceleration resulting from such event of default. The Company would remain liable, however, for such amounts.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applicable indenture will be discharged as to all outstanding notes when:</w:t>
      </w:r>
    </w:p>
    <w:p>
      <w:pPr>
        <w:spacing w:after="0" w:line="131" w:lineRule="exact"/>
        <w:rPr>
          <w:sz w:val="20"/>
          <w:szCs w:val="20"/>
          <w:color w:val="auto"/>
        </w:rPr>
      </w:pPr>
    </w:p>
    <w:p>
      <w:pPr>
        <w:ind w:left="1300" w:right="40" w:hanging="202"/>
        <w:spacing w:after="0" w:line="255"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all of the notes authenticated and delivered (other than (i) lost, stolen or destroyed notes which have been replaced or paid in accordance with the applicable indenture or (ii) all notes for whose payment money has been deposited in trust or segregated and held in trust by the Company and thereafter repaid to the Company or discharged from such trust) have been delivered to the applicable trustee for cancellation, or (2) all notes not delivered to the applicable trustee for cancellation (i) have become due and payable or (ii) will become due and payable at their stated maturity within one year; and the Company has irrevocably deposited or caused to be deposited with the applicable trustee as trust funds in trust an amount in U.S. dollars sufficient to pay and discharge the entire indebtedness on the notes not theretofore delivered to the applicable trustee for cancellation;</w:t>
      </w:r>
    </w:p>
    <w:p>
      <w:pPr>
        <w:spacing w:after="0" w:line="7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by the Company under the applicable indenture; and</w:t>
      </w:r>
    </w:p>
    <w:p>
      <w:pPr>
        <w:spacing w:after="0" w:line="117" w:lineRule="exact"/>
        <w:rPr>
          <w:rFonts w:ascii="Times New Roman" w:cs="Times New Roman" w:eastAsia="Times New Roman" w:hAnsi="Times New Roman"/>
          <w:sz w:val="18"/>
          <w:szCs w:val="18"/>
          <w:color w:val="auto"/>
        </w:rPr>
      </w:pPr>
    </w:p>
    <w:p>
      <w:pPr>
        <w:ind w:left="1300" w:right="80" w:hanging="202"/>
        <w:spacing w:after="0" w:line="261"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applicable trustee an officers’ certificate and an opinion of independent counsel each stating that (i) all conditions precedent relating to the satisfaction and discharge have been complied with, (ii) no default with respect to the notes has occurred and is continuing and (iii) such deposit does not result in a breach or violation of, or constitute a default under, the applicable indenture or any other agreement or instrument to which the Company is a party.</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indentures will be governed by, and construed in accordance with, the laws of the State of New York.</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35"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The notes will be issued in one or more fully registered global notes (the “Global Notes”) in minimum denominations of $2,000 and integral multiples of $1,000 in excess thereof. The Global Notes will be deposited upon issuance with the applicable trustee as custodian for The Depository Trust Company (“DTC”), in New York, New York, and registered in the name of DTC or its nominee, in each case for credit to an account of a direct or indirect participant in DTC as described below.</w:t>
      </w:r>
    </w:p>
    <w:p>
      <w:pPr>
        <w:spacing w:after="0" w:line="86"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another nominee of DTC or to a successor of DTC or its nominee. Beneficial interests in the Global Notes may be exchanged for notes in certificated form only in limited circumstances. See ‘‘— Exchange of Global Notes for Certificated Notes.” 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Depository Procedures</w:t>
      </w:r>
    </w:p>
    <w:p>
      <w:pPr>
        <w:spacing w:after="0" w:line="135" w:lineRule="exact"/>
        <w:rPr>
          <w:sz w:val="20"/>
          <w:szCs w:val="20"/>
          <w:color w:val="auto"/>
        </w:rPr>
      </w:pPr>
    </w:p>
    <w:p>
      <w:pPr>
        <w:ind w:left="700" w:right="200" w:firstLine="397"/>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operations and procedures of DTC, Euroclear and Clearstream are provided solely as a matter of convenience. These operations and procedures are solely within the control of the respective</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82" w:lineRule="auto"/>
        <w:rPr>
          <w:sz w:val="20"/>
          <w:szCs w:val="20"/>
          <w:color w:val="auto"/>
        </w:rPr>
      </w:pPr>
      <w:r>
        <w:rPr>
          <w:rFonts w:ascii="Times New Roman" w:cs="Times New Roman" w:eastAsia="Times New Roman" w:hAnsi="Times New Roman"/>
          <w:sz w:val="18"/>
          <w:szCs w:val="18"/>
          <w:color w:val="auto"/>
        </w:rPr>
        <w:t>settlement systems and are subject to changes by them. The Company takes no responsibility for these operations and procedures and urge investors to contact the system or their participants directly to discuss these matters.</w:t>
      </w:r>
    </w:p>
    <w:p>
      <w:pPr>
        <w:spacing w:after="0" w:line="67" w:lineRule="exact"/>
        <w:rPr>
          <w:sz w:val="20"/>
          <w:szCs w:val="20"/>
          <w:color w:val="auto"/>
        </w:rPr>
      </w:pPr>
    </w:p>
    <w:p>
      <w:pPr>
        <w:ind w:left="700" w:right="80" w:firstLine="397"/>
        <w:spacing w:after="0" w:line="256" w:lineRule="auto"/>
        <w:rPr>
          <w:sz w:val="20"/>
          <w:szCs w:val="20"/>
          <w:color w:val="auto"/>
        </w:rPr>
      </w:pPr>
      <w:r>
        <w:rPr>
          <w:rFonts w:ascii="Times New Roman" w:cs="Times New Roman" w:eastAsia="Times New Roman" w:hAnsi="Times New Roman"/>
          <w:sz w:val="18"/>
          <w:szCs w:val="18"/>
          <w:color w:val="auto"/>
        </w:rPr>
        <w:t>DTC has advised the Company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(including the initial purchasers),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w:t>
      </w:r>
    </w:p>
    <w:p>
      <w:pPr>
        <w:spacing w:after="0" w:line="93" w:lineRule="exact"/>
        <w:rPr>
          <w:sz w:val="20"/>
          <w:szCs w:val="20"/>
          <w:color w:val="auto"/>
        </w:rPr>
      </w:pPr>
    </w:p>
    <w:p>
      <w:pPr>
        <w:jc w:val="both"/>
        <w:ind w:left="700" w:right="160" w:firstLine="397"/>
        <w:spacing w:after="0" w:line="266" w:lineRule="auto"/>
        <w:rPr>
          <w:sz w:val="20"/>
          <w:szCs w:val="20"/>
          <w:color w:val="auto"/>
        </w:rPr>
      </w:pPr>
      <w:r>
        <w:rPr>
          <w:rFonts w:ascii="Times New Roman" w:cs="Times New Roman" w:eastAsia="Times New Roman" w:hAnsi="Times New Roman"/>
          <w:sz w:val="18"/>
          <w:szCs w:val="18"/>
          <w:color w:val="auto"/>
        </w:rPr>
        <w:t>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82" w:lineRule="exact"/>
        <w:rPr>
          <w:sz w:val="20"/>
          <w:szCs w:val="20"/>
          <w:color w:val="auto"/>
        </w:rPr>
      </w:pPr>
    </w:p>
    <w:p>
      <w:pPr>
        <w:jc w:val="both"/>
        <w:ind w:left="700" w:right="180" w:firstLine="397"/>
        <w:spacing w:after="0" w:line="276" w:lineRule="auto"/>
        <w:rPr>
          <w:sz w:val="20"/>
          <w:szCs w:val="20"/>
          <w:color w:val="auto"/>
        </w:rPr>
      </w:pPr>
      <w:r>
        <w:rPr>
          <w:rFonts w:ascii="Times New Roman" w:cs="Times New Roman" w:eastAsia="Times New Roman" w:hAnsi="Times New Roman"/>
          <w:sz w:val="17"/>
          <w:szCs w:val="17"/>
          <w:color w:val="auto"/>
        </w:rPr>
        <w:t>DTC has also advised the Company that, pursuant to procedures established by it: (1) upon deposit of the Global Notes, DTC will credit the accounts of Participants designated by the initial purchasers with portions of the principal amount of the Global Notes; and</w:t>
      </w:r>
    </w:p>
    <w:p>
      <w:pPr>
        <w:spacing w:after="0" w:line="1" w:lineRule="exact"/>
        <w:rPr>
          <w:sz w:val="20"/>
          <w:szCs w:val="20"/>
          <w:color w:val="auto"/>
        </w:rPr>
      </w:pPr>
    </w:p>
    <w:p>
      <w:pPr>
        <w:ind w:left="700" w:hanging="7"/>
        <w:spacing w:after="0" w:line="255" w:lineRule="auto"/>
        <w:tabs>
          <w:tab w:leader="none" w:pos="9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these interests in the Global Notes will be shown on, and the transfer of ownership thereof will be effected only through, records maintained by DTC (with respect to the Participants) or by the Participants and the Indirect Participants (with respect to other owners of beneficial interest in the Global Notes).</w:t>
      </w:r>
    </w:p>
    <w:p>
      <w:pPr>
        <w:spacing w:after="0" w:line="92" w:lineRule="exact"/>
        <w:rPr>
          <w:sz w:val="20"/>
          <w:szCs w:val="20"/>
          <w:color w:val="auto"/>
        </w:rPr>
      </w:pPr>
    </w:p>
    <w:p>
      <w:pPr>
        <w:ind w:left="700" w:right="120" w:firstLine="397"/>
        <w:spacing w:after="0" w:line="266" w:lineRule="auto"/>
        <w:rPr>
          <w:sz w:val="20"/>
          <w:szCs w:val="20"/>
          <w:color w:val="auto"/>
        </w:rPr>
      </w:pPr>
      <w:r>
        <w:rPr>
          <w:rFonts w:ascii="Times New Roman" w:cs="Times New Roman" w:eastAsia="Times New Roman" w:hAnsi="Times New Roman"/>
          <w:sz w:val="18"/>
          <w:szCs w:val="18"/>
          <w:color w:val="auto"/>
        </w:rPr>
        <w:t>Except as described below, owners of interests in the Global Notes will not have notes registered in their names, will not receive physical delivery of notes in certificated form and will not be considered the registered owners or “holders” thereof under the applicable indenture for any purpose.</w:t>
      </w:r>
    </w:p>
    <w:p>
      <w:pPr>
        <w:spacing w:after="0" w:line="82"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Payments in respect of the principal of, and interest and premium, if any, on a Global Note registered in the name of DTC or its nominee will be payable to DTC in its capacity as the registered holder under the applicable indenture. Under the terms of the applicable indenture, the Company and the applicable trustee will treat the Persons in whose names the notes, including the Global Notes, are registered as the owners thereof for the purpose of receiving payments and for all other purposes. Consequently, neither the Company, the applicable trustee nor any agent of the Company or the applicable trustee has or will have any responsibility or liability for: (1) 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 (2) any other matter relating to the actions and practices of DTC or any of its Participants or Indirect Participants.</w:t>
      </w:r>
    </w:p>
    <w:p>
      <w:pPr>
        <w:spacing w:after="0" w:line="95" w:lineRule="exact"/>
        <w:rPr>
          <w:sz w:val="20"/>
          <w:szCs w:val="20"/>
          <w:color w:val="auto"/>
        </w:rPr>
      </w:pPr>
    </w:p>
    <w:p>
      <w:pPr>
        <w:ind w:left="700" w:right="60" w:firstLine="397"/>
        <w:spacing w:after="0" w:line="254" w:lineRule="auto"/>
        <w:rPr>
          <w:sz w:val="20"/>
          <w:szCs w:val="20"/>
          <w:color w:val="auto"/>
        </w:rPr>
      </w:pPr>
      <w:r>
        <w:rPr>
          <w:rFonts w:ascii="Times New Roman" w:cs="Times New Roman" w:eastAsia="Times New Roman" w:hAnsi="Times New Roman"/>
          <w:sz w:val="18"/>
          <w:szCs w:val="18"/>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applicable trustee or the Company. Neither the Company nor the applicable trustee will be liable for any delay by DTC or any of its Participants or Indirect Participants in identifying the beneficial owners of the notes, and the Company and the applicable trustee may conclusively rely on and will be protected in relying on instructions from DTC or its nominee for all purposes.</w:t>
      </w:r>
    </w:p>
    <w:p>
      <w:pPr>
        <w:spacing w:after="0" w:line="95" w:lineRule="exact"/>
        <w:rPr>
          <w:sz w:val="20"/>
          <w:szCs w:val="20"/>
          <w:color w:val="auto"/>
        </w:rPr>
      </w:pPr>
    </w:p>
    <w:p>
      <w:pPr>
        <w:jc w:val="both"/>
        <w:ind w:left="700" w:right="400" w:firstLine="397"/>
        <w:spacing w:after="0" w:line="266" w:lineRule="auto"/>
        <w:rPr>
          <w:sz w:val="20"/>
          <w:szCs w:val="20"/>
          <w:color w:val="auto"/>
        </w:rPr>
      </w:pPr>
      <w:r>
        <w:rPr>
          <w:rFonts w:ascii="Times New Roman" w:cs="Times New Roman" w:eastAsia="Times New Roman" w:hAnsi="Times New Roman"/>
          <w:sz w:val="18"/>
          <w:szCs w:val="18"/>
          <w:color w:val="auto"/>
        </w:rPr>
        <w:t>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82" w:lineRule="exact"/>
        <w:rPr>
          <w:sz w:val="20"/>
          <w:szCs w:val="20"/>
          <w:color w:val="auto"/>
        </w:rPr>
      </w:pPr>
    </w:p>
    <w:p>
      <w:pPr>
        <w:ind w:left="700" w:right="220" w:firstLine="397"/>
        <w:spacing w:after="0" w:line="266" w:lineRule="auto"/>
        <w:rPr>
          <w:sz w:val="20"/>
          <w:szCs w:val="20"/>
          <w:color w:val="auto"/>
        </w:rPr>
      </w:pPr>
      <w:r>
        <w:rPr>
          <w:rFonts w:ascii="Times New Roman" w:cs="Times New Roman" w:eastAsia="Times New Roman" w:hAnsi="Times New Roman"/>
          <w:sz w:val="18"/>
          <w:szCs w:val="18"/>
          <w:color w:val="auto"/>
        </w:rPr>
        <w:t>Cross-market transfers between the Participants in DTC, on the one hand, and Euroclear or Clearstream participants, on the other hand, will be effected through DTC in accordance with DTC’s rules on behalf of Euroclear or Clearstream, as the case may be, by its respective depositary; however, such cross-market transactions will</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6" w:lineRule="auto"/>
        <w:rPr>
          <w:sz w:val="20"/>
          <w:szCs w:val="20"/>
          <w:color w:val="auto"/>
        </w:rPr>
      </w:pPr>
      <w:r>
        <w:rPr>
          <w:rFonts w:ascii="Times New Roman" w:cs="Times New Roman" w:eastAsia="Times New Roman" w:hAnsi="Times New Roman"/>
          <w:sz w:val="18"/>
          <w:szCs w:val="18"/>
          <w:color w:val="auto"/>
        </w:rPr>
        <w:t>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93"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89" w:lineRule="exact"/>
        <w:rPr>
          <w:sz w:val="20"/>
          <w:szCs w:val="20"/>
          <w:color w:val="auto"/>
        </w:rPr>
      </w:pPr>
    </w:p>
    <w:p>
      <w:pPr>
        <w:ind w:left="700" w:right="40" w:firstLine="397"/>
        <w:spacing w:after="0" w:line="258"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to facilitate transfers of interests Global Notes among Participants in DTC, Euroclear and Clearstream, they are under no obligation to perform or to continue to perform such procedures, and may discontinue such procedures at any time. Neither the Company nor the applicable trustee nor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Exchange of Global Notes for Certificated Notes</w:t>
      </w:r>
    </w:p>
    <w:p>
      <w:pPr>
        <w:spacing w:after="0" w:line="135" w:lineRule="exact"/>
        <w:rPr>
          <w:sz w:val="20"/>
          <w:szCs w:val="20"/>
          <w:color w:val="auto"/>
        </w:rPr>
      </w:pPr>
    </w:p>
    <w:p>
      <w:pPr>
        <w:ind w:left="700" w:right="40" w:firstLine="397"/>
        <w:spacing w:after="0" w:line="258" w:lineRule="auto"/>
        <w:rPr>
          <w:sz w:val="20"/>
          <w:szCs w:val="20"/>
          <w:color w:val="auto"/>
        </w:rPr>
      </w:pPr>
      <w:r>
        <w:rPr>
          <w:rFonts w:ascii="Times New Roman" w:cs="Times New Roman" w:eastAsia="Times New Roman" w:hAnsi="Times New Roman"/>
          <w:sz w:val="18"/>
          <w:szCs w:val="18"/>
          <w:color w:val="auto"/>
        </w:rPr>
        <w:t>A Global Note is exchangeable for definitive notes in registered certificated form (“Certificated Notes”) if (1) DTC (a) notifies the Company that it is unwilling or unable to continue as depositary for the Global Notes and the Company fails to appoint a successor depositary or (b) has ceased to be a clearing agency registered under the Exchange Act and the Company fails to appoint a successor depositary, (2) the Company elects to issue Certificated Notes or (3) there shall have occurred and be continuing an event of default with respect to the notes.</w:t>
      </w:r>
    </w:p>
    <w:p>
      <w:pPr>
        <w:spacing w:after="0" w:line="89" w:lineRule="exact"/>
        <w:rPr>
          <w:sz w:val="20"/>
          <w:szCs w:val="20"/>
          <w:color w:val="auto"/>
        </w:rPr>
      </w:pPr>
    </w:p>
    <w:p>
      <w:pPr>
        <w:ind w:left="700" w:right="280" w:firstLine="397"/>
        <w:spacing w:after="0" w:line="261" w:lineRule="auto"/>
        <w:rPr>
          <w:sz w:val="20"/>
          <w:szCs w:val="20"/>
          <w:color w:val="auto"/>
        </w:rPr>
      </w:pPr>
      <w:r>
        <w:rPr>
          <w:rFonts w:ascii="Times New Roman" w:cs="Times New Roman" w:eastAsia="Times New Roman" w:hAnsi="Times New Roman"/>
          <w:sz w:val="18"/>
          <w:szCs w:val="18"/>
          <w:color w:val="auto"/>
        </w:rPr>
        <w:t>In addition, beneficial interests in a Global Note may be exchanged for Certificated Notes upon prior written notice given to the applicable trustee by or on behalf of DTC in accordance with the applicable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Same-Day Settlement and Payment</w:t>
      </w:r>
    </w:p>
    <w:p>
      <w:pPr>
        <w:spacing w:after="0" w:line="135"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The Company will make payments in respect of the notes represented by the Global Notes (including principal, premium, if any, and interest, if any) by wire transfer of immediately available funds to the accounts specified by the Global Note holder. The Company will make all payments of principal, interest and premium, if any, with respect to Certificated Notes by wire transfer of immediately available funds to the accounts specified by the holders thereof or, if no such account is specified, by mailing a check to each such holder’s registered address. The notes represented by the Global Notes are expected to be eligible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91"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Company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35" w:lineRule="exact"/>
        <w:rPr>
          <w:sz w:val="20"/>
          <w:szCs w:val="20"/>
          <w:color w:val="auto"/>
        </w:rPr>
      </w:pPr>
    </w:p>
    <w:p>
      <w:pPr>
        <w:ind w:left="700" w:right="40" w:firstLine="397"/>
        <w:spacing w:after="0" w:line="252"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tax considerations and, in the case of a non-U.S. holder (as defined below), material U.S. federal estate tax considerations, to beneficial owners of unregistered notes whose unregistered notes are tendered and accepted in an exchange offer. This summary is based on the U.S. federal income tax laws, regulations, rulings and judicial decisions now in effect, all of which are subject to change or differing interpretation, possibly with retroactive effect. This summary does not discuss all aspects of U.S. federal income taxation that may be relevant to a particular beneficial owner of unregistered notes or to certain types of beneficial owners of unregistered notes that may be subject to special tax rules (such as banks, tax-exempt entities, insurance companies, S corporations, dealers in securities or currencies, traders in securities electing to mark-to-market, pass-through entities (including partnerships and entities and arrangements classified as partnerships for U.S. federal income tax purposes) and beneficial owners of pass-through entities, beneficial owners that incurred indebtedness to purchase or carry the unregistered notes, beneficial owners that hold the unregistered notes or will hold the exchange notes as a position in a “straddle” or conversion transaction, or as part of a “synthetic security” or other integrated financial transaction or beneficial owners that have a “functional currency” other than the U.S. dollar). The discussion is limited to exchanging beneficial owners of unregistered notes that have held the unregistered notes, and will hold the exchange notes, as “capital assets” within the meaning of section 1221 of the Internal Revenue Code of 1986, as amended (the “Code”). Because the law with respect to certain U.S. federal income tax considerations of the exchange offers is uncertain and no ruling has been or will be requested from the Internal Revenue Service (the “IRS”) on any U.S. federal income tax matter concerning the exchange offers, no assurances can be given that the IRS or a court considering these issues will agree with the positions or conclusions discussed below.</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Exchange Offers</w:t>
      </w:r>
    </w:p>
    <w:p>
      <w:pPr>
        <w:spacing w:after="0" w:line="135" w:lineRule="exact"/>
        <w:rPr>
          <w:sz w:val="20"/>
          <w:szCs w:val="20"/>
          <w:color w:val="auto"/>
        </w:rPr>
      </w:pPr>
    </w:p>
    <w:p>
      <w:pPr>
        <w:ind w:left="700" w:right="320" w:firstLine="397"/>
        <w:spacing w:after="0" w:line="261" w:lineRule="auto"/>
        <w:rPr>
          <w:sz w:val="20"/>
          <w:szCs w:val="20"/>
          <w:color w:val="auto"/>
        </w:rPr>
      </w:pPr>
      <w:r>
        <w:rPr>
          <w:rFonts w:ascii="Times New Roman" w:cs="Times New Roman" w:eastAsia="Times New Roman" w:hAnsi="Times New Roman"/>
          <w:sz w:val="18"/>
          <w:szCs w:val="18"/>
          <w:color w:val="auto"/>
        </w:rPr>
        <w:t>The exchange of unregistered notes for exchange notes in the exchange offers will not constitute a taxable event to holders for U.S. federal income tax purposes. Consequently, you will not recognize gain or loss upon receipt of an exchange note. The holding period of the exchange note will include the holding period of the unregistered note exchanged therefor and the basis of the exchange note will be the same as the basis of the unregistered note immediately before the exchange.</w:t>
      </w:r>
    </w:p>
    <w:p>
      <w:pPr>
        <w:spacing w:after="0" w:line="86" w:lineRule="exact"/>
        <w:rPr>
          <w:sz w:val="20"/>
          <w:szCs w:val="20"/>
          <w:color w:val="auto"/>
        </w:rPr>
      </w:pPr>
    </w:p>
    <w:p>
      <w:pPr>
        <w:jc w:val="both"/>
        <w:ind w:left="700" w:right="300" w:firstLine="397"/>
        <w:spacing w:after="0" w:line="266" w:lineRule="auto"/>
        <w:rPr>
          <w:sz w:val="20"/>
          <w:szCs w:val="20"/>
          <w:color w:val="auto"/>
        </w:rPr>
      </w:pPr>
      <w:r>
        <w:rPr>
          <w:rFonts w:ascii="Times New Roman" w:cs="Times New Roman" w:eastAsia="Times New Roman" w:hAnsi="Times New Roman"/>
          <w:sz w:val="18"/>
          <w:szCs w:val="18"/>
          <w:color w:val="auto"/>
        </w:rPr>
        <w:t>Persons considering the exchange of unregistered notes for exchange notes should consult their own tax advisors concerning the U.S. federal income tax consequences in light of their particular situations as well as any consequences arising under the laws of any other taxing jurisdiction.</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35" w:lineRule="exact"/>
        <w:rPr>
          <w:sz w:val="20"/>
          <w:szCs w:val="20"/>
          <w:color w:val="auto"/>
        </w:rPr>
      </w:pPr>
    </w:p>
    <w:p>
      <w:pPr>
        <w:ind w:left="700" w:right="40" w:firstLine="397"/>
        <w:spacing w:after="0" w:line="255" w:lineRule="auto"/>
        <w:rPr>
          <w:sz w:val="20"/>
          <w:szCs w:val="20"/>
          <w:color w:val="auto"/>
        </w:rPr>
      </w:pPr>
      <w:r>
        <w:rPr>
          <w:rFonts w:ascii="Times New Roman" w:cs="Times New Roman" w:eastAsia="Times New Roman" w:hAnsi="Times New Roman"/>
          <w:sz w:val="18"/>
          <w:szCs w:val="18"/>
          <w:color w:val="auto"/>
        </w:rPr>
        <w:t>The discussion below applies to you only if you are a U.S. holder. A “U.S. Holder” is a beneficial owner of unregistered notes whose unregistered notes are tendered and accepted in an exchange offer that is, for U.S. federal income tax purposes, (a) a citizen or resident of the United States, (b) a corporation (or other entity classified as a corporation for such purposes) created or organized in or under the laws of the United States, or any State thereof or the District of Columbia, (c) an estate, the income of which is subject to U.S. federal income taxation regardless of the source of that income, or (d) a trust if (i) a court within the United States can exercise primary supervision over its administration and one or more “United States persons” (as defined for U.S. federal income tax purposes) have the authority to control all of the substantial decisions of the trust or (ii) the trust has validly elected to be treated as a “United States person” under applicable regulations.</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Interest on an unregistered note and interest on an exchange note received by a U.S. Holder will be taxable to the</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U.S. Holder as ordinary interest income in accordance with the U.S. Holder’s method of accounting for U.S. federal income tax purposes.</w:t>
      </w:r>
    </w:p>
    <w:p>
      <w:pPr>
        <w:spacing w:after="0" w:line="122" w:lineRule="exact"/>
        <w:rPr>
          <w:sz w:val="20"/>
          <w:szCs w:val="20"/>
          <w:color w:val="auto"/>
        </w:rPr>
      </w:pPr>
    </w:p>
    <w:p>
      <w:pPr>
        <w:ind w:left="700" w:right="140"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Amortizable Bond Premium. </w:t>
      </w:r>
      <w:r>
        <w:rPr>
          <w:rFonts w:ascii="Times New Roman" w:cs="Times New Roman" w:eastAsia="Times New Roman" w:hAnsi="Times New Roman"/>
          <w:sz w:val="18"/>
          <w:szCs w:val="18"/>
          <w:color w:val="auto"/>
        </w:rPr>
        <w:t>Unamortized bond premium which a U.S. Holder may have on the unregistered notes will carry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exchange notes received in exchange therefor. It may be possible for the U.S. Holder to elect to amortize this premium using a constant yield method over the term of the exchange note (or until an earlier call date, as applicable). The amortized amount of the premium for a taxable year generally will be treated first as a reduction of interest on the exchange note included in such taxable year to the extent thereof, then as a deduction</w:t>
      </w:r>
    </w:p>
    <w:p>
      <w:pPr>
        <w:spacing w:after="0" w:line="37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6" w:lineRule="auto"/>
        <w:rPr>
          <w:sz w:val="20"/>
          <w:szCs w:val="20"/>
          <w:color w:val="auto"/>
        </w:rPr>
      </w:pPr>
      <w:r>
        <w:rPr>
          <w:rFonts w:ascii="Times New Roman" w:cs="Times New Roman" w:eastAsia="Times New Roman" w:hAnsi="Times New Roman"/>
          <w:sz w:val="18"/>
          <w:szCs w:val="18"/>
          <w:color w:val="auto"/>
        </w:rPr>
        <w:t>allowed in that taxable year to the extent of the beneficial owner’s prior interest inclusions on the exchange note, and finally as a carryforward allowable against the beneficial owner’s future interest inclusions on the exchange note. A U.S. Holder must reduce its tax basis in such exchange note by the amount of the premium so amortized. The election to amortize premium on a constant yield method, once made, applies to all debt obligations held or subsequently acquired by the electing U.S. Holder on or after the first day of the taxable year to which the election applies and may not be revoked without the consent of the Service. U.S. Holders should consult their own tax advisors concerning the computation and amortization of any bond premium on their exchange notes.</w:t>
      </w:r>
    </w:p>
    <w:p>
      <w:pPr>
        <w:spacing w:after="0" w:line="91" w:lineRule="exact"/>
        <w:rPr>
          <w:sz w:val="20"/>
          <w:szCs w:val="20"/>
          <w:color w:val="auto"/>
        </w:rPr>
      </w:pPr>
    </w:p>
    <w:p>
      <w:pPr>
        <w:ind w:left="700" w:right="100" w:firstLine="39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Discount. </w:t>
      </w:r>
      <w:r>
        <w:rPr>
          <w:rFonts w:ascii="Times New Roman" w:cs="Times New Roman" w:eastAsia="Times New Roman" w:hAnsi="Times New Roman"/>
          <w:sz w:val="18"/>
          <w:szCs w:val="18"/>
          <w:color w:val="auto"/>
        </w:rPr>
        <w:t>Accrued market discount on unregistered notes not previously treated as ordinary income by a U.S.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 over to the exchange notes received in exchange therefor. A U.S. Holder will be required to treat any gain on the sale, exchange, retirement or other taxable disposition (collectively, a “disposition”) of an exchange note as ordinary income to the extent of the accrued market discount on the exchange note at the time of the disposition unless such market discount has been previously included in income by the U.S. Holder pursuant to an election by the beneficial owner to include the market discount in income as it accrues (under either a ratable or constant yield method).</w:t>
      </w:r>
    </w:p>
    <w:p>
      <w:pPr>
        <w:spacing w:after="0" w:line="88"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Dispositions. </w:t>
      </w:r>
      <w:r>
        <w:rPr>
          <w:rFonts w:ascii="Times New Roman" w:cs="Times New Roman" w:eastAsia="Times New Roman" w:hAnsi="Times New Roman"/>
          <w:sz w:val="18"/>
          <w:szCs w:val="18"/>
          <w:color w:val="auto"/>
        </w:rPr>
        <w:t>Subject to the discussion above regarding market discount, a U.S. Holder’s disposition of an exchange note will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capital gain or loss equal to the difference between the amount realized (except to the extent such amount is attributable to accrued but unpaid interest on the exchange note, which amount will be taxable as ordinary interest income in accordance with such U.S. holder’s method of accounting for U.S. federal income tax purposes) and the U.S. Holder’s adjusted tax basis in such exchange note immediately before such disposition (which should reflect any market discount previously included in income). Capital gain or loss will be long-term capital gain or loss if at the time of the disposition the U.S. Holder has held the exchange note for more than one year. Subject to limited exceptions, capital losses cannot be used to offset ordinary income.</w:t>
      </w:r>
    </w:p>
    <w:p>
      <w:pPr>
        <w:spacing w:after="0" w:line="1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35" w:lineRule="exact"/>
        <w:rPr>
          <w:sz w:val="20"/>
          <w:szCs w:val="20"/>
          <w:color w:val="auto"/>
        </w:rPr>
      </w:pPr>
    </w:p>
    <w:p>
      <w:pPr>
        <w:jc w:val="both"/>
        <w:ind w:left="700" w:right="40" w:firstLine="397"/>
        <w:spacing w:after="0" w:line="266" w:lineRule="auto"/>
        <w:rPr>
          <w:sz w:val="20"/>
          <w:szCs w:val="20"/>
          <w:color w:val="auto"/>
        </w:rPr>
      </w:pPr>
      <w:r>
        <w:rPr>
          <w:rFonts w:ascii="Times New Roman" w:cs="Times New Roman" w:eastAsia="Times New Roman" w:hAnsi="Times New Roman"/>
          <w:sz w:val="18"/>
          <w:szCs w:val="18"/>
          <w:color w:val="auto"/>
        </w:rPr>
        <w:t>The following discussion applies to you if you are a beneficial owner of unregistered notes whose unregistered notes are exchanged for exchange notes and you are not a U.S. Holder (as defined above) and also are not a partnership (or an entity or arrangement classified as a partnership for U.S. federal tax purposes) (a “non-U.S. holder”).</w:t>
      </w:r>
    </w:p>
    <w:p>
      <w:pPr>
        <w:spacing w:after="0" w:line="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The United States generally imposes a 30 percent withholding tax on payments of interest to non-U.S. persons. The</w:t>
      </w:r>
    </w:p>
    <w:p>
      <w:pPr>
        <w:spacing w:after="0" w:line="29" w:lineRule="exact"/>
        <w:rPr>
          <w:sz w:val="20"/>
          <w:szCs w:val="20"/>
          <w:color w:val="auto"/>
        </w:rPr>
      </w:pPr>
    </w:p>
    <w:p>
      <w:pPr>
        <w:jc w:val="both"/>
        <w:ind w:left="700" w:right="60"/>
        <w:spacing w:after="0" w:line="261" w:lineRule="auto"/>
        <w:rPr>
          <w:sz w:val="20"/>
          <w:szCs w:val="20"/>
          <w:color w:val="auto"/>
        </w:rPr>
      </w:pPr>
      <w:r>
        <w:rPr>
          <w:rFonts w:ascii="Times New Roman" w:cs="Times New Roman" w:eastAsia="Times New Roman" w:hAnsi="Times New Roman"/>
          <w:sz w:val="18"/>
          <w:szCs w:val="18"/>
          <w:color w:val="auto"/>
        </w:rPr>
        <w:t>30 percent (or lower applicable treaty rate) U.S. federal withholding tax will not apply to a non-U.S. Holder in respect of any payment of interest on the exchange notes that is not effectively connected with the conduct of a U.S. trade or business provided that such holder:</w:t>
      </w:r>
    </w:p>
    <w:p>
      <w:pPr>
        <w:spacing w:after="0" w:line="85" w:lineRule="exact"/>
        <w:rPr>
          <w:sz w:val="20"/>
          <w:szCs w:val="20"/>
          <w:color w:val="auto"/>
        </w:rPr>
      </w:pPr>
    </w:p>
    <w:p>
      <w:pPr>
        <w:ind w:left="1300" w:hanging="202"/>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actually (or constructively) own 10 percent or more of the total combined voting power of all classes of our voting stock within the meaning of the Code and the U.S. Treasury regulations;</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controlled foreign corporation that is related to us actually or constructively through sufficient stock ownership;</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bank whose receipt of interest on the notes is described in section 881(c)(3)(A) of the Code; and</w:t>
      </w:r>
    </w:p>
    <w:p>
      <w:pPr>
        <w:spacing w:after="0" w:line="117" w:lineRule="exact"/>
        <w:rPr>
          <w:rFonts w:ascii="Times New Roman" w:cs="Times New Roman" w:eastAsia="Times New Roman" w:hAnsi="Times New Roman"/>
          <w:sz w:val="18"/>
          <w:szCs w:val="18"/>
          <w:color w:val="auto"/>
        </w:rPr>
      </w:pPr>
    </w:p>
    <w:p>
      <w:pPr>
        <w:ind w:left="1300" w:right="100" w:hanging="202"/>
        <w:spacing w:after="0" w:line="261"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provides identifying information (i.e., name and address) to us or our paying agent on IRS Form W-8BEN (or successor form), and certifies, under penalty of perjury, that such holder is not a U.S. person or (b) a financial institution holding the notes on behalf of such holder certifies, under penalty of perjury, that it has received the applicable IRS Form W-8BEN (or successor form) from the beneficial owner and provides us with a copy.</w:t>
      </w:r>
    </w:p>
    <w:p>
      <w:pPr>
        <w:spacing w:after="0" w:line="86"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If a non-U.S. Holder cannot satisfy the requirements described above, payments of interest made to such holder will be subject to the 30 percent U.S. federal withholding tax, unless such holder provides us with a properly executed (i) IRS Form W-8BEN (or successor form) claiming an exemption from or reduction in withholding under the benefit of an income tax treaty or (ii) IRS Form W-8ECI (or successor form) stating that interest paid on the exchange note is not subject to withholding tax because it is effectively connected with such holder’s conduct of a trade or business in the United States.</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69" w:lineRule="auto"/>
        <w:rPr>
          <w:sz w:val="20"/>
          <w:szCs w:val="20"/>
          <w:color w:val="auto"/>
        </w:rPr>
      </w:pPr>
      <w:r>
        <w:rPr>
          <w:rFonts w:ascii="Times New Roman" w:cs="Times New Roman" w:eastAsia="Times New Roman" w:hAnsi="Times New Roman"/>
          <w:sz w:val="17"/>
          <w:szCs w:val="17"/>
          <w:color w:val="auto"/>
        </w:rPr>
        <w:t>If a non-U.S. Holder is engaged in a trade or business in the United States and interest on the notes is effectively connected with the conduct of that trade or business (and, if required by an applicable income tax treaty, is attributable to a permanent establishment in the United States maintained by such holder), such holder, although exempt from the 30 percent withholding tax, generally will be subject to U.S. federal income tax on that interest on a net income basis in the same manner as if such holder were a “United States person” as defined under the Code. In addition, if a non-U.S. Holder is a non-U.S. corporation, it may be subject to a branch profits tax equal to</w:t>
      </w:r>
    </w:p>
    <w:p>
      <w:pPr>
        <w:spacing w:after="0" w:line="3" w:lineRule="exact"/>
        <w:rPr>
          <w:sz w:val="20"/>
          <w:szCs w:val="20"/>
          <w:color w:val="auto"/>
        </w:rPr>
      </w:pPr>
    </w:p>
    <w:p>
      <w:pPr>
        <w:ind w:left="700" w:right="60"/>
        <w:spacing w:after="0" w:line="255" w:lineRule="auto"/>
        <w:rPr>
          <w:sz w:val="20"/>
          <w:szCs w:val="20"/>
          <w:color w:val="auto"/>
        </w:rPr>
      </w:pPr>
      <w:r>
        <w:rPr>
          <w:rFonts w:ascii="Times New Roman" w:cs="Times New Roman" w:eastAsia="Times New Roman" w:hAnsi="Times New Roman"/>
          <w:sz w:val="18"/>
          <w:szCs w:val="18"/>
          <w:color w:val="auto"/>
        </w:rPr>
        <w:t>30 percent (or lower applicable treaty rate) of its earnings and profits for the taxable year, subject to adjustments, that are effectively connected with the conduct by it of a trade or business in the United States. For this purpose, effectively connected interest on notes will be included in earnings and profits.</w:t>
      </w:r>
    </w:p>
    <w:p>
      <w:pPr>
        <w:spacing w:after="0" w:line="90" w:lineRule="exact"/>
        <w:rPr>
          <w:sz w:val="20"/>
          <w:szCs w:val="20"/>
          <w:color w:val="auto"/>
        </w:rPr>
      </w:pPr>
    </w:p>
    <w:p>
      <w:pPr>
        <w:ind w:left="700" w:right="220" w:firstLine="39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Dispositions. </w:t>
      </w:r>
      <w:r>
        <w:rPr>
          <w:rFonts w:ascii="Times New Roman" w:cs="Times New Roman" w:eastAsia="Times New Roman" w:hAnsi="Times New Roman"/>
          <w:sz w:val="18"/>
          <w:szCs w:val="18"/>
          <w:color w:val="auto"/>
        </w:rPr>
        <w:t>Any gain realized on the disposition of an exchange note by a non-U.S. Holder generally will not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federal income or withholding tax unless (i) that gain is effectively connected with the non-U.S. Holder’s conduct of a trade or business in the United States (and, if required by an income tax treaty, is attributable to a U.S. permanent establishment maintained by such non-U.S. Holder), (ii) such holder is an individual who is present in the United States for 183 days or more in the taxable year of that disposition and certain other conditions are met, or (iii) in the case of disposition proceeds representing accrued interest, the non-U.S. Holder cannot satisfy the requirements of the complete exemption from withholding tax described above (and the non-U.S. Holder’s U.S. federal income tax liability has not otherwise been fully satisfied through the U.S. federal withholding tax described above).</w:t>
      </w:r>
    </w:p>
    <w:p>
      <w:pPr>
        <w:spacing w:after="0" w:line="93" w:lineRule="exact"/>
        <w:rPr>
          <w:sz w:val="20"/>
          <w:szCs w:val="20"/>
          <w:color w:val="auto"/>
        </w:rPr>
      </w:pPr>
    </w:p>
    <w:p>
      <w:pPr>
        <w:ind w:left="700" w:right="20" w:firstLine="397"/>
        <w:spacing w:after="0" w:line="254" w:lineRule="auto"/>
        <w:rPr>
          <w:sz w:val="20"/>
          <w:szCs w:val="20"/>
          <w:color w:val="auto"/>
        </w:rPr>
      </w:pPr>
      <w:r>
        <w:rPr>
          <w:rFonts w:ascii="Times New Roman" w:cs="Times New Roman" w:eastAsia="Times New Roman" w:hAnsi="Times New Roman"/>
          <w:sz w:val="18"/>
          <w:szCs w:val="18"/>
          <w:color w:val="auto"/>
        </w:rPr>
        <w:t>If a non-U.S. Holder’s gain is effectively connected with such holder’s U.S. trade or business (and, if required by an applicable income tax treaty, is attributable to a U.S. permanent establishment maintained by such holder), such holder generally will be required to pay U.S. federal income tax on the net gain derived from the sale in the same manner as if it were a “United States person” as defined under the Code. If such a non-U.S. Holder is a corporation, such holder may also, under certain circumstances, be subject to a branch profits tax at a 30 percent rate (or lower applicable treaty rate). If a non-U.S. Holder is subject to the 183-day rule described above, such holder generally will be subject to U.S. federal income tax at a flat rate of 30 percent (or a reduced rate under an applicable treaty) on the amount by which capital gains allocable to U.S. sources (including gains from the sale, exchange, retirement or other disposition of the exchange note) exceed capital losses allocable to U.S. sources, even though the non-U.S. Holder is not considered a resident alien under the Code.</w:t>
      </w:r>
    </w:p>
    <w:p>
      <w:pPr>
        <w:spacing w:after="0" w:line="93" w:lineRule="exact"/>
        <w:rPr>
          <w:sz w:val="20"/>
          <w:szCs w:val="20"/>
          <w:color w:val="auto"/>
        </w:rPr>
      </w:pPr>
    </w:p>
    <w:p>
      <w:pPr>
        <w:jc w:val="both"/>
        <w:ind w:left="700" w:right="80" w:firstLine="39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 Federal Estate Tax with respect to the Exchange Notes. </w:t>
      </w:r>
      <w:r>
        <w:rPr>
          <w:rFonts w:ascii="Times New Roman" w:cs="Times New Roman" w:eastAsia="Times New Roman" w:hAnsi="Times New Roman"/>
          <w:sz w:val="18"/>
          <w:szCs w:val="18"/>
          <w:color w:val="auto"/>
        </w:rPr>
        <w:t>If you are an individual and are not a U.S. citizen or a resident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(as specially defined for U.S. federal estate tax purposes) at the time of your death, your exchange notes generally will not be subject to the U.S. federal estate tax, unless, at the time of your death:</w:t>
      </w:r>
    </w:p>
    <w:p>
      <w:pPr>
        <w:spacing w:after="0" w:line="81" w:lineRule="exact"/>
        <w:rPr>
          <w:sz w:val="20"/>
          <w:szCs w:val="20"/>
          <w:color w:val="auto"/>
        </w:rPr>
      </w:pPr>
    </w:p>
    <w:p>
      <w:pPr>
        <w:ind w:left="1300" w:right="260" w:hanging="202"/>
        <w:spacing w:after="0" w:line="26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directly or indirectly, actually or constructively, owns 10 percent or more of the total combined voting power of all classes of our stock entitled to vote within the meaning of section 871(h)(3) of the Code and the Treasury regulations thereunder; or</w:t>
      </w:r>
    </w:p>
    <w:p>
      <w:pPr>
        <w:spacing w:after="0" w:line="68"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interest on the notes is effectively connected with such holder’s conduct of a U.S. trade or business.</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35" w:lineRule="exact"/>
        <w:rPr>
          <w:sz w:val="20"/>
          <w:szCs w:val="20"/>
          <w:color w:val="auto"/>
        </w:rPr>
      </w:pPr>
    </w:p>
    <w:p>
      <w:pPr>
        <w:ind w:left="700" w:right="20" w:firstLine="397"/>
        <w:spacing w:after="0" w:line="253" w:lineRule="auto"/>
        <w:rPr>
          <w:sz w:val="20"/>
          <w:szCs w:val="20"/>
          <w:color w:val="auto"/>
        </w:rPr>
      </w:pPr>
      <w:r>
        <w:rPr>
          <w:rFonts w:ascii="Times New Roman" w:cs="Times New Roman" w:eastAsia="Times New Roman" w:hAnsi="Times New Roman"/>
          <w:sz w:val="18"/>
          <w:szCs w:val="18"/>
          <w:color w:val="auto"/>
        </w:rPr>
        <w:t>In general, information reporting requirements apply to interest paid to, and to the proceeds of a sale or other disposition of an exchange note (including a redemption) by, certain U.S. Holders. In addition, backup withholding applies to a non-corporate U.S. Holder unless such holder provides a correct taxpayer identification number and otherwise complies with applicable requirements of the backup withholding rules. Backup withholding generally does not apply to payments made to certain exempt U.S. persons. In general, a non-U.S. Holder will not be subject to backup withholding and information reporting with respect to interest payments that we make to such holder provided that we have received from such holder the certification described above under “— Non-U.S. Holders — Interest” and neither we nor our paying agent has actual knowledge or reason to know that you are a U.S. Holder. However, we or our paying agent may be required to report to the IRS and the non-U.S. Holder payments of interest on the notes and the amount of tax, if any, withheld with respect to those payments. Copies of the information returns reporting such interest payments and any withholding may also be made available to the tax authorities in the country in which the non-U.S. Holder resides under the provisions of a treaty or agreement.</w:t>
      </w:r>
    </w:p>
    <w:p>
      <w:pPr>
        <w:spacing w:after="0" w:line="3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55" w:lineRule="auto"/>
        <w:rPr>
          <w:sz w:val="20"/>
          <w:szCs w:val="20"/>
          <w:color w:val="auto"/>
        </w:rPr>
      </w:pPr>
      <w:r>
        <w:rPr>
          <w:rFonts w:ascii="Times New Roman" w:cs="Times New Roman" w:eastAsia="Times New Roman" w:hAnsi="Times New Roman"/>
          <w:sz w:val="18"/>
          <w:szCs w:val="18"/>
          <w:color w:val="auto"/>
        </w:rPr>
        <w:t>Payments of the proceeds of a sale or other disposition (including a redemption) of the notes made to or through a non-U.S. office of non-U.S. financial intermediaries that do not have certain enumerated connections with the United States generally will not be subject to information reporting or backup withholding. In addition, a non-U.S. Holder will not be subject to backup withholding or information reporting with respect to the proceeds of the sale or other disposition of a note within the United States or conducted through non-U.S. financial intermediaries with certain enumerated connections with the United States, if the payor receives the certification described above under “— Non-U.S. Holders — Interest” or such holder otherwise establishes an exemption, provided that the payor does not have actual knowledge or reason to know that the non-U.S. Holder is a United States person or the conditions of any other exemption are not, in fact, satisfied.</w:t>
      </w:r>
    </w:p>
    <w:p>
      <w:pPr>
        <w:spacing w:after="0" w:line="91" w:lineRule="exact"/>
        <w:rPr>
          <w:sz w:val="20"/>
          <w:szCs w:val="20"/>
          <w:color w:val="auto"/>
        </w:rPr>
      </w:pPr>
    </w:p>
    <w:p>
      <w:pPr>
        <w:jc w:val="both"/>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refund or credit against a holder’s U.S. federal income tax liability provided the required information is furnished by such holder to the IRS in a timely manner.</w:t>
      </w:r>
    </w:p>
    <w:p>
      <w:pPr>
        <w:spacing w:after="0" w:line="18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08"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unregistered notes where such unregistered notes were acquired as a result of market-making activities or other trading activities. We have agreed to use commercially reasonable best efforts to keep the registration statement, of which this prospectus forms a part, continuously effective, supplemented and amended to the extent necessary to ensure that it is available for resales of the notes acquired by broker-dealers for their own accounts as a result of market-making activities or other trading activities, and to ensure that it conforms in all material respects with the requirements of the registration rights agreement, the Securities Act and the policies, rules and regulations of the SEC as announced from time to time, for a period ending on the earlier of (i) 180 days from the date on which this registration statement is declared effective and (ii) the date on which a broker-dealer is no longer required to deliver a prospectus in connection with market-making or other trading activities.</w:t>
      </w:r>
    </w:p>
    <w:p>
      <w:pPr>
        <w:spacing w:after="0" w:line="58" w:lineRule="exact"/>
        <w:rPr>
          <w:sz w:val="20"/>
          <w:szCs w:val="20"/>
          <w:color w:val="auto"/>
        </w:rPr>
      </w:pPr>
    </w:p>
    <w:p>
      <w:pPr>
        <w:ind w:left="700" w:right="20" w:firstLine="397"/>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sale of exchange notes by broker-dealers. Exchange notes received by broker-dealers for their own account pursuant to the exchange offer may be sold from time to time in one or more transactions in the over-the-counter market, in negotiated transactions or a combination of such methods of resale, at market prices prevailing at the time of resale, at prices related to such prevailing market prices or at negotiated prices. Any such resale may be made directly to purchasers or to or through brokers or dealers that may receive compensation in the form of commissions or concessions from any such broker-dealer 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2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94" w:lineRule="exact"/>
        <w:rPr>
          <w:sz w:val="20"/>
          <w:szCs w:val="20"/>
          <w:color w:val="auto"/>
        </w:rPr>
      </w:pPr>
    </w:p>
    <w:p>
      <w:pPr>
        <w:ind w:left="700" w:right="540" w:firstLine="397"/>
        <w:spacing w:after="0" w:line="282" w:lineRule="auto"/>
        <w:rPr>
          <w:sz w:val="20"/>
          <w:szCs w:val="20"/>
          <w:color w:val="auto"/>
        </w:rPr>
      </w:pPr>
      <w:r>
        <w:rPr>
          <w:rFonts w:ascii="Times New Roman" w:cs="Times New Roman" w:eastAsia="Times New Roman" w:hAnsi="Times New Roman"/>
          <w:sz w:val="18"/>
          <w:szCs w:val="18"/>
          <w:color w:val="auto"/>
        </w:rPr>
        <w:t>Certain legal matters regarding the validity of the exchange notes will be passed upon for us by Mayer Brown LLP, Chicago, Illinois.</w:t>
      </w:r>
    </w:p>
    <w:p>
      <w:pPr>
        <w:spacing w:after="0" w:line="17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08" w:lineRule="exact"/>
        <w:rPr>
          <w:sz w:val="20"/>
          <w:szCs w:val="20"/>
          <w:color w:val="auto"/>
        </w:rPr>
      </w:pPr>
    </w:p>
    <w:p>
      <w:pPr>
        <w:ind w:left="700" w:right="80" w:firstLine="397"/>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Republic Services, Inc. included in Republic Services, Inc.’s Annual Report (Form 10-K) for the year ended December 31, 2009, and the effectiveness of Republic Services, Inc.’s internal control over financial reporting as of December 31, 2009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6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08"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We have filed a registration statement on Form S-4 with the SEC under the Securities Act to register the securities offered by means of this prospectus. This prospectus, which is a part of the registration statement, does not contain all of the information identified in the registration statement. For further information about us and the securities offered by means of this prospectus, we refer you to the registration statement and the exhibits filed as a part of the registration statement. If a contract or document has been filed as an exhibit to the registration statement, we refer you to the copy of the contract or document that has been filed.</w:t>
      </w:r>
    </w:p>
    <w:p>
      <w:pPr>
        <w:spacing w:after="0" w:line="49"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Securities Exchange Act of 1934. In accordance with those requirements, we file annual, quarterly and special reports, proxy statements and other information with the SEC. You can read and copy any document we file at the SEC’s public reference rooms at the following location:</w:t>
      </w:r>
    </w:p>
    <w:p>
      <w:pPr>
        <w:spacing w:after="0" w:line="190"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color w:val="auto"/>
        </w:rPr>
        <w:t>100 F Street, N.E.</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72" w:lineRule="exact"/>
        <w:rPr>
          <w:sz w:val="20"/>
          <w:szCs w:val="20"/>
          <w:color w:val="auto"/>
        </w:rPr>
      </w:pPr>
    </w:p>
    <w:p>
      <w:pPr>
        <w:ind w:left="700" w:right="620" w:firstLine="397"/>
        <w:spacing w:after="0" w:line="313" w:lineRule="auto"/>
        <w:rPr>
          <w:sz w:val="20"/>
          <w:szCs w:val="20"/>
          <w:color w:val="auto"/>
        </w:rPr>
      </w:pPr>
      <w:r>
        <w:rPr>
          <w:rFonts w:ascii="Times New Roman" w:cs="Times New Roman" w:eastAsia="Times New Roman" w:hAnsi="Times New Roman"/>
          <w:sz w:val="17"/>
          <w:szCs w:val="17"/>
          <w:color w:val="auto"/>
        </w:rPr>
        <w:t>You can request copies of these documents upon payment of a duplicating fee by writing to the SEC. Please call the SEC at 1-800-SEC-0330 for further information on the operation of the public reference rooms and the procedure for obtaining copies.</w:t>
      </w:r>
    </w:p>
    <w:p>
      <w:pPr>
        <w:spacing w:after="0" w:line="17" w:lineRule="exact"/>
        <w:rPr>
          <w:sz w:val="20"/>
          <w:szCs w:val="20"/>
          <w:color w:val="auto"/>
        </w:rPr>
      </w:pPr>
    </w:p>
    <w:p>
      <w:pPr>
        <w:ind w:left="700" w:right="40" w:firstLine="397"/>
        <w:spacing w:after="0" w:line="258"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The documents that we file with the SEC, including the registration statement, are available to investors on this web site. You can log onto the SEC’s web site at http://www.sec.gov. Our common stock is listed on the New York Stock Exchange (NYSE: RSG), and you can obtain information about us at the offices of the New York Stock Exchange, 20 Broad Street, New York, NY 10005. Certain information is also available on our website at http://www.republicservices.com.</w:t>
      </w:r>
    </w:p>
    <w:p>
      <w:pPr>
        <w:spacing w:after="0" w:line="19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0"/>
          <w:szCs w:val="20"/>
          <w:color w:val="auto"/>
        </w:rPr>
      </w:pPr>
    </w:p>
    <w:p>
      <w:pPr>
        <w:ind w:left="700" w:right="240" w:firstLine="397"/>
        <w:spacing w:after="0" w:line="282" w:lineRule="auto"/>
        <w:rPr>
          <w:sz w:val="20"/>
          <w:szCs w:val="20"/>
          <w:color w:val="auto"/>
        </w:rPr>
      </w:pPr>
      <w:r>
        <w:rPr>
          <w:rFonts w:ascii="Times New Roman" w:cs="Times New Roman" w:eastAsia="Times New Roman" w:hAnsi="Times New Roman"/>
          <w:sz w:val="18"/>
          <w:szCs w:val="18"/>
          <w:color w:val="auto"/>
        </w:rPr>
        <w:t>We file annual, quarterly and special reports and other information with the SEC. See “Where You Can Find More Information.” The following documents are incorporated into this prospectus by reference:</w:t>
      </w:r>
    </w:p>
    <w:p>
      <w:pPr>
        <w:spacing w:after="0" w:line="27" w:lineRule="exact"/>
        <w:rPr>
          <w:sz w:val="20"/>
          <w:szCs w:val="20"/>
          <w:color w:val="auto"/>
        </w:rPr>
      </w:pPr>
    </w:p>
    <w:p>
      <w:pPr>
        <w:ind w:left="1300" w:hanging="202"/>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Republic’s Annual Report on Form 10-K for the year ended December 31, 2009;</w:t>
      </w:r>
    </w:p>
    <w:p>
      <w:pPr>
        <w:spacing w:after="0" w:line="76"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Republic’s Quarterly Report on Form 10-Q for the three months ended March 31, 2010;</w:t>
      </w:r>
    </w:p>
    <w:p>
      <w:pPr>
        <w:spacing w:after="0" w:line="103" w:lineRule="exact"/>
        <w:rPr>
          <w:rFonts w:ascii="Times New Roman" w:cs="Times New Roman" w:eastAsia="Times New Roman" w:hAnsi="Times New Roman"/>
          <w:sz w:val="18"/>
          <w:szCs w:val="18"/>
          <w:color w:val="auto"/>
        </w:rPr>
      </w:pPr>
    </w:p>
    <w:p>
      <w:pPr>
        <w:ind w:left="1300" w:right="40" w:hanging="202"/>
        <w:spacing w:after="0" w:line="266"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Republic’s Current Reports on Form 8-K, dated January 4, 2010, January 6, 2010, February 12, 2010, March 1, 2010 (relating to item 8.01 which is filed with the SEC), March 1, 2010 (relating to item 2.03 which is filed with the SEC), March 4, 2010, May 14, 2010 and June 28, 2010; and</w:t>
      </w:r>
    </w:p>
    <w:p>
      <w:pPr>
        <w:spacing w:after="0" w:line="41" w:lineRule="exact"/>
        <w:rPr>
          <w:rFonts w:ascii="Times New Roman" w:cs="Times New Roman" w:eastAsia="Times New Roman" w:hAnsi="Times New Roman"/>
          <w:sz w:val="18"/>
          <w:szCs w:val="18"/>
          <w:color w:val="auto"/>
        </w:rPr>
      </w:pPr>
    </w:p>
    <w:p>
      <w:pPr>
        <w:ind w:left="1300" w:hanging="202"/>
        <w:spacing w:after="0" w:line="261"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by us under Section 13(a), 13(c), 14 or 15(d) of the Exchange Act on or after the date of this prospectus until the exchange offer is terminated (other than Current Reports on Form 8-K or portions thereof furnished under Item 2.02 or 7.01 of Form 8-K and portions of other documents which under applicable securities laws are deemed furnished and not filed with the SEC).</w:t>
      </w:r>
    </w:p>
    <w:p>
      <w:pPr>
        <w:spacing w:after="0" w:line="45" w:lineRule="exact"/>
        <w:rPr>
          <w:sz w:val="20"/>
          <w:szCs w:val="20"/>
          <w:color w:val="auto"/>
        </w:rPr>
      </w:pPr>
    </w:p>
    <w:p>
      <w:pPr>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Any information incorporated by reference is considered part of this prospectus, and any information that we file with the SEC subsequent to the filing of the incorporated material or the date of this prospectus will automatically update and, if applicable, supercede the incorporated information and this prospectus.</w:t>
      </w:r>
    </w:p>
    <w:p>
      <w:pPr>
        <w:spacing w:after="0" w:line="55" w:lineRule="exact"/>
        <w:rPr>
          <w:sz w:val="20"/>
          <w:szCs w:val="20"/>
          <w:color w:val="auto"/>
        </w:rPr>
      </w:pPr>
    </w:p>
    <w:p>
      <w:pPr>
        <w:ind w:left="700" w:right="200" w:firstLine="397"/>
        <w:spacing w:after="0" w:line="266" w:lineRule="auto"/>
        <w:rPr>
          <w:sz w:val="20"/>
          <w:szCs w:val="20"/>
          <w:color w:val="auto"/>
        </w:rPr>
      </w:pPr>
      <w:r>
        <w:rPr>
          <w:rFonts w:ascii="Times New Roman" w:cs="Times New Roman" w:eastAsia="Times New Roman" w:hAnsi="Times New Roman"/>
          <w:sz w:val="18"/>
          <w:szCs w:val="18"/>
          <w:color w:val="auto"/>
        </w:rPr>
        <w:t>You may obtain a copy of these filings, including exhibits (but not including exhibits that are specifically incorporated by reference), free of charge, by oral or written request directed to: Republic Services, Inc., 18500 North Allied Way, Phoenix, AZ 85054, Attention: Investor Relations, Phone: (480) 627-2700.</w:t>
      </w:r>
    </w:p>
    <w:p>
      <w:pPr>
        <w:spacing w:after="0" w:line="35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39" w:lineRule="exact"/>
        <w:rPr>
          <w:sz w:val="20"/>
          <w:szCs w:val="20"/>
          <w:color w:val="auto"/>
        </w:rPr>
      </w:pPr>
    </w:p>
    <w:p>
      <w:pPr>
        <w:ind w:left="70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p>
    <w:p>
      <w:pPr>
        <w:spacing w:after="0" w:line="135" w:lineRule="exact"/>
        <w:rPr>
          <w:sz w:val="20"/>
          <w:szCs w:val="20"/>
          <w:color w:val="auto"/>
        </w:rPr>
      </w:pPr>
    </w:p>
    <w:p>
      <w:pPr>
        <w:ind w:left="700" w:right="420" w:firstLine="397"/>
        <w:spacing w:after="0" w:line="282" w:lineRule="auto"/>
        <w:rPr>
          <w:sz w:val="20"/>
          <w:szCs w:val="20"/>
          <w:color w:val="auto"/>
        </w:rPr>
      </w:pPr>
      <w:r>
        <w:rPr>
          <w:rFonts w:ascii="Times New Roman" w:cs="Times New Roman" w:eastAsia="Times New Roman" w:hAnsi="Times New Roman"/>
          <w:sz w:val="18"/>
          <w:szCs w:val="18"/>
          <w:color w:val="auto"/>
        </w:rPr>
        <w:t>The following summary is qualified in its entirety by reference to the complete text of the statutes referred to below and to our Amended and Restated Certificate of Incorporation, as amended (the “Certificate”), and by-laws.</w:t>
      </w:r>
    </w:p>
    <w:p>
      <w:pPr>
        <w:spacing w:after="0" w:line="67"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The Certificate provides that we shall indemnify, to the fullest extent permitted by Section 145 of the Delaware General Corporation Law (the “DGCL”), each person who is involved in any litigation or other proceeding because such person is or was a Republic director or officer or was serving at our request as a director, officer, employee or agent of another enterprise, against all expense (including attorney’s fees), loss or liability reasonably incurred or suffered in connection therewith. The Certificate provides that a person entitled to indemnification under the Certificate shall be paid expenses incurred in defending any proceeding in advance of its final disposition upon our receipt of an undertaking, by or on behalf of the director or officer, to repay all amounts so advanced if it is ultimately determined that such director or officer is not entitled to indemnification.</w:t>
      </w:r>
    </w:p>
    <w:p>
      <w:pPr>
        <w:spacing w:after="0" w:line="95" w:lineRule="exact"/>
        <w:rPr>
          <w:sz w:val="20"/>
          <w:szCs w:val="20"/>
          <w:color w:val="auto"/>
        </w:rPr>
      </w:pPr>
    </w:p>
    <w:p>
      <w:pPr>
        <w:ind w:left="700" w:right="40" w:firstLine="397"/>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had no reason to believe his conduct was unlawful. In a derivative action (i.e., one brought by or on behalf of the corporation), however, indemnification may be made only for expenses, actually and reasonably incurred by any director or officer in connection with the defense or settlement of such action or suit, if such person acted in good faith and in a manner that he reasonably believed to be in or not opposed to the best interests of the corporation, except that no indemnification shall be made if such person shall have been adjudged to be liable to the corporation, unless and only to the extent that the Delaware Court of Chancery or the court in which the action or suit was brought shall determine that the defendant is fairly and reasonably entitled to indemnity for such expenses despite such adjudication of liability.</w:t>
      </w:r>
    </w:p>
    <w:p>
      <w:pPr>
        <w:spacing w:after="0" w:line="98"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Pursuant to Section 102(b)(7) of the DGCL, the Certificate eliminates the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spacing w:after="0" w:line="89"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We may purchase and maintain insurance on behalf of any person who is or was a director, officer, employee or agent of Republic or another corporation, partnership, joint venture, trust or other enterprise. Under an insurance policy maintained by us, our directors and officers and the directors and officers of each of the co-registrants are insured, within the limits and subject to the limitations of the policy, against certain expenses in connection with the defense of certain claims, actions, suits or proceedings, and certain liabilities which might be imposed as a result of such claims, actions, suits or proceedings, which may be brought against them by reason of being or having been such directors or officers.</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Alabama Registrants:</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(a) Alabama Recycling Services, Inc. and GEK, Inc. are incorporated under the laws of Alabama.</w:t>
      </w:r>
    </w:p>
    <w:p>
      <w:pPr>
        <w:spacing w:after="0" w:line="135" w:lineRule="exact"/>
        <w:rPr>
          <w:sz w:val="20"/>
          <w:szCs w:val="20"/>
          <w:color w:val="auto"/>
        </w:rPr>
      </w:pPr>
    </w:p>
    <w:p>
      <w:pPr>
        <w:ind w:left="700" w:right="120" w:firstLine="397"/>
        <w:spacing w:after="0" w:line="266" w:lineRule="auto"/>
        <w:rPr>
          <w:sz w:val="20"/>
          <w:szCs w:val="20"/>
          <w:color w:val="auto"/>
        </w:rPr>
      </w:pPr>
      <w:r>
        <w:rPr>
          <w:rFonts w:ascii="Times New Roman" w:cs="Times New Roman" w:eastAsia="Times New Roman" w:hAnsi="Times New Roman"/>
          <w:sz w:val="18"/>
          <w:szCs w:val="18"/>
          <w:color w:val="auto"/>
        </w:rPr>
        <w:t>Division E of Article 8 of the Alabama Business Corporation Act authorizes a court to award, or a corporation’s board of directors to grant, indemnity to an officer, director, employee or agent of the corporation under certain circumstances and subject to certain limitations.</w:t>
      </w:r>
    </w:p>
    <w:p>
      <w:pPr>
        <w:spacing w:after="0" w:line="82" w:lineRule="exact"/>
        <w:rPr>
          <w:sz w:val="20"/>
          <w:szCs w:val="20"/>
          <w:color w:val="auto"/>
        </w:rPr>
      </w:pPr>
    </w:p>
    <w:p>
      <w:pPr>
        <w:ind w:left="700" w:right="40" w:firstLine="397"/>
        <w:spacing w:after="0" w:line="282" w:lineRule="auto"/>
        <w:rPr>
          <w:sz w:val="20"/>
          <w:szCs w:val="20"/>
          <w:color w:val="auto"/>
        </w:rPr>
      </w:pPr>
      <w:r>
        <w:rPr>
          <w:rFonts w:ascii="Times New Roman" w:cs="Times New Roman" w:eastAsia="Times New Roman" w:hAnsi="Times New Roman"/>
          <w:sz w:val="18"/>
          <w:szCs w:val="18"/>
          <w:color w:val="auto"/>
        </w:rPr>
        <w:t>Section 10-2B-8.42(d) of the Alabama Business Corporation Act provides that an officer of a corporation shall not be liable for any action taken as an officer or any failure to take any action if such officer performed the duties of</w:t>
      </w:r>
    </w:p>
    <w:p>
      <w:pPr>
        <w:spacing w:after="0" w:line="35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820"/>
        <w:spacing w:after="0" w:line="282" w:lineRule="auto"/>
        <w:rPr>
          <w:sz w:val="20"/>
          <w:szCs w:val="20"/>
          <w:color w:val="auto"/>
        </w:rPr>
      </w:pPr>
      <w:r>
        <w:rPr>
          <w:rFonts w:ascii="Times New Roman" w:cs="Times New Roman" w:eastAsia="Times New Roman" w:hAnsi="Times New Roman"/>
          <w:sz w:val="18"/>
          <w:szCs w:val="18"/>
          <w:color w:val="auto"/>
        </w:rPr>
        <w:t>his or her office (i) in good faith, (ii) with the care an ordinarily prudent person in a like position would exercise under similar circumstances and (iii) in a manner he or she reasonably believes to be in the best interests of the corporation.</w:t>
      </w:r>
    </w:p>
    <w:p>
      <w:pPr>
        <w:spacing w:after="0" w:line="67"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the Alabama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0" w:lineRule="exact"/>
        <w:rPr>
          <w:sz w:val="20"/>
          <w:szCs w:val="20"/>
          <w:color w:val="auto"/>
        </w:rPr>
      </w:pPr>
    </w:p>
    <w:p>
      <w:pPr>
        <w:ind w:left="700" w:right="20" w:firstLine="397"/>
        <w:spacing w:after="0" w:line="253" w:lineRule="auto"/>
        <w:rPr>
          <w:sz w:val="20"/>
          <w:szCs w:val="20"/>
          <w:color w:val="auto"/>
        </w:rPr>
      </w:pPr>
      <w:r>
        <w:rPr>
          <w:rFonts w:ascii="Times New Roman" w:cs="Times New Roman" w:eastAsia="Times New Roman" w:hAnsi="Times New Roman"/>
          <w:sz w:val="18"/>
          <w:szCs w:val="18"/>
          <w:color w:val="auto"/>
        </w:rPr>
        <w:t>The bylaws of each of the Alabama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(b) Autauga County Landfill, LLC is organized as a limited liability company under the laws of Alabama.</w:t>
      </w:r>
    </w:p>
    <w:p>
      <w:pPr>
        <w:spacing w:after="0" w:line="135"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Section 4 of the Alabama Limited Liability Company Act permits a limited liability company to indemnify and hold harmless any person who is or was a member, manager or employee of the limited liability company under certain circumstances and subject to certain limitations.</w:t>
      </w:r>
    </w:p>
    <w:p>
      <w:pPr>
        <w:spacing w:after="0" w:line="82" w:lineRule="exact"/>
        <w:rPr>
          <w:sz w:val="20"/>
          <w:szCs w:val="20"/>
          <w:color w:val="auto"/>
        </w:rPr>
      </w:pPr>
    </w:p>
    <w:p>
      <w:pPr>
        <w:ind w:left="700" w:right="60" w:firstLine="397"/>
        <w:spacing w:after="0" w:line="258" w:lineRule="auto"/>
        <w:rPr>
          <w:sz w:val="20"/>
          <w:szCs w:val="20"/>
          <w:color w:val="auto"/>
        </w:rPr>
      </w:pPr>
      <w:r>
        <w:rPr>
          <w:rFonts w:ascii="Times New Roman" w:cs="Times New Roman" w:eastAsia="Times New Roman" w:hAnsi="Times New Roman"/>
          <w:sz w:val="18"/>
          <w:szCs w:val="18"/>
          <w:color w:val="auto"/>
        </w:rPr>
        <w:t>The operating agreement of Autauga County Landfill, LLC provides that the company shall defend, indemnify and save harmless its sole member, its sole member’s officers and directors, and the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w:t>
      </w:r>
    </w:p>
    <w:p>
      <w:pPr>
        <w:spacing w:after="0" w:line="3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however, no such person shall be indemnified from any liability for fraud, bad faith, willful misconduct or gross negligence.</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Arizona Registrants:</w:t>
      </w:r>
    </w:p>
    <w:p>
      <w:pPr>
        <w:spacing w:after="0" w:line="131" w:lineRule="exact"/>
        <w:rPr>
          <w:sz w:val="20"/>
          <w:szCs w:val="20"/>
          <w:color w:val="auto"/>
        </w:rPr>
      </w:pPr>
    </w:p>
    <w:p>
      <w:pPr>
        <w:ind w:left="700" w:right="240" w:firstLine="390"/>
        <w:spacing w:after="0" w:line="268" w:lineRule="auto"/>
        <w:tabs>
          <w:tab w:leader="none" w:pos="134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Industries (Arizona), Inc., Allied Waste Industries (Southwest), Inc., Apache Junction Landfill Corporation, Central Arizona Transfer, Inc., Mesa Disposal, Inc., Midway Development Company, Inc., Pinal County Landfill Corp., Summit Waste Systems, Inc. and Tri-State Refuse Corporation are incorporated under the laws of Arizona.</w:t>
      </w:r>
    </w:p>
    <w:p>
      <w:pPr>
        <w:spacing w:after="0" w:line="80" w:lineRule="exact"/>
        <w:rPr>
          <w:sz w:val="20"/>
          <w:szCs w:val="20"/>
          <w:color w:val="auto"/>
        </w:rPr>
      </w:pPr>
    </w:p>
    <w:p>
      <w:pPr>
        <w:ind w:left="700" w:right="80" w:firstLine="397"/>
        <w:spacing w:after="0" w:line="282" w:lineRule="auto"/>
        <w:rPr>
          <w:sz w:val="20"/>
          <w:szCs w:val="20"/>
          <w:color w:val="auto"/>
        </w:rPr>
      </w:pPr>
      <w:r>
        <w:rPr>
          <w:rFonts w:ascii="Times New Roman" w:cs="Times New Roman" w:eastAsia="Times New Roman" w:hAnsi="Times New Roman"/>
          <w:sz w:val="18"/>
          <w:szCs w:val="18"/>
          <w:color w:val="auto"/>
        </w:rPr>
        <w:t>Sections 10-850 et seq. of the Arizona Business Corporation Act authorize a court to award, or a corporation’s board of directors to grant, indemnity to officers and directors of the corporation under certain circumstances and subject to certain limitations.</w:t>
      </w:r>
    </w:p>
    <w:p>
      <w:pPr>
        <w:spacing w:after="0" w:line="67"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Section 10-202(B)(1) of the Arizona Business Corporation Act permits a corporation to provide in its articles of incorporation that a director shall not be personally liable to the corporation or its shareholders for monetary damages for any action taken or any failure to take any action as a director, subject to certain limitations. Section 10-842(D) of the Arizona Business Corporation Act provides that an officer of a corporation shall not be liable for any action taken as an officer or any failure to take any action if such officer’s duties were performed (i) in good faith, (ii) with the care an ordinarily prudent person in a like position would exercise under similar circumstances and (iii) in a manner such officer reasonably believes to be in the best interests of the corporation.</w:t>
      </w:r>
    </w:p>
    <w:p>
      <w:pPr>
        <w:spacing w:after="0" w:line="93" w:lineRule="exact"/>
        <w:rPr>
          <w:sz w:val="20"/>
          <w:szCs w:val="20"/>
          <w:color w:val="auto"/>
        </w:rPr>
      </w:pPr>
    </w:p>
    <w:p>
      <w:pPr>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The articles of incorporation of Allied Waste Industries (Arizona), Inc. provide for indemnification to the fullest extent permissible by law, by the bylaws of the corporation or by agreement.</w:t>
      </w:r>
    </w:p>
    <w:p>
      <w:pPr>
        <w:spacing w:after="0" w:line="67"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The articles of incorporation of Allied Waste Industries (Arizona), Inc. provide that a director of the corporation shall not be personally liable to the corporation or its shareholders for monetary damages for breach of fiduciary duty as a director, except for liability for (i) the amount of a financial benefit received by a director to which the director is not entitled, (ii) an intentional infliction of harm on the corporation or the shareholders, (iii) a violation of Section 10-833 of the Arizona Business Corporation Act relating to unlawful distributions and (iv) an intentional violation of criminal law.</w:t>
      </w:r>
    </w:p>
    <w:p>
      <w:pPr>
        <w:spacing w:after="0" w:line="89" w:lineRule="exact"/>
        <w:rPr>
          <w:sz w:val="20"/>
          <w:szCs w:val="20"/>
          <w:color w:val="auto"/>
        </w:rPr>
      </w:pPr>
    </w:p>
    <w:p>
      <w:pPr>
        <w:ind w:left="700" w:right="360" w:firstLine="397"/>
        <w:spacing w:after="0" w:line="258" w:lineRule="auto"/>
        <w:rPr>
          <w:sz w:val="20"/>
          <w:szCs w:val="20"/>
          <w:color w:val="auto"/>
        </w:rPr>
      </w:pPr>
      <w:r>
        <w:rPr>
          <w:rFonts w:ascii="Times New Roman" w:cs="Times New Roman" w:eastAsia="Times New Roman" w:hAnsi="Times New Roman"/>
          <w:sz w:val="18"/>
          <w:szCs w:val="18"/>
          <w:color w:val="auto"/>
        </w:rPr>
        <w:t>The articles of incorporation of each of Summit Waste Systems, Inc. and Midway Development Company, Inc. provide that the corporation shall indemnify any person who incurs expenses or liabilities by reason of the fact that such person is or was an officer, director, employee or agent of the corporation or is or was serving at the request of the corporation as a director, officer, employee or agent of another entity or other enterprise. This indemnification shall be mandatory in all circumstances in which indemnification is permitted by law.</w:t>
      </w:r>
    </w:p>
    <w:p>
      <w:pPr>
        <w:spacing w:after="0" w:line="89" w:lineRule="exact"/>
        <w:rPr>
          <w:sz w:val="20"/>
          <w:szCs w:val="20"/>
          <w:color w:val="auto"/>
        </w:rPr>
      </w:pPr>
    </w:p>
    <w:p>
      <w:pPr>
        <w:jc w:val="both"/>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The articles of incorporation of each of Summit Waste Systems, Inc. and Midway Development Company, Inc. provide that, to the fullest extent permitted by the Arizona Business Corporation Act, a director of the corporation shall not be liable to the corporation or its shareholders for monetary damages for any action taken or any failure to take any action as a director.</w:t>
      </w:r>
    </w:p>
    <w:p>
      <w:pPr>
        <w:spacing w:after="0" w:line="82"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The bylaws of each of Midway Development Company, Inc. and Summit Waste Systems, Inc. provide that the corporation shall indemnify, to the fullest extent provided by law, any person who incurs expenses or liabilities by reason of the fact he or she is or was an officer, director, employee or agent of the corporation or is or was serving at the request of the corporation as a director, officer, employee or agent of another entity or other enterprise.</w:t>
      </w:r>
    </w:p>
    <w:p>
      <w:pPr>
        <w:spacing w:after="0" w:line="86"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The bylaws of each of Central Arizona Transfer, Inc. and Mesa Disposal,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w:t>
      </w:r>
    </w:p>
    <w:p>
      <w:pPr>
        <w:spacing w:after="0" w:line="3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4" w:lineRule="auto"/>
        <w:rPr>
          <w:sz w:val="20"/>
          <w:szCs w:val="20"/>
          <w:color w:val="auto"/>
        </w:rPr>
      </w:pPr>
      <w:r>
        <w:rPr>
          <w:rFonts w:ascii="Times New Roman" w:cs="Times New Roman" w:eastAsia="Times New Roman" w:hAnsi="Times New Roman"/>
          <w:sz w:val="18"/>
          <w:szCs w:val="18"/>
          <w:color w:val="auto"/>
        </w:rPr>
        <w:t>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5"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Central Arizona Transfer, Inc. and Mesa Disposal,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104" w:lineRule="exact"/>
        <w:rPr>
          <w:sz w:val="20"/>
          <w:szCs w:val="20"/>
          <w:color w:val="auto"/>
        </w:rPr>
      </w:pPr>
    </w:p>
    <w:p>
      <w:pPr>
        <w:ind w:left="700" w:right="22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articles of incorporation or bylaws of any of Allied Waste Industries (Southwest), Inc., Apache Junction Landfill Corporation, Pinal County Landfill Corp. or Tri-State Refuse Corporation.</w:t>
      </w:r>
    </w:p>
    <w:p>
      <w:pPr>
        <w:spacing w:after="0" w:line="63" w:lineRule="exact"/>
        <w:rPr>
          <w:sz w:val="20"/>
          <w:szCs w:val="20"/>
          <w:color w:val="auto"/>
        </w:rPr>
      </w:pPr>
    </w:p>
    <w:p>
      <w:pPr>
        <w:ind w:left="700" w:right="40" w:firstLine="390"/>
        <w:spacing w:after="0" w:line="286" w:lineRule="auto"/>
        <w:tabs>
          <w:tab w:leader="none" w:pos="135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Systems of Arizona, LLC, Cactus Waste Systems, LLC and Republic Services of Arizona Hauling, LLC are organized as limited liability companies under the laws of Arizona.</w:t>
      </w:r>
    </w:p>
    <w:p>
      <w:pPr>
        <w:spacing w:after="0" w:line="64" w:lineRule="exact"/>
        <w:rPr>
          <w:sz w:val="20"/>
          <w:szCs w:val="20"/>
          <w:color w:val="auto"/>
        </w:rPr>
      </w:pPr>
    </w:p>
    <w:p>
      <w:pPr>
        <w:ind w:left="700" w:right="120" w:firstLine="397"/>
        <w:spacing w:after="0" w:line="282" w:lineRule="auto"/>
        <w:rPr>
          <w:sz w:val="20"/>
          <w:szCs w:val="20"/>
          <w:color w:val="auto"/>
        </w:rPr>
      </w:pPr>
      <w:r>
        <w:rPr>
          <w:rFonts w:ascii="Times New Roman" w:cs="Times New Roman" w:eastAsia="Times New Roman" w:hAnsi="Times New Roman"/>
          <w:sz w:val="18"/>
          <w:szCs w:val="18"/>
          <w:color w:val="auto"/>
        </w:rPr>
        <w:t>Section 29-610(A)(13) of the Arizona Limited Liability Company Act permits a limited liability company to indemnify a member, manager, employee, officer, agent or any other person.</w:t>
      </w:r>
    </w:p>
    <w:p>
      <w:pPr>
        <w:spacing w:after="0" w:line="67"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Cactus Waste Systems, LLC and Republic Services of Arizona Hauling,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93" w:lineRule="exact"/>
        <w:rPr>
          <w:sz w:val="20"/>
          <w:szCs w:val="20"/>
          <w:color w:val="auto"/>
        </w:rPr>
      </w:pPr>
    </w:p>
    <w:p>
      <w:pPr>
        <w:ind w:left="700" w:right="520" w:firstLine="397"/>
        <w:spacing w:after="0" w:line="282" w:lineRule="auto"/>
        <w:rPr>
          <w:sz w:val="20"/>
          <w:szCs w:val="20"/>
          <w:color w:val="auto"/>
        </w:rPr>
      </w:pPr>
      <w:r>
        <w:rPr>
          <w:rFonts w:ascii="Times New Roman" w:cs="Times New Roman" w:eastAsia="Times New Roman" w:hAnsi="Times New Roman"/>
          <w:sz w:val="18"/>
          <w:szCs w:val="18"/>
          <w:color w:val="auto"/>
        </w:rPr>
        <w:t>The operating agreement of Allied Waste Systems of Arizona, LLC provides for identical indemnification as described in the preceding paragraph, except that such indemnification is also provided to the directors of the sole member of the company.</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California Registrants:</w:t>
      </w:r>
    </w:p>
    <w:p>
      <w:pPr>
        <w:spacing w:after="0" w:line="131" w:lineRule="exact"/>
        <w:rPr>
          <w:sz w:val="20"/>
          <w:szCs w:val="20"/>
          <w:color w:val="auto"/>
        </w:rPr>
      </w:pPr>
    </w:p>
    <w:p>
      <w:pPr>
        <w:ind w:left="700" w:right="720" w:firstLine="390"/>
        <w:spacing w:after="0" w:line="268" w:lineRule="auto"/>
        <w:tabs>
          <w:tab w:leader="none" w:pos="1342"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D A J Corporation, Allied Waste of California, Inc., Atlas Transport, Inc., Bay Collection Services, Inc., Bay Environmental Management, Inc., Bay Landfills, Inc., Bay Leasing Company, Inc., Berkeley Sanitary Service, Inc., BLT Enterprises of Oxnard, Inc., Borrego Landfill, Inc., Browning-Ferris Industries</w:t>
      </w:r>
    </w:p>
    <w:p>
      <w:pPr>
        <w:spacing w:after="0" w:line="36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right="20"/>
        <w:spacing w:after="0" w:line="255" w:lineRule="auto"/>
        <w:rPr>
          <w:sz w:val="20"/>
          <w:szCs w:val="20"/>
          <w:color w:val="auto"/>
        </w:rPr>
      </w:pPr>
      <w:r>
        <w:rPr>
          <w:rFonts w:ascii="Times New Roman" w:cs="Times New Roman" w:eastAsia="Times New Roman" w:hAnsi="Times New Roman"/>
          <w:sz w:val="18"/>
          <w:szCs w:val="18"/>
          <w:b w:val="1"/>
          <w:bCs w:val="1"/>
          <w:color w:val="auto"/>
        </w:rPr>
        <w:t>of California, Inc., Charter Evaporation Resource Recovery Systems, Crockett Sanitary Service, Inc., Delta Container Corporation, Delta Paper Stock, Co., Elder Creek Transfer &amp; Recovery, Inc., Forward, Inc., Golden Bear Transfer Services, Inc., Imperial Landfill, Inc., Independent Trucking Company, International Disposal Corp. of California, Keller Canyon Landfill Company, La Canada Disposal Company, Inc., Lathrop Sunrise Sanitation Corporation, Otay Landfill, Inc., Palomar Transfer Station, Inc., Perdomo &amp; Sons, Inc., Ramona Landfill, Inc., RI/Alameda Corp., Richmond Sanitary Service, Inc., San Marcos NCRRF, Inc., Solano Garbage Company, Sunrise Sanitation Service, Inc., Sunset Disposal Service, Inc., Sycamore Landfill, Inc., West Contra Costa Energy Recovery Company, West Contra Costa Sanitary Landfill, Inc., West County Landfill, Inc., West County Resource Recovery, Inc. and Zakaroff Services are incorporated under the laws of California.</w:t>
      </w:r>
    </w:p>
    <w:p>
      <w:pPr>
        <w:spacing w:after="0" w:line="95" w:lineRule="exact"/>
        <w:rPr>
          <w:sz w:val="20"/>
          <w:szCs w:val="20"/>
          <w:color w:val="auto"/>
        </w:rPr>
      </w:pPr>
    </w:p>
    <w:p>
      <w:pPr>
        <w:ind w:left="700" w:right="700" w:firstLine="397"/>
        <w:spacing w:after="0" w:line="282" w:lineRule="auto"/>
        <w:rPr>
          <w:sz w:val="20"/>
          <w:szCs w:val="20"/>
          <w:color w:val="auto"/>
        </w:rPr>
      </w:pPr>
      <w:r>
        <w:rPr>
          <w:rFonts w:ascii="Times New Roman" w:cs="Times New Roman" w:eastAsia="Times New Roman" w:hAnsi="Times New Roman"/>
          <w:sz w:val="18"/>
          <w:szCs w:val="18"/>
          <w:color w:val="auto"/>
        </w:rPr>
        <w:t>Section 317 of the California Corporations Code authorizes a court to award, or a corporation’s board of directors to grant, indemnity to any agent of the corporation under certain circumstances and subject to certain limitations.</w:t>
      </w:r>
    </w:p>
    <w:p>
      <w:pPr>
        <w:spacing w:after="0" w:line="67" w:lineRule="exact"/>
        <w:rPr>
          <w:sz w:val="20"/>
          <w:szCs w:val="20"/>
          <w:color w:val="auto"/>
        </w:rPr>
      </w:pPr>
    </w:p>
    <w:p>
      <w:pPr>
        <w:ind w:left="700" w:right="220" w:firstLine="397"/>
        <w:spacing w:after="0" w:line="266" w:lineRule="auto"/>
        <w:rPr>
          <w:sz w:val="20"/>
          <w:szCs w:val="20"/>
          <w:color w:val="auto"/>
        </w:rPr>
      </w:pPr>
      <w:r>
        <w:rPr>
          <w:rFonts w:ascii="Times New Roman" w:cs="Times New Roman" w:eastAsia="Times New Roman" w:hAnsi="Times New Roman"/>
          <w:sz w:val="18"/>
          <w:szCs w:val="18"/>
          <w:color w:val="auto"/>
        </w:rPr>
        <w:t>Section 204(a)(10) of the California Corporations Code permits a corporation to provide in its articles of incorporation that a director of the corporation shall not be personally liable to the corporation or its shareholders for monetary damages for breach of such director’s duties, subject to certain limitations.</w:t>
      </w:r>
    </w:p>
    <w:p>
      <w:pPr>
        <w:spacing w:after="0" w:line="82" w:lineRule="exact"/>
        <w:rPr>
          <w:sz w:val="20"/>
          <w:szCs w:val="20"/>
          <w:color w:val="auto"/>
        </w:rPr>
      </w:pPr>
    </w:p>
    <w:p>
      <w:pPr>
        <w:ind w:left="700" w:right="200" w:firstLine="397"/>
        <w:spacing w:after="0" w:line="258" w:lineRule="auto"/>
        <w:rPr>
          <w:sz w:val="20"/>
          <w:szCs w:val="20"/>
          <w:color w:val="auto"/>
        </w:rPr>
      </w:pPr>
      <w:r>
        <w:rPr>
          <w:rFonts w:ascii="Times New Roman" w:cs="Times New Roman" w:eastAsia="Times New Roman" w:hAnsi="Times New Roman"/>
          <w:sz w:val="18"/>
          <w:szCs w:val="18"/>
          <w:color w:val="auto"/>
        </w:rPr>
        <w:t>The articles of incorporation of each of BLT Enterprises of Oxnard, Inc., Keller Canyon Landfill Company and Perdomo &amp; Sons, Inc. provide that the corporation is authorized to provide indemnification of agents for breach of duty to the corporation and its shareholders through bylaw provisions or through agreements with the agents, or both, in excess of the indemnification otherwise permitted by Section 317 of the California Corporations Code, subject to the limits on such excess indemnification set forth in Section 204 of the California Corporations Code.</w:t>
      </w:r>
    </w:p>
    <w:p>
      <w:pPr>
        <w:spacing w:after="0" w:line="89" w:lineRule="exact"/>
        <w:rPr>
          <w:sz w:val="20"/>
          <w:szCs w:val="20"/>
          <w:color w:val="auto"/>
        </w:rPr>
      </w:pPr>
    </w:p>
    <w:p>
      <w:pPr>
        <w:ind w:left="700" w:right="60" w:firstLine="397"/>
        <w:spacing w:after="0" w:line="281" w:lineRule="auto"/>
        <w:rPr>
          <w:sz w:val="20"/>
          <w:szCs w:val="20"/>
          <w:color w:val="auto"/>
        </w:rPr>
      </w:pPr>
      <w:r>
        <w:rPr>
          <w:rFonts w:ascii="Times New Roman" w:cs="Times New Roman" w:eastAsia="Times New Roman" w:hAnsi="Times New Roman"/>
          <w:sz w:val="17"/>
          <w:szCs w:val="17"/>
          <w:color w:val="auto"/>
        </w:rPr>
        <w:t>The articles of incorporation of each of BLT Enterprises of Oxnard, Inc., Borrego Landfill, Inc., Elder Creek Transfer &amp; Recovery, Inc., Imperial Landfill, Inc., Keller Canyon Landfill Company, Lathrop Sunrise Sanitation Corporation, Palomar Transfer Station, Inc., Perdomo &amp; Sons, Inc., Otay Landfill, Inc., Ramona Landfill, Inc., San Marcos NCRRF, Inc. and Sycamore Landfill, Inc. provide that the liability of directors of the corporation for monetary damages shall be eliminated to the fullest extent permissible under California law.</w:t>
      </w:r>
    </w:p>
    <w:p>
      <w:pPr>
        <w:spacing w:after="0" w:line="70" w:lineRule="exact"/>
        <w:rPr>
          <w:sz w:val="20"/>
          <w:szCs w:val="20"/>
          <w:color w:val="auto"/>
        </w:rPr>
      </w:pPr>
    </w:p>
    <w:p>
      <w:pPr>
        <w:ind w:left="700" w:right="120" w:firstLine="397"/>
        <w:spacing w:after="0" w:line="256" w:lineRule="auto"/>
        <w:rPr>
          <w:sz w:val="20"/>
          <w:szCs w:val="20"/>
          <w:color w:val="auto"/>
        </w:rPr>
      </w:pPr>
      <w:r>
        <w:rPr>
          <w:rFonts w:ascii="Times New Roman" w:cs="Times New Roman" w:eastAsia="Times New Roman" w:hAnsi="Times New Roman"/>
          <w:sz w:val="18"/>
          <w:szCs w:val="18"/>
          <w:color w:val="auto"/>
        </w:rPr>
        <w:t>The articles of incorporation of each of Elder Creek Transfer &amp; Recovery, Inc. and Imperial Landfill, Inc. provide that the corporation is authorized to indemnify the directors and officers of the corporation to the fullest extent permissible under California law. The corporation is authorized to provide indemnification of agents through bylaw provisions, agreements with agents, vote of shareholders or disinterested directors or otherwise, in excess of that expressly permitted by Section 317 of the California Corporations Code for those agents of the corporation for breach of duty to the corporation and its stockholders, subject to limitations set forth in Section 204.</w:t>
      </w:r>
    </w:p>
    <w:p>
      <w:pPr>
        <w:spacing w:after="0" w:line="93" w:lineRule="exact"/>
        <w:rPr>
          <w:sz w:val="20"/>
          <w:szCs w:val="20"/>
          <w:color w:val="auto"/>
        </w:rPr>
      </w:pPr>
    </w:p>
    <w:p>
      <w:pPr>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The articles of incorporation of Lathrop Sunrise Sanitation Corporation provide that the corporation is authorized to provide indemnification of agents through bylaw provisions, agreements with agents, vote of shareholders or disinterested directors or otherwise, to the fullest extent permissible under California law.</w:t>
      </w:r>
    </w:p>
    <w:p>
      <w:pPr>
        <w:spacing w:after="0" w:line="82"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The bylaws of each of A D A J Corporation, Atlas Transport, Inc., Bay Collection Services, Inc., Bay Environmental Management, Inc., Bay Landfills, Inc., Bay Leasing Company, Inc., Berkeley Sanitary Service, Inc., BLT Enterprises of Oxnard, Inc., Browning-Ferris Industries of California, Inc., Charter Evaporation Resource Recovery Systems, Crockett Sanitary Service, Inc., Elder Creek Transfer &amp; Recovery, Inc., Forward, Inc., Golden Bear Transfer Services, Inc., Imperial Landfill, Inc., International Disposal Corp. of California, Keller Canyon Landfill Company, La Canada Disposal Company, Inc., Lathrop Sunrise Sanitation Corporation, Otay Landfill, Inc., Perdomo &amp; Sons, Inc., RI/Alameda Corp., Richmond Sanitary Service, Inc., Solano Garbage Company, Sycamore Landfill, Inc., West Contra Costa Energy Recovery Company, West Contra Costa Sanitary Landfill, Inc., West County Landfill, Inc., West County Resource Recovery, Inc. and Zakaroff Services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w:t>
      </w:r>
    </w:p>
    <w:p>
      <w:pPr>
        <w:spacing w:after="0" w:line="3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8"/>
          <w:szCs w:val="18"/>
          <w:color w:val="auto"/>
        </w:rPr>
        <w:t>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6"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the California corporation registrants listed in the preceding paragraph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104"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The bylaws of each of Delta Container Corporation, Independent Trucking Company, Sunrise Sanitation Service, Inc. and Sunset Disposal Service, Inc. provide that the board may, in its discretion, indemnify any director, officer, employee or other agent of the corporation against expenses, judgments, fines, settlements and other amounts actually and reasonably incurred in a proceeding (including a derivative action on behalf of the corporation) to which that person was or is threatened to be made a party by reason of the fact that such person was or is an agent of the corporation, but only to the extent allowed by the California Corporations Code and subject to director or shareholder approval as required by such code. In no event shall the corporation indemnify any such director or officer against any liability or expense by reason of willful malfeasance, bad faith, gross negligence or reckless disregard of the duties involved in the conduct of such person’s office. The corporation may advance to each director or officer the expenses incurred in defending any proceeding referred to in the bylaws of the corporation prior to the final disposition of such proceeding upon receipt of an undertaking by or on behalf of the director or officer to repay such amount unless it shall be determined ultimately that the director or officer is entitled to be indemnified as authorized by the bylaws of the company.</w:t>
      </w:r>
    </w:p>
    <w:p>
      <w:pPr>
        <w:spacing w:after="0" w:line="98" w:lineRule="exact"/>
        <w:rPr>
          <w:sz w:val="20"/>
          <w:szCs w:val="20"/>
          <w:color w:val="auto"/>
        </w:rPr>
      </w:pPr>
    </w:p>
    <w:p>
      <w:pPr>
        <w:ind w:left="700" w:firstLine="397"/>
        <w:spacing w:after="0" w:line="289" w:lineRule="auto"/>
        <w:rPr>
          <w:sz w:val="20"/>
          <w:szCs w:val="20"/>
          <w:color w:val="auto"/>
        </w:rPr>
      </w:pPr>
      <w:r>
        <w:rPr>
          <w:rFonts w:ascii="Times New Roman" w:cs="Times New Roman" w:eastAsia="Times New Roman" w:hAnsi="Times New Roman"/>
          <w:sz w:val="17"/>
          <w:szCs w:val="17"/>
          <w:color w:val="auto"/>
        </w:rPr>
        <w:t>The bylaws of Delta Paper Stock, Co. provide that the corporation shall, to the maximum extent permitted by the California Corporations Code, indemnify each of its agents against expenses, judgments, fines, settlements and other amounts actually and reasonably incurred in connection with any proceeding arising by reason of the fact any such person is or was an agent of the corporation.</w:t>
      </w:r>
    </w:p>
    <w:p>
      <w:pPr>
        <w:spacing w:after="0" w:line="64" w:lineRule="exact"/>
        <w:rPr>
          <w:sz w:val="20"/>
          <w:szCs w:val="20"/>
          <w:color w:val="auto"/>
        </w:rPr>
      </w:pPr>
    </w:p>
    <w:p>
      <w:pPr>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articles of incorporation or bylaws of Allied Waste of California, Inc., Borrego Landfill, Inc., Palomar Transfer Station, Inc., Ramona Landfill, Inc. or San Marcos NCRRF, Inc.</w:t>
      </w:r>
    </w:p>
    <w:p>
      <w:pPr>
        <w:spacing w:after="0" w:line="35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right="580" w:firstLine="390"/>
        <w:spacing w:after="0" w:line="286" w:lineRule="auto"/>
        <w:tabs>
          <w:tab w:leader="none" w:pos="135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Transfer Services of California, LLC and San Diego Landfill Systems, LLC are organized as limited liability companies under the laws of California.</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Section 17003(l) of the California Limited Liability Company Act permits a limited liability company to indemnify any person.</w:t>
      </w:r>
    </w:p>
    <w:p>
      <w:pPr>
        <w:spacing w:after="0" w:line="131" w:lineRule="exact"/>
        <w:rPr>
          <w:sz w:val="20"/>
          <w:szCs w:val="20"/>
          <w:color w:val="auto"/>
        </w:rPr>
      </w:pPr>
    </w:p>
    <w:p>
      <w:pPr>
        <w:ind w:left="700" w:right="8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the California limited liability company registrants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 Oceanside Waste &amp; Recycling Services is organized as a general partnership under the laws of California.</w:t>
      </w:r>
    </w:p>
    <w:p>
      <w:pPr>
        <w:spacing w:after="0" w:line="135" w:lineRule="exact"/>
        <w:rPr>
          <w:sz w:val="20"/>
          <w:szCs w:val="20"/>
          <w:color w:val="auto"/>
        </w:rPr>
      </w:pPr>
    </w:p>
    <w:p>
      <w:pPr>
        <w:ind w:left="700" w:right="60" w:firstLine="397"/>
        <w:spacing w:after="0" w:line="282" w:lineRule="auto"/>
        <w:rPr>
          <w:sz w:val="20"/>
          <w:szCs w:val="20"/>
          <w:color w:val="auto"/>
        </w:rPr>
      </w:pPr>
      <w:r>
        <w:rPr>
          <w:rFonts w:ascii="Times New Roman" w:cs="Times New Roman" w:eastAsia="Times New Roman" w:hAnsi="Times New Roman"/>
          <w:sz w:val="18"/>
          <w:szCs w:val="18"/>
          <w:color w:val="auto"/>
        </w:rPr>
        <w:t>Section 16401(c) of the California Uniform Partnership Act authorizes a general partnership to indemnify its partners under certain circumstances and subject to certain limitations.</w:t>
      </w:r>
    </w:p>
    <w:p>
      <w:pPr>
        <w:spacing w:after="0" w:line="67" w:lineRule="exact"/>
        <w:rPr>
          <w:sz w:val="20"/>
          <w:szCs w:val="20"/>
          <w:color w:val="auto"/>
        </w:rPr>
      </w:pPr>
    </w:p>
    <w:p>
      <w:pPr>
        <w:jc w:val="both"/>
        <w:ind w:left="700" w:right="180" w:firstLine="397"/>
        <w:spacing w:after="0" w:line="266" w:lineRule="auto"/>
        <w:rPr>
          <w:sz w:val="20"/>
          <w:szCs w:val="20"/>
          <w:color w:val="auto"/>
        </w:rPr>
      </w:pPr>
      <w:r>
        <w:rPr>
          <w:rFonts w:ascii="Times New Roman" w:cs="Times New Roman" w:eastAsia="Times New Roman" w:hAnsi="Times New Roman"/>
          <w:sz w:val="18"/>
          <w:szCs w:val="18"/>
          <w:color w:val="auto"/>
        </w:rPr>
        <w:t>There is no provision for indemnification of officers and directors in the partnership agreement of Oceanside Waste &amp; Recycling Services. The partnership agreement provides that the partners shall continue to maintain general liability insurance in such amounts as are reasonable for the business and services conducted by the partnership.</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Colorado Registrants:</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(a) Bunting Trash Service, Inc. and Denver RL North, Inc. are incorporated under the laws of Colorado.</w:t>
      </w:r>
    </w:p>
    <w:p>
      <w:pPr>
        <w:spacing w:after="0" w:line="135" w:lineRule="exact"/>
        <w:rPr>
          <w:sz w:val="20"/>
          <w:szCs w:val="20"/>
          <w:color w:val="auto"/>
        </w:rPr>
      </w:pPr>
    </w:p>
    <w:p>
      <w:pPr>
        <w:jc w:val="both"/>
        <w:ind w:left="700" w:right="300" w:firstLine="397"/>
        <w:spacing w:after="0" w:line="266" w:lineRule="auto"/>
        <w:rPr>
          <w:sz w:val="20"/>
          <w:szCs w:val="20"/>
          <w:color w:val="auto"/>
        </w:rPr>
      </w:pPr>
      <w:r>
        <w:rPr>
          <w:rFonts w:ascii="Times New Roman" w:cs="Times New Roman" w:eastAsia="Times New Roman" w:hAnsi="Times New Roman"/>
          <w:sz w:val="18"/>
          <w:szCs w:val="18"/>
          <w:color w:val="auto"/>
        </w:rPr>
        <w:t>Article 109 of the Colorado Business Corporation Act authorizes a court to award, or a corporation’s board of directors to grant, indemnity to officers, directors, employees, fiduciaries or agents of the corporation under certain circumstances and subject to certain limitations.</w:t>
      </w:r>
    </w:p>
    <w:p>
      <w:pPr>
        <w:spacing w:after="0" w:line="82" w:lineRule="exact"/>
        <w:rPr>
          <w:sz w:val="20"/>
          <w:szCs w:val="20"/>
          <w:color w:val="auto"/>
        </w:rPr>
      </w:pPr>
    </w:p>
    <w:p>
      <w:pPr>
        <w:ind w:left="700" w:right="80" w:firstLine="397"/>
        <w:spacing w:after="0" w:line="258" w:lineRule="auto"/>
        <w:rPr>
          <w:sz w:val="20"/>
          <w:szCs w:val="20"/>
          <w:color w:val="auto"/>
        </w:rPr>
      </w:pPr>
      <w:r>
        <w:rPr>
          <w:rFonts w:ascii="Times New Roman" w:cs="Times New Roman" w:eastAsia="Times New Roman" w:hAnsi="Times New Roman"/>
          <w:sz w:val="18"/>
          <w:szCs w:val="18"/>
          <w:color w:val="auto"/>
        </w:rPr>
        <w:t>Section 7-108-401(4) of the Colorado Business Corporation Act provides that a director or officer of the corporation shall not be liable to the corporation or its shareholders for any action the director or officer takes or omits to take as a director of officer if, in connection with such action or omission, the director or officer performed the duties of the position (i) in good faith, (ii) with the care an ordinarily prudent person in a like position would exercise under similar circumstances and (iii) in a manner the director or officer reasonably believes to be in the best interests of the corporation.</w:t>
      </w:r>
    </w:p>
    <w:p>
      <w:pPr>
        <w:spacing w:after="0" w:line="89"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Bunting Trash Service, Inc and Denver RL North,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w:t>
      </w:r>
    </w:p>
    <w:p>
      <w:pPr>
        <w:spacing w:after="0" w:line="3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60"/>
        <w:spacing w:after="0" w:line="266" w:lineRule="auto"/>
        <w:rPr>
          <w:sz w:val="20"/>
          <w:szCs w:val="20"/>
          <w:color w:val="auto"/>
        </w:rPr>
      </w:pPr>
      <w:r>
        <w:rPr>
          <w:rFonts w:ascii="Times New Roman" w:cs="Times New Roman" w:eastAsia="Times New Roman" w:hAnsi="Times New Roman"/>
          <w:sz w:val="18"/>
          <w:szCs w:val="18"/>
          <w:color w:val="auto"/>
        </w:rPr>
        <w:t>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82"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Bunting Trash Service, Inc. and Denver RL North,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100" w:lineRule="exact"/>
        <w:rPr>
          <w:sz w:val="20"/>
          <w:szCs w:val="20"/>
          <w:color w:val="auto"/>
        </w:rPr>
      </w:pPr>
    </w:p>
    <w:p>
      <w:pPr>
        <w:ind w:left="700" w:right="20" w:firstLine="390"/>
        <w:spacing w:after="0" w:line="317" w:lineRule="auto"/>
        <w:tabs>
          <w:tab w:leader="none" w:pos="1352"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Allied Waste Systems of Colorado, LLC, Frontier Waste Services (Colorado), LLC, Republic Services of Colorado Hauling, LLC and Republic Services of Colorado I, LLC are organized as limited liability companies under the laws of Colorado.</w:t>
      </w:r>
    </w:p>
    <w:p>
      <w:pPr>
        <w:spacing w:after="0" w:line="41" w:lineRule="exact"/>
        <w:rPr>
          <w:sz w:val="20"/>
          <w:szCs w:val="20"/>
          <w:color w:val="auto"/>
        </w:rPr>
      </w:pPr>
    </w:p>
    <w:p>
      <w:pPr>
        <w:ind w:left="700" w:firstLine="397"/>
        <w:spacing w:after="0" w:line="282" w:lineRule="auto"/>
        <w:rPr>
          <w:sz w:val="20"/>
          <w:szCs w:val="20"/>
          <w:color w:val="auto"/>
        </w:rPr>
      </w:pPr>
      <w:r>
        <w:rPr>
          <w:rFonts w:ascii="Times New Roman" w:cs="Times New Roman" w:eastAsia="Times New Roman" w:hAnsi="Times New Roman"/>
          <w:sz w:val="18"/>
          <w:szCs w:val="18"/>
          <w:color w:val="auto"/>
        </w:rPr>
        <w:t>Section 407 of the Colorado Limited Liability Company Act permits a limited liability company to indemnify a member or manager of the company under certain circumstances and subject to certain limitations.</w:t>
      </w:r>
    </w:p>
    <w:p>
      <w:pPr>
        <w:spacing w:after="0" w:line="67"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Frontier Waste Services (Colorado), LLC, Republic Services of Colorado Hauling, LLC and Republic Services of Colorado I,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93" w:lineRule="exact"/>
        <w:rPr>
          <w:sz w:val="20"/>
          <w:szCs w:val="20"/>
          <w:color w:val="auto"/>
        </w:rPr>
      </w:pPr>
    </w:p>
    <w:p>
      <w:pPr>
        <w:ind w:left="700" w:right="420" w:firstLine="397"/>
        <w:spacing w:after="0" w:line="282" w:lineRule="auto"/>
        <w:rPr>
          <w:sz w:val="20"/>
          <w:szCs w:val="20"/>
          <w:color w:val="auto"/>
        </w:rPr>
      </w:pPr>
      <w:r>
        <w:rPr>
          <w:rFonts w:ascii="Times New Roman" w:cs="Times New Roman" w:eastAsia="Times New Roman" w:hAnsi="Times New Roman"/>
          <w:sz w:val="18"/>
          <w:szCs w:val="18"/>
          <w:color w:val="auto"/>
        </w:rPr>
        <w:t>The operating agreement of Allied Waste Systems of Colorado, LLC provides for identical indemnification as described in the preceding paragraph, except that such indemnification is also provided to the directors of the sole member of the company.</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Delaware Registrants:</w:t>
      </w:r>
    </w:p>
    <w:p>
      <w:pPr>
        <w:spacing w:after="0" w:line="131" w:lineRule="exact"/>
        <w:rPr>
          <w:sz w:val="20"/>
          <w:szCs w:val="20"/>
          <w:color w:val="auto"/>
        </w:rPr>
      </w:pPr>
    </w:p>
    <w:p>
      <w:pPr>
        <w:ind w:left="700" w:right="120" w:firstLine="390"/>
        <w:spacing w:after="0" w:line="270" w:lineRule="auto"/>
        <w:tabs>
          <w:tab w:leader="none" w:pos="1342"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Allied Enviroengineering, Inc., Allied Green Power, Inc., Allied Nova Scotia, Inc., Allied Waste Alabama, Inc., Allied Waste Company, Inc., Allied Waste Holdings (Canada) Ltd., Allied Waste Industries, Inc., Allied Waste Landfill Holdings, Inc., Allied Waste North America, Inc., Allied Waste Rural Sanitation, Inc., Allied Waste Services of Colorado, Inc., Allied Waste Systems Holdings, Inc., Allied Waste Systems, Inc., Allied Waste Transportation, Inc., American Disposal Services of Illinois, Inc., American Disposal Services of New Jersey, Inc., American Disposal Services of West Virginia, Inc., American Disposal Services, Inc., American Disposal Transfer Services of Illinois, Inc., Attwoods of North America, Inc., AWIN Leasing Company, Inc., AWIN Management, Inc., BBCO, Inc., BFI Atlantic, Inc., BFI Energy Systems of Albany, Inc., BFI Energy Systems of Delaware County, Inc., BFI Energy Systems of Hempstead, Inc., BFI Energy Systems of Niagara II, Inc., BFI Energy Systems of Niagara, Inc., BFI Energy Systems of SEMASS, Inc., BFI Energy Systems of Southeastern Connecticut, Inc., BFI International, Inc., BFI REF-FUEL, Inc., BFI Trans River (GP), Inc., Bond County Landfill, Inc., Browning-Ferris Financial Services, Inc., Browning-Ferris Industries of Florida, Inc., Browning-Ferris Industries of Illinois, Inc., Browning-Ferris Industries of Ohio,</w:t>
      </w:r>
    </w:p>
    <w:p>
      <w:pPr>
        <w:spacing w:after="0" w:line="36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right="220"/>
        <w:spacing w:after="0" w:line="254" w:lineRule="auto"/>
        <w:rPr>
          <w:sz w:val="20"/>
          <w:szCs w:val="20"/>
          <w:color w:val="auto"/>
        </w:rPr>
      </w:pPr>
      <w:r>
        <w:rPr>
          <w:rFonts w:ascii="Times New Roman" w:cs="Times New Roman" w:eastAsia="Times New Roman" w:hAnsi="Times New Roman"/>
          <w:sz w:val="18"/>
          <w:szCs w:val="18"/>
          <w:b w:val="1"/>
          <w:bCs w:val="1"/>
          <w:color w:val="auto"/>
        </w:rPr>
        <w:t>Inc., Browning-Ferris Services, Inc., CC Landfill, Inc., Cocopah Landfill, Inc., Compactor Rental Systems of Delaware, Inc., Copper Mountain Landfill, Inc., County Disposal (Ohio), Inc., County Disposal, Inc., County Landfill, Inc., East Chicago Compost Facility, Inc., ECDC Environmental of Humboldt County, Inc., ECDC Holdings, Inc., Environmental Development Corp., Environtech, Inc., Evergreen Scavenger Service, Inc., General Refuse Rolloff Corp., Georgia Recycling Services, Inc., Great Lakes Disposal Service, Inc., Liberty Waste Holdings, Inc., Lucas County Land Development, Inc., Mountain Home Disposal, Inc., NationsWaste, Inc., NCorp., Inc., Ohio Republic Contracts, II, Inc., Ottawa County Landfill, Inc., Republic Services Financial LP, Inc., Republic Services Holding Company, Inc., Republic Services of California Holding Company, Inc., Republic Services of Florida GP, Inc., Republic Services of Florida LP, Inc., Republic Services of Indiana LP, Inc., Republic Services of Michigan Holding Company, Inc., Republic Waste Services of Texas GP, Inc., Republic Waste Services of Texas LP, Inc., Risk Services, Inc., Sangamon Valley Landfill, Inc., Standard Waste, Inc., Taylor Ridge Landfill, Inc., Tennessee Union County Landfill, Inc. and Wayne County Landfill IL, Inc. are incorporated under the laws of Delaware.</w:t>
      </w:r>
    </w:p>
    <w:p>
      <w:pPr>
        <w:spacing w:after="0" w:line="93" w:lineRule="exact"/>
        <w:rPr>
          <w:sz w:val="20"/>
          <w:szCs w:val="20"/>
          <w:color w:val="auto"/>
        </w:rPr>
      </w:pPr>
    </w:p>
    <w:p>
      <w:pPr>
        <w:jc w:val="both"/>
        <w:ind w:left="700" w:right="180" w:firstLine="397"/>
        <w:spacing w:after="0" w:line="313" w:lineRule="auto"/>
        <w:rPr>
          <w:sz w:val="20"/>
          <w:szCs w:val="20"/>
          <w:color w:val="auto"/>
        </w:rPr>
      </w:pPr>
      <w:r>
        <w:rPr>
          <w:rFonts w:ascii="Times New Roman" w:cs="Times New Roman" w:eastAsia="Times New Roman" w:hAnsi="Times New Roman"/>
          <w:sz w:val="17"/>
          <w:szCs w:val="17"/>
          <w:color w:val="auto"/>
        </w:rPr>
        <w:t>Section 145 of the Delaware General Corporation Law authorizes a court to award, or a corporation’s board of directors to grant, indemnity to directors, officers, employees and agents of the corporation under certain circumstances and subject to certain limitations.</w:t>
      </w:r>
    </w:p>
    <w:p>
      <w:pPr>
        <w:spacing w:after="0" w:line="44" w:lineRule="exact"/>
        <w:rPr>
          <w:sz w:val="20"/>
          <w:szCs w:val="20"/>
          <w:color w:val="auto"/>
        </w:rPr>
      </w:pPr>
    </w:p>
    <w:p>
      <w:pPr>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subject to certain limitations.</w:t>
      </w:r>
    </w:p>
    <w:p>
      <w:pPr>
        <w:spacing w:after="0" w:line="82"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certificate of incorporation of each of Allied Enviroengineering, Inc., Allied Waste Alabama, Inc., Allied Waste Company, Inc., Allied Waste North America, Inc., AWIN Leasing Company, Inc. and AWIN Management, Inc. provides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officer, employee or agent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9"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The certificate of incorporation of each of the Delaware corporation registrants listed in the preceding paragraph also provides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w:t>
      </w:r>
    </w:p>
    <w:p>
      <w:pPr>
        <w:spacing w:after="0" w:line="3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58" w:lineRule="auto"/>
        <w:rPr>
          <w:sz w:val="20"/>
          <w:szCs w:val="20"/>
          <w:color w:val="auto"/>
        </w:rPr>
      </w:pPr>
      <w:r>
        <w:rPr>
          <w:rFonts w:ascii="Times New Roman" w:cs="Times New Roman" w:eastAsia="Times New Roman" w:hAnsi="Times New Roman"/>
          <w:sz w:val="18"/>
          <w:szCs w:val="18"/>
          <w:color w:val="auto"/>
        </w:rPr>
        <w:t>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Delaware General Corporation Law.</w:t>
      </w:r>
    </w:p>
    <w:p>
      <w:pPr>
        <w:spacing w:after="0" w:line="89"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certificate of incorporation of each of Allied Enviroengineering, Inc., Allied Nova Scotia, Inc., Allied Waste Alabama, Inc., Allied Waste Company, Inc., Allied Waste Holdings (Canada) Ltd., Allied Waste North America, Inc., Allied Waste Systems, Inc., American Disposal Services, Inc., American Disposal Services of Illinois, Inc., American Disposal Services of New Jersey, Inc., American Disposal Services of West Virginia, Inc., American Disposal Transfer Services of Illinois, Inc., AWIN Leasing Company, Inc., AWIN Management, Inc., BBCO, Inc., Browning-Ferris Financial Services, Inc., Compactor Rental Systems of Delaware, Inc., County Disposal, Inc., County Disposal (Ohio), Inc., County Landfill, Inc., Environtech, Inc., Georgia Recycling Services, Inc., Mountain Home Disposal, Inc., NationsWaste, Inc., NCorp, Inc., Republic Services Financial LP, Inc., Republic Services Holding Company, Inc., Republic Services of California Holding Company, Inc., Republic Services of Florida GP, Inc., Republic Services of Florida LP, Inc., Republic Services of Indiana, LP, Inc., Republic Services of Michigan Holding Company, Inc., Republic Waste Services of Texas GP, Inc. and Republic Waste Services of Texas LP, Inc. provides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relating to an unlawful payment of a dividend or unlawful stock purchase or redemption or (iv) for any transaction from which the director derived any improper personal benefit.</w:t>
      </w:r>
    </w:p>
    <w:p>
      <w:pPr>
        <w:spacing w:after="0" w:line="103" w:lineRule="exact"/>
        <w:rPr>
          <w:sz w:val="20"/>
          <w:szCs w:val="20"/>
          <w:color w:val="auto"/>
        </w:rPr>
      </w:pPr>
    </w:p>
    <w:p>
      <w:pPr>
        <w:ind w:left="700" w:right="20" w:firstLine="397"/>
        <w:spacing w:after="0" w:line="254" w:lineRule="auto"/>
        <w:rPr>
          <w:sz w:val="20"/>
          <w:szCs w:val="20"/>
          <w:color w:val="auto"/>
        </w:rPr>
      </w:pPr>
      <w:r>
        <w:rPr>
          <w:rFonts w:ascii="Times New Roman" w:cs="Times New Roman" w:eastAsia="Times New Roman" w:hAnsi="Times New Roman"/>
          <w:sz w:val="18"/>
          <w:szCs w:val="18"/>
          <w:color w:val="auto"/>
        </w:rPr>
        <w:t>The certificate of incorporation of each of Allied Green Power, Inc., Allied Waste Industries, Inc., Allied Waste Landfill Holdings, Inc., Allied Waste Rural Sanitation, Inc., Allied Waste Services of Colorado, Inc., Allied Waste Transportation, Inc., Bond County Landfill, Inc., CC Landfill, Inc., Cocopah Landfill, Inc., Copper Mountain Landfill, Inc., East Chicago Compost Facility, Inc., ECDC Environmental of Humboldt County, Inc., ECDC Holdings, Inc., Evergreen Scavenger Service, Inc., General Refuse Rolloff Corp., Great Lakes Disposal Service, Inc., Liberty Waste Holdings, Inc., Lucas County Land Development, Inc., Ohio Republic Contracts, II, Inc., Sangamon Valley Landfill, Inc., Taylor Ridge Landfill, Inc., Tennessee Union County Landfill, Inc. and Wayne County Landfill IL, Inc. provides that a director of the corporation shall not be personally liable to the corporation or its stockholders for monetary damages for breach of fiduciary duty as a director, except that this provision shall not eliminate or limit the liability of the director to the extent that such elimination or limitation of liability is expressly prohibited by the Delaware General Corporation Law as in effect at the time of the alleged breach of duty by such director.</w:t>
      </w:r>
    </w:p>
    <w:p>
      <w:pPr>
        <w:spacing w:after="0" w:line="92" w:lineRule="exact"/>
        <w:rPr>
          <w:sz w:val="20"/>
          <w:szCs w:val="20"/>
          <w:color w:val="auto"/>
        </w:rPr>
      </w:pPr>
    </w:p>
    <w:p>
      <w:pPr>
        <w:ind w:left="700" w:right="40" w:firstLine="397"/>
        <w:spacing w:after="0" w:line="254" w:lineRule="auto"/>
        <w:rPr>
          <w:sz w:val="20"/>
          <w:szCs w:val="20"/>
          <w:color w:val="auto"/>
        </w:rPr>
      </w:pPr>
      <w:r>
        <w:rPr>
          <w:rFonts w:ascii="Times New Roman" w:cs="Times New Roman" w:eastAsia="Times New Roman" w:hAnsi="Times New Roman"/>
          <w:sz w:val="18"/>
          <w:szCs w:val="18"/>
          <w:color w:val="auto"/>
        </w:rPr>
        <w:t>The certificate of incorporation of each of Allied Nova Scotia, Inc., Allied Waste Holdings (Canada) Ltd. and American Disposal Services, Inc. provides that, to the fullest extent authorized by the Delaware General Corporation Law, the corporation shall indemnify any person who at any time is or was a director or officer of the corporation and is threatened to be or is made a party to any threatened, pending or completed action, suit or proceeding by reason of the fact that such person is or was a director or officer of the corporation or is or was serving at the request of the corporation as a director, officer or other agent of any other entity against all expense, liability and loss (including, without limitation, court costs and attorneys’ fees, judgments, fines, excise taxes or penalties and amounts paid or to be paid in settlement) actually and reasonably incurred by such person. Expenses incurred by a director or officer of the corporation shall be paid in advance to the fullest extent permitted by law upon an undertaking by such person to repay all amounts so advanced if it shall ultimately be determined that such director or officer is not entitled to indemnification. The corporation may procure insurance or other arrangement on behalf of any such person described in this paragraph.</w:t>
      </w:r>
    </w:p>
    <w:p>
      <w:pPr>
        <w:spacing w:after="0" w:line="92" w:lineRule="exact"/>
        <w:rPr>
          <w:sz w:val="20"/>
          <w:szCs w:val="20"/>
          <w:color w:val="auto"/>
        </w:rPr>
      </w:pPr>
    </w:p>
    <w:p>
      <w:pPr>
        <w:ind w:left="700" w:right="60" w:firstLine="397"/>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of each of American Disposal Services of Illinois, Inc., American Disposal Services of New Jersey, Inc., American Disposal Services of West Virginia, Inc., American Disposal Transfer Services of Illinois, Inc., County Disposal (Ohio), Inc., County Disposal, Inc. and County Landfill, Inc. provides that, to the fullest extent authorized by the Delaware General Corporation Law, the corporation shall indemnify any person who at any time is or was a director or officer of the corporation and is threatened to be or is made a party to</w:t>
      </w:r>
    </w:p>
    <w:p>
      <w:pPr>
        <w:spacing w:after="0" w:line="37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2" w:lineRule="auto"/>
        <w:rPr>
          <w:sz w:val="20"/>
          <w:szCs w:val="20"/>
          <w:color w:val="auto"/>
        </w:rPr>
      </w:pPr>
      <w:r>
        <w:rPr>
          <w:rFonts w:ascii="Times New Roman" w:cs="Times New Roman" w:eastAsia="Times New Roman" w:hAnsi="Times New Roman"/>
          <w:sz w:val="18"/>
          <w:szCs w:val="18"/>
          <w:color w:val="auto"/>
        </w:rPr>
        <w:t>any threatened, pending or completed action, suit or proceeding by reason of the fact that such person is or was a director or officer of the corporation or is or was serving at the request of the corporation as a director or officer.</w:t>
      </w:r>
    </w:p>
    <w:p>
      <w:pPr>
        <w:spacing w:after="0" w:line="67" w:lineRule="exact"/>
        <w:rPr>
          <w:sz w:val="20"/>
          <w:szCs w:val="20"/>
          <w:color w:val="auto"/>
        </w:rPr>
      </w:pPr>
    </w:p>
    <w:p>
      <w:pPr>
        <w:ind w:left="700" w:right="100" w:firstLine="397"/>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of each of Evergreen Scavenger Service, Inc. and General Refuse Rolloff Corp. provides that the corporation shall indemnify, to the fullest extent permitted by law, each director or officer of the corporation who was or is made a party or is threatened to be made a party to any threatened, pending or completed action, suit or proceeding by reason of the fact that such person is or was an authorized representative of the corporation.</w:t>
      </w:r>
    </w:p>
    <w:p>
      <w:pPr>
        <w:spacing w:after="0" w:line="86" w:lineRule="exact"/>
        <w:rPr>
          <w:sz w:val="20"/>
          <w:szCs w:val="20"/>
          <w:color w:val="auto"/>
        </w:rPr>
      </w:pPr>
    </w:p>
    <w:p>
      <w:pPr>
        <w:ind w:left="700" w:right="160" w:firstLine="397"/>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of each of Allied Waste Systems Holdings, Inc., Republic Services Financial LP, Inc., Republic Services Holding Company, Inc., Republic Services of California Holding Company, Inc., Republic Services of Florida GP, Inc., Republic Services of Florida LP, Inc., Republic Services of Indiana LP, Inc., Republic Services of Michigan Holding Company, Inc., Republic Waste Services of Texas GP, Inc. and Republic Waste Services of Texas LP, Inc. provides that the corporation shall indemnify its officers, directors, employees and agents to the fullest extent permitted by the Delaware General Corporation Law.</w:t>
      </w:r>
    </w:p>
    <w:p>
      <w:pPr>
        <w:spacing w:after="0" w:line="89" w:lineRule="exact"/>
        <w:rPr>
          <w:sz w:val="20"/>
          <w:szCs w:val="20"/>
          <w:color w:val="auto"/>
        </w:rPr>
      </w:pPr>
    </w:p>
    <w:p>
      <w:pPr>
        <w:ind w:left="700" w:firstLine="397"/>
        <w:spacing w:after="0" w:line="273" w:lineRule="auto"/>
        <w:rPr>
          <w:sz w:val="20"/>
          <w:szCs w:val="20"/>
          <w:color w:val="auto"/>
        </w:rPr>
      </w:pPr>
      <w:r>
        <w:rPr>
          <w:rFonts w:ascii="Times New Roman" w:cs="Times New Roman" w:eastAsia="Times New Roman" w:hAnsi="Times New Roman"/>
          <w:sz w:val="17"/>
          <w:szCs w:val="17"/>
          <w:color w:val="auto"/>
        </w:rPr>
        <w:t>The certificate of incorporation of Ottawa County Landfill, Inc. provides that the corporation shall have the power to indemnify any person who was or is a party or is threatened to be made a party to any threatened, pending or completed action, suit or proceeding by reason of the fact that he or she is or was a director, officer, employee or agent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reasonably believed to be in or not opposed to the best interests of the corporation, and, with respect to any criminal action or proceedings, had no reasonable cause to believe his or her conduct was unlawful.</w:t>
      </w:r>
    </w:p>
    <w:p>
      <w:pPr>
        <w:spacing w:after="0" w:line="78" w:lineRule="exact"/>
        <w:rPr>
          <w:sz w:val="20"/>
          <w:szCs w:val="20"/>
          <w:color w:val="auto"/>
        </w:rPr>
      </w:pPr>
    </w:p>
    <w:p>
      <w:pPr>
        <w:ind w:left="700" w:firstLine="397"/>
        <w:spacing w:after="0" w:line="251" w:lineRule="auto"/>
        <w:rPr>
          <w:sz w:val="20"/>
          <w:szCs w:val="20"/>
          <w:color w:val="auto"/>
        </w:rPr>
      </w:pPr>
      <w:r>
        <w:rPr>
          <w:rFonts w:ascii="Times New Roman" w:cs="Times New Roman" w:eastAsia="Times New Roman" w:hAnsi="Times New Roman"/>
          <w:sz w:val="18"/>
          <w:szCs w:val="18"/>
          <w:color w:val="auto"/>
        </w:rPr>
        <w:t>The bylaws of each of Allied Enviroengineering, Inc., Allied Green Power, Inc., Allied Waste Company, Inc., Allied Waste Holdings (Canada) Ltd., Allied Waste Industries, Inc., Allied Waste Landfill Holdings, Inc., Allied Waste Rural Sanitation, Inc., Allied Waste Services of Colorado, Inc., Allied Waste Systems, Inc., Allied Waste Transportation, Inc., American Disposal Services, Inc., American Disposal Services of Illinois, Inc., American Disposal Services of New Jersey, Inc., American Disposal Services of West Virginia, Inc., American Disposal Transfer Services of Illinois, Inc., Attwoods of North America, Inc., BBCO, Inc., BFI Atlantic, Inc., AWIN Leasing Company, Inc., AWIN Management, Inc., BFI Energy Systems of Albany, Inc., BFI Energy Systems of Delaware County, Inc., BFI Energy Systems of Hempstead, Inc., BFI Energy Systems of Niagara II, Inc., BFI Energy Systems of Niagara, Inc., BFI Energy Systems of SEMASS, Inc., BFI Energy Systems of Southeastern Connecticut, Inc., BFI International, Inc., BFI REF-FUEL, Inc., BFI Trans River (GP), Inc., Bond County Landfill, Inc., Browning-Ferris Financial Services, Inc., Browning-Ferris Industries of Florida, Inc., Browning-Ferris Industries of Illinois, Inc., Browning-Ferris Industries of Ohio, Inc., Browning-Ferris Services, Inc., CC Landfill, Inc., Cocopah Landfill, Inc., Compactor Rental Systems of Delaware, Inc., Copper Mountain Landfill, Inc., County Disposal, Inc., County Disposal (Ohio), Inc., County Landfill, Inc., East Chicago Compost Facility, Inc., ECDC Environmental of Humboldt County, Inc., ECDC Holdings, Inc., Environmental Development Corp., Environtech, Inc., Evergreen Scavenger Service, Inc., General Refuse Rolloff Corp., Georgia Recycling Services, Inc., Great Lakes Disposal Service, Inc., Liberty Waste Holdings, Inc., Lucas County Land Development, Inc., Mountain Home Disposal, Inc., NCorp, Inc., Ohio Republic Contracts, II, Inc., Republic Services Holding Company, Inc., Republic Services of California Holding Company, Inc., Republic Services of Florida GP, Inc., Republic Services of Florida LP, Inc., Republic Services of Indiana LP, Inc., Republic Services of Michigan Holding Company, Inc., Republic Waste Services of Texas GP, Inc., Republic Waste Services of Texas LP, Inc., Risk Services, Inc., Sangamon Valley Landfill, Inc., Standard Waste, Inc., Taylor Ridge Landfill, Inc., Tennessee Union County Landfill, Inc. and Wayne County Landfill IL,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w:t>
      </w:r>
    </w:p>
    <w:p>
      <w:pPr>
        <w:spacing w:after="0" w:line="39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3" w:lineRule="auto"/>
        <w:rPr>
          <w:sz w:val="20"/>
          <w:szCs w:val="20"/>
          <w:color w:val="auto"/>
        </w:rPr>
      </w:pPr>
      <w:r>
        <w:rPr>
          <w:rFonts w:ascii="Times New Roman" w:cs="Times New Roman" w:eastAsia="Times New Roman" w:hAnsi="Times New Roman"/>
          <w:sz w:val="18"/>
          <w:szCs w:val="18"/>
          <w:color w:val="auto"/>
        </w:rPr>
        <w:t>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8"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the Delaware corporation registrants listed in the preceding paragraph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104" w:lineRule="exact"/>
        <w:rPr>
          <w:sz w:val="20"/>
          <w:szCs w:val="20"/>
          <w:color w:val="auto"/>
        </w:rPr>
      </w:pPr>
    </w:p>
    <w:p>
      <w:pPr>
        <w:ind w:left="700" w:right="40" w:firstLine="397"/>
        <w:spacing w:after="0" w:line="254" w:lineRule="auto"/>
        <w:rPr>
          <w:sz w:val="20"/>
          <w:szCs w:val="20"/>
          <w:color w:val="auto"/>
        </w:rPr>
      </w:pPr>
      <w:r>
        <w:rPr>
          <w:rFonts w:ascii="Times New Roman" w:cs="Times New Roman" w:eastAsia="Times New Roman" w:hAnsi="Times New Roman"/>
          <w:sz w:val="18"/>
          <w:szCs w:val="18"/>
          <w:color w:val="auto"/>
        </w:rPr>
        <w:t>The bylaws of Allied Nova Scotia, Inc. provide that, to the fullest extent authorized by the Delaware General Corporation Law, the corporation shall indemnify any person who at any time is or was a director or officer of the corporation and is threatened to be or is made a party to any threatened, pending or completed action, suit or proceeding by reason of the fact that such person is or was a director or officer of the corporation or is or was serving at the request of the corporation as a director, officer or other agent of any other entity against all expense, liability and loss (including, without limitation, court costs and attorneys’ fees, judgments, fines, excise taxes or penalties and amounts paid or to be paid in settlement) actually and reasonably incurred by such person. Expenses incurred by a director or officer of the corporation shall be paid in advance to the fullest extent permitted by law upon an undertaking by such person to repay all amounts so advanced if it shall ultimately be determined that such director or officer is not entitled to indemnification. The corporation may procure insurance or other arrangement on behalf of any such person described in this paragraph.</w:t>
      </w:r>
    </w:p>
    <w:p>
      <w:pPr>
        <w:spacing w:after="0" w:line="95"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The bylaws of Allied Waste Alabama, Inc. provide that, to the fullest extent authorized by the Delaware General Corporation Law, the corporation shall indemnify any person who at any time is or was a director of the corporation and is threatened to be or is made a party to any threatened, pending or completed action, suit or proceeding by reason of the fact that such person is or was a director or officer of the corporation or is or was serving at the request of the corporation as a director, officer or other agent of any other entity against all expense, liability and loss (including, without limitation, court costs and attorneys’ fees, judgments, fines, excise taxes or penalties and amounts paid or to be paid in settlement) actually and reasonably incurred by such person so long as a majority of a quorum of disinterested directors, the stockholders or legal counsel through a written opinion determines that such person acted in good faith and in a manner he or she reasonably believed to be in or not opposed to the best interests of the corporation, and in the case of a criminal proceeding, such person had no reasonable cause to believe his or her conduct was unlawful. Expenses incurred by a director or officer of the corporation shall be paid in advance to the fullest extent permitted by law upon an undertaking by such person to repay all amounts so advanced</w:t>
      </w:r>
    </w:p>
    <w:p>
      <w:pPr>
        <w:spacing w:after="0" w:line="3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82" w:lineRule="auto"/>
        <w:rPr>
          <w:sz w:val="20"/>
          <w:szCs w:val="20"/>
          <w:color w:val="auto"/>
        </w:rPr>
      </w:pPr>
      <w:r>
        <w:rPr>
          <w:rFonts w:ascii="Times New Roman" w:cs="Times New Roman" w:eastAsia="Times New Roman" w:hAnsi="Times New Roman"/>
          <w:sz w:val="18"/>
          <w:szCs w:val="18"/>
          <w:color w:val="auto"/>
        </w:rPr>
        <w:t>if it shall ultimately be determined that such director or officer is not entitled to indemnification. The corporation may procure insurance or other arrangement on behalf of any such person described in this paragraph.</w:t>
      </w:r>
    </w:p>
    <w:p>
      <w:pPr>
        <w:spacing w:after="0" w:line="67"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The bylaws of Allied Waste North America, Inc. provide that each director, officer and former director and officer of the corporation, and any person who may have served or who may hereafter serve at the request of the corporation as a director or officer of another corporation in which it owns shares of capital stock or of which it is a creditor, is hereby indemnified by the corporation against expenses actually and necessarily incurred by such person in connection with the defense of any action, suit or proceeding in which such person is made a party by reason of being or having been such director or officer, except in relation to matters as to which such person shall be adjudged in such action, suit or proceeding to be liable for negligence or misconduct in the performance of duty.</w:t>
      </w:r>
    </w:p>
    <w:p>
      <w:pPr>
        <w:spacing w:after="0" w:line="93" w:lineRule="exact"/>
        <w:rPr>
          <w:sz w:val="20"/>
          <w:szCs w:val="20"/>
          <w:color w:val="auto"/>
        </w:rPr>
      </w:pPr>
    </w:p>
    <w:p>
      <w:pPr>
        <w:jc w:val="both"/>
        <w:ind w:left="700" w:right="180" w:firstLine="397"/>
        <w:spacing w:after="0" w:line="261" w:lineRule="auto"/>
        <w:rPr>
          <w:sz w:val="20"/>
          <w:szCs w:val="20"/>
          <w:color w:val="auto"/>
        </w:rPr>
      </w:pPr>
      <w:r>
        <w:rPr>
          <w:rFonts w:ascii="Times New Roman" w:cs="Times New Roman" w:eastAsia="Times New Roman" w:hAnsi="Times New Roman"/>
          <w:sz w:val="18"/>
          <w:szCs w:val="18"/>
          <w:color w:val="auto"/>
        </w:rPr>
        <w:t>The bylaws of NationsWaste, Inc. provide that each person who was or is made a party or is threatened to be made a party to or is involved in any threatened, pending or completed action, suit or proceedings by reason of the fact that he or she is or was a director or officer of the corporation or is or was serving at the request of the corporation as director or officer or trustee of another entity or other enterprise shall be indemnified and held harmless by the corporation to the fullest extent permitted by law.</w:t>
      </w:r>
    </w:p>
    <w:p>
      <w:pPr>
        <w:spacing w:after="0" w:line="86" w:lineRule="exact"/>
        <w:rPr>
          <w:sz w:val="20"/>
          <w:szCs w:val="20"/>
          <w:color w:val="auto"/>
        </w:rPr>
      </w:pPr>
    </w:p>
    <w:p>
      <w:pPr>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The bylaws of Ottawa County Landfill, Inc. provide that the board of directors of the corporation may, to the fullest extent permitted by the General Corporation Law of Delaware, indemnify any and all persons who it shall have the power to indemnify against any and all of the expenses, liabilities or other matters.</w:t>
      </w:r>
    </w:p>
    <w:p>
      <w:pPr>
        <w:spacing w:after="0" w:line="82" w:lineRule="exact"/>
        <w:rPr>
          <w:sz w:val="20"/>
          <w:szCs w:val="20"/>
          <w:color w:val="auto"/>
        </w:rPr>
      </w:pPr>
    </w:p>
    <w:p>
      <w:pPr>
        <w:ind w:left="700" w:right="20" w:firstLine="397"/>
        <w:spacing w:after="0" w:line="253" w:lineRule="auto"/>
        <w:rPr>
          <w:sz w:val="20"/>
          <w:szCs w:val="20"/>
          <w:color w:val="auto"/>
        </w:rPr>
      </w:pPr>
      <w:r>
        <w:rPr>
          <w:rFonts w:ascii="Times New Roman" w:cs="Times New Roman" w:eastAsia="Times New Roman" w:hAnsi="Times New Roman"/>
          <w:sz w:val="18"/>
          <w:szCs w:val="18"/>
          <w:color w:val="auto"/>
        </w:rPr>
        <w:t>The bylaws of Republic Services Financial LP, Inc. provide that each person who is or was a director or officer of the corporation and each person who serves or served at the request of the corporation as a director or officer (or equivalent) of another entity or other enterprise shall be indemnified by the corporation to the fullest extent authorized by the Delaware General Corporation Law, except as to any action, suit or proceeding brought by or on behalf of the director or officer of the corporation without prior approval of the board of directors. Each person who is or was an employee or agent of the corporation, and each person who serves or has served at the request of the corporation as an employee or agent of another entity or other enterprise, may be similarly indemnified at the discretion of the board of directors. Expenses incurred by an officer or director in defending a civil or criminal action, suit or proceeding may be paid by the corporation in advance of such action, suit or proceeding upon receipt of an undertaking by or on behalf of such director or officer to repay such amount if it shall ultimately be determined that he is not entitled to be indemnified by the corporation as authorized in the bylaws of the corporation. Such expenses incurred by other employees and agents may be so paid upon such terms and conditions, if any, as the board of directors deems appropriate.</w:t>
      </w:r>
    </w:p>
    <w:p>
      <w:pPr>
        <w:spacing w:after="0" w:line="94" w:lineRule="exact"/>
        <w:rPr>
          <w:sz w:val="20"/>
          <w:szCs w:val="20"/>
          <w:color w:val="auto"/>
        </w:rPr>
      </w:pPr>
    </w:p>
    <w:p>
      <w:pPr>
        <w:ind w:left="700" w:firstLine="390"/>
        <w:spacing w:after="0" w:line="252" w:lineRule="auto"/>
        <w:tabs>
          <w:tab w:leader="none" w:pos="135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Gas Recovery Systems, L.L.C., Allied Services LLC, Allied Waste Environmental Management Group, LLC, Allied Waste of New Jersey-New York, LLC, Allied Waste Recycling Services of New Hampshire, LLC, Allied Waste Services of North America, LLC, Allied Waste Sycamore Landfill, LLC, Allied Waste Systems of Indiana, LLC, Allied Waste Transfer Services of Arizona, LLC, Allied Waste Transfer Services of Rhode Island, LLC, Anson County Landfill NC, LLC, Ariana, LLC, BFGSI, L.L.C., BFI Transfer Systems of Alabama, LLC, BFI Transfer Systems of DC, LLC, BFI Transfer Systems of Georgia, LLC, BFI Transfer Systems of Maryland, LLC, BFI Transfer Systems of Mississippi, LLC, BFI Transfer Systems of Virginia, LLC, BFI Waste Services of Tennessee, LLC, BFI Waste Services, LLC, BFI Waste Systems of Alabama, LLC, BFI Waste Systems of Arkansas, LLC, BFI Waste Systems of Georgia, LLC, BFI Waste Systems of Kentucky, LLC, BFI Waste Systems of Louisiana, LLC, BFI Waste Systems of Mississippi, LLC, BFI Waste Systems of Missouri, LLC, BFI Waste Systems of North America, LLC, BFI Waste Systems of North Carolina, LLC, BFI Waste Systems of South Carolina, LLC, BFI Waste Systems of Tennessee, LLC, BFI Waste Systems of Virginia, LLC, Bridgeton Landfill, LLC, Bridgeton Transfer Station, LLC, Browning-Ferris Industries, LLC, Brunswick Waste Management Facility, LLC, Butler County Landfill, LLC, Chilton Landfill, LLC, Consolidated Disposal Service, L.L.C., Continental Waste Industries, L.L.C., Courtney Ridge Landfill, LLC, D &amp; L Disposal, L.L.C., E Leasing Company, LLC, Ellis Scott Landfill MO, LLC, Envotech-Illinois, L.L.C., Evergreen Scavenger Service, L.L.C., Forest View Landfill, LLC, Great Plains Landfill OK, LLC, H Leasing Company, LLC, Jefferson City Landfill, LLC, Kandel Enterprises, LLC, Lee County Landfill SC, LLC, Lemons Landfill, LLC, Liberty Waste Services Limited, L.L.C., Liberty Waste Services of McCook, L.L.C., Little Creek Landing, LLC, Local Sanitation of Rowan County, L.L.C., N Leasing</w:t>
      </w:r>
    </w:p>
    <w:p>
      <w:pPr>
        <w:spacing w:after="0" w:line="38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right="20"/>
        <w:spacing w:after="0" w:line="272" w:lineRule="auto"/>
        <w:rPr>
          <w:sz w:val="20"/>
          <w:szCs w:val="20"/>
          <w:color w:val="auto"/>
        </w:rPr>
      </w:pPr>
      <w:r>
        <w:rPr>
          <w:rFonts w:ascii="Times New Roman" w:cs="Times New Roman" w:eastAsia="Times New Roman" w:hAnsi="Times New Roman"/>
          <w:sz w:val="17"/>
          <w:szCs w:val="17"/>
          <w:b w:val="1"/>
          <w:bCs w:val="1"/>
          <w:color w:val="auto"/>
        </w:rPr>
        <w:t>Company, LLC, New York Waste Services, LLC, Northeast Landfill, LLC, Packerton Land Company, L.L.C., Pinecrest Landfill OK, LLC, Polk County Landfill, LLC, Republic Services Group, LLC, Republic Services of California II, LLC, Republic Services of Georgia GP, LLC, Republic Services of Georgia LP, LLC, Republic Services of Indiana Transportation, LLC, Republic Services of New Jersey, LLC, Republic Services of Pennsylvania, LLC, Republic Services of South Carolina, LLC, Republic Services of Southern California, LLC, Republic Services of Wisconsin GP, LLC, Republic Services of Wisconsin LP, LLC, Republic Services Vasco Road, LLC, Republic Waste Services of Southern California, LLC, RITM, LLC, Rubbish Control, LLC, S Leasing Company, LLC, Sand Valley Holdings, L.L.C., Show-Me Landfill, LLC, Southeast Landfill, LLC, Webster Parish Landfill, L.L.C. and Willow Ridge Landfill, LLC are organized as limited liability companies under the laws of Delaware.</w:t>
      </w:r>
    </w:p>
    <w:p>
      <w:pPr>
        <w:spacing w:after="0" w:line="82" w:lineRule="exact"/>
        <w:rPr>
          <w:sz w:val="20"/>
          <w:szCs w:val="20"/>
          <w:color w:val="auto"/>
        </w:rPr>
      </w:pPr>
    </w:p>
    <w:p>
      <w:pPr>
        <w:ind w:left="700" w:right="240" w:firstLine="397"/>
        <w:spacing w:after="0" w:line="282" w:lineRule="auto"/>
        <w:rPr>
          <w:sz w:val="20"/>
          <w:szCs w:val="20"/>
          <w:color w:val="auto"/>
        </w:rPr>
      </w:pPr>
      <w:r>
        <w:rPr>
          <w:rFonts w:ascii="Times New Roman" w:cs="Times New Roman" w:eastAsia="Times New Roman" w:hAnsi="Times New Roman"/>
          <w:sz w:val="18"/>
          <w:szCs w:val="18"/>
          <w:color w:val="auto"/>
        </w:rPr>
        <w:t>Section 18-108 of the Delaware Limited Liability Company Act permits a limited liability company to indemnify any member or manager of the company from and against any and all claims and demands whatsoever.</w:t>
      </w:r>
    </w:p>
    <w:p>
      <w:pPr>
        <w:spacing w:after="0" w:line="67" w:lineRule="exact"/>
        <w:rPr>
          <w:sz w:val="20"/>
          <w:szCs w:val="20"/>
          <w:color w:val="auto"/>
        </w:rPr>
      </w:pPr>
    </w:p>
    <w:p>
      <w:pPr>
        <w:ind w:left="700" w:right="80" w:firstLine="397"/>
        <w:spacing w:after="0" w:line="261" w:lineRule="auto"/>
        <w:rPr>
          <w:sz w:val="20"/>
          <w:szCs w:val="20"/>
          <w:color w:val="auto"/>
        </w:rPr>
      </w:pPr>
      <w:r>
        <w:rPr>
          <w:rFonts w:ascii="Times New Roman" w:cs="Times New Roman" w:eastAsia="Times New Roman" w:hAnsi="Times New Roman"/>
          <w:sz w:val="18"/>
          <w:szCs w:val="18"/>
          <w:color w:val="auto"/>
        </w:rPr>
        <w:t>Section 18-1101 of the Delaware Limited Liability Company Act permits a limited liability company to provide in its limited liability company agreement that a member, manager or other person shall not be liable for breach of contract and breach of duties to the limited liability company or to another member or manager or to another person that is a party to or is otherwise bound by the limited liability company agreement, subject to certain limitations.</w:t>
      </w:r>
    </w:p>
    <w:p>
      <w:pPr>
        <w:spacing w:after="0" w:line="86" w:lineRule="exact"/>
        <w:rPr>
          <w:sz w:val="20"/>
          <w:szCs w:val="20"/>
          <w:color w:val="auto"/>
        </w:rPr>
      </w:pPr>
    </w:p>
    <w:p>
      <w:pPr>
        <w:ind w:left="700" w:right="60" w:firstLine="397"/>
        <w:spacing w:after="0" w:line="255" w:lineRule="auto"/>
        <w:rPr>
          <w:sz w:val="20"/>
          <w:szCs w:val="20"/>
          <w:color w:val="auto"/>
        </w:rPr>
      </w:pPr>
      <w:r>
        <w:rPr>
          <w:rFonts w:ascii="Times New Roman" w:cs="Times New Roman" w:eastAsia="Times New Roman" w:hAnsi="Times New Roman"/>
          <w:sz w:val="18"/>
          <w:szCs w:val="18"/>
          <w:color w:val="auto"/>
        </w:rPr>
        <w:t>The operating agreement of Allied Services, LLC provides that the company shall indemnify, defend and hold harmless any manager or officer of the company or their affiliates or any member, to the extent of the company’s assets, from and against any liability, damage, cost, expense, loss, claim or judgment incurred by such person arising out of any claim based upon acts performed or omitted to be performed by such person in connection with the business of the company, including, without limitation, attorneys’ fees and costs incurred by such person in the settlement or defense of such claim; provided that no such person shall be indemnified for claims based upon acts performed or omitted in breach of the operating agreement of the company or that constitute bad faith, fraud, willful misconduct or gross negligence. The manager of the company may, in its discretion, procure, at the expense of the company, errors and omissions insurance coverage for the manager and officers of the company.</w:t>
      </w:r>
    </w:p>
    <w:p>
      <w:pPr>
        <w:spacing w:after="0" w:line="91" w:lineRule="exact"/>
        <w:rPr>
          <w:sz w:val="20"/>
          <w:szCs w:val="20"/>
          <w:color w:val="auto"/>
        </w:rPr>
      </w:pPr>
    </w:p>
    <w:p>
      <w:pPr>
        <w:ind w:left="700" w:right="80" w:firstLine="397"/>
        <w:spacing w:after="0" w:line="258" w:lineRule="auto"/>
        <w:rPr>
          <w:sz w:val="20"/>
          <w:szCs w:val="20"/>
          <w:color w:val="auto"/>
        </w:rPr>
      </w:pPr>
      <w:r>
        <w:rPr>
          <w:rFonts w:ascii="Times New Roman" w:cs="Times New Roman" w:eastAsia="Times New Roman" w:hAnsi="Times New Roman"/>
          <w:sz w:val="18"/>
          <w:szCs w:val="18"/>
          <w:color w:val="auto"/>
        </w:rPr>
        <w:t>The operating agreement of Allied Services, LLC also provides that no manager or officer of the company or their affiliates or any member shall be liable to the company or the other members for actions taken in good faith by such person in connection with the company or its business; provided that such person shall, in all instances, remain liable for acts in breach of the operating agreement of the company or that constitute bad faith, fraud, willful misconduct or gross negligence (except to the extent the company is compensated for the same by insurance coverage maintained by the company).</w:t>
      </w:r>
    </w:p>
    <w:p>
      <w:pPr>
        <w:spacing w:after="0" w:line="89" w:lineRule="exact"/>
        <w:rPr>
          <w:sz w:val="20"/>
          <w:szCs w:val="20"/>
          <w:color w:val="auto"/>
        </w:rPr>
      </w:pPr>
    </w:p>
    <w:p>
      <w:pPr>
        <w:ind w:left="700" w:firstLine="397"/>
        <w:spacing w:after="0" w:line="269" w:lineRule="auto"/>
        <w:rPr>
          <w:sz w:val="20"/>
          <w:szCs w:val="20"/>
          <w:color w:val="auto"/>
        </w:rPr>
      </w:pPr>
      <w:r>
        <w:rPr>
          <w:rFonts w:ascii="Times New Roman" w:cs="Times New Roman" w:eastAsia="Times New Roman" w:hAnsi="Times New Roman"/>
          <w:sz w:val="17"/>
          <w:szCs w:val="17"/>
          <w:color w:val="auto"/>
        </w:rPr>
        <w:t>The operating agreement of each of Allied Waste Sycamore Landfill, LLC, BFI Transfer Systems of Alabama, LLC, BFI Transfer Systems of DC, LLC, BFI Transfer Systems of Georgia, LLC, BFI Transfer Systems of Maryland, LLC, BFI Transfer Systems of Mississippi, LLC, BFI Transfer Systems of Virginia, LLC, BFI Waste Services of Tennessee, LLC, BFI Waste Systems of Alabama, LLC, BFI Waste Systems of Arkansas, LLC, BFI Waste Systems of Georgia, LLC, BFI Waste Systems of Kentucky, LLC, BFI Waste Systems of Louisiana, LLC, BFI Waste Systems of Mississippi, LLC, BFI Waste Systems of Missouri, LLC, BFI Waste Systems of North Carolina, LLC, BFI Waste Systems of South Carolina, LLC, BFI Waste Systems of Tennessee, LLC, BFI Waste Systems of Virginia, LLC, Chilton Landfill, LLC, Consolidated Disposal Service, L.L.C., Courtney Ridge Landfill, LLC, Forest View Landfill, LLC, Kandel Enterprises, LLC and Willow Ridge Landfill,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5" w:lineRule="exact"/>
        <w:rPr>
          <w:sz w:val="20"/>
          <w:szCs w:val="20"/>
          <w:color w:val="auto"/>
        </w:rPr>
      </w:pPr>
    </w:p>
    <w:p>
      <w:pPr>
        <w:jc w:val="both"/>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The operating agreement of each of Allied Gas Recovery Systems, L.L.C., Allied Waste Environmental Management Group, LLC, Allied Waste of New Jersey-New York, LLC, Allied Waste Recycling Services of New Hampshire, LLC, Allied Waste Services of North America, LLC, Allied Waste Systems of Indiana, LLC, Allied</w:t>
      </w:r>
    </w:p>
    <w:p>
      <w:pPr>
        <w:spacing w:after="0" w:line="3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55" w:lineRule="auto"/>
        <w:rPr>
          <w:sz w:val="20"/>
          <w:szCs w:val="20"/>
          <w:color w:val="auto"/>
        </w:rPr>
      </w:pPr>
      <w:r>
        <w:rPr>
          <w:rFonts w:ascii="Times New Roman" w:cs="Times New Roman" w:eastAsia="Times New Roman" w:hAnsi="Times New Roman"/>
          <w:sz w:val="18"/>
          <w:szCs w:val="18"/>
          <w:color w:val="auto"/>
        </w:rPr>
        <w:t>Waste Transfer Services of Arizona, LLC, Allied Waste Transfer Services of Rhode Island, LLC, BFGSI, L.L.C., BFI Waste Services, LLC, BFI Waste Systems of North America, LLC, Bridgeton Landfill, LLC, Bridgeton Transfer Station, LLC, Browning-Ferris Industries, LLC, Brunswick Waste Management Facility, LLC, Butler County Landfill, LLC, D &amp; L Disposal, L.L.C., Envotech-Illinois L.L.C., Evergreen Scavenger Service, L.L.C., Jefferson City Landfill, LLC, Lemons Landfill, LLC, Liberty Waste Services of McCook, L.L.C., Little Creek Landing, LLC, New York Waste Services, LLC, Northeast Landfill, LLC, Packerton Land Company, L.L.C., Polk County Landfill, LLC, Sand Valley Holdings, L.L.C., Show-Me Landfill, LLC, and Southeast Landfill, LLC provides for identical indemnification as described in the preceding paragraph, except that such indemnification is also provided to the directors of the sole member of the company.</w:t>
      </w:r>
    </w:p>
    <w:p>
      <w:pPr>
        <w:spacing w:after="0" w:line="91" w:lineRule="exact"/>
        <w:rPr>
          <w:sz w:val="20"/>
          <w:szCs w:val="20"/>
          <w:color w:val="auto"/>
        </w:rPr>
      </w:pPr>
    </w:p>
    <w:p>
      <w:pPr>
        <w:ind w:left="700" w:right="260" w:firstLine="397"/>
        <w:spacing w:after="0" w:line="274" w:lineRule="auto"/>
        <w:rPr>
          <w:sz w:val="20"/>
          <w:szCs w:val="20"/>
          <w:color w:val="auto"/>
        </w:rPr>
      </w:pPr>
      <w:r>
        <w:rPr>
          <w:rFonts w:ascii="Times New Roman" w:cs="Times New Roman" w:eastAsia="Times New Roman" w:hAnsi="Times New Roman"/>
          <w:sz w:val="17"/>
          <w:szCs w:val="17"/>
          <w:color w:val="auto"/>
        </w:rPr>
        <w:t>The operating agreement of each of Anson County Landfill NC, LLC, Ellis Scott Landfill MO, LLC, Great Plains Landfill OK, LLC, Lee County Landfill SC, LLC and Pinecrest Landfill OK, LLC provides that the company shall defend, indemnify and save harmless any member and the officers and directors of any member from and against all losses, claims, costs, liabilities and damages incurred by them by reason of any act performed or omitted to be performed by them in connection with the business of the company, including attorneys’ fees incurred by them in connection with the defense of any action based on any such act or omission; provided, however, no such person shall be indemnified from any liability for fraud, bad faith, willful misconduct or gross negligence.</w:t>
      </w:r>
    </w:p>
    <w:p>
      <w:pPr>
        <w:spacing w:after="0" w:line="79" w:lineRule="exact"/>
        <w:rPr>
          <w:sz w:val="20"/>
          <w:szCs w:val="20"/>
          <w:color w:val="auto"/>
        </w:rPr>
      </w:pPr>
    </w:p>
    <w:p>
      <w:pPr>
        <w:ind w:left="700" w:right="100" w:firstLine="397"/>
        <w:spacing w:after="0" w:line="254" w:lineRule="auto"/>
        <w:rPr>
          <w:sz w:val="20"/>
          <w:szCs w:val="20"/>
          <w:color w:val="auto"/>
        </w:rPr>
      </w:pPr>
      <w:r>
        <w:rPr>
          <w:rFonts w:ascii="Times New Roman" w:cs="Times New Roman" w:eastAsia="Times New Roman" w:hAnsi="Times New Roman"/>
          <w:sz w:val="18"/>
          <w:szCs w:val="18"/>
          <w:color w:val="auto"/>
        </w:rPr>
        <w:t>The operating agreement of each of E Leasing Company, LLC, H Leasing Company, LLC, N Leasing Company, LLC and S Leasing Company, LLC provides that the company shall indemnify, save harmless and pay all damages of the manager, the special purpose manager and any member or any stockholders, directors, members, officers, employees or agents of any of them relating to any damages incurred by reason of any act performed or omitted to be performed by such person in connection with the business of the company, including reasonable attorneys’ fees incurred by such person in connection with the defense of any action based on any such act or omission, which attorneys’ fees may be paid as incurred; provided that no member or manager shall be indemnified for any liability from fraud, willful misconduct or gross negligence. Such person shall provide an undertaking to repay the indemnification payment made by the company to such person if such person is found by a final nonappealable judgment not to be entitled to indemnification.</w:t>
      </w:r>
    </w:p>
    <w:p>
      <w:pPr>
        <w:spacing w:after="0" w:line="95"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The operating agreement of each of E Leasing Company, LLC, H Leasing Company, LLC, N Leasing Company, LLC and S Leasing Company, LLC also provides that the manager shall perform his or her duties under the operating agreement in a manner he or she believes to be in the best interests of the company, and shall be under no fiduciary duty to the members, the special purpose manager, any creditor of the company or any other person. A person who so performs such duties shall not have any liability by reason of being or having been a manager of the company.</w:t>
      </w:r>
    </w:p>
    <w:p>
      <w:pPr>
        <w:spacing w:after="0" w:line="89"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certificate of formation or operating agreement of Ariana, LLC, Continental Waste Industries, L.L.C., Liberty Waste Services Limited, L.L.C., Local Sanitation of Rowan County, L.L.C., Republic Services Group, LLC, Republic Services of California II, LLC, Republic Services of Georgia GP, LLC, Republic Services of Georgia LP, LLC, Republic Services of Indiana Transportation, LLC, Republic Services of New Jersey, LLC, Republic Services of Pennsylvania, LLC, Republic Services of South Carolina, LLC, Republic Services of Southern California, LLC, Republic Services of Wisconsin GP, LLC, Republic Services of Wisconsin LP, LLC, Republic Services Vasco Road, LLC, Republic Waste Services of Southern California, LLC, RITM, LLC, Rubbish Control, LLC or Webster Parish Landfill, L.L.C.</w:t>
      </w:r>
    </w:p>
    <w:p>
      <w:pPr>
        <w:spacing w:after="0" w:line="91" w:lineRule="exact"/>
        <w:rPr>
          <w:sz w:val="20"/>
          <w:szCs w:val="20"/>
          <w:color w:val="auto"/>
        </w:rPr>
      </w:pPr>
    </w:p>
    <w:p>
      <w:pPr>
        <w:ind w:left="700" w:firstLine="390"/>
        <w:spacing w:after="0" w:line="255" w:lineRule="auto"/>
        <w:tabs>
          <w:tab w:leader="none" w:pos="133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Abilene Landfill TX, LP, BFI Energy Systems of Southeastern Connecticut, Limited Partnership, BFI Transfer Systems of Texas, LP, BFI Waste Services of Indiana, LP, BFI Waste Services of Texas, LP, BFI Waste Systems of Indiana, LP, Blue Ridge Landfill TX, LP, Brenham Total Roll-Offs, LP, Camelot Landfill TX, LP, Cefe Landfill TX, LP, Crow Landfill TX, L.P., Ellis County Landfill TX, LP, Forth Worth Landfill TX, LP, Galveston County Landfill TX, LP, Giles Road Landfill TX, LP, Golden Triangle Landfill TX, LP, Greenwood Landfill TX, LP, Gulf West Landfill TX, LP, Itasca Landfill TX, LP, Kerrville Landfill TX, LP, Lewisville Landfill TX, LP, Mars Road TX, LP, McCarty Road Landfill TX, LP, Mesquite Landfill TX, LP, Mexia Landfill TX, LP, Panama Road Landfill, TX, L.P., Pine Hill Farms Landfill TX, LP, Pleasant Oaks Landfill TX, LP, Republic Services Financial, Limited Partnership, Republic Services of Florida, Limited Partnership, Republic Services of Georgia, Limited Partnership, Republic Services of Indiana, Limited</w:t>
      </w:r>
    </w:p>
    <w:p>
      <w:pPr>
        <w:spacing w:after="0" w:line="3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right="100"/>
        <w:spacing w:after="0" w:line="291" w:lineRule="auto"/>
        <w:rPr>
          <w:sz w:val="20"/>
          <w:szCs w:val="20"/>
          <w:color w:val="auto"/>
        </w:rPr>
      </w:pPr>
      <w:r>
        <w:rPr>
          <w:rFonts w:ascii="Times New Roman" w:cs="Times New Roman" w:eastAsia="Times New Roman" w:hAnsi="Times New Roman"/>
          <w:sz w:val="17"/>
          <w:szCs w:val="17"/>
          <w:b w:val="1"/>
          <w:bCs w:val="1"/>
          <w:color w:val="auto"/>
        </w:rPr>
        <w:t>Partnership, Republic Services of Wisconsin, Limited Partnership, Rio Grande Valley Landfill TX, LP, Royal Oaks Landfill TX, LP, RWS Transport, L.P., Southwest Landfill TX, LP, Tessman Road Landfill TX, LP, Turkey Creek Landfill TX, LP, Victoria Landfill TX, LP and Whispering Pines Landfill TX, LP are organized as limited partnerships under the laws of Delaware.</w:t>
      </w:r>
    </w:p>
    <w:p>
      <w:pPr>
        <w:spacing w:after="0" w:line="63" w:lineRule="exact"/>
        <w:rPr>
          <w:sz w:val="20"/>
          <w:szCs w:val="20"/>
          <w:color w:val="auto"/>
        </w:rPr>
      </w:pPr>
    </w:p>
    <w:p>
      <w:pPr>
        <w:ind w:left="700" w:right="260" w:firstLine="397"/>
        <w:spacing w:after="0" w:line="282" w:lineRule="auto"/>
        <w:rPr>
          <w:sz w:val="20"/>
          <w:szCs w:val="20"/>
          <w:color w:val="auto"/>
        </w:rPr>
      </w:pPr>
      <w:r>
        <w:rPr>
          <w:rFonts w:ascii="Times New Roman" w:cs="Times New Roman" w:eastAsia="Times New Roman" w:hAnsi="Times New Roman"/>
          <w:sz w:val="18"/>
          <w:szCs w:val="18"/>
          <w:color w:val="auto"/>
        </w:rPr>
        <w:t>Section 15-110 of the Delaware Revised Uniform Partnership Act permits a partnership to indemnify any partner or other person from and against any and all claims and demands whatsoever.</w:t>
      </w:r>
    </w:p>
    <w:p>
      <w:pPr>
        <w:spacing w:after="0" w:line="67" w:lineRule="exact"/>
        <w:rPr>
          <w:sz w:val="20"/>
          <w:szCs w:val="20"/>
          <w:color w:val="auto"/>
        </w:rPr>
      </w:pPr>
    </w:p>
    <w:p>
      <w:pPr>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Section 15-103(f) of the Delaware Revised Uniform Partnership Act permits a partnership to provide in its partnership agreement that the partner or other person shall not be liable for breach of contract and breach of duties to the partnership or to another partner or to another person that is a party to or is otherwise bound by the partnership agreement, subject to certain limitations.</w:t>
      </w:r>
    </w:p>
    <w:p>
      <w:pPr>
        <w:spacing w:after="0" w:line="82"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The agreement of limited partnership of each of Abilene Landfill TX, LP, BFI Energy Systems of Southeastern Connecticut, Limited Partnership, BFI Transfer Systems of Texas, LP, BFI Waste Services of Indiana, LP, BFI Waste Services of Texas, LP, BFI Waste Systems of Indiana, LP, Blue Ridge Landfill TX, LP, Brenham Total Roll-Offs, LP, Camelot Landfill TX, LP, Cefe Landfill TX, LP, Crow Landfill TX, L.P., Ellis County Landfill TX, LP, Forth Worth Landfill TX, LP, Galveston County Landfill TX, LP, Giles Road Landfill TX, LP, Golden Triangle Landfill TX, LP, Greenwood Landfill TX, LP, Gulf West Landfill TX, LP, Itasca Landfill TX, LP, Kerrville Landfill TX, LP, Lewisville Landfill TX, LP, Mars Road TX, LP, McCarty Road Landfill TX, LP, Mesquite Landfill TX, LP, Mexia Landfill TX, LP, Panama Road Landfill, TX, L.P., Pine Hill Farms Landfill TX, LP, Pleasant Oaks Landfill TX, LP, Rio Grande Valley Landfill TX, LP, Royal Oaks Landfill TX, LP, Southwest Landfill TX, LP, Tessman Road Landfill TX, LP, Turkey Creek Landfill TX, LP, Victoria Landfill TX, LP and Whispering Pines Landfill TX, LP provides that the partnership shall defend, indemnify and save harmless the partners and their officers and directors from and against all losses, claims, costs, liabilities and damages incurred by them by reason of any act performed or omitted to be performed by them in connection with the business of the partnership, including attorneys’ fees incurred by them in connection with the defense of any action based on any such act or omission; provided, however, no person shall be indemnified from any liability for fraud, bad faith, willful misconduct or gross negligence.</w:t>
      </w:r>
    </w:p>
    <w:p>
      <w:pPr>
        <w:spacing w:after="0" w:line="94" w:lineRule="exact"/>
        <w:rPr>
          <w:sz w:val="20"/>
          <w:szCs w:val="20"/>
          <w:color w:val="auto"/>
        </w:rPr>
      </w:pPr>
    </w:p>
    <w:p>
      <w:pPr>
        <w:ind w:left="700" w:right="80" w:firstLine="397"/>
        <w:spacing w:after="0" w:line="252" w:lineRule="auto"/>
        <w:rPr>
          <w:sz w:val="20"/>
          <w:szCs w:val="20"/>
          <w:color w:val="auto"/>
        </w:rPr>
      </w:pPr>
      <w:r>
        <w:rPr>
          <w:rFonts w:ascii="Times New Roman" w:cs="Times New Roman" w:eastAsia="Times New Roman" w:hAnsi="Times New Roman"/>
          <w:sz w:val="18"/>
          <w:szCs w:val="18"/>
          <w:color w:val="auto"/>
        </w:rPr>
        <w:t>The agreement of limited partnership of each of Republic Services of Florida, Limited Partnership, Republic Services of Georgia, Limited Partnership, Republic Services of Indiana, Limited Partnership, Republic Services of Wisconsin, Limited Partnership and RWS Transport, L.P. provides that to the fullest extent permitted by law, the partnership shall indemnify and hold harmless the general partner, its affiliates and all directors, officers, shareholders, partners, employees, representatives and agents of the general partner and its affiliates and all officers, employees, representatives and agents of the partnership and its affiliates from and against any and all losses, claims, demands, liabilities, expenses (including all fees and expenses), judgments, fines, settlements, and other amounts arising from any and all claims, demands, actions, suits or proceedings, civil, criminal, administrative or investigative, in which such person may be involved, or threatened to be involved, as a party or otherwise, by reason of its management or the affairs of the partnership, or the general partner or its status as a general partner, an affiliate thereof, or partner, director, officer, stockholder, employee, representative or agent thereof or of the partnership or a person serving at the request of the partnership, the general partner or any affiliate thereof in another entity in a similar capacity, which relates to or arises out of the partnership, its property, its businesses or affairs. Such person shall not be entitled to indemnification with respect to any claim, issue or matter in which it has engaged in conduct that constitutes fraud, willful misconduct, bad faith or gross negligence; provided, however, that a court of competent jurisdiction may determine upon application that, despite such conduct, in view of all the circumstances of the case, such person is fairly and reasonably entitled to indemnification for such liabilities and expenses as the court may deem proper. Expenses shall be advanced by the partnership prior to the final disposition of such claim, demand, action, suit or proceeding upon receipt by the partnership of an undertaking by or on behalf of such person to repay such amount if it shall be determined that such person is not entitled to be indemnified as authorized in the company’s agreement of limited partnership. The general partner and the partnership may purchase and maintain insurance on behalf of any person against any liability that may be asserted against or expenses that may be incurred by such person in connection with activities of the partnership, regardless of whether the partnership would have the power to indemnify such person against such liability under the provisions of the agreement of limited partnership of the company.</w:t>
      </w:r>
    </w:p>
    <w:p>
      <w:pPr>
        <w:spacing w:after="0" w:line="37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The agreement of limited partnership of each of Republic Services of Florida, Limited Partnership, Republic Services of Georgia, Limited Partnership, Republic Services of Indiana, Limited Partnership, Republic Services of Wisconsin, Limited Partnership and RWS Transport, L.P. provides that neither the general partner, its affiliates nor any of their respective officers, directors, shareholders, partners, employees, representatives or agents nor any officer, employee, representative or agent of the partnership and its affiliates shall be liable to the partnership or any partner for any act or omission (in relation to the partnership, the partnership agreement, any related document or any transaction or investment contemplated hereby or thereby) taken or omitted in good faith by such person and in the reasonable belief that such act or omission is in or is not contrary to the best interests of the partnership and is within the scope of authority granted to such person by the partnership agreement, provided that such act or omission does not constitute fraud, willful misconduct, bad faith or gross negligence.</w:t>
      </w:r>
    </w:p>
    <w:p>
      <w:pPr>
        <w:spacing w:after="0" w:line="95" w:lineRule="exact"/>
        <w:rPr>
          <w:sz w:val="20"/>
          <w:szCs w:val="20"/>
          <w:color w:val="auto"/>
        </w:rPr>
      </w:pPr>
    </w:p>
    <w:p>
      <w:pPr>
        <w:ind w:left="700" w:right="2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certificate of limited partnership or agreement of limited partnership of BFI Energy Systems of Southeastern Connecticut, Limited Partnership or Republic Services Financial, Limited Partnership.</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Florida Registrants:</w:t>
      </w:r>
    </w:p>
    <w:p>
      <w:pPr>
        <w:spacing w:after="0" w:line="131" w:lineRule="exact"/>
        <w:rPr>
          <w:sz w:val="20"/>
          <w:szCs w:val="20"/>
          <w:color w:val="auto"/>
        </w:rPr>
      </w:pPr>
    </w:p>
    <w:p>
      <w:pPr>
        <w:ind w:left="700" w:right="20" w:firstLine="390"/>
        <w:spacing w:after="0" w:line="268" w:lineRule="auto"/>
        <w:tabs>
          <w:tab w:leader="none" w:pos="135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Delta Dade Recycling Corp., Delta Resources Corp., Delta Site Development Corp., Delta Waste Corp., Envirocycle, Inc., Gulfcoast Waste Service, Inc., Manumit of Florida, Inc., Republic Services Aviation, Inc. and Schofield Corporation of Orlando are incorporated under the laws of Florida.</w:t>
      </w:r>
    </w:p>
    <w:p>
      <w:pPr>
        <w:spacing w:after="0" w:line="80"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Section 607.0850 of the Florida Business Corporation Act authorizes a court to award, or a corporation’s board of directors to grant, indemnity to officers, directors, employees or other agents of the corporation under certain circumstances and subject to certain limitations.</w:t>
      </w:r>
    </w:p>
    <w:p>
      <w:pPr>
        <w:spacing w:after="0" w:line="82" w:lineRule="exact"/>
        <w:rPr>
          <w:sz w:val="20"/>
          <w:szCs w:val="20"/>
          <w:color w:val="auto"/>
        </w:rPr>
      </w:pPr>
    </w:p>
    <w:p>
      <w:pPr>
        <w:ind w:left="700" w:right="380" w:firstLine="397"/>
        <w:spacing w:after="0" w:line="266" w:lineRule="auto"/>
        <w:rPr>
          <w:sz w:val="20"/>
          <w:szCs w:val="20"/>
          <w:color w:val="auto"/>
        </w:rPr>
      </w:pPr>
      <w:r>
        <w:rPr>
          <w:rFonts w:ascii="Times New Roman" w:cs="Times New Roman" w:eastAsia="Times New Roman" w:hAnsi="Times New Roman"/>
          <w:sz w:val="18"/>
          <w:szCs w:val="18"/>
          <w:color w:val="auto"/>
        </w:rPr>
        <w:t>Section 607.0831 of the Florida Business Corporation Act provides that a director shall not be personally liable for monetary damages to the corporation or any other person for any statement, vote, decision or failure to act regarding corporate management or policy by such director, subject to certain limitations.</w:t>
      </w:r>
    </w:p>
    <w:p>
      <w:pPr>
        <w:spacing w:after="0" w:line="82" w:lineRule="exact"/>
        <w:rPr>
          <w:sz w:val="20"/>
          <w:szCs w:val="20"/>
          <w:color w:val="auto"/>
        </w:rPr>
      </w:pPr>
    </w:p>
    <w:p>
      <w:pPr>
        <w:ind w:left="700" w:right="220" w:firstLine="397"/>
        <w:spacing w:after="0" w:line="313" w:lineRule="auto"/>
        <w:rPr>
          <w:sz w:val="20"/>
          <w:szCs w:val="20"/>
          <w:color w:val="auto"/>
        </w:rPr>
      </w:pPr>
      <w:r>
        <w:rPr>
          <w:rFonts w:ascii="Times New Roman" w:cs="Times New Roman" w:eastAsia="Times New Roman" w:hAnsi="Times New Roman"/>
          <w:sz w:val="17"/>
          <w:szCs w:val="17"/>
          <w:color w:val="auto"/>
        </w:rPr>
        <w:t>The articles of incorporation of each of Delta Dade Recycling Corp., Envirocycle, Inc. and Gulfcoast Waste Service, Inc. provide that the corporation shall indemnify any officer or director, or any former officer or director, to the fullest extent permitted by law.</w:t>
      </w:r>
    </w:p>
    <w:p>
      <w:pPr>
        <w:spacing w:after="0" w:line="44"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Delta Dade Recycling Corp., Delta Resources Corp., Delta Site Development Corp., Delta Waste Corp., Envirocycle, Inc., Gulfcoast Waste Service, Inc., Manumit of Florida, Inc., Republic Services Aviation, Inc. and Schofield Corporation of Orlando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3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Delta Dade Recycling Corp., Delta Resources Corp., Delta Site Development Corp., Delta Waste Corp., Envirocycle, Inc., Gulfcoast Waste Service, Inc., Manumit of Florida, Inc., Republic Services Aviation, Inc. and Schofield Corporation of Orlando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9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(b) Allied Waste Transfer Services of Florida, LLC is organized as a limited liability company under the laws of Florida.</w:t>
      </w:r>
    </w:p>
    <w:p>
      <w:pPr>
        <w:spacing w:after="0" w:line="135" w:lineRule="exact"/>
        <w:rPr>
          <w:sz w:val="20"/>
          <w:szCs w:val="20"/>
          <w:color w:val="auto"/>
        </w:rPr>
      </w:pPr>
    </w:p>
    <w:p>
      <w:pPr>
        <w:ind w:left="700" w:right="20" w:firstLine="397"/>
        <w:spacing w:after="0" w:line="282" w:lineRule="auto"/>
        <w:rPr>
          <w:sz w:val="20"/>
          <w:szCs w:val="20"/>
          <w:color w:val="auto"/>
        </w:rPr>
      </w:pPr>
      <w:r>
        <w:rPr>
          <w:rFonts w:ascii="Times New Roman" w:cs="Times New Roman" w:eastAsia="Times New Roman" w:hAnsi="Times New Roman"/>
          <w:sz w:val="18"/>
          <w:szCs w:val="18"/>
          <w:color w:val="auto"/>
        </w:rPr>
        <w:t>Section 608.4229 of the Florida Limited Liability Act permits a limited liability company to indemnify a member, manager or other person under certain circumstances and subject to certain limitations.</w:t>
      </w:r>
    </w:p>
    <w:p>
      <w:pPr>
        <w:spacing w:after="0" w:line="67" w:lineRule="exact"/>
        <w:rPr>
          <w:sz w:val="20"/>
          <w:szCs w:val="20"/>
          <w:color w:val="auto"/>
        </w:rPr>
      </w:pPr>
    </w:p>
    <w:p>
      <w:pPr>
        <w:ind w:left="700" w:right="220" w:firstLine="397"/>
        <w:spacing w:after="0" w:line="266" w:lineRule="auto"/>
        <w:rPr>
          <w:sz w:val="20"/>
          <w:szCs w:val="20"/>
          <w:color w:val="auto"/>
        </w:rPr>
      </w:pPr>
      <w:r>
        <w:rPr>
          <w:rFonts w:ascii="Times New Roman" w:cs="Times New Roman" w:eastAsia="Times New Roman" w:hAnsi="Times New Roman"/>
          <w:sz w:val="18"/>
          <w:szCs w:val="18"/>
          <w:color w:val="auto"/>
        </w:rPr>
        <w:t>Section 608.4225 of the Florida Limited Liability Act provides that a manager or managing member shall not be liable for any action taken as a manager or managing member or any failure to take any action if the manager or managing member performed his or her duties in compliance with the duty of loyalty and duty of care to the company and all of the members of the company.</w:t>
      </w:r>
    </w:p>
    <w:p>
      <w:pPr>
        <w:spacing w:after="0" w:line="82"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Allied Waste Transfer Services of Florida, LLC provides that the company shall defend, indemnify and save harmless the sole member, its officers and directors, and the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Georgia Registrants:</w:t>
      </w:r>
    </w:p>
    <w:p>
      <w:pPr>
        <w:spacing w:after="0" w:line="131" w:lineRule="exact"/>
        <w:rPr>
          <w:sz w:val="20"/>
          <w:szCs w:val="20"/>
          <w:color w:val="auto"/>
        </w:rPr>
      </w:pPr>
    </w:p>
    <w:p>
      <w:pPr>
        <w:ind w:left="700" w:right="320" w:firstLine="390"/>
        <w:spacing w:after="0" w:line="286" w:lineRule="auto"/>
        <w:tabs>
          <w:tab w:leader="none" w:pos="134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Hauling of Georgia, Inc., Allied Waste Industries of Georgia, Inc., Golden Waste Disposal, Inc., Price &amp; Sons Recycling Company and S &amp; S Recycling, Inc. are incorporated under the laws of Georgia.</w:t>
      </w:r>
    </w:p>
    <w:p>
      <w:pPr>
        <w:spacing w:after="0" w:line="64" w:lineRule="exact"/>
        <w:rPr>
          <w:sz w:val="20"/>
          <w:szCs w:val="20"/>
          <w:color w:val="auto"/>
        </w:rPr>
      </w:pPr>
    </w:p>
    <w:p>
      <w:pPr>
        <w:ind w:left="700" w:right="440" w:firstLine="397"/>
        <w:spacing w:after="0" w:line="266" w:lineRule="auto"/>
        <w:rPr>
          <w:sz w:val="20"/>
          <w:szCs w:val="20"/>
          <w:color w:val="auto"/>
        </w:rPr>
      </w:pPr>
      <w:r>
        <w:rPr>
          <w:rFonts w:ascii="Times New Roman" w:cs="Times New Roman" w:eastAsia="Times New Roman" w:hAnsi="Times New Roman"/>
          <w:sz w:val="18"/>
          <w:szCs w:val="18"/>
          <w:color w:val="auto"/>
        </w:rPr>
        <w:t>Sections 14-2-850 et seq. of the Georgia Business Corporation Code authorize a court to award, or a corporation’s board of directors to grant, indemnity to an officer, director, employee or agent of the corporation under certain circumstances and subject to certain limitations.</w:t>
      </w:r>
    </w:p>
    <w:p>
      <w:pPr>
        <w:spacing w:after="0" w:line="82" w:lineRule="exact"/>
        <w:rPr>
          <w:sz w:val="20"/>
          <w:szCs w:val="20"/>
          <w:color w:val="auto"/>
        </w:rPr>
      </w:pPr>
    </w:p>
    <w:p>
      <w:pPr>
        <w:ind w:left="700" w:firstLine="397"/>
        <w:spacing w:after="0" w:line="274" w:lineRule="auto"/>
        <w:rPr>
          <w:sz w:val="20"/>
          <w:szCs w:val="20"/>
          <w:color w:val="auto"/>
        </w:rPr>
      </w:pPr>
      <w:r>
        <w:rPr>
          <w:rFonts w:ascii="Times New Roman" w:cs="Times New Roman" w:eastAsia="Times New Roman" w:hAnsi="Times New Roman"/>
          <w:sz w:val="17"/>
          <w:szCs w:val="17"/>
          <w:color w:val="auto"/>
        </w:rPr>
        <w:t>Section 14-2-202(b)(4) of the Georgia Business Corporation Code permits a corporation to provide in its articles of incorporation that a director of the corporation shall not be personally liable to the corporation or its shareholders for monetary damages for any action taken or any failure to take any action as a director, subject to certain limitations. Section 14-2-842 of the Georgia Business Corporation Code provides that an officer shall not be liable to the corporation or to its shareholders for any action taken as an officer or any failure to take any action if such officer performed the duties of the office (i) in a manner he or she believes in good faith to be in the best interests of the corporation and (ii) with the care an ordinarily prudent person in a like position would exercise under similar circumstances.</w:t>
      </w: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The articles of incorporation of Price &amp; Sons Recycling Company provide that no director of the corporation shall have personal liability to the corporation or its shareholders for monetary damages for breach of such director’s duty of care or other duty as a director, except as required by the Georgia Business Corporation Code.</w:t>
      </w:r>
    </w:p>
    <w:p>
      <w:pPr>
        <w:spacing w:after="0" w:line="82"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Price &amp; Sons Recycling Company and S &amp; S Recycling,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0"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Price &amp; Sons Recycling Company and S &amp; S Recycling,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104" w:lineRule="exact"/>
        <w:rPr>
          <w:sz w:val="20"/>
          <w:szCs w:val="20"/>
          <w:color w:val="auto"/>
        </w:rPr>
      </w:pPr>
    </w:p>
    <w:p>
      <w:pPr>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articles of incorporation or bylaws of each of Allied Waste Hauling of Georgia, Inc., Allied Waste Industries of Georgia, Inc. or Golden Waste Disposal, Inc.</w:t>
      </w:r>
    </w:p>
    <w:p>
      <w:pPr>
        <w:spacing w:after="0" w:line="63" w:lineRule="exact"/>
        <w:rPr>
          <w:sz w:val="20"/>
          <w:szCs w:val="20"/>
          <w:color w:val="auto"/>
        </w:rPr>
      </w:pPr>
    </w:p>
    <w:p>
      <w:pPr>
        <w:ind w:left="700" w:right="20" w:firstLine="390"/>
        <w:spacing w:after="0" w:line="286" w:lineRule="auto"/>
        <w:tabs>
          <w:tab w:leader="none" w:pos="136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Central Virginia Properties, LLC, Gateway Landfill, LLC and Wayne Developers, LLC are organized as limited liability companies under the laws of Georgia.</w:t>
      </w:r>
    </w:p>
    <w:p>
      <w:pPr>
        <w:spacing w:after="0" w:line="64" w:lineRule="exact"/>
        <w:rPr>
          <w:sz w:val="20"/>
          <w:szCs w:val="20"/>
          <w:color w:val="auto"/>
        </w:rPr>
      </w:pPr>
    </w:p>
    <w:p>
      <w:pPr>
        <w:ind w:left="700" w:right="440" w:firstLine="397"/>
        <w:spacing w:after="0" w:line="282" w:lineRule="auto"/>
        <w:rPr>
          <w:sz w:val="20"/>
          <w:szCs w:val="20"/>
          <w:color w:val="auto"/>
        </w:rPr>
      </w:pPr>
      <w:r>
        <w:rPr>
          <w:rFonts w:ascii="Times New Roman" w:cs="Times New Roman" w:eastAsia="Times New Roman" w:hAnsi="Times New Roman"/>
          <w:sz w:val="18"/>
          <w:szCs w:val="18"/>
          <w:color w:val="auto"/>
        </w:rPr>
        <w:t>Section 14-11-306 of the Georgia Limited Liability Company Act permits a limited liability company to indemnify a member, manager or other person under certain circumstances and subject to certain limitations.</w:t>
      </w:r>
    </w:p>
    <w:p>
      <w:pPr>
        <w:spacing w:after="0" w:line="67" w:lineRule="exact"/>
        <w:rPr>
          <w:sz w:val="20"/>
          <w:szCs w:val="20"/>
          <w:color w:val="auto"/>
        </w:rPr>
      </w:pPr>
    </w:p>
    <w:p>
      <w:pPr>
        <w:ind w:left="700" w:right="40" w:firstLine="397"/>
        <w:spacing w:after="0" w:line="261" w:lineRule="auto"/>
        <w:rPr>
          <w:sz w:val="20"/>
          <w:szCs w:val="20"/>
          <w:color w:val="auto"/>
        </w:rPr>
      </w:pPr>
      <w:r>
        <w:rPr>
          <w:rFonts w:ascii="Times New Roman" w:cs="Times New Roman" w:eastAsia="Times New Roman" w:hAnsi="Times New Roman"/>
          <w:sz w:val="18"/>
          <w:szCs w:val="18"/>
          <w:color w:val="auto"/>
        </w:rPr>
        <w:t>The operating agreement of Gateway Landfill, LLC provides that the company shall defend, indemnify and save harmless the sole member, its officers and directors, and the officers of the company from and against all losses, claims, costs, liabilities and damages incurred by such person by reason of any act performed or omitted to be performed by such person in connection with the business of the company, including attorneys’ fees incurred by</w:t>
      </w:r>
    </w:p>
    <w:p>
      <w:pPr>
        <w:spacing w:after="0" w:line="3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82" w:lineRule="auto"/>
        <w:rPr>
          <w:sz w:val="20"/>
          <w:szCs w:val="20"/>
          <w:color w:val="auto"/>
        </w:rPr>
      </w:pPr>
      <w:r>
        <w:rPr>
          <w:rFonts w:ascii="Times New Roman" w:cs="Times New Roman" w:eastAsia="Times New Roman" w:hAnsi="Times New Roman"/>
          <w:sz w:val="18"/>
          <w:szCs w:val="18"/>
          <w:color w:val="auto"/>
        </w:rPr>
        <w:t>such person in connection with the defense of any action based on any such act or omission; provided, however, no such person shall be indemnified from any liability for fraud, bad faith, willful misconduct or gross negligence.</w:t>
      </w:r>
    </w:p>
    <w:p>
      <w:pPr>
        <w:spacing w:after="0" w:line="67" w:lineRule="exact"/>
        <w:rPr>
          <w:sz w:val="20"/>
          <w:szCs w:val="20"/>
          <w:color w:val="auto"/>
        </w:rPr>
      </w:pPr>
    </w:p>
    <w:p>
      <w:pPr>
        <w:ind w:left="700" w:right="8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certificate of formation or the operating agreement of Central Virginia Properties, LLC or Wayne Developers, LLC.</w:t>
      </w:r>
    </w:p>
    <w:p>
      <w:pPr>
        <w:spacing w:after="0" w:line="63" w:lineRule="exact"/>
        <w:rPr>
          <w:sz w:val="20"/>
          <w:szCs w:val="20"/>
          <w:color w:val="auto"/>
        </w:rPr>
      </w:pPr>
    </w:p>
    <w:p>
      <w:pPr>
        <w:ind w:left="700" w:right="100" w:firstLine="397"/>
        <w:spacing w:after="0" w:line="286" w:lineRule="auto"/>
        <w:rPr>
          <w:sz w:val="20"/>
          <w:szCs w:val="20"/>
          <w:color w:val="auto"/>
        </w:rPr>
      </w:pPr>
      <w:r>
        <w:rPr>
          <w:rFonts w:ascii="Times New Roman" w:cs="Times New Roman" w:eastAsia="Times New Roman" w:hAnsi="Times New Roman"/>
          <w:sz w:val="18"/>
          <w:szCs w:val="18"/>
          <w:b w:val="1"/>
          <w:bCs w:val="1"/>
          <w:color w:val="auto"/>
        </w:rPr>
        <w:t>Idaho Registrants: Ada County Development Company, Inc., Allied Waste Services of Page, Inc., and American Sanitation, Inc. are incorporated under the laws of Idaho.</w:t>
      </w:r>
    </w:p>
    <w:p>
      <w:pPr>
        <w:spacing w:after="0" w:line="64" w:lineRule="exact"/>
        <w:rPr>
          <w:sz w:val="20"/>
          <w:szCs w:val="20"/>
          <w:color w:val="auto"/>
        </w:rPr>
      </w:pPr>
    </w:p>
    <w:p>
      <w:pPr>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Sections 30-1-850 et seq. of the Idaho Business Corporation Act authorize a court to award, or a corporation’s board of directors to grant, indemnity to officers and directors of the corporation under certain circumstances and subject to certain limitations.</w:t>
      </w:r>
    </w:p>
    <w:p>
      <w:pPr>
        <w:spacing w:after="0" w:line="67" w:lineRule="exact"/>
        <w:rPr>
          <w:sz w:val="20"/>
          <w:szCs w:val="20"/>
          <w:color w:val="auto"/>
        </w:rPr>
      </w:pPr>
    </w:p>
    <w:p>
      <w:pPr>
        <w:ind w:left="700" w:right="60" w:firstLine="397"/>
        <w:spacing w:after="0" w:line="255" w:lineRule="auto"/>
        <w:rPr>
          <w:sz w:val="20"/>
          <w:szCs w:val="20"/>
          <w:color w:val="auto"/>
        </w:rPr>
      </w:pPr>
      <w:r>
        <w:rPr>
          <w:rFonts w:ascii="Times New Roman" w:cs="Times New Roman" w:eastAsia="Times New Roman" w:hAnsi="Times New Roman"/>
          <w:sz w:val="18"/>
          <w:szCs w:val="18"/>
          <w:color w:val="auto"/>
        </w:rPr>
        <w:t>Section 30-1-202(2)(d) of the Idaho Business Corporation Act permits a corporation to provide in its articles of incorporation that a director of the corporation shall not be personally liable to the corporation or its shareholders for monetary damages for any action taken or any failure to take any action as a director, subject to certain limitations. Section 30-1-842 of the Idaho Business Corporation Act provides that an officer shall not be liable to the corporation or to its shareholders for any decision to take or not to take action or any failure to take action as an officer if the duties of the office are performed (i) in good faith, (ii) with the care that a person in a like position would reasonably exercise under similar circumstances and (iii) in a manner the officer reasonably believes to be in the best interests of the corporation.</w:t>
      </w:r>
    </w:p>
    <w:p>
      <w:pPr>
        <w:spacing w:after="0" w:line="95"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The articles of incorporation of American Sanitation, Inc. provide that no director of the corporation shall be personally liable to the corporation or its stockholders for monetary damages resulting from a breach of fiduciary duty as a director of the corporation, provided that such provision shall not eliminate or limit the liability of a director for (i) any breach of the director’s duty of loyalty to the corporation or its stockholders, (ii) acts or omissions not in good faith or which involve intentional misconduct or knowing violation of the law, (iii) any of those liabilities provided under 30-1-48 of the Idaho Business Corporation Act relating to unlawful dividends, repurchases or distributions of assets or (iv) any transaction from which the director derived an improper personal benefit.</w:t>
      </w:r>
    </w:p>
    <w:p>
      <w:pPr>
        <w:spacing w:after="0" w:line="93"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Ada County Development Company, Inc. and American Sanitation,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0" w:lineRule="exact"/>
        <w:rPr>
          <w:sz w:val="20"/>
          <w:szCs w:val="20"/>
          <w:color w:val="auto"/>
        </w:rPr>
      </w:pPr>
    </w:p>
    <w:p>
      <w:pPr>
        <w:ind w:left="700" w:right="60" w:firstLine="397"/>
        <w:spacing w:after="0" w:line="258" w:lineRule="auto"/>
        <w:rPr>
          <w:sz w:val="20"/>
          <w:szCs w:val="20"/>
          <w:color w:val="auto"/>
        </w:rPr>
      </w:pPr>
      <w:r>
        <w:rPr>
          <w:rFonts w:ascii="Times New Roman" w:cs="Times New Roman" w:eastAsia="Times New Roman" w:hAnsi="Times New Roman"/>
          <w:sz w:val="18"/>
          <w:szCs w:val="18"/>
          <w:color w:val="auto"/>
        </w:rPr>
        <w:t>The bylaws of each of Ada County Development Company, Inc. and American Sanitation,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w:t>
      </w:r>
    </w:p>
    <w:p>
      <w:pPr>
        <w:spacing w:after="0" w:line="37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4" w:lineRule="auto"/>
        <w:rPr>
          <w:sz w:val="20"/>
          <w:szCs w:val="20"/>
          <w:color w:val="auto"/>
        </w:rPr>
      </w:pPr>
      <w:r>
        <w:rPr>
          <w:rFonts w:ascii="Times New Roman" w:cs="Times New Roman" w:eastAsia="Times New Roman" w:hAnsi="Times New Roman"/>
          <w:sz w:val="18"/>
          <w:szCs w:val="18"/>
          <w:color w:val="auto"/>
        </w:rPr>
        <w:t>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There is no provision for indemnification or insurance in the articles of incorporation or bylaws of Allied Waste Services of Page,</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Illinois Registrants:</w:t>
      </w:r>
    </w:p>
    <w:p>
      <w:pPr>
        <w:spacing w:after="0" w:line="131" w:lineRule="exact"/>
        <w:rPr>
          <w:sz w:val="20"/>
          <w:szCs w:val="20"/>
          <w:color w:val="auto"/>
        </w:rPr>
      </w:pPr>
    </w:p>
    <w:p>
      <w:pPr>
        <w:ind w:left="700" w:right="40" w:firstLine="390"/>
        <w:spacing w:after="0" w:line="255" w:lineRule="auto"/>
        <w:tabs>
          <w:tab w:leader="none" w:pos="134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ADS of Illinois, Inc., Allied Waste Industries of Illinois, Inc., Arc Disposal Company, Inc., Area Disposal, Inc., Borrow Pit Corp., Brickyard Disposal &amp; Recycling, Inc., CWI of Illinois, Inc., Environmental Reclamation Company, Fred Barbara Trucking Co., Inc., Illinois Landfill, Inc., Illinois Recycling Services, Inc., Illinois Valley Recycling, Inc., Ingrum Waste Disposal, Inc., Kankakee Quarry, Inc., LandComp Corporation, Lee County Landfill, Inc., Loop Recycling, Inc., Loop Transfer, Incorporated, Northlake Transfer, Inc., RCS, Inc., Roxana Landfill, Inc., Saline County Landfill, Inc., Shred — All Recycling Systems Inc., Southern Illinois Regional Landfill, Inc., Streator Area Landfill, Inc., Suburban Transfer, Inc., Suburban Warehouse, Inc., Tri-State Recycling Services, Inc. and Upper Rock Island County Landfill, Inc. are incorporated under the laws of Illinois.</w:t>
      </w:r>
    </w:p>
    <w:p>
      <w:pPr>
        <w:spacing w:after="0" w:line="95" w:lineRule="exact"/>
        <w:rPr>
          <w:sz w:val="20"/>
          <w:szCs w:val="20"/>
          <w:color w:val="auto"/>
        </w:rPr>
      </w:pPr>
    </w:p>
    <w:p>
      <w:pPr>
        <w:ind w:left="700" w:right="200" w:firstLine="397"/>
        <w:spacing w:after="0" w:line="313" w:lineRule="auto"/>
        <w:rPr>
          <w:sz w:val="20"/>
          <w:szCs w:val="20"/>
          <w:color w:val="auto"/>
        </w:rPr>
      </w:pPr>
      <w:r>
        <w:rPr>
          <w:rFonts w:ascii="Times New Roman" w:cs="Times New Roman" w:eastAsia="Times New Roman" w:hAnsi="Times New Roman"/>
          <w:sz w:val="17"/>
          <w:szCs w:val="17"/>
          <w:color w:val="auto"/>
        </w:rPr>
        <w:t>Section 8.75 of the Illinois Business Corporation Act authorizes a court to award, or a corporation’s board of directors to grant, indemnity to directors, officers, employees and agents of the corporation under certain circumstances and subject to certain limitations.</w:t>
      </w:r>
    </w:p>
    <w:p>
      <w:pPr>
        <w:spacing w:after="0" w:line="44" w:lineRule="exact"/>
        <w:rPr>
          <w:sz w:val="20"/>
          <w:szCs w:val="20"/>
          <w:color w:val="auto"/>
        </w:rPr>
      </w:pPr>
    </w:p>
    <w:p>
      <w:pPr>
        <w:jc w:val="both"/>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Section 5/2.10(b)(3) of the Illinois Business Corporation Act permits a corporation to provide in its articles of incorporation that a director of the corporation shall not be personally liable to the corporation or its shareholders for monetary damages for any action taken or any failure to take any action as a director, subject to certain limitations.</w:t>
      </w:r>
    </w:p>
    <w:p>
      <w:pPr>
        <w:spacing w:after="0" w:line="82"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The articles of incorporation of ADS of Illinois, Inc. provide that, to the fullest extent permitted by the Illinois Business Corporation Act, a director of the corporation shall not be liable to the corporation or its shareholders for monetary damages for breach of fiduciary duty as a director.</w:t>
      </w:r>
    </w:p>
    <w:p>
      <w:pPr>
        <w:spacing w:after="0" w:line="82" w:lineRule="exact"/>
        <w:rPr>
          <w:sz w:val="20"/>
          <w:szCs w:val="20"/>
          <w:color w:val="auto"/>
        </w:rPr>
      </w:pPr>
    </w:p>
    <w:p>
      <w:pPr>
        <w:ind w:left="700" w:right="180" w:firstLine="397"/>
        <w:spacing w:after="0" w:line="258" w:lineRule="auto"/>
        <w:rPr>
          <w:sz w:val="20"/>
          <w:szCs w:val="20"/>
          <w:color w:val="auto"/>
        </w:rPr>
      </w:pPr>
      <w:r>
        <w:rPr>
          <w:rFonts w:ascii="Times New Roman" w:cs="Times New Roman" w:eastAsia="Times New Roman" w:hAnsi="Times New Roman"/>
          <w:sz w:val="18"/>
          <w:szCs w:val="18"/>
          <w:color w:val="auto"/>
        </w:rPr>
        <w:t>The articles of incorporation of Borrow Pit Corp. provide that a director of the corporation shall not be personally liable to the corporation or its shareholders for monetary damages for breach of fiduciary duty as a director, except for liability (i) for any breach of the director’s duty of loyalty to the corporation or its shareholders, (ii) for acts or omissions not in good faith or that involve intentional misconduct or a knowing violation of law, (iii) under Section 8.65 of the Illinois Business Corporation Act relating to unlawful distributions or (iv) any transaction from which the director derived an improper personal benefit.</w:t>
      </w:r>
    </w:p>
    <w:p>
      <w:pPr>
        <w:spacing w:after="0" w:line="89"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The bylaws of each of ADS of Illinois, Inc., Arc Disposal Company, Inc., Area Disposal, Inc., Borrow Pit Corp., Brickyard Disposal &amp; Recycling, Inc., CWI of Illinois, Inc., Environmental Reclamation Company, Fred Barbara Trucking Co., Inc., Illinois Recycling Services, Inc., Illinois Valley Recycling, Inc., Ingrum Waste Disposal, Inc., Kankakee Quarry, Inc., LandComp Corporation, Loop Recycling, Inc., Loop Transfer, Incorporated, Northlake Transfer, Inc., Roxana Landfill, Inc., Saline County Landfill, Inc., Shred — All Recycling Systems Inc., Southern Illinois Regional Landfill, Inc., Suburban Transfer, Inc., Suburban Warehouse, Inc., Tri-State Recycling Services, Inc. and Upper Rock Island County Landfill,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w:t>
      </w:r>
    </w:p>
    <w:p>
      <w:pPr>
        <w:spacing w:after="0" w:line="37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2" w:lineRule="auto"/>
        <w:rPr>
          <w:sz w:val="20"/>
          <w:szCs w:val="20"/>
          <w:color w:val="auto"/>
        </w:rPr>
      </w:pPr>
      <w:r>
        <w:rPr>
          <w:rFonts w:ascii="Times New Roman" w:cs="Times New Roman" w:eastAsia="Times New Roman" w:hAnsi="Times New Roman"/>
          <w:sz w:val="18"/>
          <w:szCs w:val="18"/>
          <w:color w:val="auto"/>
        </w:rPr>
        <w:t>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4"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the Illinois corporation registrants listed in the preceding paragraph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104" w:lineRule="exact"/>
        <w:rPr>
          <w:sz w:val="20"/>
          <w:szCs w:val="20"/>
          <w:color w:val="auto"/>
        </w:rPr>
      </w:pPr>
    </w:p>
    <w:p>
      <w:pPr>
        <w:ind w:left="700" w:right="180" w:firstLine="397"/>
        <w:spacing w:after="0" w:line="270" w:lineRule="auto"/>
        <w:rPr>
          <w:sz w:val="20"/>
          <w:szCs w:val="20"/>
          <w:color w:val="auto"/>
        </w:rPr>
      </w:pPr>
      <w:r>
        <w:rPr>
          <w:rFonts w:ascii="Times New Roman" w:cs="Times New Roman" w:eastAsia="Times New Roman" w:hAnsi="Times New Roman"/>
          <w:sz w:val="17"/>
          <w:szCs w:val="17"/>
          <w:color w:val="auto"/>
        </w:rPr>
        <w:t>The bylaws of Illinois Landfill, Inc. provide that, to the extent not inconsistent with applicable law, every person who is or was a director, officer, employee or agent of the corporation, or is or was serving at the request of the corporation as a director, officer, employee, agent or fiduciary of another entity, shall be indemnified by the corporation against all liability and reasonable expenses that may be incurred by him or her in connection with or resulting from any Claim: (i) if such person is successful with respect to the claim,</w:t>
      </w:r>
    </w:p>
    <w:p>
      <w:pPr>
        <w:spacing w:after="0" w:line="3" w:lineRule="exact"/>
        <w:rPr>
          <w:sz w:val="20"/>
          <w:szCs w:val="20"/>
          <w:color w:val="auto"/>
        </w:rPr>
      </w:pPr>
    </w:p>
    <w:p>
      <w:pPr>
        <w:ind w:left="700" w:hanging="7"/>
        <w:spacing w:after="0" w:line="265" w:lineRule="auto"/>
        <w:tabs>
          <w:tab w:leader="none" w:pos="96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not successful, then if such person is determined to have: (1) conducted himself or herself in good faith; and (2) reasonably believed: (A) in the case of conduct in his official capacity with the corporation, that his conduct was in its best interest; and (B) in all other cases, that his conduct was at least not opposed to the best interest of the corporation; and (3) in the case of any criminal proceeding, either: (A) had reasonable cause to believe his conduct was lawful; or (B) had no reasonable cause to believe his conduct was unlawful. The determination whether such person has met the required standards of conduct shall be made (i) by the board of directors by majority vote of a quorum consisting of directors not at the time parties to the claim, and if such a quorum cannot be obtained, then</w:t>
      </w:r>
    </w:p>
    <w:p>
      <w:pPr>
        <w:spacing w:after="0" w:line="1" w:lineRule="exact"/>
        <w:rPr>
          <w:rFonts w:ascii="Times New Roman" w:cs="Times New Roman" w:eastAsia="Times New Roman" w:hAnsi="Times New Roman"/>
          <w:sz w:val="17"/>
          <w:szCs w:val="17"/>
          <w:color w:val="auto"/>
        </w:rPr>
      </w:pPr>
    </w:p>
    <w:p>
      <w:pPr>
        <w:ind w:left="700" w:right="80" w:hanging="7"/>
        <w:spacing w:after="0" w:line="252" w:lineRule="auto"/>
        <w:tabs>
          <w:tab w:leader="none" w:pos="9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majority vote of a committee duly designated by the board of directors consisting solely of two or more directors not at the time parties to the claim, and if such a committee cannot be constituted, then (iii) by the shareholders (but shares owned by or voted under the control of a director who is at the time a party to the claim may not be voted), and if there are no shareholders who are entitled to vote pursuant to the requirements of (iii) above, then (iv) by special legal counsel selected by a majority vote of the full board of directors. Expenses incurred by such person with respect to any claim shall be advanced by the corporation (by action of the board of directors, whether or not a disinterested quorum exists) prior to the final disposition thereof if: (i) such person furnishes the corporation a written affirmation of his good faith</w:t>
      </w:r>
    </w:p>
    <w:p>
      <w:pPr>
        <w:spacing w:after="0" w:line="3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61" w:lineRule="auto"/>
        <w:rPr>
          <w:sz w:val="20"/>
          <w:szCs w:val="20"/>
          <w:color w:val="auto"/>
        </w:rPr>
      </w:pPr>
      <w:r>
        <w:rPr>
          <w:rFonts w:ascii="Times New Roman" w:cs="Times New Roman" w:eastAsia="Times New Roman" w:hAnsi="Times New Roman"/>
          <w:sz w:val="18"/>
          <w:szCs w:val="18"/>
          <w:color w:val="auto"/>
        </w:rPr>
        <w:t>belief that such person has met the standards of conduct specified in the bylaws of the corporation; and (ii) such person furnishes the corporation a written undertaking to repay the advance if it is ultimately determined that such person did not meet the specified standards of conduct; and (iii) the board of directors makes a determination that the facts then known would not preclude indemnification of such person.</w:t>
      </w:r>
    </w:p>
    <w:p>
      <w:pPr>
        <w:spacing w:after="0" w:line="86" w:lineRule="exact"/>
        <w:rPr>
          <w:sz w:val="20"/>
          <w:szCs w:val="20"/>
          <w:color w:val="auto"/>
        </w:rPr>
      </w:pPr>
    </w:p>
    <w:p>
      <w:pPr>
        <w:ind w:left="700" w:firstLine="397"/>
        <w:spacing w:after="0" w:line="251" w:lineRule="auto"/>
        <w:rPr>
          <w:sz w:val="20"/>
          <w:szCs w:val="20"/>
          <w:color w:val="auto"/>
        </w:rPr>
      </w:pPr>
      <w:r>
        <w:rPr>
          <w:rFonts w:ascii="Times New Roman" w:cs="Times New Roman" w:eastAsia="Times New Roman" w:hAnsi="Times New Roman"/>
          <w:sz w:val="18"/>
          <w:szCs w:val="18"/>
          <w:color w:val="auto"/>
        </w:rPr>
        <w:t>The bylaws of each of RCS, Inc. and Streator Area Landfill, Inc. provide that the corporation shall have the power to indemnify any person who was or is a party or is threatened to be made party to any threatened, pending or completed action, suit or proceeding (other than an action by or in the right of the corporation) by reason of the fact that he or she is or was a director, officer, employee or agent of the corporation, or who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or her conduct was unlawful. The corporation shall have the power to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entity or other enterprise against expenses (including attorneys’ fees) actually and reasonably incurred by such person in connection with the defense or settlement of such action or suit if such person acted in good faith and in a manner he or she reasonably believed to be in, or not opposed to, the best interests of the corporation, provided that no indemnification shall be made in respect of any claim, issue or matter as to which such persons shall have been adjudged to be liable for negligence or misconduct in the performance of his or her duty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as the court shall deem proper. Any determination to indemnify such person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shareholders. Expenses incurred in defending a civil or criminal action, suit or proceeding may be paid by the corporation in advance of the final disposition of such action, suit or proceeding, as authorized by the board of directors in the specific case, upon receipt of an undertaking by or on behalf of the director, officer, employee or agent to repay such amount, unless it shall ultimately be determined that he or she is entitled to be indemnified by the corporation. The corporation shall have the power to purchase and maintain insurance on behalf of any person who is or was a director, officer, employee or agent of the corporation, or is or was serving at the request of the corporation, as a director, officer, employee or agent of another entity or other enterprise, against any liability asserted against such person and incurred by such person in any such capacity, or arising out of his status as such, whether or not the corporation would have the power to indemnify him or her against such liability under the provisions of this Article.</w:t>
      </w:r>
    </w:p>
    <w:p>
      <w:pPr>
        <w:spacing w:after="0" w:line="111" w:lineRule="exact"/>
        <w:rPr>
          <w:sz w:val="20"/>
          <w:szCs w:val="20"/>
          <w:color w:val="auto"/>
        </w:rPr>
      </w:pPr>
    </w:p>
    <w:p>
      <w:pPr>
        <w:ind w:left="700" w:right="54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articles of incorporation or bylaws of Allied Waste Industries of Illinois, Inc. or Lee County Landfill, Inc.</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(b) Liberty Waste Service of Illinois, L.L.C. is organized as a limited liability company under the laws of Illinois.</w:t>
      </w:r>
    </w:p>
    <w:p>
      <w:pPr>
        <w:spacing w:after="0" w:line="135" w:lineRule="exact"/>
        <w:rPr>
          <w:sz w:val="20"/>
          <w:szCs w:val="20"/>
          <w:color w:val="auto"/>
        </w:rPr>
      </w:pPr>
    </w:p>
    <w:p>
      <w:pPr>
        <w:ind w:left="700" w:right="380" w:firstLine="397"/>
        <w:spacing w:after="0" w:line="282" w:lineRule="auto"/>
        <w:rPr>
          <w:sz w:val="20"/>
          <w:szCs w:val="20"/>
          <w:color w:val="auto"/>
        </w:rPr>
      </w:pPr>
      <w:r>
        <w:rPr>
          <w:rFonts w:ascii="Times New Roman" w:cs="Times New Roman" w:eastAsia="Times New Roman" w:hAnsi="Times New Roman"/>
          <w:sz w:val="18"/>
          <w:szCs w:val="18"/>
          <w:color w:val="auto"/>
        </w:rPr>
        <w:t>Section 15-7(a) of the Illinois Limited Liability Company Act authorizes a limited liability company to indemnify a member or manager under certain circumstances and subject to certain limitations.</w:t>
      </w:r>
    </w:p>
    <w:p>
      <w:pPr>
        <w:spacing w:after="0" w:line="67" w:lineRule="exact"/>
        <w:rPr>
          <w:sz w:val="20"/>
          <w:szCs w:val="20"/>
          <w:color w:val="auto"/>
        </w:rPr>
      </w:pPr>
    </w:p>
    <w:p>
      <w:pPr>
        <w:ind w:left="700" w:right="180" w:firstLine="397"/>
        <w:spacing w:after="0" w:line="258" w:lineRule="auto"/>
        <w:rPr>
          <w:sz w:val="20"/>
          <w:szCs w:val="20"/>
          <w:color w:val="auto"/>
        </w:rPr>
      </w:pPr>
      <w:r>
        <w:rPr>
          <w:rFonts w:ascii="Times New Roman" w:cs="Times New Roman" w:eastAsia="Times New Roman" w:hAnsi="Times New Roman"/>
          <w:sz w:val="18"/>
          <w:szCs w:val="18"/>
          <w:color w:val="auto"/>
        </w:rPr>
        <w:t>The operating agreement of Liberty Waste Service of Illinois, L.L.C. provides that the company shall defend, indemnify and save harmless the sole member, its officers and directors and the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w:t>
      </w:r>
    </w:p>
    <w:p>
      <w:pPr>
        <w:spacing w:after="0" w:line="37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however, no such person shall be indemnified from any liability for fraud, bad faith, willful misconduct or gross negligence.</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Indiana Registrants:</w:t>
      </w:r>
    </w:p>
    <w:p>
      <w:pPr>
        <w:spacing w:after="0" w:line="131" w:lineRule="exact"/>
        <w:rPr>
          <w:sz w:val="20"/>
          <w:szCs w:val="20"/>
          <w:color w:val="auto"/>
        </w:rPr>
      </w:pPr>
    </w:p>
    <w:p>
      <w:pPr>
        <w:ind w:left="700" w:right="40" w:firstLine="390"/>
        <w:spacing w:after="0" w:line="286" w:lineRule="auto"/>
        <w:tabs>
          <w:tab w:leader="none" w:pos="1342"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Industries of Northwest Indiana, Inc., DTC Management, Inc. and Wastehaul, Inc. are incorporated under the laws of Indiana.</w:t>
      </w:r>
    </w:p>
    <w:p>
      <w:pPr>
        <w:spacing w:after="0" w:line="64" w:lineRule="exact"/>
        <w:rPr>
          <w:sz w:val="20"/>
          <w:szCs w:val="20"/>
          <w:color w:val="auto"/>
        </w:rPr>
      </w:pPr>
    </w:p>
    <w:p>
      <w:pPr>
        <w:ind w:left="700" w:firstLine="397"/>
        <w:spacing w:after="0" w:line="313" w:lineRule="auto"/>
        <w:rPr>
          <w:sz w:val="20"/>
          <w:szCs w:val="20"/>
          <w:color w:val="auto"/>
        </w:rPr>
      </w:pPr>
      <w:r>
        <w:rPr>
          <w:rFonts w:ascii="Times New Roman" w:cs="Times New Roman" w:eastAsia="Times New Roman" w:hAnsi="Times New Roman"/>
          <w:sz w:val="17"/>
          <w:szCs w:val="17"/>
          <w:color w:val="auto"/>
        </w:rPr>
        <w:t>Section 23-1-37 of the Indiana Business Corporation Law authorizes a court to award, or a corporation’s board of directors to grant, indemnity to officers, directors, agents and employees of the corporation under certain circumstances and subject to certain limitations.</w:t>
      </w:r>
    </w:p>
    <w:p>
      <w:pPr>
        <w:spacing w:after="0" w:line="44" w:lineRule="exact"/>
        <w:rPr>
          <w:sz w:val="20"/>
          <w:szCs w:val="20"/>
          <w:color w:val="auto"/>
        </w:rPr>
      </w:pPr>
    </w:p>
    <w:p>
      <w:pPr>
        <w:ind w:left="700" w:right="140" w:firstLine="397"/>
        <w:spacing w:after="0" w:line="258" w:lineRule="auto"/>
        <w:rPr>
          <w:sz w:val="20"/>
          <w:szCs w:val="20"/>
          <w:color w:val="auto"/>
        </w:rPr>
      </w:pPr>
      <w:r>
        <w:rPr>
          <w:rFonts w:ascii="Times New Roman" w:cs="Times New Roman" w:eastAsia="Times New Roman" w:hAnsi="Times New Roman"/>
          <w:sz w:val="18"/>
          <w:szCs w:val="18"/>
          <w:color w:val="auto"/>
        </w:rPr>
        <w:t>Section 23-1-35-1(e) of the Indiana Business Corporation Law provides that a director shall not be liable for any action taken as a director or any failure to take any action, regardless of the nature of the alleged breach of duty unless (i) the director has breached or failed to perform the duties of the director’s office (1) in good faith, (2) with the care an ordinarily prudent person in a like position would exercise under similar circumstances and (3) in a manner the director reasonably believes to be in the best interests of the corporation and (ii) the breach or failure to perform constitutes willful misconduct or recklessness.</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articles of incorporation of DTC Management, Inc. provide for indemnification to the fullest extent permissible by law.</w:t>
      </w:r>
    </w:p>
    <w:p>
      <w:pPr>
        <w:spacing w:after="0" w:line="131"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Allied Waste Industries of Northwest Indiana, Inc. provide for indemnification for any person who is or was a director, officer, employee or agent of the corporation or is or was serving at the request of the corporation as a director, officer, employee, agent or fiduciary of another foreign or domestic entity that may be incurred by him or her in connection with or resulting from any claim as long as such person acted in good faith and reasonably believed that his or her conduct was in the best interest of (in the case of conduct in his or her official capacity with the corporation) or not opposed to (in all other cases) the best interest of the corporation. In the case of any criminal proceeding, such person must have had reasonable cause to believe his or her conduct was lawful or had no reasonable cause to believe his or her conduct was unlawful. The determination whether such person has met the required standards of conduct shall be made (i) by the board of directors by majority vote of a quorum consisting of directors not at the time parties to the claim, and if such a quorum cannot be obtained; then (ii) by majority vote of a committee duly designated by the board of directors consisting solely of two or more directors not at the time parties to the claim; and if such a committee cannot be constituted; then (iii) by the shareholders, and if there are no shareholders who are not also directors who are a party to the claim; then (iv) by special legal counsel selected by a majority vote of the full board of directors (in which selection, a director who is a party to the claim may participate). Expenses incurred by such person may be advanced by the corporation prior to the final disposition of the claim under certain circumstances.</w:t>
      </w:r>
    </w:p>
    <w:p>
      <w:pPr>
        <w:spacing w:after="0" w:line="104"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The bylaws of DTC Management, Inc. and Wastehaul,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w:t>
      </w:r>
    </w:p>
    <w:p>
      <w:pPr>
        <w:spacing w:after="0" w:line="38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20"/>
        <w:spacing w:after="0" w:line="282" w:lineRule="auto"/>
        <w:rPr>
          <w:sz w:val="20"/>
          <w:szCs w:val="20"/>
          <w:color w:val="auto"/>
        </w:rPr>
      </w:pPr>
      <w:r>
        <w:rPr>
          <w:rFonts w:ascii="Times New Roman" w:cs="Times New Roman" w:eastAsia="Times New Roman" w:hAnsi="Times New Roman"/>
          <w:sz w:val="18"/>
          <w:szCs w:val="18"/>
          <w:color w:val="auto"/>
        </w:rPr>
        <w:t>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7" w:lineRule="exact"/>
        <w:rPr>
          <w:sz w:val="20"/>
          <w:szCs w:val="20"/>
          <w:color w:val="auto"/>
        </w:rPr>
      </w:pPr>
    </w:p>
    <w:p>
      <w:pPr>
        <w:ind w:left="700" w:right="40" w:firstLine="397"/>
        <w:spacing w:after="0" w:line="253" w:lineRule="auto"/>
        <w:rPr>
          <w:sz w:val="20"/>
          <w:szCs w:val="20"/>
          <w:color w:val="auto"/>
        </w:rPr>
      </w:pPr>
      <w:r>
        <w:rPr>
          <w:rFonts w:ascii="Times New Roman" w:cs="Times New Roman" w:eastAsia="Times New Roman" w:hAnsi="Times New Roman"/>
          <w:sz w:val="18"/>
          <w:szCs w:val="18"/>
          <w:color w:val="auto"/>
        </w:rPr>
        <w:t>The bylaws of DTC Management, Inc. and Wastehaul,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(b) Agricultural Acquisitions, LLC is organized as a limited liability company under the laws of Indiana.</w:t>
      </w:r>
    </w:p>
    <w:p>
      <w:pPr>
        <w:spacing w:after="0" w:line="135" w:lineRule="exact"/>
        <w:rPr>
          <w:sz w:val="20"/>
          <w:szCs w:val="20"/>
          <w:color w:val="auto"/>
        </w:rPr>
      </w:pPr>
    </w:p>
    <w:p>
      <w:pPr>
        <w:ind w:left="700" w:right="60" w:firstLine="397"/>
        <w:spacing w:after="0" w:line="282" w:lineRule="auto"/>
        <w:rPr>
          <w:sz w:val="20"/>
          <w:szCs w:val="20"/>
          <w:color w:val="auto"/>
        </w:rPr>
      </w:pPr>
      <w:r>
        <w:rPr>
          <w:rFonts w:ascii="Times New Roman" w:cs="Times New Roman" w:eastAsia="Times New Roman" w:hAnsi="Times New Roman"/>
          <w:sz w:val="18"/>
          <w:szCs w:val="18"/>
          <w:color w:val="auto"/>
        </w:rPr>
        <w:t>Section 23-18-2-2(14) of the Indiana Business Flexibility Act permits a limited liability company to indemnify a member, manager, agent or employee of the corporation under certain circumstances and subject to certain limitations.</w:t>
      </w:r>
    </w:p>
    <w:p>
      <w:pPr>
        <w:spacing w:after="0" w:line="67" w:lineRule="exact"/>
        <w:rPr>
          <w:sz w:val="20"/>
          <w:szCs w:val="20"/>
          <w:color w:val="auto"/>
        </w:rPr>
      </w:pPr>
    </w:p>
    <w:p>
      <w:pPr>
        <w:ind w:left="700" w:right="240" w:firstLine="397"/>
        <w:spacing w:after="0" w:line="261" w:lineRule="auto"/>
        <w:rPr>
          <w:sz w:val="20"/>
          <w:szCs w:val="20"/>
          <w:color w:val="auto"/>
        </w:rPr>
      </w:pPr>
      <w:r>
        <w:rPr>
          <w:rFonts w:ascii="Times New Roman" w:cs="Times New Roman" w:eastAsia="Times New Roman" w:hAnsi="Times New Roman"/>
          <w:sz w:val="18"/>
          <w:szCs w:val="18"/>
          <w:color w:val="auto"/>
        </w:rPr>
        <w:t>Section 23-18-4-2(a) of the Indiana Business Flexibility Act provides that, unless otherwise provided in a written operating agreement, a member or manager shall not be liable for damages to the limited liability company or to the members of the limited liability company for any action taken or failure to act on behalf of the limited liability company, unless the act or omission constitutes willful misconduct or recklessness.</w:t>
      </w:r>
    </w:p>
    <w:p>
      <w:pPr>
        <w:spacing w:after="0" w:line="86"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The operating agreement of Agricultural Acquisitions, LLC provides that the company shall indemnify any member or manager and may indemnify any employee or other agent of the company who was or is a party or is threatened to be made a party to a threatened, pending or completed action, suit or proceeding, whether civil, criminal, administrative or investigative, and whether formal or informal (other than an action by or in the right of the company) by reason of the fact that such member, manager, employee or other agent of the company operates in that capacity, against all expenses, including attorney fees, judgments, penalties, fines and amounts paid in settlement actually and reasonably incurred by such person in connection with the action, suit or proceeding. Such indemnification will only be provided if such person acted in good faith, with the care an ordinarily prudent person in a like position would exercise under similar circumstances and in a manner that such person reasonably believed to be in the best interest of the company and, with respect to a criminal action or proceeding, if such person had no reasonable cause to believe that the person’s conduct was unlawful.</w:t>
      </w:r>
    </w:p>
    <w:p>
      <w:pPr>
        <w:spacing w:after="0" w:line="91" w:lineRule="exact"/>
        <w:rPr>
          <w:sz w:val="20"/>
          <w:szCs w:val="20"/>
          <w:color w:val="auto"/>
        </w:rPr>
      </w:pPr>
    </w:p>
    <w:p>
      <w:pPr>
        <w:jc w:val="both"/>
        <w:ind w:left="700" w:right="80" w:firstLine="390"/>
        <w:spacing w:after="0" w:line="259" w:lineRule="auto"/>
        <w:tabs>
          <w:tab w:leader="none" w:pos="134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Benton County Development Company, Clinton County Landfill Partnership, County Line Landfill Partnership, Illiana Disposal Partnership, Jasper County Development Company Partnership, Key Waste Indiana Partnership, Lake County C &amp; D Development Partnership, Newton County Landfill Partnership, Springfield Environmental General Partnership, Tippecanoe County Waste Services Partnership and Warrick County Development Company are organized as general partnerships under the laws of Indiana.</w:t>
      </w:r>
    </w:p>
    <w:p>
      <w:pPr>
        <w:spacing w:after="0" w:line="89" w:lineRule="exact"/>
        <w:rPr>
          <w:sz w:val="20"/>
          <w:szCs w:val="20"/>
          <w:color w:val="auto"/>
        </w:rPr>
      </w:pPr>
    </w:p>
    <w:p>
      <w:pPr>
        <w:ind w:left="700" w:right="220" w:firstLine="397"/>
        <w:spacing w:after="0" w:line="282" w:lineRule="auto"/>
        <w:rPr>
          <w:sz w:val="20"/>
          <w:szCs w:val="20"/>
          <w:color w:val="auto"/>
        </w:rPr>
      </w:pPr>
      <w:r>
        <w:rPr>
          <w:rFonts w:ascii="Times New Roman" w:cs="Times New Roman" w:eastAsia="Times New Roman" w:hAnsi="Times New Roman"/>
          <w:sz w:val="18"/>
          <w:szCs w:val="18"/>
          <w:color w:val="auto"/>
        </w:rPr>
        <w:t>Section 23-4-1-18(b) of the Indiana Uniform Partnership Act authorizes a general partnership to indemnify partners under certain circumstances and subject to certain limitations.</w:t>
      </w:r>
    </w:p>
    <w:p>
      <w:pPr>
        <w:spacing w:after="0" w:line="67" w:lineRule="exact"/>
        <w:rPr>
          <w:sz w:val="20"/>
          <w:szCs w:val="20"/>
          <w:color w:val="auto"/>
        </w:rPr>
      </w:pPr>
    </w:p>
    <w:p>
      <w:pPr>
        <w:ind w:left="700" w:right="48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partnership agreements of any of the Indiana general partnership registrants.</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Iowa Registrants:</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(a) Jetter Disposal, Inc. is incorporated under the laws of Iowa.</w:t>
      </w:r>
    </w:p>
    <w:p>
      <w:pPr>
        <w:spacing w:after="0" w:line="135" w:lineRule="exact"/>
        <w:rPr>
          <w:sz w:val="20"/>
          <w:szCs w:val="20"/>
          <w:color w:val="auto"/>
        </w:rPr>
      </w:pPr>
    </w:p>
    <w:p>
      <w:pPr>
        <w:ind w:left="700" w:right="400" w:firstLine="397"/>
        <w:spacing w:after="0" w:line="282" w:lineRule="auto"/>
        <w:rPr>
          <w:sz w:val="20"/>
          <w:szCs w:val="20"/>
          <w:color w:val="auto"/>
        </w:rPr>
      </w:pPr>
      <w:r>
        <w:rPr>
          <w:rFonts w:ascii="Times New Roman" w:cs="Times New Roman" w:eastAsia="Times New Roman" w:hAnsi="Times New Roman"/>
          <w:sz w:val="18"/>
          <w:szCs w:val="18"/>
          <w:color w:val="auto"/>
        </w:rPr>
        <w:t>Division VIII, Part E of the Iowa Business Corporation Act authorizes a court to award, or a corporation’s board of directors to grant, indemnity to officers and directors of the corporation under certain circumstances and subject to certain limitations.</w:t>
      </w:r>
    </w:p>
    <w:p>
      <w:pPr>
        <w:spacing w:after="0" w:line="67"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Section 490.831(1) provides that a director shall not be liable to the corporation or its shareholders for any decision as a director to take or not to take action or any failure to take any action unless the challenged conduct was the result of (i) action not in good faith, (ii) a decision that the director did not reasonably believe to be in the best interests of the corporation or (iii) a decision as to which the director was not informed to an extent the director reasonably believed appropriate in the circumstances. Section 490.842(3) provides that an officer shall not be liable to the corporation or its shareholders for any decision to take or not to take action or any failure to take any action if the duties of the officer are performed (i) in good faith, (ii) with the care that a person in a like position would reasonably exercise under similar circumstances and (iii) in a manner he or she reasonably believes to be in the best interests of the corporation.</w:t>
      </w:r>
    </w:p>
    <w:p>
      <w:pPr>
        <w:spacing w:after="0" w:line="95" w:lineRule="exact"/>
        <w:rPr>
          <w:sz w:val="20"/>
          <w:szCs w:val="20"/>
          <w:color w:val="auto"/>
        </w:rPr>
      </w:pPr>
    </w:p>
    <w:p>
      <w:pPr>
        <w:ind w:left="700" w:right="60" w:firstLine="397"/>
        <w:spacing w:after="0" w:line="252" w:lineRule="auto"/>
        <w:rPr>
          <w:sz w:val="20"/>
          <w:szCs w:val="20"/>
          <w:color w:val="auto"/>
        </w:rPr>
      </w:pPr>
      <w:r>
        <w:rPr>
          <w:rFonts w:ascii="Times New Roman" w:cs="Times New Roman" w:eastAsia="Times New Roman" w:hAnsi="Times New Roman"/>
          <w:sz w:val="18"/>
          <w:szCs w:val="18"/>
          <w:color w:val="auto"/>
        </w:rPr>
        <w:t>The bylaws of Jetter Disposal,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0" w:lineRule="exact"/>
        <w:rPr>
          <w:sz w:val="20"/>
          <w:szCs w:val="20"/>
          <w:color w:val="auto"/>
        </w:rPr>
      </w:pPr>
    </w:p>
    <w:p>
      <w:pPr>
        <w:ind w:left="700" w:right="40" w:firstLine="397"/>
        <w:spacing w:after="0" w:line="253" w:lineRule="auto"/>
        <w:rPr>
          <w:sz w:val="20"/>
          <w:szCs w:val="20"/>
          <w:color w:val="auto"/>
        </w:rPr>
      </w:pPr>
      <w:r>
        <w:rPr>
          <w:rFonts w:ascii="Times New Roman" w:cs="Times New Roman" w:eastAsia="Times New Roman" w:hAnsi="Times New Roman"/>
          <w:sz w:val="18"/>
          <w:szCs w:val="18"/>
          <w:color w:val="auto"/>
        </w:rPr>
        <w:t>The bylaws of Jetter Disposal,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3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(b) Allied Waste Transfer Services of Iowa, LLC is organized as a limited liability company under the laws of Iowa.</w:t>
      </w:r>
    </w:p>
    <w:p>
      <w:pPr>
        <w:spacing w:after="0" w:line="135" w:lineRule="exact"/>
        <w:rPr>
          <w:sz w:val="20"/>
          <w:szCs w:val="20"/>
          <w:color w:val="auto"/>
        </w:rPr>
      </w:pPr>
    </w:p>
    <w:p>
      <w:pPr>
        <w:ind w:left="700" w:right="340" w:firstLine="397"/>
        <w:spacing w:after="0" w:line="282" w:lineRule="auto"/>
        <w:rPr>
          <w:sz w:val="20"/>
          <w:szCs w:val="20"/>
          <w:color w:val="auto"/>
        </w:rPr>
      </w:pPr>
      <w:r>
        <w:rPr>
          <w:rFonts w:ascii="Times New Roman" w:cs="Times New Roman" w:eastAsia="Times New Roman" w:hAnsi="Times New Roman"/>
          <w:sz w:val="18"/>
          <w:szCs w:val="18"/>
          <w:color w:val="auto"/>
        </w:rPr>
        <w:t>Section 490A.202(17) of the Iowa Limited Liability Company Act permits a limited liability company to indemnify a member, manager or other person, as provided in an operating agreement.</w:t>
      </w:r>
    </w:p>
    <w:p>
      <w:pPr>
        <w:spacing w:after="0" w:line="67"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Section 490A.706(4) of the Iowa Limited Liability Company Act provides that a manager shall not be liable for any action taken as a manager or any failure to take any action if the manager performed the duties of the manager’s office in good faith, with the care an ordinary prudent person in a like position would exercise under similar circumstances, and in a manner the manager believes to be in the best interests of the limited liability company.</w:t>
      </w:r>
    </w:p>
    <w:p>
      <w:pPr>
        <w:spacing w:after="0" w:line="86"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Allied Waste Transfer Services of Iowa, LLC provides that the company shall defend, indemnify and save harmless the sole member, its officers and directors, and the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9" w:lineRule="exact"/>
        <w:rPr>
          <w:sz w:val="20"/>
          <w:szCs w:val="20"/>
          <w:color w:val="auto"/>
        </w:rPr>
      </w:pPr>
    </w:p>
    <w:p>
      <w:pPr>
        <w:ind w:left="700" w:right="360" w:firstLine="397"/>
        <w:spacing w:after="0" w:line="286" w:lineRule="auto"/>
        <w:rPr>
          <w:sz w:val="20"/>
          <w:szCs w:val="20"/>
          <w:color w:val="auto"/>
        </w:rPr>
      </w:pPr>
      <w:r>
        <w:rPr>
          <w:rFonts w:ascii="Times New Roman" w:cs="Times New Roman" w:eastAsia="Times New Roman" w:hAnsi="Times New Roman"/>
          <w:sz w:val="18"/>
          <w:szCs w:val="18"/>
          <w:b w:val="1"/>
          <w:bCs w:val="1"/>
          <w:color w:val="auto"/>
        </w:rPr>
        <w:t>Kansas Registrants: American Disposal Services of Kansas, Inc., Resource Recovery, Inc. and Sunset Disposal, Inc. are incorporated under the laws of Kansas.</w:t>
      </w:r>
    </w:p>
    <w:p>
      <w:pPr>
        <w:spacing w:after="0" w:line="64" w:lineRule="exact"/>
        <w:rPr>
          <w:sz w:val="20"/>
          <w:szCs w:val="20"/>
          <w:color w:val="auto"/>
        </w:rPr>
      </w:pPr>
    </w:p>
    <w:p>
      <w:pPr>
        <w:ind w:left="700" w:right="240" w:firstLine="397"/>
        <w:spacing w:after="0" w:line="266" w:lineRule="auto"/>
        <w:rPr>
          <w:sz w:val="20"/>
          <w:szCs w:val="20"/>
          <w:color w:val="auto"/>
        </w:rPr>
      </w:pPr>
      <w:r>
        <w:rPr>
          <w:rFonts w:ascii="Times New Roman" w:cs="Times New Roman" w:eastAsia="Times New Roman" w:hAnsi="Times New Roman"/>
          <w:sz w:val="18"/>
          <w:szCs w:val="18"/>
          <w:color w:val="auto"/>
        </w:rPr>
        <w:t>Section 17-6305 of the General Corporation Code of Kansas authorizes a court to award, or a corporation’s board of directors to grant, indemnity to an officer, director, employee or agent of the corporation under certain circumstances and subject to certain limitations.</w:t>
      </w:r>
    </w:p>
    <w:p>
      <w:pPr>
        <w:spacing w:after="0" w:line="82"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the Kansas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0"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The bylaws of each of the Kansas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w:t>
      </w:r>
    </w:p>
    <w:p>
      <w:pPr>
        <w:spacing w:after="0" w:line="3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5" w:lineRule="auto"/>
        <w:rPr>
          <w:sz w:val="20"/>
          <w:szCs w:val="20"/>
          <w:color w:val="auto"/>
        </w:rPr>
      </w:pPr>
      <w:r>
        <w:rPr>
          <w:rFonts w:ascii="Times New Roman" w:cs="Times New Roman" w:eastAsia="Times New Roman" w:hAnsi="Times New Roman"/>
          <w:sz w:val="18"/>
          <w:szCs w:val="18"/>
          <w:color w:val="auto"/>
        </w:rPr>
        <w:t>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Kentucky Registrants:</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(a) Republic Services of Kentucky, LLC is organized as a limited liability company under the laws of Kentucky.</w:t>
      </w:r>
    </w:p>
    <w:p>
      <w:pPr>
        <w:spacing w:after="0" w:line="135" w:lineRule="exact"/>
        <w:rPr>
          <w:sz w:val="20"/>
          <w:szCs w:val="20"/>
          <w:color w:val="auto"/>
        </w:rPr>
      </w:pPr>
    </w:p>
    <w:p>
      <w:pPr>
        <w:ind w:left="700" w:right="320" w:firstLine="397"/>
        <w:spacing w:after="0" w:line="282" w:lineRule="auto"/>
        <w:rPr>
          <w:sz w:val="20"/>
          <w:szCs w:val="20"/>
          <w:color w:val="auto"/>
        </w:rPr>
      </w:pPr>
      <w:r>
        <w:rPr>
          <w:rFonts w:ascii="Times New Roman" w:cs="Times New Roman" w:eastAsia="Times New Roman" w:hAnsi="Times New Roman"/>
          <w:sz w:val="18"/>
          <w:szCs w:val="18"/>
          <w:color w:val="auto"/>
        </w:rPr>
        <w:t>Section 275.180 of the Kentucky Limited Liability Company Act permits a limited liability company to indemnify a member or manager of the company under certain circumstances and subject to certain limitations.</w:t>
      </w:r>
    </w:p>
    <w:p>
      <w:pPr>
        <w:spacing w:after="0" w:line="67" w:lineRule="exact"/>
        <w:rPr>
          <w:sz w:val="20"/>
          <w:szCs w:val="20"/>
          <w:color w:val="auto"/>
        </w:rPr>
      </w:pPr>
    </w:p>
    <w:p>
      <w:pPr>
        <w:ind w:left="700" w:right="80" w:firstLine="397"/>
        <w:spacing w:after="0" w:line="261" w:lineRule="auto"/>
        <w:rPr>
          <w:sz w:val="20"/>
          <w:szCs w:val="20"/>
          <w:color w:val="auto"/>
        </w:rPr>
      </w:pPr>
      <w:r>
        <w:rPr>
          <w:rFonts w:ascii="Times New Roman" w:cs="Times New Roman" w:eastAsia="Times New Roman" w:hAnsi="Times New Roman"/>
          <w:sz w:val="18"/>
          <w:szCs w:val="18"/>
          <w:color w:val="auto"/>
        </w:rPr>
        <w:t>Section 274.170(1) of the Kentucky Limited Liability Company Act provides that, unless otherwise provided in a written operating agreement, a member or manager shall not be liable, responsible or accountable in damages or otherwise to a limited liability company for any action taken or failure to act on behalf of the limited liability company unless the act or omission constitutes wanton or reckless misconduct.</w:t>
      </w:r>
    </w:p>
    <w:p>
      <w:pPr>
        <w:spacing w:after="0" w:line="86" w:lineRule="exact"/>
        <w:rPr>
          <w:sz w:val="20"/>
          <w:szCs w:val="20"/>
          <w:color w:val="auto"/>
        </w:rPr>
      </w:pPr>
    </w:p>
    <w:p>
      <w:pPr>
        <w:ind w:left="70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certificate of formation or operating agreement of Republic Services of Kentucky, LLC.</w:t>
      </w:r>
    </w:p>
    <w:p>
      <w:pPr>
        <w:spacing w:after="0" w:line="63" w:lineRule="exact"/>
        <w:rPr>
          <w:sz w:val="20"/>
          <w:szCs w:val="20"/>
          <w:color w:val="auto"/>
        </w:rPr>
      </w:pPr>
    </w:p>
    <w:p>
      <w:pPr>
        <w:ind w:left="700" w:right="240" w:firstLine="390"/>
        <w:spacing w:after="0" w:line="317" w:lineRule="auto"/>
        <w:tabs>
          <w:tab w:leader="none" w:pos="1362"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Benson Valley Landfill General Partnership, Blue Ridge Landfill General Partnership, Green Valley Landfill General Partnership and Morehead Landfill General Partnership are organized as general partnerships under the laws of Kentucky.</w:t>
      </w:r>
    </w:p>
    <w:p>
      <w:pPr>
        <w:spacing w:after="0" w:line="41" w:lineRule="exact"/>
        <w:rPr>
          <w:sz w:val="20"/>
          <w:szCs w:val="20"/>
          <w:color w:val="auto"/>
        </w:rPr>
      </w:pPr>
    </w:p>
    <w:p>
      <w:pPr>
        <w:ind w:left="700" w:right="400" w:firstLine="397"/>
        <w:spacing w:after="0" w:line="282" w:lineRule="auto"/>
        <w:rPr>
          <w:sz w:val="20"/>
          <w:szCs w:val="20"/>
          <w:color w:val="auto"/>
        </w:rPr>
      </w:pPr>
      <w:r>
        <w:rPr>
          <w:rFonts w:ascii="Times New Roman" w:cs="Times New Roman" w:eastAsia="Times New Roman" w:hAnsi="Times New Roman"/>
          <w:sz w:val="18"/>
          <w:szCs w:val="18"/>
          <w:color w:val="auto"/>
        </w:rPr>
        <w:t>Section 362.235 of the Kentucky Uniform Partnership Act authorizes a general partnership to indemnify partners under certain circumstances and subject to certain limitations.</w:t>
      </w:r>
    </w:p>
    <w:p>
      <w:pPr>
        <w:spacing w:after="0" w:line="67" w:lineRule="exact"/>
        <w:rPr>
          <w:sz w:val="20"/>
          <w:szCs w:val="20"/>
          <w:color w:val="auto"/>
        </w:rPr>
      </w:pPr>
    </w:p>
    <w:p>
      <w:pPr>
        <w:ind w:left="700" w:right="40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partnership agreement of any of the Kentucky general partnership registrants.</w:t>
      </w:r>
    </w:p>
    <w:p>
      <w:pPr>
        <w:spacing w:after="0" w:line="63" w:lineRule="exact"/>
        <w:rPr>
          <w:sz w:val="20"/>
          <w:szCs w:val="20"/>
          <w:color w:val="auto"/>
        </w:rPr>
      </w:pPr>
    </w:p>
    <w:p>
      <w:pPr>
        <w:ind w:left="700" w:right="180" w:firstLine="397"/>
        <w:spacing w:after="0" w:line="268" w:lineRule="auto"/>
        <w:rPr>
          <w:sz w:val="20"/>
          <w:szCs w:val="20"/>
          <w:color w:val="auto"/>
        </w:rPr>
      </w:pPr>
      <w:r>
        <w:rPr>
          <w:rFonts w:ascii="Times New Roman" w:cs="Times New Roman" w:eastAsia="Times New Roman" w:hAnsi="Times New Roman"/>
          <w:sz w:val="18"/>
          <w:szCs w:val="18"/>
          <w:b w:val="1"/>
          <w:bCs w:val="1"/>
          <w:color w:val="auto"/>
        </w:rPr>
        <w:t>Louisiana Registrants: Crescent Acres Landfill, LLC, Frontier Waste Services of Louisiana L.L.C., Jefferson Parish Development Company, LLC and St. Bernard Parish Development Company, LLC are organized as limited liability companies under the laws of Louisiana.</w:t>
      </w:r>
    </w:p>
    <w:p>
      <w:pPr>
        <w:spacing w:after="0" w:line="80" w:lineRule="exact"/>
        <w:rPr>
          <w:sz w:val="20"/>
          <w:szCs w:val="20"/>
          <w:color w:val="auto"/>
        </w:rPr>
      </w:pPr>
    </w:p>
    <w:p>
      <w:pPr>
        <w:jc w:val="both"/>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Section 12:1315(2) of the Louisiana Limited Liability Company Act permits a limited liability company to indemnify a member or manager of the company under certain circumstances and subject to certain limitations.</w:t>
      </w:r>
    </w:p>
    <w:p>
      <w:pPr>
        <w:spacing w:after="0" w:line="67" w:lineRule="exact"/>
        <w:rPr>
          <w:sz w:val="20"/>
          <w:szCs w:val="20"/>
          <w:color w:val="auto"/>
        </w:rPr>
      </w:pPr>
    </w:p>
    <w:p>
      <w:pPr>
        <w:jc w:val="both"/>
        <w:ind w:left="700" w:right="80" w:firstLine="397"/>
        <w:spacing w:after="0" w:line="261" w:lineRule="auto"/>
        <w:rPr>
          <w:sz w:val="20"/>
          <w:szCs w:val="20"/>
          <w:color w:val="auto"/>
        </w:rPr>
      </w:pPr>
      <w:r>
        <w:rPr>
          <w:rFonts w:ascii="Times New Roman" w:cs="Times New Roman" w:eastAsia="Times New Roman" w:hAnsi="Times New Roman"/>
          <w:sz w:val="18"/>
          <w:szCs w:val="18"/>
          <w:color w:val="auto"/>
        </w:rPr>
        <w:t>Section 12:1314 of the Louisiana Limited Liability Company Act provides that a manager or managing member shall not be liable for any action taken on behalf of the limited liability company or any failure to take any action if he or she performed the duties of his or her office in good faith, with the diligence, care, judgment, and skill which an ordinary prudent person in a like position would exercise under similar circumstances.</w:t>
      </w:r>
    </w:p>
    <w:p>
      <w:pPr>
        <w:spacing w:after="0" w:line="86" w:lineRule="exact"/>
        <w:rPr>
          <w:sz w:val="20"/>
          <w:szCs w:val="20"/>
          <w:color w:val="auto"/>
        </w:rPr>
      </w:pPr>
    </w:p>
    <w:p>
      <w:pPr>
        <w:ind w:left="700" w:right="18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Frontier Waste Services of Louisiana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93" w:lineRule="exact"/>
        <w:rPr>
          <w:sz w:val="20"/>
          <w:szCs w:val="20"/>
          <w:color w:val="auto"/>
        </w:rPr>
      </w:pPr>
    </w:p>
    <w:p>
      <w:pPr>
        <w:ind w:left="700" w:right="180" w:firstLine="397"/>
        <w:spacing w:after="0" w:line="266" w:lineRule="auto"/>
        <w:rPr>
          <w:sz w:val="20"/>
          <w:szCs w:val="20"/>
          <w:color w:val="auto"/>
        </w:rPr>
      </w:pPr>
      <w:r>
        <w:rPr>
          <w:rFonts w:ascii="Times New Roman" w:cs="Times New Roman" w:eastAsia="Times New Roman" w:hAnsi="Times New Roman"/>
          <w:sz w:val="18"/>
          <w:szCs w:val="18"/>
          <w:color w:val="auto"/>
        </w:rPr>
        <w:t>The operating agreement of each of Crescent Acres Landfill, LLC, Jefferson Parish Development Company, LLC and St. Bernard Parish Development, LLC provides for identical indemnification as described in the preceding paragraph, except that such indemnification is also provided to the directors of the sole member of the company.</w:t>
      </w:r>
    </w:p>
    <w:p>
      <w:pPr>
        <w:spacing w:after="0" w:line="3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Maryland Registrants:</w:t>
      </w:r>
    </w:p>
    <w:p>
      <w:pPr>
        <w:spacing w:after="0" w:line="131" w:lineRule="exact"/>
        <w:rPr>
          <w:sz w:val="20"/>
          <w:szCs w:val="20"/>
          <w:color w:val="auto"/>
        </w:rPr>
      </w:pPr>
    </w:p>
    <w:p>
      <w:pPr>
        <w:ind w:left="700" w:right="940" w:firstLine="390"/>
        <w:spacing w:after="0" w:line="286" w:lineRule="auto"/>
        <w:tabs>
          <w:tab w:leader="none" w:pos="1352"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Browning-Ferris, Inc., Calvert Trash Systems, Incorporated and Honeygo Run Reclamation Center, Inc. are incorporated under the laws of Maryland.</w:t>
      </w:r>
    </w:p>
    <w:p>
      <w:pPr>
        <w:spacing w:after="0" w:line="64" w:lineRule="exact"/>
        <w:rPr>
          <w:sz w:val="20"/>
          <w:szCs w:val="20"/>
          <w:color w:val="auto"/>
        </w:rPr>
      </w:pPr>
    </w:p>
    <w:p>
      <w:pPr>
        <w:ind w:left="700" w:right="60" w:firstLine="397"/>
        <w:spacing w:after="0" w:line="313" w:lineRule="auto"/>
        <w:rPr>
          <w:sz w:val="20"/>
          <w:szCs w:val="20"/>
          <w:color w:val="auto"/>
        </w:rPr>
      </w:pPr>
      <w:r>
        <w:rPr>
          <w:rFonts w:ascii="Times New Roman" w:cs="Times New Roman" w:eastAsia="Times New Roman" w:hAnsi="Times New Roman"/>
          <w:sz w:val="17"/>
          <w:szCs w:val="17"/>
          <w:color w:val="auto"/>
        </w:rPr>
        <w:t>Section 2-418 of the Maryland General Corporation Law authorizes a court to award, or a corporation’s board of directors to grant, indemnity to an officer, director, employee or agent of the corporation under certain circumstances and subject to certain limitations.</w:t>
      </w:r>
    </w:p>
    <w:p>
      <w:pPr>
        <w:spacing w:after="0" w:line="44" w:lineRule="exact"/>
        <w:rPr>
          <w:sz w:val="20"/>
          <w:szCs w:val="20"/>
          <w:color w:val="auto"/>
        </w:rPr>
      </w:pPr>
    </w:p>
    <w:p>
      <w:pPr>
        <w:ind w:left="700" w:right="40" w:firstLine="397"/>
        <w:spacing w:after="0" w:line="261" w:lineRule="auto"/>
        <w:rPr>
          <w:sz w:val="20"/>
          <w:szCs w:val="20"/>
          <w:color w:val="auto"/>
        </w:rPr>
      </w:pPr>
      <w:r>
        <w:rPr>
          <w:rFonts w:ascii="Times New Roman" w:cs="Times New Roman" w:eastAsia="Times New Roman" w:hAnsi="Times New Roman"/>
          <w:sz w:val="18"/>
          <w:szCs w:val="18"/>
          <w:color w:val="auto"/>
        </w:rPr>
        <w:t>Section 2-405.1 of the Maryland General Corporation Law and Section 5-417 of the Maryland Courts and Judicial Proceedings Article provide that a director shall have no liability by reason of being or having been a director of a corporation if such director performs his or her duties (i) in good faith, (ii) in a manner he or she reasonably believes to be in the best interests of the corporation and (iii) with the care that an ordinarily prudent person in a like position would use under similar circumstances.</w:t>
      </w:r>
    </w:p>
    <w:p>
      <w:pPr>
        <w:spacing w:after="0" w:line="86"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the Maryland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0"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The bylaws of each of the Maryland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90" w:lineRule="exact"/>
        <w:rPr>
          <w:sz w:val="20"/>
          <w:szCs w:val="20"/>
          <w:color w:val="auto"/>
        </w:rPr>
      </w:pPr>
    </w:p>
    <w:p>
      <w:pPr>
        <w:ind w:left="1360" w:hanging="270"/>
        <w:spacing w:after="0"/>
        <w:tabs>
          <w:tab w:leader="none" w:pos="13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Prince George’s County Landfill, LLC is organized as a limited liability company under the laws of Maryland.</w:t>
      </w:r>
    </w:p>
    <w:p>
      <w:pPr>
        <w:spacing w:after="0" w:line="200" w:lineRule="exact"/>
        <w:rPr>
          <w:rFonts w:ascii="Times New Roman" w:cs="Times New Roman" w:eastAsia="Times New Roman" w:hAnsi="Times New Roman"/>
          <w:sz w:val="18"/>
          <w:szCs w:val="18"/>
          <w:b w:val="1"/>
          <w:bCs w:val="1"/>
          <w:color w:val="auto"/>
        </w:rPr>
      </w:pPr>
    </w:p>
    <w:p>
      <w:pPr>
        <w:spacing w:after="0" w:line="218" w:lineRule="exact"/>
        <w:rPr>
          <w:rFonts w:ascii="Times New Roman" w:cs="Times New Roman" w:eastAsia="Times New Roman" w:hAnsi="Times New Roman"/>
          <w:sz w:val="18"/>
          <w:szCs w:val="18"/>
          <w:b w:val="1"/>
          <w:bCs w:val="1"/>
          <w:color w:val="auto"/>
        </w:rPr>
      </w:pPr>
    </w:p>
    <w:p>
      <w:pPr>
        <w:ind w:left="5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right="80" w:firstLine="397"/>
        <w:spacing w:after="0" w:line="282" w:lineRule="auto"/>
        <w:rPr>
          <w:sz w:val="20"/>
          <w:szCs w:val="20"/>
          <w:color w:val="auto"/>
        </w:rPr>
      </w:pPr>
      <w:r>
        <w:rPr>
          <w:rFonts w:ascii="Times New Roman" w:cs="Times New Roman" w:eastAsia="Times New Roman" w:hAnsi="Times New Roman"/>
          <w:sz w:val="18"/>
          <w:szCs w:val="18"/>
          <w:color w:val="auto"/>
        </w:rPr>
        <w:t>Section 4A-203 of the Maryland Limited Liability Company Act permits a limited liability company to indemnify a member, agent or employee of the company under certain circumstances and subject to certain limitations.</w:t>
      </w:r>
    </w:p>
    <w:p>
      <w:pPr>
        <w:spacing w:after="0" w:line="67"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Prince George’s County Landfill,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Massachusetts Registrants:</w:t>
      </w:r>
    </w:p>
    <w:p>
      <w:pPr>
        <w:spacing w:after="0" w:line="131" w:lineRule="exact"/>
        <w:rPr>
          <w:sz w:val="20"/>
          <w:szCs w:val="20"/>
          <w:color w:val="auto"/>
        </w:rPr>
      </w:pPr>
    </w:p>
    <w:p>
      <w:pPr>
        <w:ind w:left="700" w:right="160" w:firstLine="390"/>
        <w:spacing w:after="0" w:line="286" w:lineRule="auto"/>
        <w:tabs>
          <w:tab w:leader="none" w:pos="1342"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Acquisition Two, Inc., Atlantic Waste Holding Company, Inc., Browning-Ferris Industries, Inc., F. P. McNamara Rubbish Removal, Inc. and Vining Disposal Service, Inc. are incorporated under the laws of Massachusetts.</w:t>
      </w:r>
    </w:p>
    <w:p>
      <w:pPr>
        <w:spacing w:after="0" w:line="6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Sections 8.50 et seq. of the Massachusetts Business Corporation Act authorize a court to award, or a corporation’s board of</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directors to grant, indemnity to officers and directors of the corporation under certain circumstances and subject to certain limitations.</w:t>
      </w:r>
    </w:p>
    <w:p>
      <w:pPr>
        <w:spacing w:after="0" w:line="112"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Section 8.30 of the Massachusetts Business Corporation Act provides that a director shall not be liable for any action taken as a director, or any failure to take any action, if such director performed the duties of the office (i) in good faith, (ii) with the care that a person in a like position would reasonably believe appropriate under similar circumstances and (iii) in a manner such director reasonably believes to be in the best interests of the corporation. Section 8.42 of the Massachusetts Business Corporation Act provides that an officer shall not be liable to the corporation or its shareholders for any decision to take or not to take any action taken, or any failure to take any action as an officer if the duties of the officer are performed (i) in good faith, (ii) with the care that a person in a like position would reasonable exercise under similar circumstances and (iii) in a manner the officer reasonably believes to be in the best interests of the corporation.</w:t>
      </w:r>
    </w:p>
    <w:p>
      <w:pPr>
        <w:spacing w:after="0" w:line="91"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Allied Acquisition Two, Inc., Atlantic Waste Holding Company, Inc., Browning-Ferris Industries, Inc. and F. P. McNamara Rubbish Removal,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9" w:lineRule="exact"/>
        <w:rPr>
          <w:sz w:val="20"/>
          <w:szCs w:val="20"/>
          <w:color w:val="auto"/>
        </w:rPr>
      </w:pPr>
    </w:p>
    <w:p>
      <w:pPr>
        <w:ind w:left="700" w:right="60" w:firstLine="397"/>
        <w:spacing w:after="0" w:line="282" w:lineRule="auto"/>
        <w:rPr>
          <w:sz w:val="20"/>
          <w:szCs w:val="20"/>
          <w:color w:val="auto"/>
        </w:rPr>
      </w:pPr>
      <w:r>
        <w:rPr>
          <w:rFonts w:ascii="Times New Roman" w:cs="Times New Roman" w:eastAsia="Times New Roman" w:hAnsi="Times New Roman"/>
          <w:sz w:val="18"/>
          <w:szCs w:val="18"/>
          <w:color w:val="auto"/>
        </w:rPr>
        <w:t>The bylaws of each of Allied Acquisition Two, Inc., Atlantic Waste Holding Company, Inc., Browning-Ferris Industries, Inc. and F. P. McNamara Rubbish Removal, Inc. also provide that any indemnification (unless ordered by</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3" w:lineRule="auto"/>
        <w:rPr>
          <w:sz w:val="20"/>
          <w:szCs w:val="20"/>
          <w:color w:val="auto"/>
        </w:rPr>
      </w:pPr>
      <w:r>
        <w:rPr>
          <w:rFonts w:ascii="Times New Roman" w:cs="Times New Roman" w:eastAsia="Times New Roman" w:hAnsi="Times New Roman"/>
          <w:sz w:val="18"/>
          <w:szCs w:val="18"/>
          <w:color w:val="auto"/>
        </w:rPr>
        <w:t>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96" w:lineRule="exact"/>
        <w:rPr>
          <w:sz w:val="20"/>
          <w:szCs w:val="20"/>
          <w:color w:val="auto"/>
        </w:rPr>
      </w:pPr>
    </w:p>
    <w:p>
      <w:pPr>
        <w:ind w:left="700" w:right="100" w:firstLine="397"/>
        <w:spacing w:after="0" w:line="254" w:lineRule="auto"/>
        <w:rPr>
          <w:sz w:val="20"/>
          <w:szCs w:val="20"/>
          <w:color w:val="auto"/>
        </w:rPr>
      </w:pPr>
      <w:r>
        <w:rPr>
          <w:rFonts w:ascii="Times New Roman" w:cs="Times New Roman" w:eastAsia="Times New Roman" w:hAnsi="Times New Roman"/>
          <w:sz w:val="18"/>
          <w:szCs w:val="18"/>
          <w:color w:val="auto"/>
        </w:rPr>
        <w:t>The bylaws of Vining Disposal Service, Inc. provide that the corporation shall indemnify and hold harmless each person, now or hereafter an officer or director of the corporation, from and against any and all claims and liabilities to which such person may be or become subject by reason of such person being or having been an officer or a director of the corporation or by reason of such person’s alleged acts or omissions as an officer or director of the corporation. The corporation shall indemnify and reimburse each such officer and director against and for any and all legal and other expenses reasonably incurred by such person in connection with any such claims and liabilities, except with respect to any matters to which such officer or director shall have been adjudicated in any proceeding not to have acted in good faith in the reasonable belief that his action was in the best interest of the corporation. The corporation shall similarly indemnify and hold harmless persons who serve at the corporation’s request as directors or officers of another organization in which the corporation owns shares or of which it is a creditor.</w:t>
      </w:r>
    </w:p>
    <w:p>
      <w:pPr>
        <w:spacing w:after="0" w:line="91" w:lineRule="exact"/>
        <w:rPr>
          <w:sz w:val="20"/>
          <w:szCs w:val="20"/>
          <w:color w:val="auto"/>
        </w:rPr>
      </w:pPr>
    </w:p>
    <w:p>
      <w:pPr>
        <w:ind w:left="700" w:right="180" w:firstLine="390"/>
        <w:spacing w:after="0" w:line="286" w:lineRule="auto"/>
        <w:tabs>
          <w:tab w:leader="none" w:pos="1352"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Services of Massachusetts, LLC, BFI Transfer Systems of Massachusetts, LLC and BFI Waste Systems of Massachusetts, LLC are organized as limited liability companies under the laws of Massachusetts.</w:t>
      </w:r>
    </w:p>
    <w:p>
      <w:pPr>
        <w:spacing w:after="0" w:line="64" w:lineRule="exact"/>
        <w:rPr>
          <w:sz w:val="20"/>
          <w:szCs w:val="20"/>
          <w:color w:val="auto"/>
        </w:rPr>
      </w:pPr>
    </w:p>
    <w:p>
      <w:pPr>
        <w:ind w:left="700" w:right="640" w:firstLine="397"/>
        <w:spacing w:after="0" w:line="282" w:lineRule="auto"/>
        <w:rPr>
          <w:sz w:val="20"/>
          <w:szCs w:val="20"/>
          <w:color w:val="auto"/>
        </w:rPr>
      </w:pPr>
      <w:r>
        <w:rPr>
          <w:rFonts w:ascii="Times New Roman" w:cs="Times New Roman" w:eastAsia="Times New Roman" w:hAnsi="Times New Roman"/>
          <w:sz w:val="18"/>
          <w:szCs w:val="18"/>
          <w:color w:val="auto"/>
        </w:rPr>
        <w:t>Section 8 of the Massachusetts Limited Liability Company Act permits a limited liability company to indemnify a member, manager or any other person under certain circumstances and subject to certain limitations.</w:t>
      </w:r>
    </w:p>
    <w:p>
      <w:pPr>
        <w:spacing w:after="0" w:line="67"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the Massachusetts limited liability company registrants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Michigan Registrants:</w:t>
      </w:r>
    </w:p>
    <w:p>
      <w:pPr>
        <w:spacing w:after="0" w:line="131" w:lineRule="exact"/>
        <w:rPr>
          <w:sz w:val="20"/>
          <w:szCs w:val="20"/>
          <w:color w:val="auto"/>
        </w:rPr>
      </w:pPr>
    </w:p>
    <w:p>
      <w:pPr>
        <w:ind w:left="700" w:firstLine="390"/>
        <w:spacing w:after="0" w:line="259" w:lineRule="auto"/>
        <w:tabs>
          <w:tab w:leader="none" w:pos="134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Adrian Landfill, Inc., Central Sanitary Landfill, Inc., Citizens Disposal, Inc., City-Star Services, Inc., Clarkston Disposal, Inc., Dinverno, Inc., Eagle Industries Leasing, Inc., FLL, Inc., G. Van Dyken Disposal Inc., Harland’s Sanitary Landfill, Inc., Oakland Heights Development, Inc., Reliable Disposal, Inc., Royal Holdings, Inc., Sanitary Disposal Service, Inc., Sauk Trail Development, Inc., Standard Disposal Services, Inc., Standard Environmental Services, Inc., Tay-Ban Corporation and Tri-County Refuse Service, Inc. are incorporated under the laws of Michigan.</w:t>
      </w:r>
    </w:p>
    <w:p>
      <w:pPr>
        <w:spacing w:after="0" w:line="89" w:lineRule="exact"/>
        <w:rPr>
          <w:sz w:val="20"/>
          <w:szCs w:val="20"/>
          <w:color w:val="auto"/>
        </w:rPr>
      </w:pPr>
    </w:p>
    <w:p>
      <w:pPr>
        <w:ind w:left="700" w:right="460" w:firstLine="397"/>
        <w:spacing w:after="0" w:line="266" w:lineRule="auto"/>
        <w:rPr>
          <w:sz w:val="20"/>
          <w:szCs w:val="20"/>
          <w:color w:val="auto"/>
        </w:rPr>
      </w:pPr>
      <w:r>
        <w:rPr>
          <w:rFonts w:ascii="Times New Roman" w:cs="Times New Roman" w:eastAsia="Times New Roman" w:hAnsi="Times New Roman"/>
          <w:sz w:val="18"/>
          <w:szCs w:val="18"/>
          <w:color w:val="auto"/>
        </w:rPr>
        <w:t>Sections 450.1651 et seq. of the Michigan Business Corporation Act authorizes a court to award, or a corporation’s board of directors to grant, indemnity to an officer, director, employee or agent of the corporation under certain circumstances and subject to certain limitations.</w:t>
      </w:r>
    </w:p>
    <w:p>
      <w:pPr>
        <w:spacing w:after="0" w:line="3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Section 450.1209 of the Michigan Business Corporation Act permits a corporation to provide in its articles of incorporation that a director of the corporation shall not be personally liable to the corporation or its shareholders for monetary damages for any action taken or any failure to take any action as a director under certain circumstances and subject to certain limitations.</w:t>
      </w:r>
    </w:p>
    <w:p>
      <w:pPr>
        <w:spacing w:after="0" w:line="82"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The articles of incorporation of Central Sanitary Landfill, Inc. provide that the corporation shall indemnify any director of the corporation who was or is a party or is threatened to be made a party to any threatened, pending or completed action, suit or proceeding by reason of the fact that he or she is or was a director, or is or was serving at the request of the corporation in another capacity, to the fullest extent permitted (in the absence of rights granted under the articles of incorporation, bylaws or contractual rights) by the Michigan Business Corporation Act.</w:t>
      </w:r>
    </w:p>
    <w:p>
      <w:pPr>
        <w:spacing w:after="0" w:line="89" w:lineRule="exact"/>
        <w:rPr>
          <w:sz w:val="20"/>
          <w:szCs w:val="20"/>
          <w:color w:val="auto"/>
        </w:rPr>
      </w:pPr>
    </w:p>
    <w:p>
      <w:pPr>
        <w:ind w:left="700" w:firstLine="397"/>
        <w:spacing w:after="0" w:line="277" w:lineRule="auto"/>
        <w:rPr>
          <w:sz w:val="20"/>
          <w:szCs w:val="20"/>
          <w:color w:val="auto"/>
        </w:rPr>
      </w:pPr>
      <w:r>
        <w:rPr>
          <w:rFonts w:ascii="Times New Roman" w:cs="Times New Roman" w:eastAsia="Times New Roman" w:hAnsi="Times New Roman"/>
          <w:sz w:val="17"/>
          <w:szCs w:val="17"/>
          <w:color w:val="auto"/>
        </w:rPr>
        <w:t>The articles of incorporation of Central Sanitary Landfill, Inc. also provide that a director of the corporation shall not be personally liable to the corporation or its shareholders for monetary damages for a breach of fiduciary duty as a director, except for liability arising from (i) a breach of the director’s duty of loyalty to the corporation or its shareholders, (ii) an act or omission not in good faith or that involves intentional misconduct or knowing violation of law, (iii) a violation of Section 551(1) of the Michigan Business Corporation Act relating to unlawful dividends, distributions or loans or (iv) a transaction from which such director derived an improper personal benefit.</w:t>
      </w:r>
    </w:p>
    <w:p>
      <w:pPr>
        <w:spacing w:after="0" w:line="74" w:lineRule="exact"/>
        <w:rPr>
          <w:sz w:val="20"/>
          <w:szCs w:val="20"/>
          <w:color w:val="auto"/>
        </w:rPr>
      </w:pPr>
    </w:p>
    <w:p>
      <w:pPr>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The articles of incorporation of each of Citizens Disposal, Inc. and Clarkston Disposal, Inc. provide that no director of the corporation shall be personally liable to the corporation or its shareholders for monetary damages for a breach of the director’s fiduciary duty.</w:t>
      </w:r>
    </w:p>
    <w:p>
      <w:pPr>
        <w:spacing w:after="0" w:line="82" w:lineRule="exact"/>
        <w:rPr>
          <w:sz w:val="20"/>
          <w:szCs w:val="20"/>
          <w:color w:val="auto"/>
        </w:rPr>
      </w:pPr>
    </w:p>
    <w:p>
      <w:pPr>
        <w:ind w:left="700" w:right="40" w:firstLine="397"/>
        <w:spacing w:after="0" w:line="274" w:lineRule="auto"/>
        <w:rPr>
          <w:sz w:val="20"/>
          <w:szCs w:val="20"/>
          <w:color w:val="auto"/>
        </w:rPr>
      </w:pPr>
      <w:r>
        <w:rPr>
          <w:rFonts w:ascii="Times New Roman" w:cs="Times New Roman" w:eastAsia="Times New Roman" w:hAnsi="Times New Roman"/>
          <w:sz w:val="17"/>
          <w:szCs w:val="17"/>
          <w:color w:val="auto"/>
        </w:rPr>
        <w:t>The articles of incorporation of Oakland Heights Development, Inc. provide that a director of the corporation shall not be personally liable to the corporation or its shareholders for monetary damages for a breach of fiduciary duty as a director, except for liability arising from (i) a breach of the director’s duty of loyalty to the corporation or its shareholders, (ii) an act or omission not in good faith or that involves intentional misconduct or knowing violation of law, (iii) a violation of Section 551(1) of the Michigan Business Corporation Act relating to unlawful dividends, distributions or loans, (iv) a transaction from which such director derived an improper personal benefit or (v) an act or omission occurring prior to the date that the articles of incorporation of the company became effective.</w:t>
      </w:r>
    </w:p>
    <w:p>
      <w:pPr>
        <w:spacing w:after="0" w:line="79"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Adrian Landfill, Inc., Central Sanitary Landfill, Inc., Citizens Disposal, Inc., City-Star Services, Inc., Clarkston Disposal, Inc., Dinverno, Inc., Eagle Industries Leasing, Inc., FLL, Inc., Harland’s Sanitary Landfill, Inc., Reliable Disposal, Inc., Sauk Trail Development, Inc., Standard Disposal Services, Inc., Standard Environmental Services, Inc., Tay-Ban Corporation and Tri-County Refuse Service,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7" w:lineRule="exact"/>
        <w:rPr>
          <w:sz w:val="20"/>
          <w:szCs w:val="20"/>
          <w:color w:val="auto"/>
        </w:rPr>
      </w:pPr>
    </w:p>
    <w:p>
      <w:pPr>
        <w:ind w:left="700" w:right="580" w:firstLine="397"/>
        <w:spacing w:after="0" w:line="282" w:lineRule="auto"/>
        <w:rPr>
          <w:sz w:val="20"/>
          <w:szCs w:val="20"/>
          <w:color w:val="auto"/>
        </w:rPr>
      </w:pPr>
      <w:r>
        <w:rPr>
          <w:rFonts w:ascii="Times New Roman" w:cs="Times New Roman" w:eastAsia="Times New Roman" w:hAnsi="Times New Roman"/>
          <w:sz w:val="18"/>
          <w:szCs w:val="18"/>
          <w:color w:val="auto"/>
        </w:rPr>
        <w:t>The bylaws of each of Adrian Landfill, Inc., Central Sanitary Landfill, Inc., Citizens Disposal, Inc., City-Star Services, Inc., Clarkston Disposal, Inc., Dinverno, Inc., Eagle Industries Leasing, Inc., FLL, Inc., Harland’s</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2" w:lineRule="auto"/>
        <w:rPr>
          <w:sz w:val="20"/>
          <w:szCs w:val="20"/>
          <w:color w:val="auto"/>
        </w:rPr>
      </w:pPr>
      <w:r>
        <w:rPr>
          <w:rFonts w:ascii="Times New Roman" w:cs="Times New Roman" w:eastAsia="Times New Roman" w:hAnsi="Times New Roman"/>
          <w:sz w:val="18"/>
          <w:szCs w:val="18"/>
          <w:color w:val="auto"/>
        </w:rPr>
        <w:t>Sanitary Landfill, Inc., Reliable Disposal, Inc., Sauk Trail Development, Inc., Standard Disposal Services, Inc., Standard Environmental Services, Inc., Tay-Ban Corporation and Tri-County Refuse Service,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104" w:lineRule="exact"/>
        <w:rPr>
          <w:sz w:val="20"/>
          <w:szCs w:val="20"/>
          <w:color w:val="auto"/>
        </w:rPr>
      </w:pPr>
    </w:p>
    <w:p>
      <w:pPr>
        <w:ind w:left="700" w:right="4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G. Van Dyken Disposal Inc. and Oakland Heights Development, Inc. provide that the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request of the corporation as a director, officer, partner, trustee, employee or agent of another entity or other enterprise against expenses (including attorney fees), judgments, penalties,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or its shareholders and, with respect to a criminal action or proceeding, the person had no reasonable cause to believe his or her conduct was unlawful. The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partner, trustee, employee or agent of another entity or other enterprise, whether for profit or not for profit, against expenses, including attorney fees and amounts paid in settlement actually and reasonably incurred by the person in connection with the action or suit, if the person acted in good faith and in a manner the person reasonably believed to be in or not opposed to the best interests of the corporation or its shareholders. Indemnification shall not be made for a claim, issue or matter in which the person shall have been found liable to the corporation except to the extent authorized by statute.</w:t>
      </w:r>
    </w:p>
    <w:p>
      <w:pPr>
        <w:spacing w:after="0" w:line="102"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G. Van Dyken Disposal Inc. and Oakland Heights Development, Inc. also provide that (unless compelled by a court) indemnification may be made by the corporation only as authorized in the specified case upon a determination that indemnification of the director, officer, employee or agent is proper in the circumstances because he or she has met the applicable standard of conduct set forth above. This determination shall be made by (i) a majority vote of a quorum of the board of directors consisting of the directors who are not parties or threatened to be made parties to the claim, (ii) if a quorum cannot be obtained, by majority vote of a committee duly designated by the board or (iii) by independent legal counsel in a written opinion, or (iv) by all independent directors who are not parties or threatened to be made parties to the claim or (v) by the shareholders, but shares held by directors, officers, employees or agents who are parties or threatened to be made parties to the claim may not be voted. The corporation may advance expenses incurred by a director, officer, employee or agent before final disposition of a proceeding in certain circumstances.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38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55" w:lineRule="auto"/>
        <w:rPr>
          <w:sz w:val="20"/>
          <w:szCs w:val="20"/>
          <w:color w:val="auto"/>
        </w:rPr>
      </w:pPr>
      <w:r>
        <w:rPr>
          <w:rFonts w:ascii="Times New Roman" w:cs="Times New Roman" w:eastAsia="Times New Roman" w:hAnsi="Times New Roman"/>
          <w:sz w:val="18"/>
          <w:szCs w:val="18"/>
          <w:color w:val="auto"/>
        </w:rPr>
        <w:t>The bylaws of Royal Holdings, Inc. provide that any person made a party to any action, suit or proceeding by reason of the fact that such person is or was a director, officer or employee of the corporation, or of any corporation in which such person served as such at the request of the corporation, shall be indemnified by the corporation against the reasonable expenses (including attorney’s fees) actually and necessarily incurred by such person in connection with the defense of such action, suit or proceedings or in connection with any appeal therein; provided that such indemnification shall not be available in relation to matters as to which it was adjudged in such action, suit or proceeding or in connection with any appeal therein, that such person is liable for negligence or misconduct in the performance of such person’s duties.</w:t>
      </w:r>
    </w:p>
    <w:p>
      <w:pPr>
        <w:spacing w:after="0" w:line="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There is no provision for indemnification or insurance in the articles of incorporation or bylaws of Sanitary Disposal Service, Inc.</w:t>
      </w:r>
    </w:p>
    <w:p>
      <w:pPr>
        <w:spacing w:after="0" w:line="127" w:lineRule="exact"/>
        <w:rPr>
          <w:sz w:val="20"/>
          <w:szCs w:val="20"/>
          <w:color w:val="auto"/>
        </w:rPr>
      </w:pPr>
    </w:p>
    <w:p>
      <w:pPr>
        <w:ind w:left="700" w:right="60" w:firstLine="390"/>
        <w:spacing w:after="0" w:line="262" w:lineRule="auto"/>
        <w:tabs>
          <w:tab w:leader="none" w:pos="135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Systems of Michigan, LLC, C &amp; C Expanded Sanitary Landfill, LLC, Republic Services of Michigan Hauling, LLC, Republic Services of Michigan I, LLC, Republic Services of Michigan II, LLC, Republic Services of Michigan III, LLC, Republic Services of Michigan IV, LLC and Republic Services of Michigan V, LLC are organized as limited liability companies under the laws of Michigan.</w:t>
      </w:r>
    </w:p>
    <w:p>
      <w:pPr>
        <w:spacing w:after="0" w:line="86" w:lineRule="exact"/>
        <w:rPr>
          <w:sz w:val="20"/>
          <w:szCs w:val="20"/>
          <w:color w:val="auto"/>
        </w:rPr>
      </w:pPr>
    </w:p>
    <w:p>
      <w:pPr>
        <w:ind w:left="700" w:firstLine="397"/>
        <w:spacing w:after="0" w:line="282" w:lineRule="auto"/>
        <w:rPr>
          <w:sz w:val="20"/>
          <w:szCs w:val="20"/>
          <w:color w:val="auto"/>
        </w:rPr>
      </w:pPr>
      <w:r>
        <w:rPr>
          <w:rFonts w:ascii="Times New Roman" w:cs="Times New Roman" w:eastAsia="Times New Roman" w:hAnsi="Times New Roman"/>
          <w:sz w:val="18"/>
          <w:szCs w:val="18"/>
          <w:color w:val="auto"/>
        </w:rPr>
        <w:t>Section 450.4408 of the Michigan Limited Liability Company Act permits a limited liability company to indemnify managers of the company under certain circumstances and subject to certain limitations.</w:t>
      </w:r>
    </w:p>
    <w:p>
      <w:pPr>
        <w:spacing w:after="0" w:line="67"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color w:val="auto"/>
        </w:rPr>
        <w:t>Section 450.4404 of the Michigan Limited Liability Company Act provides that a manager shall not be liable for an action taken as a manager or the failure to take an action if such manager performs the duties of his or her office in good faith, with the care an ordinarily prudent person in a like position would exercise under similar circumstances and in a manner he or she reasonably believes to be in the best interests of the limited liability company.</w:t>
      </w:r>
    </w:p>
    <w:p>
      <w:pPr>
        <w:spacing w:after="0" w:line="86"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Allied Waste Systems of Michigan, LLC and C &amp; C Expanded Sanitary Landfill,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93" w:lineRule="exact"/>
        <w:rPr>
          <w:sz w:val="20"/>
          <w:szCs w:val="20"/>
          <w:color w:val="auto"/>
        </w:rPr>
      </w:pPr>
    </w:p>
    <w:p>
      <w:pPr>
        <w:ind w:left="700" w:right="160" w:firstLine="397"/>
        <w:spacing w:after="0" w:line="266"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certificate of formation or the operating agreement of Republic Services of Michigan Hauling, LLC, Republic Services of Michigan I, LLC, Republic Services of Michigan II, LLC, Republic Services of Michigan III, LLC, Republic Services of Michigan IV, LLC or Republic Services of Michigan V, LLC.</w:t>
      </w:r>
    </w:p>
    <w:p>
      <w:pPr>
        <w:spacing w:after="0" w:line="7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Minnesota Registrant: Woodlake Sanitary Service, Inc. is incorporated under the laws of Minnesota.</w:t>
      </w:r>
    </w:p>
    <w:p>
      <w:pPr>
        <w:spacing w:after="0" w:line="135" w:lineRule="exact"/>
        <w:rPr>
          <w:sz w:val="20"/>
          <w:szCs w:val="20"/>
          <w:color w:val="auto"/>
        </w:rPr>
      </w:pPr>
    </w:p>
    <w:p>
      <w:pPr>
        <w:ind w:left="700" w:right="360" w:firstLine="397"/>
        <w:spacing w:after="0" w:line="313" w:lineRule="auto"/>
        <w:rPr>
          <w:sz w:val="20"/>
          <w:szCs w:val="20"/>
          <w:color w:val="auto"/>
        </w:rPr>
      </w:pPr>
      <w:r>
        <w:rPr>
          <w:rFonts w:ascii="Times New Roman" w:cs="Times New Roman" w:eastAsia="Times New Roman" w:hAnsi="Times New Roman"/>
          <w:sz w:val="17"/>
          <w:szCs w:val="17"/>
          <w:color w:val="auto"/>
        </w:rPr>
        <w:t>Section 302A.521 of the Minnesota Business Corporation Act authorizes indemnification of officers, directors, members of committees of the board of directors and employees of the corporation under certain circumstances and subject to certain limitations.</w:t>
      </w:r>
    </w:p>
    <w:p>
      <w:pPr>
        <w:spacing w:after="0" w:line="44" w:lineRule="exact"/>
        <w:rPr>
          <w:sz w:val="20"/>
          <w:szCs w:val="20"/>
          <w:color w:val="auto"/>
        </w:rPr>
      </w:pPr>
    </w:p>
    <w:p>
      <w:pPr>
        <w:ind w:left="700" w:right="240" w:firstLine="397"/>
        <w:spacing w:after="0" w:line="261" w:lineRule="auto"/>
        <w:rPr>
          <w:sz w:val="20"/>
          <w:szCs w:val="20"/>
          <w:color w:val="auto"/>
        </w:rPr>
      </w:pPr>
      <w:r>
        <w:rPr>
          <w:rFonts w:ascii="Times New Roman" w:cs="Times New Roman" w:eastAsia="Times New Roman" w:hAnsi="Times New Roman"/>
          <w:sz w:val="18"/>
          <w:szCs w:val="18"/>
          <w:color w:val="auto"/>
        </w:rPr>
        <w:t>Section 302A.251(1) of the Minnesota Business Corporation Act provides that a director shall not be liable by reason of being or having been a director of the corporation if the director performs his or her duties (i) in good faith, (ii) in a manner the director reasonably believes to be in the best interests of the corporation and (iii) with the care an ordinarily prudent person in a like position would exercise under similar circumstances.</w:t>
      </w:r>
    </w:p>
    <w:p>
      <w:pPr>
        <w:spacing w:after="0" w:line="86"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The bylaws of Woodlake Sanitary Service,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w:t>
      </w:r>
    </w:p>
    <w:p>
      <w:pPr>
        <w:spacing w:after="0" w:line="3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4" w:lineRule="auto"/>
        <w:rPr>
          <w:sz w:val="20"/>
          <w:szCs w:val="20"/>
          <w:color w:val="auto"/>
        </w:rPr>
      </w:pPr>
      <w:r>
        <w:rPr>
          <w:rFonts w:ascii="Times New Roman" w:cs="Times New Roman" w:eastAsia="Times New Roman" w:hAnsi="Times New Roman"/>
          <w:sz w:val="18"/>
          <w:szCs w:val="18"/>
          <w:color w:val="auto"/>
        </w:rPr>
        <w:t>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2" w:lineRule="exact"/>
        <w:rPr>
          <w:sz w:val="20"/>
          <w:szCs w:val="20"/>
          <w:color w:val="auto"/>
        </w:rPr>
      </w:pPr>
    </w:p>
    <w:p>
      <w:pPr>
        <w:ind w:left="700" w:right="40" w:firstLine="397"/>
        <w:spacing w:after="0" w:line="253" w:lineRule="auto"/>
        <w:rPr>
          <w:sz w:val="20"/>
          <w:szCs w:val="20"/>
          <w:color w:val="auto"/>
        </w:rPr>
      </w:pPr>
      <w:r>
        <w:rPr>
          <w:rFonts w:ascii="Times New Roman" w:cs="Times New Roman" w:eastAsia="Times New Roman" w:hAnsi="Times New Roman"/>
          <w:sz w:val="18"/>
          <w:szCs w:val="18"/>
          <w:color w:val="auto"/>
        </w:rPr>
        <w:t>The bylaws of Woodlake Sanitary Service,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Mississippi Registrants:</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(a) Mississippi Waste Paper Company is incorporated under the laws of Mississippi.</w:t>
      </w:r>
    </w:p>
    <w:p>
      <w:pPr>
        <w:spacing w:after="0" w:line="135" w:lineRule="exact"/>
        <w:rPr>
          <w:sz w:val="20"/>
          <w:szCs w:val="20"/>
          <w:color w:val="auto"/>
        </w:rPr>
      </w:pPr>
    </w:p>
    <w:p>
      <w:pPr>
        <w:ind w:left="700" w:right="300" w:firstLine="397"/>
        <w:spacing w:after="0" w:line="313" w:lineRule="auto"/>
        <w:rPr>
          <w:sz w:val="20"/>
          <w:szCs w:val="20"/>
          <w:color w:val="auto"/>
        </w:rPr>
      </w:pPr>
      <w:r>
        <w:rPr>
          <w:rFonts w:ascii="Times New Roman" w:cs="Times New Roman" w:eastAsia="Times New Roman" w:hAnsi="Times New Roman"/>
          <w:sz w:val="17"/>
          <w:szCs w:val="17"/>
          <w:color w:val="auto"/>
        </w:rPr>
        <w:t>Subarticle E of Article 8 of the Mississippi Business Corporation Act authorizes a court to award, or a corporation’s board of directors to grant, indemnity to officers and directors of the corporation under certain circumstances and subject to certain limitations.</w:t>
      </w:r>
    </w:p>
    <w:p>
      <w:pPr>
        <w:spacing w:after="0" w:line="44" w:lineRule="exact"/>
        <w:rPr>
          <w:sz w:val="20"/>
          <w:szCs w:val="20"/>
          <w:color w:val="auto"/>
        </w:rPr>
      </w:pPr>
    </w:p>
    <w:p>
      <w:pPr>
        <w:ind w:left="700" w:right="20" w:firstLine="397"/>
        <w:spacing w:after="0" w:line="254" w:lineRule="auto"/>
        <w:rPr>
          <w:sz w:val="20"/>
          <w:szCs w:val="20"/>
          <w:color w:val="auto"/>
        </w:rPr>
      </w:pPr>
      <w:r>
        <w:rPr>
          <w:rFonts w:ascii="Times New Roman" w:cs="Times New Roman" w:eastAsia="Times New Roman" w:hAnsi="Times New Roman"/>
          <w:sz w:val="18"/>
          <w:szCs w:val="18"/>
          <w:color w:val="auto"/>
        </w:rPr>
        <w:t>Section 79-4-8.31 of the Mississippi Business Corporation Act provides that a director shall not be liable to the corporation or its shareholders for any decision to take or not to take action or any failure to take any action as a director unless the challenged conduct consisted or was the result of (i) action not in good faith, (ii) a decision (1) which the director did not reasonably believe to be in the best interests of the corporation or (2) as to which the director was not informed to an extent the director reasonably believed appropriate in the circumstances, (iii) a lack of objectivity or independence, (iv) a sustained failure of the director to be informed about the business and affairs of the corporation or (v) receipt of a financial benefit to which the director was not entitled. Section 79-4-8.42 of the Mississippi Business Corporation Act provides that an officer shall not be liable to the corporation or its shareholder for any decision to take or not to take action, or any failure to take any action as an officer so long as the duties of the office are performed (i) in good faith, (ii) with the care that a person in a like position would reasonably exercise under similar circumstances and (iii) in a manner the officer reasonably believes to be in the best interests of the corporation.</w:t>
      </w:r>
    </w:p>
    <w:p>
      <w:pPr>
        <w:spacing w:after="0" w:line="92" w:lineRule="exact"/>
        <w:rPr>
          <w:sz w:val="20"/>
          <w:szCs w:val="20"/>
          <w:color w:val="auto"/>
        </w:rPr>
      </w:pPr>
    </w:p>
    <w:p>
      <w:pPr>
        <w:ind w:left="700" w:right="40" w:firstLine="397"/>
        <w:spacing w:after="0" w:line="261" w:lineRule="auto"/>
        <w:rPr>
          <w:sz w:val="20"/>
          <w:szCs w:val="20"/>
          <w:color w:val="auto"/>
        </w:rPr>
      </w:pPr>
      <w:r>
        <w:rPr>
          <w:rFonts w:ascii="Times New Roman" w:cs="Times New Roman" w:eastAsia="Times New Roman" w:hAnsi="Times New Roman"/>
          <w:sz w:val="18"/>
          <w:szCs w:val="18"/>
          <w:color w:val="auto"/>
        </w:rPr>
        <w:t>The bylaws of Mississippi Waste Paper Company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w:t>
      </w:r>
    </w:p>
    <w:p>
      <w:pPr>
        <w:spacing w:after="0" w:line="3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8"/>
          <w:szCs w:val="18"/>
          <w:color w:val="auto"/>
        </w:rPr>
        <w:t>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4"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The bylaws of Mississippi Waste Paper Company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90" w:lineRule="exact"/>
        <w:rPr>
          <w:sz w:val="20"/>
          <w:szCs w:val="20"/>
          <w:color w:val="auto"/>
        </w:rPr>
      </w:pPr>
    </w:p>
    <w:p>
      <w:pPr>
        <w:ind w:left="700" w:right="60" w:firstLine="390"/>
        <w:spacing w:after="0" w:line="286" w:lineRule="auto"/>
        <w:tabs>
          <w:tab w:leader="none" w:pos="136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Hancock County Development Company, LLC, Harrison County Landfill, LLC and Jackson County Landfill, LLC are organized as limited liability companies under the laws of Mississippi.</w:t>
      </w:r>
    </w:p>
    <w:p>
      <w:pPr>
        <w:spacing w:after="0" w:line="64" w:lineRule="exact"/>
        <w:rPr>
          <w:sz w:val="20"/>
          <w:szCs w:val="20"/>
          <w:color w:val="auto"/>
        </w:rPr>
      </w:pPr>
    </w:p>
    <w:p>
      <w:pPr>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Section 79-29-110 of the Mississippi Limited Liability Company Act authorizes a court to award, or a limited liability company to grant, indemnity to a member, manager or agent of the company under certain circumstances and subject to certain limitations.</w:t>
      </w:r>
    </w:p>
    <w:p>
      <w:pPr>
        <w:spacing w:after="0" w:line="67" w:lineRule="exact"/>
        <w:rPr>
          <w:sz w:val="20"/>
          <w:szCs w:val="20"/>
          <w:color w:val="auto"/>
        </w:rPr>
      </w:pPr>
    </w:p>
    <w:p>
      <w:pPr>
        <w:ind w:left="700" w:right="160" w:firstLine="397"/>
        <w:spacing w:after="0" w:line="261" w:lineRule="auto"/>
        <w:rPr>
          <w:sz w:val="20"/>
          <w:szCs w:val="20"/>
          <w:color w:val="auto"/>
        </w:rPr>
      </w:pPr>
      <w:r>
        <w:rPr>
          <w:rFonts w:ascii="Times New Roman" w:cs="Times New Roman" w:eastAsia="Times New Roman" w:hAnsi="Times New Roman"/>
          <w:sz w:val="18"/>
          <w:szCs w:val="18"/>
          <w:color w:val="auto"/>
        </w:rPr>
        <w:t>Section 79-29-402 of the Mississippi Limited Liability Company Act provides that a manager of a limited liability company shall not be liable for any action taken as a manger or any failure to take any action if the manager performed the duties of the office (i) in good faith, (ii) with the care an ordinarily prudent person in a like position would exercise under similar circumstances and (iii) in a manner he or she reasonably believes to be in the best interest of the limited liability company.</w:t>
      </w:r>
    </w:p>
    <w:p>
      <w:pPr>
        <w:spacing w:after="0" w:line="86"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the Mississippi limited liability company registrants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3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Missouri Registrants:</w:t>
      </w:r>
    </w:p>
    <w:p>
      <w:pPr>
        <w:spacing w:after="0" w:line="131" w:lineRule="exact"/>
        <w:rPr>
          <w:sz w:val="20"/>
          <w:szCs w:val="20"/>
          <w:color w:val="auto"/>
        </w:rPr>
      </w:pPr>
    </w:p>
    <w:p>
      <w:pPr>
        <w:ind w:left="700" w:firstLine="390"/>
        <w:spacing w:after="0" w:line="286" w:lineRule="auto"/>
        <w:tabs>
          <w:tab w:leader="none" w:pos="1342"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Autoshred, Inc., Belleville Landfill, Inc., CWI of Missouri, Inc., Rock Road Industries, Inc., Tate’s Transfer Systems, Inc. and Thomas Disposal Service, Inc. are incorporated under the laws of Missouri.</w:t>
      </w:r>
    </w:p>
    <w:p>
      <w:pPr>
        <w:spacing w:after="0" w:line="64" w:lineRule="exact"/>
        <w:rPr>
          <w:sz w:val="20"/>
          <w:szCs w:val="20"/>
          <w:color w:val="auto"/>
        </w:rPr>
      </w:pPr>
    </w:p>
    <w:p>
      <w:pPr>
        <w:ind w:left="700" w:right="120" w:firstLine="397"/>
        <w:spacing w:after="0" w:line="266" w:lineRule="auto"/>
        <w:rPr>
          <w:sz w:val="20"/>
          <w:szCs w:val="20"/>
          <w:color w:val="auto"/>
        </w:rPr>
      </w:pPr>
      <w:r>
        <w:rPr>
          <w:rFonts w:ascii="Times New Roman" w:cs="Times New Roman" w:eastAsia="Times New Roman" w:hAnsi="Times New Roman"/>
          <w:sz w:val="18"/>
          <w:szCs w:val="18"/>
          <w:color w:val="auto"/>
        </w:rPr>
        <w:t>Section 351.355 of the General and Business Corporation Law of Missouri authorizes a court to award, or a corporation’s board of directors to grant, indemnity to an officer, director, employee or agent of the corporation under certain circumstances and subject to certain limitations.</w:t>
      </w:r>
    </w:p>
    <w:p>
      <w:pPr>
        <w:spacing w:after="0" w:line="82"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Autoshred, Inc., CWI of Missouri, Inc., Rock Road Industries, Inc. and Tate’s Transfer Systems,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0"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Autoshred, Inc., CWI of Missouri, Inc., Rock Road Industries, Inc. and Tate’s Transfer Systems,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104"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The bylaws of Thomas Disposal Service, Inc. provide that each director or officer or former director or former officer of the corporation shall be indemnified by the corporation against liabilities, expenses, counsel fees and costs reasonably incurred by such person in connection with, or arising out of, any action, suit, proceeding or claim in which such person is made a party by reason of being or having been such director or officer of the corporation.</w:t>
      </w:r>
    </w:p>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There is no provision for indemnification or insurance in the articles of incorporation or bylaws of Belleville Landfill, Inc.</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firstLine="390"/>
        <w:spacing w:after="0" w:line="286" w:lineRule="auto"/>
        <w:tabs>
          <w:tab w:leader="none" w:pos="1362"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Missouri City Landfill, LLC and St. Joseph Landfill, LLC are organized as limited liability companies under the laws of Missouri.</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Missouri Limited Liability Company Act is silent as to indemnification.</w:t>
      </w:r>
    </w:p>
    <w:p>
      <w:pPr>
        <w:spacing w:after="0" w:line="131" w:lineRule="exact"/>
        <w:rPr>
          <w:sz w:val="20"/>
          <w:szCs w:val="20"/>
          <w:color w:val="auto"/>
        </w:rPr>
      </w:pPr>
    </w:p>
    <w:p>
      <w:pPr>
        <w:ind w:left="700" w:right="160" w:firstLine="397"/>
        <w:spacing w:after="0" w:line="261" w:lineRule="auto"/>
        <w:rPr>
          <w:sz w:val="20"/>
          <w:szCs w:val="20"/>
          <w:color w:val="auto"/>
        </w:rPr>
      </w:pPr>
      <w:r>
        <w:rPr>
          <w:rFonts w:ascii="Times New Roman" w:cs="Times New Roman" w:eastAsia="Times New Roman" w:hAnsi="Times New Roman"/>
          <w:sz w:val="18"/>
          <w:szCs w:val="18"/>
          <w:color w:val="auto"/>
        </w:rPr>
        <w:t>Section 347.088(1) of the Missouri Limited Liability Company Act provides that, except as otherwise provided in the operating agreement, a manager or member-manager shall not be liable for any action taken or any failure to take action if he or she performs his duties in good faith, with the care a corporate officer of like position would exercise under similar circumstances and in the manner a reasonable person would believe to be in the best interest of the limited liability company.</w:t>
      </w:r>
    </w:p>
    <w:p>
      <w:pPr>
        <w:spacing w:after="0" w:line="86"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the Missouri limited liability company registrants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9" w:lineRule="exact"/>
        <w:rPr>
          <w:sz w:val="20"/>
          <w:szCs w:val="20"/>
          <w:color w:val="auto"/>
        </w:rPr>
      </w:pPr>
    </w:p>
    <w:p>
      <w:pPr>
        <w:ind w:left="700" w:right="120" w:firstLine="397"/>
        <w:spacing w:after="0" w:line="286" w:lineRule="auto"/>
        <w:rPr>
          <w:sz w:val="20"/>
          <w:szCs w:val="20"/>
          <w:color w:val="auto"/>
        </w:rPr>
      </w:pPr>
      <w:r>
        <w:rPr>
          <w:rFonts w:ascii="Times New Roman" w:cs="Times New Roman" w:eastAsia="Times New Roman" w:hAnsi="Times New Roman"/>
          <w:sz w:val="18"/>
          <w:szCs w:val="18"/>
          <w:b w:val="1"/>
          <w:bCs w:val="1"/>
          <w:color w:val="auto"/>
        </w:rPr>
        <w:t>Montana Registrant: Allied Waste Systems of Montana, LLC is organized as a limited liability company under the laws of Montana.</w:t>
      </w:r>
    </w:p>
    <w:p>
      <w:pPr>
        <w:spacing w:after="0" w:line="64" w:lineRule="exact"/>
        <w:rPr>
          <w:sz w:val="20"/>
          <w:szCs w:val="20"/>
          <w:color w:val="auto"/>
        </w:rPr>
      </w:pPr>
    </w:p>
    <w:p>
      <w:pPr>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Section 35-8-107(12) of the Montana Limited Liability Company Act permits a Montana limited liability company to indemnify a member, agent or employee of the company under certain circumstances and subject to certain limitations.</w:t>
      </w:r>
    </w:p>
    <w:p>
      <w:pPr>
        <w:spacing w:after="0" w:line="67"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Allied Waste Systems of Montana,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Nebraska Registrant: Oscar’s Collection System of Fremont, Inc. is incorporated under the laws of Nebraska.</w:t>
      </w:r>
    </w:p>
    <w:p>
      <w:pPr>
        <w:spacing w:after="0" w:line="135" w:lineRule="exact"/>
        <w:rPr>
          <w:sz w:val="20"/>
          <w:szCs w:val="20"/>
          <w:color w:val="auto"/>
        </w:rPr>
      </w:pPr>
    </w:p>
    <w:p>
      <w:pPr>
        <w:ind w:left="700" w:right="240" w:firstLine="397"/>
        <w:spacing w:after="0" w:line="313" w:lineRule="auto"/>
        <w:rPr>
          <w:sz w:val="20"/>
          <w:szCs w:val="20"/>
          <w:color w:val="auto"/>
        </w:rPr>
      </w:pPr>
      <w:r>
        <w:rPr>
          <w:rFonts w:ascii="Times New Roman" w:cs="Times New Roman" w:eastAsia="Times New Roman" w:hAnsi="Times New Roman"/>
          <w:sz w:val="17"/>
          <w:szCs w:val="17"/>
          <w:color w:val="auto"/>
        </w:rPr>
        <w:t>Sections 21-20, 102 et seq. of the Nebraska Business Corporation Act authorize a court to award, or a corporation’s board of directors to grant, indemnity to officers and directors of the corporation under certain circumstances and subject to certain limitations.</w:t>
      </w:r>
    </w:p>
    <w:p>
      <w:pPr>
        <w:spacing w:after="0" w:line="44" w:lineRule="exact"/>
        <w:rPr>
          <w:sz w:val="20"/>
          <w:szCs w:val="20"/>
          <w:color w:val="auto"/>
        </w:rPr>
      </w:pPr>
    </w:p>
    <w:p>
      <w:pPr>
        <w:ind w:left="700" w:right="100" w:firstLine="397"/>
        <w:spacing w:after="0" w:line="261" w:lineRule="auto"/>
        <w:rPr>
          <w:sz w:val="20"/>
          <w:szCs w:val="20"/>
          <w:color w:val="auto"/>
        </w:rPr>
      </w:pPr>
      <w:r>
        <w:rPr>
          <w:rFonts w:ascii="Times New Roman" w:cs="Times New Roman" w:eastAsia="Times New Roman" w:hAnsi="Times New Roman"/>
          <w:sz w:val="18"/>
          <w:szCs w:val="18"/>
          <w:color w:val="auto"/>
        </w:rPr>
        <w:t>Sections 21-2095(4) and 21-2099(4) of the Nebraska Business Corporation Act provide that a director or officer of a corporation shall not be liable for any action taken as a director or officer or any failure to take any action if he or she performed the duties of his or her office (i) in good faith, (ii) with the care an ordinarily prudent person in a like position would exercise under similar circumstances and (iii) in a manner he or she reasonably believes to be in the best interests of the corporation.</w:t>
      </w:r>
    </w:p>
    <w:p>
      <w:pPr>
        <w:spacing w:after="0" w:line="86" w:lineRule="exact"/>
        <w:rPr>
          <w:sz w:val="20"/>
          <w:szCs w:val="20"/>
          <w:color w:val="auto"/>
        </w:rPr>
      </w:pPr>
    </w:p>
    <w:p>
      <w:pPr>
        <w:ind w:left="700" w:right="24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articles of incorporation or bylaws of Oscar’s Collection System of Fremont, Inc.</w:t>
      </w:r>
    </w:p>
    <w:p>
      <w:pPr>
        <w:spacing w:after="0" w:line="63" w:lineRule="exact"/>
        <w:rPr>
          <w:sz w:val="20"/>
          <w:szCs w:val="20"/>
          <w:color w:val="auto"/>
        </w:rPr>
      </w:pPr>
    </w:p>
    <w:p>
      <w:pPr>
        <w:ind w:left="700" w:right="80" w:firstLine="397"/>
        <w:spacing w:after="0" w:line="286" w:lineRule="auto"/>
        <w:rPr>
          <w:sz w:val="20"/>
          <w:szCs w:val="20"/>
          <w:color w:val="auto"/>
        </w:rPr>
      </w:pPr>
      <w:r>
        <w:rPr>
          <w:rFonts w:ascii="Times New Roman" w:cs="Times New Roman" w:eastAsia="Times New Roman" w:hAnsi="Times New Roman"/>
          <w:sz w:val="18"/>
          <w:szCs w:val="18"/>
          <w:b w:val="1"/>
          <w:bCs w:val="1"/>
          <w:color w:val="auto"/>
        </w:rPr>
        <w:t>Nevada Registrants: Browning-Ferris Industries Chemical Services, Inc., Republic Dumpco, Inc., Republic Environmental Technologies, Inc. and Republic Silver State Disposal, Inc. are incorporated under the laws of Nevada.</w:t>
      </w:r>
    </w:p>
    <w:p>
      <w:pPr>
        <w:spacing w:after="0" w:line="64" w:lineRule="exact"/>
        <w:rPr>
          <w:sz w:val="20"/>
          <w:szCs w:val="20"/>
          <w:color w:val="auto"/>
        </w:rPr>
      </w:pPr>
    </w:p>
    <w:p>
      <w:pPr>
        <w:ind w:left="700" w:right="300" w:firstLine="397"/>
        <w:spacing w:after="0" w:line="282" w:lineRule="auto"/>
        <w:rPr>
          <w:sz w:val="20"/>
          <w:szCs w:val="20"/>
          <w:color w:val="auto"/>
        </w:rPr>
      </w:pPr>
      <w:r>
        <w:rPr>
          <w:rFonts w:ascii="Times New Roman" w:cs="Times New Roman" w:eastAsia="Times New Roman" w:hAnsi="Times New Roman"/>
          <w:sz w:val="18"/>
          <w:szCs w:val="18"/>
          <w:color w:val="auto"/>
        </w:rPr>
        <w:t>Section 78.7502 of the General Corporation Law of Nevada authorizes a court to award, or a corporation’s board of directors to grant, indemnity to officers and directors of the corporation under certain circumstances and subject to certain limitations.</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397"/>
        <w:spacing w:after="0" w:line="258" w:lineRule="auto"/>
        <w:rPr>
          <w:sz w:val="20"/>
          <w:szCs w:val="20"/>
          <w:color w:val="auto"/>
        </w:rPr>
      </w:pPr>
      <w:r>
        <w:rPr>
          <w:rFonts w:ascii="Times New Roman" w:cs="Times New Roman" w:eastAsia="Times New Roman" w:hAnsi="Times New Roman"/>
          <w:sz w:val="18"/>
          <w:szCs w:val="18"/>
          <w:color w:val="auto"/>
        </w:rPr>
        <w:t>Section 78.138(7) of the General Corporation Law of Nevada provides that, unless the articles of incorporation or an amendment thereto filed after October 1, 2003 provide for greater individual liability, a director or officer is not individually liable to the corporation or its stockholders or creditors for any damages as a result of any act or failure to act in such person’s capacity as a director or officer unless it is proven that (i) such person’s act or failure to act constituted a breach of his or her fiduciary duties as a director or officer and (ii) such person’s breach of those duties involved intentional misconduct, fraud or a knowing violation of law.</w:t>
      </w:r>
    </w:p>
    <w:p>
      <w:pPr>
        <w:spacing w:after="0" w:line="89"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the Nevada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0"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The bylaws of each of the Nevada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New Jersey Registrants:</w:t>
      </w:r>
    </w:p>
    <w:p>
      <w:pPr>
        <w:spacing w:after="0" w:line="131" w:lineRule="exact"/>
        <w:rPr>
          <w:sz w:val="20"/>
          <w:szCs w:val="20"/>
          <w:color w:val="auto"/>
        </w:rPr>
      </w:pPr>
    </w:p>
    <w:p>
      <w:pPr>
        <w:ind w:left="700" w:right="40" w:firstLine="390"/>
        <w:spacing w:after="0" w:line="262" w:lineRule="auto"/>
        <w:tabs>
          <w:tab w:leader="none" w:pos="134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of New Jersey, Inc., American Materials Recycling Corp., Automated Modular Systems, Inc., BFI Energy Systems of Essex County, Inc., BFI Transfer Systems of New Jersey, Inc., BFI Waste Systems of New Jersey, Inc., Browning-Ferris Industries of New Jersey, Inc., Louis Pinto &amp; Son, Inc., Sanitation Contractors, Newco Waste Systems of New Jersey, Inc., Tom Luciano’s Disposal Service, Inc. and Total Solid Waste Recyclers, Inc. are incorporated under the laws of New Jersey.</w:t>
      </w:r>
    </w:p>
    <w:p>
      <w:pPr>
        <w:spacing w:after="0" w:line="3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right="40" w:firstLine="397"/>
        <w:spacing w:after="0" w:line="266" w:lineRule="auto"/>
        <w:rPr>
          <w:sz w:val="20"/>
          <w:szCs w:val="20"/>
          <w:color w:val="auto"/>
        </w:rPr>
      </w:pPr>
      <w:r>
        <w:rPr>
          <w:rFonts w:ascii="Times New Roman" w:cs="Times New Roman" w:eastAsia="Times New Roman" w:hAnsi="Times New Roman"/>
          <w:sz w:val="18"/>
          <w:szCs w:val="18"/>
          <w:color w:val="auto"/>
        </w:rPr>
        <w:t>Section 14A:3-5 of the Business Corporation Act of New Jersey authorizes a court to award, or a corporation’s board of directors to grant, indemnity to an officer, director, employee or agent of the corporation under certain circumstances and subject to certain limitations.</w:t>
      </w:r>
    </w:p>
    <w:p>
      <w:pPr>
        <w:spacing w:after="0" w:line="82" w:lineRule="exact"/>
        <w:rPr>
          <w:sz w:val="20"/>
          <w:szCs w:val="20"/>
          <w:color w:val="auto"/>
        </w:rPr>
      </w:pPr>
    </w:p>
    <w:p>
      <w:pPr>
        <w:ind w:left="700" w:right="40" w:firstLine="397"/>
        <w:spacing w:after="0" w:line="266" w:lineRule="auto"/>
        <w:rPr>
          <w:sz w:val="20"/>
          <w:szCs w:val="20"/>
          <w:color w:val="auto"/>
        </w:rPr>
      </w:pPr>
      <w:r>
        <w:rPr>
          <w:rFonts w:ascii="Times New Roman" w:cs="Times New Roman" w:eastAsia="Times New Roman" w:hAnsi="Times New Roman"/>
          <w:sz w:val="18"/>
          <w:szCs w:val="18"/>
          <w:color w:val="auto"/>
        </w:rPr>
        <w:t>Section 14A:2-7(3) of the New Jersey Business Corporation Act permits a corporation to provide in its articles of incorporation that a director or officer of the corporation shall not be personally liable to the corporation or its shareholders for damages for any breach of duty owed to the corporation or its shareholders, subject to certain limitations.</w:t>
      </w:r>
    </w:p>
    <w:p>
      <w:pPr>
        <w:spacing w:after="0" w:line="82" w:lineRule="exact"/>
        <w:rPr>
          <w:sz w:val="20"/>
          <w:szCs w:val="20"/>
          <w:color w:val="auto"/>
        </w:rPr>
      </w:pPr>
    </w:p>
    <w:p>
      <w:pPr>
        <w:ind w:left="700" w:right="440" w:firstLine="397"/>
        <w:spacing w:after="0" w:line="282" w:lineRule="auto"/>
        <w:rPr>
          <w:sz w:val="20"/>
          <w:szCs w:val="20"/>
          <w:color w:val="auto"/>
        </w:rPr>
      </w:pPr>
      <w:r>
        <w:rPr>
          <w:rFonts w:ascii="Times New Roman" w:cs="Times New Roman" w:eastAsia="Times New Roman" w:hAnsi="Times New Roman"/>
          <w:sz w:val="18"/>
          <w:szCs w:val="18"/>
          <w:color w:val="auto"/>
        </w:rPr>
        <w:t>The articles of incorporation of American Materials Recycling Corp. provide for indemnification of all corporate agents to the fullest extent permitted by the Business Corporation Act of New Jersey.</w:t>
      </w:r>
    </w:p>
    <w:p>
      <w:pPr>
        <w:spacing w:after="0" w:line="67" w:lineRule="exact"/>
        <w:rPr>
          <w:sz w:val="20"/>
          <w:szCs w:val="20"/>
          <w:color w:val="auto"/>
        </w:rPr>
      </w:pPr>
    </w:p>
    <w:p>
      <w:pPr>
        <w:ind w:left="700" w:right="280" w:firstLine="397"/>
        <w:spacing w:after="0" w:line="282" w:lineRule="auto"/>
        <w:rPr>
          <w:sz w:val="20"/>
          <w:szCs w:val="20"/>
          <w:color w:val="auto"/>
        </w:rPr>
      </w:pPr>
      <w:r>
        <w:rPr>
          <w:rFonts w:ascii="Times New Roman" w:cs="Times New Roman" w:eastAsia="Times New Roman" w:hAnsi="Times New Roman"/>
          <w:sz w:val="18"/>
          <w:szCs w:val="18"/>
          <w:color w:val="auto"/>
        </w:rPr>
        <w:t>The articles of incorporation of American Material Recycling Corp. also provide that the personal liability of the directors of the corporation are eliminated to the fullest extent permitted by the Business Corporation Act of New Jersey.</w:t>
      </w:r>
    </w:p>
    <w:p>
      <w:pPr>
        <w:spacing w:after="0" w:line="67"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American Materials Recycling Corp., Automated Modular Systems, Inc., BFI Energy Systems of Essex County, Inc., BFI Transfer Systems of New Jersey, Inc., BFI Waste Systems of New Jersey, Inc., Browning-Ferris Industries of New Jersey, Inc., Louis Pinto &amp; Son, Inc., Sanitation Contractors, Newco Waste Systems of New Jersey, Inc., Tom Luciano’s Disposal Service, Inc. and Total Solid Waste Recyclers,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7" w:lineRule="exact"/>
        <w:rPr>
          <w:sz w:val="20"/>
          <w:szCs w:val="20"/>
          <w:color w:val="auto"/>
        </w:rPr>
      </w:pPr>
    </w:p>
    <w:p>
      <w:pPr>
        <w:ind w:left="700" w:right="40" w:firstLine="397"/>
        <w:spacing w:after="0" w:line="253" w:lineRule="auto"/>
        <w:rPr>
          <w:sz w:val="20"/>
          <w:szCs w:val="20"/>
          <w:color w:val="auto"/>
        </w:rPr>
      </w:pPr>
      <w:r>
        <w:rPr>
          <w:rFonts w:ascii="Times New Roman" w:cs="Times New Roman" w:eastAsia="Times New Roman" w:hAnsi="Times New Roman"/>
          <w:sz w:val="18"/>
          <w:szCs w:val="18"/>
          <w:color w:val="auto"/>
        </w:rPr>
        <w:t>The bylaws of each of American Materials Recycling Corp., Automated Modular Systems, Inc., BFI Energy Systems of Essex County, Inc., BFI Transfer Systems of New Jersey, Inc., BFI Waste Systems of New Jersey, Inc., Browning-Ferris Industries of New Jersey, Inc., Louis Pinto &amp; Son, Inc., Sanitation Contractors, Newco Waste Systems of New Jersey, Inc., Tom Luciano’s Disposal Service, Inc. and Total Solid Waste Recyclers,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w:t>
      </w:r>
    </w:p>
    <w:p>
      <w:pPr>
        <w:spacing w:after="0" w:line="3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1" w:lineRule="auto"/>
        <w:rPr>
          <w:sz w:val="20"/>
          <w:szCs w:val="20"/>
          <w:color w:val="auto"/>
        </w:rPr>
      </w:pPr>
      <w:r>
        <w:rPr>
          <w:rFonts w:ascii="Times New Roman" w:cs="Times New Roman" w:eastAsia="Times New Roman" w:hAnsi="Times New Roman"/>
          <w:sz w:val="18"/>
          <w:szCs w:val="18"/>
          <w:color w:val="auto"/>
        </w:rPr>
        <w:t>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There is no provision for indemnification or insurance in the articles of incorporation or bylaws of Allied Waste of New Jersey, Inc.</w:t>
      </w:r>
    </w:p>
    <w:p>
      <w:pPr>
        <w:spacing w:after="0" w:line="138" w:lineRule="exact"/>
        <w:rPr>
          <w:sz w:val="20"/>
          <w:szCs w:val="20"/>
          <w:color w:val="auto"/>
        </w:rPr>
      </w:pPr>
    </w:p>
    <w:p>
      <w:pPr>
        <w:ind w:left="700" w:right="360" w:firstLine="390"/>
        <w:spacing w:after="0" w:line="286" w:lineRule="auto"/>
        <w:tabs>
          <w:tab w:leader="none" w:pos="1352"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Transfer Systems of New Jersey, LLC and Allied Waste Systems of New Jersey, LLC are organized as limited liability companies under the laws of New Jersey.</w:t>
      </w:r>
    </w:p>
    <w:p>
      <w:pPr>
        <w:spacing w:after="0" w:line="64" w:lineRule="exact"/>
        <w:rPr>
          <w:sz w:val="20"/>
          <w:szCs w:val="20"/>
          <w:color w:val="auto"/>
        </w:rPr>
      </w:pPr>
    </w:p>
    <w:p>
      <w:pPr>
        <w:ind w:left="700" w:right="220" w:firstLine="397"/>
        <w:spacing w:after="0" w:line="282" w:lineRule="auto"/>
        <w:rPr>
          <w:sz w:val="20"/>
          <w:szCs w:val="20"/>
          <w:color w:val="auto"/>
        </w:rPr>
      </w:pPr>
      <w:r>
        <w:rPr>
          <w:rFonts w:ascii="Times New Roman" w:cs="Times New Roman" w:eastAsia="Times New Roman" w:hAnsi="Times New Roman"/>
          <w:sz w:val="18"/>
          <w:szCs w:val="18"/>
          <w:color w:val="auto"/>
        </w:rPr>
        <w:t>Section 42:2B-10 of the New Jersey Limited Liability Company Act permits a limited liability company to indemnify a member, manager or other person from and against any and all claims and demands whatsoever.</w:t>
      </w:r>
    </w:p>
    <w:p>
      <w:pPr>
        <w:spacing w:after="0" w:line="67"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the New Jersey limited liability company registrants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New Mexico Registrant: Allied Waste Industries (New Mexico), Inc. is incorporated under the laws of New Mexico.</w:t>
      </w:r>
    </w:p>
    <w:p>
      <w:pPr>
        <w:spacing w:after="0" w:line="135"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Section 53-11-4.1 of the New Mexico Business Corporation Act authorizes a court to award, or a corporation’s board of directors to grant, indemnity to an officer, director, employee or agent of the corporation under certain circumstances and subject to certain limitations.</w:t>
      </w:r>
    </w:p>
    <w:p>
      <w:pPr>
        <w:spacing w:after="0" w:line="82" w:lineRule="exact"/>
        <w:rPr>
          <w:sz w:val="20"/>
          <w:szCs w:val="20"/>
          <w:color w:val="auto"/>
        </w:rPr>
      </w:pPr>
    </w:p>
    <w:p>
      <w:pPr>
        <w:ind w:left="700" w:right="20" w:firstLine="397"/>
        <w:spacing w:after="0" w:line="253" w:lineRule="auto"/>
        <w:rPr>
          <w:sz w:val="20"/>
          <w:szCs w:val="20"/>
          <w:color w:val="auto"/>
        </w:rPr>
      </w:pPr>
      <w:r>
        <w:rPr>
          <w:rFonts w:ascii="Times New Roman" w:cs="Times New Roman" w:eastAsia="Times New Roman" w:hAnsi="Times New Roman"/>
          <w:sz w:val="18"/>
          <w:szCs w:val="18"/>
          <w:color w:val="auto"/>
        </w:rPr>
        <w:t>The bylaws of Allied Waste Industries (New Mexico), Inc. provide for indemnification for any person who is or was a director, officer, employee or agent of the corporation or is or was serving at the request of the corporation as a director, officer, employee, agent or fiduciary of another foreign or domestic entity that may be incurred by him or her in connection with or resulting from any claim as long as such person acted in good faith and reasonably believed that his or her conduct was in the best interest of (in the case of conduct in his or her official capacity with the corporation) or not opposed to (in all other cases) the best interest of the corporation. In the case of any criminal proceeding, such person must have had reasonable cause to believe his or her conduct was lawful or had no reasonable cause to believe his or her conduct was unlawful. The determination whether such person has met the required standards of conduct shall be made (i) by the board of directors by majority vote of a quorum consisting of directors not at the time parties to the claim, and if such a quorum cannot be obtained; then (ii) by majority vote of a committee duly designated by the board of directors consisting solely of two or more directors not at the time parties to the claim; and if such a committee cannot be constituted; then (iii) by the shareholders, and if there are no shareholders who are not also directors who are a party to the claim; then (iv) by special legal counsel selected by a majority vote of the full board of directors (in which selection, a director who is a party to the claim may participate). Expenses incurred by such person may be advanced by the corporation prior to the final disposition of the claim under certain circumstances.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New York Registrants:</w:t>
      </w:r>
    </w:p>
    <w:p>
      <w:pPr>
        <w:spacing w:after="0" w:line="131" w:lineRule="exact"/>
        <w:rPr>
          <w:sz w:val="20"/>
          <w:szCs w:val="20"/>
          <w:color w:val="auto"/>
        </w:rPr>
      </w:pPr>
    </w:p>
    <w:p>
      <w:pPr>
        <w:ind w:left="700" w:right="40" w:firstLine="390"/>
        <w:spacing w:after="0" w:line="268" w:lineRule="auto"/>
        <w:tabs>
          <w:tab w:leader="none" w:pos="134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of Long Island, Inc., American Transfer Company, Inc., Browning-Ferris Industries of New York, Inc., CECOS International, Inc., Island Waste Services Ltd., Tricil (N.Y.), Inc. and Waste Services of New York, Inc. are incorporated under the laws of New York.</w:t>
      </w:r>
    </w:p>
    <w:p>
      <w:pPr>
        <w:spacing w:after="0" w:line="80" w:lineRule="exact"/>
        <w:rPr>
          <w:sz w:val="20"/>
          <w:szCs w:val="20"/>
          <w:color w:val="auto"/>
        </w:rPr>
      </w:pPr>
    </w:p>
    <w:p>
      <w:pPr>
        <w:ind w:left="700" w:right="260" w:firstLine="397"/>
        <w:spacing w:after="0" w:line="282" w:lineRule="auto"/>
        <w:rPr>
          <w:sz w:val="20"/>
          <w:szCs w:val="20"/>
          <w:color w:val="auto"/>
        </w:rPr>
      </w:pPr>
      <w:r>
        <w:rPr>
          <w:rFonts w:ascii="Times New Roman" w:cs="Times New Roman" w:eastAsia="Times New Roman" w:hAnsi="Times New Roman"/>
          <w:sz w:val="18"/>
          <w:szCs w:val="18"/>
          <w:color w:val="auto"/>
        </w:rPr>
        <w:t>Article 7 of the New York Business Corporations Law authorizes a court to award, or a corporation’s board of directors to grant, indemnity to an officer or director of the corporation under certain circumstances and subject to certain limitations.</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Section 402(b) of the New York Business Corporations Law permits a corporation to provide in its articles of incorporation that a director of the corporation shall not be personally liable to the corporation or its shareholders for damages for any breach of duty in his or her capacity as director, subject to certain limitations.</w:t>
      </w:r>
    </w:p>
    <w:p>
      <w:pPr>
        <w:spacing w:after="0" w:line="82" w:lineRule="exact"/>
        <w:rPr>
          <w:sz w:val="20"/>
          <w:szCs w:val="20"/>
          <w:color w:val="auto"/>
        </w:rPr>
      </w:pPr>
    </w:p>
    <w:p>
      <w:pPr>
        <w:ind w:left="700" w:right="140" w:firstLine="397"/>
        <w:spacing w:after="0" w:line="270" w:lineRule="auto"/>
        <w:rPr>
          <w:sz w:val="20"/>
          <w:szCs w:val="20"/>
          <w:color w:val="auto"/>
        </w:rPr>
      </w:pPr>
      <w:r>
        <w:rPr>
          <w:rFonts w:ascii="Times New Roman" w:cs="Times New Roman" w:eastAsia="Times New Roman" w:hAnsi="Times New Roman"/>
          <w:sz w:val="17"/>
          <w:szCs w:val="17"/>
          <w:color w:val="auto"/>
        </w:rPr>
        <w:t>The articles of incorporation of each of Allied Waste of Long Island, Inc. and Waste Services of New York, Inc. provide that no director shall be personally liable to the corporation or its shareholders for damages for any breach of duty in such capacity, except that this provision shall not eliminate or limit the liability of any director if a judgment or other final adjudication adverse to such director establishes that such director’s act or omissions (i) were in bad faith, (ii) involved intentional misconduct or a knowing violation of law,</w:t>
      </w:r>
    </w:p>
    <w:p>
      <w:pPr>
        <w:spacing w:after="0" w:line="3" w:lineRule="exact"/>
        <w:rPr>
          <w:sz w:val="20"/>
          <w:szCs w:val="20"/>
          <w:color w:val="auto"/>
        </w:rPr>
      </w:pPr>
    </w:p>
    <w:p>
      <w:pPr>
        <w:ind w:left="1000" w:hanging="307"/>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such that such director personally gained a financial profit or other advantage to which such director was not legally entitled or</w:t>
      </w:r>
    </w:p>
    <w:p>
      <w:pPr>
        <w:spacing w:after="0" w:line="9" w:lineRule="exact"/>
        <w:rPr>
          <w:rFonts w:ascii="Times New Roman" w:cs="Times New Roman" w:eastAsia="Times New Roman" w:hAnsi="Times New Roman"/>
          <w:sz w:val="18"/>
          <w:szCs w:val="18"/>
          <w:color w:val="auto"/>
        </w:rPr>
      </w:pPr>
    </w:p>
    <w:p>
      <w:pPr>
        <w:ind w:left="700" w:right="120" w:hanging="7"/>
        <w:spacing w:after="0" w:line="255" w:lineRule="auto"/>
        <w:tabs>
          <w:tab w:leader="none" w:pos="100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director’s acts violated Section 719 of the New York Business Corporations Law relating to an unlawful dividend, repurchase or distribution of assets, nor shall this provision eliminate or limit the liability of any director for any act or omission prior to the adoption of this provision.</w:t>
      </w:r>
    </w:p>
    <w:p>
      <w:pPr>
        <w:spacing w:after="0" w:line="92" w:lineRule="exact"/>
        <w:rPr>
          <w:sz w:val="20"/>
          <w:szCs w:val="20"/>
          <w:color w:val="auto"/>
        </w:rPr>
      </w:pPr>
    </w:p>
    <w:p>
      <w:pPr>
        <w:ind w:left="700" w:right="6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Allied Waste of Long Island, Inc., American Transfer Company, Inc., Browning-Ferris Industries of New York, Inc. and CECOS International,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9"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Allied Waste of Long Island, Inc., American Transfer Company, Inc., Browning-Ferris Industries of New York, Inc. and CECOS International,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104" w:lineRule="exact"/>
        <w:rPr>
          <w:sz w:val="20"/>
          <w:szCs w:val="20"/>
          <w:color w:val="auto"/>
        </w:rPr>
      </w:pPr>
    </w:p>
    <w:p>
      <w:pPr>
        <w:ind w:left="700" w:right="180" w:firstLine="397"/>
        <w:spacing w:after="0" w:line="282" w:lineRule="auto"/>
        <w:rPr>
          <w:sz w:val="20"/>
          <w:szCs w:val="20"/>
          <w:color w:val="auto"/>
        </w:rPr>
      </w:pPr>
      <w:r>
        <w:rPr>
          <w:rFonts w:ascii="Times New Roman" w:cs="Times New Roman" w:eastAsia="Times New Roman" w:hAnsi="Times New Roman"/>
          <w:sz w:val="18"/>
          <w:szCs w:val="18"/>
          <w:color w:val="auto"/>
        </w:rPr>
        <w:t>The bylaws of Tricil (N.Y.), Inc. provide that the corporation shall indemnify any person made or threatened to be made a party to any action, suit or proceeding by reason of the fact that such person is or was a director or officer</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8" w:lineRule="auto"/>
        <w:rPr>
          <w:sz w:val="20"/>
          <w:szCs w:val="20"/>
          <w:color w:val="auto"/>
        </w:rPr>
      </w:pPr>
      <w:r>
        <w:rPr>
          <w:rFonts w:ascii="Times New Roman" w:cs="Times New Roman" w:eastAsia="Times New Roman" w:hAnsi="Times New Roman"/>
          <w:sz w:val="18"/>
          <w:szCs w:val="18"/>
          <w:color w:val="auto"/>
        </w:rPr>
        <w:t>of the corporation, or of any other corporation which such person served as such at the request of the corporation, against all judgments, fines, amounts paid in settlement and reasonable expenses, including attorneys’ fees, actually and necessarily incurred by him or her in connection with the defense of such action, suit or proceeding, or in connection with any appeal therein, to the fullest extent and in the manner set forth in and permitted by the New York Business Corporations Law. The board of directors, in its discretion, shall have the power to purchase and maintain insurance in accordance with the New York Business Corporations Law.</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There is no provision for indemnification or insurance in the bylaws of Island Waste Services Ltd. or Waste Services of New York,</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w:t>
      </w:r>
    </w:p>
    <w:p>
      <w:pPr>
        <w:spacing w:after="0" w:line="108" w:lineRule="exact"/>
        <w:rPr>
          <w:sz w:val="20"/>
          <w:szCs w:val="20"/>
          <w:color w:val="auto"/>
        </w:rPr>
      </w:pPr>
    </w:p>
    <w:p>
      <w:pPr>
        <w:jc w:val="both"/>
        <w:ind w:left="700" w:right="120" w:firstLine="390"/>
        <w:spacing w:after="0" w:line="268" w:lineRule="auto"/>
        <w:tabs>
          <w:tab w:leader="none" w:pos="135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Niagara Falls Landfill, LLC, Allied Waste Transfer Services of New York, LLC, Menands Environmental Solutions, LLC and Wayne County Land Development, LLC are organized as limited liability companies under the laws of New York.</w:t>
      </w:r>
    </w:p>
    <w:p>
      <w:pPr>
        <w:spacing w:after="0" w:line="80" w:lineRule="exact"/>
        <w:rPr>
          <w:sz w:val="20"/>
          <w:szCs w:val="20"/>
          <w:color w:val="auto"/>
        </w:rPr>
      </w:pPr>
    </w:p>
    <w:p>
      <w:pPr>
        <w:ind w:left="700" w:right="300" w:firstLine="397"/>
        <w:spacing w:after="0" w:line="282" w:lineRule="auto"/>
        <w:rPr>
          <w:sz w:val="20"/>
          <w:szCs w:val="20"/>
          <w:color w:val="auto"/>
        </w:rPr>
      </w:pPr>
      <w:r>
        <w:rPr>
          <w:rFonts w:ascii="Times New Roman" w:cs="Times New Roman" w:eastAsia="Times New Roman" w:hAnsi="Times New Roman"/>
          <w:sz w:val="18"/>
          <w:szCs w:val="18"/>
          <w:color w:val="auto"/>
        </w:rPr>
        <w:t>Section 420 of the New York Limited Liability Company Law authorizes a limited liability company to indemnify any member, manager or other person under certain circumstances and subject to certain limitations.</w:t>
      </w:r>
    </w:p>
    <w:p>
      <w:pPr>
        <w:spacing w:after="0" w:line="67" w:lineRule="exact"/>
        <w:rPr>
          <w:sz w:val="20"/>
          <w:szCs w:val="20"/>
          <w:color w:val="auto"/>
        </w:rPr>
      </w:pPr>
    </w:p>
    <w:p>
      <w:pPr>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Section 409(c) of the New York Limited Liability Company Law provides that a manager shall have no liability by reason of being or having been a manager of a limited liability company if the manager performs his or her duties in good faith and with that degree of care that an ordinarily prudent person in a like position would use under similar circumstances.</w:t>
      </w:r>
    </w:p>
    <w:p>
      <w:pPr>
        <w:spacing w:after="0" w:line="82" w:lineRule="exact"/>
        <w:rPr>
          <w:sz w:val="20"/>
          <w:szCs w:val="20"/>
          <w:color w:val="auto"/>
        </w:rPr>
      </w:pPr>
    </w:p>
    <w:p>
      <w:pPr>
        <w:ind w:left="700" w:right="8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the New York limited liability company registrants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North Carolina Registrants:</w:t>
      </w:r>
    </w:p>
    <w:p>
      <w:pPr>
        <w:spacing w:after="0" w:line="131" w:lineRule="exact"/>
        <w:rPr>
          <w:sz w:val="20"/>
          <w:szCs w:val="20"/>
          <w:color w:val="auto"/>
        </w:rPr>
      </w:pPr>
    </w:p>
    <w:p>
      <w:pPr>
        <w:ind w:left="700" w:right="200" w:firstLine="390"/>
        <w:spacing w:after="0" w:line="286" w:lineRule="auto"/>
        <w:tabs>
          <w:tab w:leader="none" w:pos="135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Lake Norman Landfill, Inc. and Republic Services Real Estate Holding, Inc. are incorporated under the laws of North Carolina.</w:t>
      </w:r>
    </w:p>
    <w:p>
      <w:pPr>
        <w:spacing w:after="0" w:line="64" w:lineRule="exact"/>
        <w:rPr>
          <w:sz w:val="20"/>
          <w:szCs w:val="20"/>
          <w:color w:val="auto"/>
        </w:rPr>
      </w:pPr>
    </w:p>
    <w:p>
      <w:pPr>
        <w:ind w:left="700" w:right="40" w:firstLine="397"/>
        <w:spacing w:after="0" w:line="266" w:lineRule="auto"/>
        <w:rPr>
          <w:sz w:val="20"/>
          <w:szCs w:val="20"/>
          <w:color w:val="auto"/>
        </w:rPr>
      </w:pPr>
      <w:r>
        <w:rPr>
          <w:rFonts w:ascii="Times New Roman" w:cs="Times New Roman" w:eastAsia="Times New Roman" w:hAnsi="Times New Roman"/>
          <w:sz w:val="18"/>
          <w:szCs w:val="18"/>
          <w:color w:val="auto"/>
        </w:rPr>
        <w:t>Part 5 of Article 8 of the North Carolina Business Corporation Act authorizes a court to award, or a corporation’s board of directors to grant, indemnity to an officer, director, employee or agent of the corporation under certain circumstances and subject to certain limitations.</w:t>
      </w:r>
    </w:p>
    <w:p>
      <w:pPr>
        <w:spacing w:after="0" w:line="82" w:lineRule="exact"/>
        <w:rPr>
          <w:sz w:val="20"/>
          <w:szCs w:val="20"/>
          <w:color w:val="auto"/>
        </w:rPr>
      </w:pPr>
    </w:p>
    <w:p>
      <w:pPr>
        <w:ind w:left="700" w:firstLine="397"/>
        <w:spacing w:after="0" w:line="272" w:lineRule="auto"/>
        <w:rPr>
          <w:sz w:val="20"/>
          <w:szCs w:val="20"/>
          <w:color w:val="auto"/>
        </w:rPr>
      </w:pPr>
      <w:r>
        <w:rPr>
          <w:rFonts w:ascii="Times New Roman" w:cs="Times New Roman" w:eastAsia="Times New Roman" w:hAnsi="Times New Roman"/>
          <w:sz w:val="17"/>
          <w:szCs w:val="17"/>
          <w:color w:val="auto"/>
        </w:rPr>
        <w:t>Section 55-2-02(b)(3) of the North Carolina Business Corporation Act permits a corporation to provide in its articles of incorporation that a director of the corporation shall not be personally liable in an action by or in the right of the corporation for monetary damages for any breach of duty as a director under certain circumstances and subject to certain limitations. Sections 55-8-30(d) and</w:t>
      </w:r>
    </w:p>
    <w:p>
      <w:pPr>
        <w:spacing w:after="0" w:line="2" w:lineRule="exact"/>
        <w:rPr>
          <w:sz w:val="20"/>
          <w:szCs w:val="20"/>
          <w:color w:val="auto"/>
        </w:rPr>
      </w:pPr>
    </w:p>
    <w:p>
      <w:pPr>
        <w:jc w:val="both"/>
        <w:ind w:left="700" w:right="120"/>
        <w:spacing w:after="0" w:line="254" w:lineRule="auto"/>
        <w:rPr>
          <w:sz w:val="20"/>
          <w:szCs w:val="20"/>
          <w:color w:val="auto"/>
        </w:rPr>
      </w:pPr>
      <w:r>
        <w:rPr>
          <w:rFonts w:ascii="Times New Roman" w:cs="Times New Roman" w:eastAsia="Times New Roman" w:hAnsi="Times New Roman"/>
          <w:sz w:val="18"/>
          <w:szCs w:val="18"/>
          <w:color w:val="auto"/>
        </w:rPr>
        <w:t>55-8-42(d) provide that a director or officer of a corporation shall not be liable for any action taken as a director or officer or any failure to take any action if he performed the duties of his or her office (i) in good faith, (ii) with the care an ordinarily prudent person in a like position would exercise under similar circumstances and (iii) in a manner he or she reasonably believes to be in the best interests of the corporation.</w:t>
      </w:r>
    </w:p>
    <w:p>
      <w:pPr>
        <w:spacing w:after="0" w:line="91" w:lineRule="exact"/>
        <w:rPr>
          <w:sz w:val="20"/>
          <w:szCs w:val="20"/>
          <w:color w:val="auto"/>
        </w:rPr>
      </w:pPr>
    </w:p>
    <w:p>
      <w:pPr>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The articles of incorporation of Lake Norman Landfill, Inc. provide that, to the fullest extent permitted by the North Carolina Business Corporation Act, no person who is serving or has served as a director of the corporation shall be liable to the corporation nor to any of its shareholders for monetary damages for breach of duty as a director.</w:t>
      </w:r>
    </w:p>
    <w:p>
      <w:pPr>
        <w:spacing w:after="0" w:line="82"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The bylaws of each of the North Carolina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w:t>
      </w:r>
    </w:p>
    <w:p>
      <w:pPr>
        <w:spacing w:after="0" w:line="3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8"/>
          <w:szCs w:val="18"/>
          <w:color w:val="auto"/>
        </w:rPr>
        <w:t>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6" w:lineRule="exact"/>
        <w:rPr>
          <w:sz w:val="20"/>
          <w:szCs w:val="20"/>
          <w:color w:val="auto"/>
        </w:rPr>
      </w:pPr>
    </w:p>
    <w:p>
      <w:pPr>
        <w:ind w:left="700" w:right="80" w:firstLine="397"/>
        <w:spacing w:after="0" w:line="272" w:lineRule="auto"/>
        <w:rPr>
          <w:sz w:val="20"/>
          <w:szCs w:val="20"/>
          <w:color w:val="auto"/>
        </w:rPr>
      </w:pPr>
      <w:r>
        <w:rPr>
          <w:rFonts w:ascii="Times New Roman" w:cs="Times New Roman" w:eastAsia="Times New Roman" w:hAnsi="Times New Roman"/>
          <w:sz w:val="17"/>
          <w:szCs w:val="17"/>
          <w:color w:val="auto"/>
        </w:rPr>
        <w:t>The bylaws of each of the North Carolina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w:t>
      </w:r>
    </w:p>
    <w:p>
      <w:pPr>
        <w:spacing w:after="0" w:line="2" w:lineRule="exact"/>
        <w:rPr>
          <w:sz w:val="20"/>
          <w:szCs w:val="20"/>
          <w:color w:val="auto"/>
        </w:rPr>
      </w:pPr>
    </w:p>
    <w:p>
      <w:pPr>
        <w:ind w:left="700" w:right="20" w:hanging="7"/>
        <w:spacing w:after="0" w:line="251" w:lineRule="auto"/>
        <w:tabs>
          <w:tab w:leader="none" w:pos="9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95" w:lineRule="exact"/>
        <w:rPr>
          <w:rFonts w:ascii="Times New Roman" w:cs="Times New Roman" w:eastAsia="Times New Roman" w:hAnsi="Times New Roman"/>
          <w:sz w:val="18"/>
          <w:szCs w:val="18"/>
          <w:color w:val="auto"/>
        </w:rPr>
      </w:pPr>
    </w:p>
    <w:p>
      <w:pPr>
        <w:ind w:left="700" w:right="340" w:firstLine="390"/>
        <w:spacing w:after="0" w:line="286" w:lineRule="auto"/>
        <w:tabs>
          <w:tab w:leader="none" w:pos="1352"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Systems of North Carolina, LLC, Allied Waste Transfer Services of North Carolina, LLC and Republic Services of North Carolina, LLC are organized as limited liability companies under the laws of North Carolina.</w:t>
      </w:r>
    </w:p>
    <w:p>
      <w:pPr>
        <w:spacing w:after="0" w:line="64" w:lineRule="exact"/>
        <w:rPr>
          <w:sz w:val="20"/>
          <w:szCs w:val="20"/>
          <w:color w:val="auto"/>
        </w:rPr>
      </w:pPr>
    </w:p>
    <w:p>
      <w:pPr>
        <w:ind w:left="700" w:right="320" w:firstLine="397"/>
        <w:spacing w:after="0" w:line="313" w:lineRule="auto"/>
        <w:rPr>
          <w:sz w:val="20"/>
          <w:szCs w:val="20"/>
          <w:color w:val="auto"/>
        </w:rPr>
      </w:pPr>
      <w:r>
        <w:rPr>
          <w:rFonts w:ascii="Times New Roman" w:cs="Times New Roman" w:eastAsia="Times New Roman" w:hAnsi="Times New Roman"/>
          <w:sz w:val="17"/>
          <w:szCs w:val="17"/>
          <w:color w:val="auto"/>
        </w:rPr>
        <w:t>Sections 53C-3-31 and 53C-3-32 of the North Carolina Limited Liability Company Act authorize a limited liability company to indemnify a member, manager, director or executive of the company under certain circumstances and subject to certain limitations.</w:t>
      </w:r>
    </w:p>
    <w:p>
      <w:pPr>
        <w:spacing w:after="0" w:line="44" w:lineRule="exact"/>
        <w:rPr>
          <w:sz w:val="20"/>
          <w:szCs w:val="20"/>
          <w:color w:val="auto"/>
        </w:rPr>
      </w:pPr>
    </w:p>
    <w:p>
      <w:pPr>
        <w:ind w:left="700" w:right="460" w:firstLine="397"/>
        <w:spacing w:after="0" w:line="276" w:lineRule="auto"/>
        <w:rPr>
          <w:sz w:val="20"/>
          <w:szCs w:val="20"/>
          <w:color w:val="auto"/>
        </w:rPr>
      </w:pPr>
      <w:r>
        <w:rPr>
          <w:rFonts w:ascii="Times New Roman" w:cs="Times New Roman" w:eastAsia="Times New Roman" w:hAnsi="Times New Roman"/>
          <w:sz w:val="17"/>
          <w:szCs w:val="17"/>
          <w:color w:val="auto"/>
        </w:rPr>
        <w:t>Section 57C-3-22(d) of the North Carolina Limited Liability Company Act provides that a manager shall not be liable for any action taken as a manager or any failure to take any action if the manager performs the duties of his or her office (i) in good faith,</w:t>
      </w:r>
    </w:p>
    <w:p>
      <w:pPr>
        <w:spacing w:after="0" w:line="1" w:lineRule="exact"/>
        <w:rPr>
          <w:sz w:val="20"/>
          <w:szCs w:val="20"/>
          <w:color w:val="auto"/>
        </w:rPr>
      </w:pPr>
    </w:p>
    <w:p>
      <w:pPr>
        <w:ind w:left="700" w:right="360" w:hanging="7"/>
        <w:spacing w:after="0" w:line="261" w:lineRule="auto"/>
        <w:tabs>
          <w:tab w:leader="none" w:pos="9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care an ordinary prudent person in a like position would exercise under similar circumstances and (iii) in the manner the manager reasonably believes to be in the best interests of the limited liability company.</w:t>
      </w:r>
    </w:p>
    <w:p>
      <w:pPr>
        <w:spacing w:after="0" w:line="85" w:lineRule="exact"/>
        <w:rPr>
          <w:sz w:val="20"/>
          <w:szCs w:val="20"/>
          <w:color w:val="auto"/>
        </w:rPr>
      </w:pPr>
    </w:p>
    <w:p>
      <w:pPr>
        <w:ind w:left="700" w:right="8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Allied Waste Systems of North Carolina, LLC and Allied Waste Transfer Services of North Carolina,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93" w:lineRule="exact"/>
        <w:rPr>
          <w:sz w:val="20"/>
          <w:szCs w:val="20"/>
          <w:color w:val="auto"/>
        </w:rPr>
      </w:pPr>
    </w:p>
    <w:p>
      <w:pPr>
        <w:ind w:left="700" w:right="58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certificate of formation or the operating agreement of Republic Services of North Carolina, LLC.</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Ohio Registrants:</w:t>
      </w:r>
    </w:p>
    <w:p>
      <w:pPr>
        <w:spacing w:after="0" w:line="131" w:lineRule="exact"/>
        <w:rPr>
          <w:sz w:val="20"/>
          <w:szCs w:val="20"/>
          <w:color w:val="auto"/>
        </w:rPr>
      </w:pPr>
    </w:p>
    <w:p>
      <w:pPr>
        <w:jc w:val="both"/>
        <w:ind w:left="700" w:right="420" w:firstLine="390"/>
        <w:spacing w:after="0" w:line="262" w:lineRule="auto"/>
        <w:tabs>
          <w:tab w:leader="none" w:pos="135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Celina Landfill, Inc., Cherokee Run Landfill, Inc., Dempsey Waste Systems II, Inc., Noble Road Landfill, Inc., Ohio Republic Contracts, Inc., Port Clinton Landfill, Inc., Preble County Landfill, Inc., R.C. Miller Enterprises, Inc., R.C. Miller Refuse Service Inc., Ross Bros. Waste &amp; Recycling Co., The Ecology Group, Inc. and Williams County Landfill Inc. are incorporated under the laws of Ohio.</w:t>
      </w:r>
    </w:p>
    <w:p>
      <w:pPr>
        <w:spacing w:after="0" w:line="86" w:lineRule="exact"/>
        <w:rPr>
          <w:sz w:val="20"/>
          <w:szCs w:val="20"/>
          <w:color w:val="auto"/>
        </w:rPr>
      </w:pPr>
    </w:p>
    <w:p>
      <w:pPr>
        <w:ind w:left="700" w:right="40" w:firstLine="397"/>
        <w:spacing w:after="0" w:line="313" w:lineRule="auto"/>
        <w:rPr>
          <w:sz w:val="20"/>
          <w:szCs w:val="20"/>
          <w:color w:val="auto"/>
        </w:rPr>
      </w:pPr>
      <w:r>
        <w:rPr>
          <w:rFonts w:ascii="Times New Roman" w:cs="Times New Roman" w:eastAsia="Times New Roman" w:hAnsi="Times New Roman"/>
          <w:sz w:val="17"/>
          <w:szCs w:val="17"/>
          <w:color w:val="auto"/>
        </w:rPr>
        <w:t>Section 1701.13(E) of the Ohio General Corporation Law authorizes a court to award, or a corporation’s board of directors to grant, indemnity to an officer, director, employee or agent of the corporation under certain circumstances and subject to certain limitations.</w:t>
      </w:r>
    </w:p>
    <w:p>
      <w:pPr>
        <w:spacing w:after="0" w:line="44" w:lineRule="exact"/>
        <w:rPr>
          <w:sz w:val="20"/>
          <w:szCs w:val="20"/>
          <w:color w:val="auto"/>
        </w:rPr>
      </w:pPr>
    </w:p>
    <w:p>
      <w:pPr>
        <w:ind w:left="700" w:right="180" w:firstLine="397"/>
        <w:spacing w:after="0" w:line="258" w:lineRule="auto"/>
        <w:rPr>
          <w:sz w:val="20"/>
          <w:szCs w:val="20"/>
          <w:color w:val="auto"/>
        </w:rPr>
      </w:pPr>
      <w:r>
        <w:rPr>
          <w:rFonts w:ascii="Times New Roman" w:cs="Times New Roman" w:eastAsia="Times New Roman" w:hAnsi="Times New Roman"/>
          <w:sz w:val="18"/>
          <w:szCs w:val="18"/>
          <w:color w:val="auto"/>
        </w:rPr>
        <w:t>Section 1701.59(D) of the Ohio General Corporation Law provides that, unless otherwise provided in the articles of incorporation or bylaws, a director shall be liable in damages for any action that the director takes or fails to take as a director only if it is proved by clear and convincing evidence in a court of competent jurisdiction that the director’s action or failure to act involved an act or omission undertaken with deliberate intent to cause injury to the corporation or undertaken with reckless disregard for the best interests of the corporation.</w:t>
      </w:r>
    </w:p>
    <w:p>
      <w:pPr>
        <w:spacing w:after="0" w:line="89" w:lineRule="exact"/>
        <w:rPr>
          <w:sz w:val="20"/>
          <w:szCs w:val="20"/>
          <w:color w:val="auto"/>
        </w:rPr>
      </w:pPr>
    </w:p>
    <w:p>
      <w:pPr>
        <w:ind w:left="700" w:right="40" w:firstLine="397"/>
        <w:spacing w:after="0" w:line="255" w:lineRule="auto"/>
        <w:rPr>
          <w:sz w:val="20"/>
          <w:szCs w:val="20"/>
          <w:color w:val="auto"/>
        </w:rPr>
      </w:pPr>
      <w:r>
        <w:rPr>
          <w:rFonts w:ascii="Times New Roman" w:cs="Times New Roman" w:eastAsia="Times New Roman" w:hAnsi="Times New Roman"/>
          <w:sz w:val="18"/>
          <w:szCs w:val="18"/>
          <w:color w:val="auto"/>
        </w:rPr>
        <w:t>The articles of incorporation of R.C. Miller Enterprises, Inc. provide that the corporation shall indemnify and hold harmless each person who shall serve at any time as a director or officer of the corporation from and against any and all claims and liabilities to which such person shall become subject by reason of his or her having been a director or officer of the corporation, or by reason of any action alleged to have been taken or omitted by him or her as such director or officer, and shall reimburse each such person for all legal and other expenses reasonably incurred by such person in connection with any such claim or liability; provided, however, that no such person shall be indemnified against or be reimbursed for any expense incurred arising out of such person’s own negligence or willful misconduct.</w:t>
      </w:r>
    </w:p>
    <w:p>
      <w:pPr>
        <w:spacing w:after="0" w:line="95" w:lineRule="exact"/>
        <w:rPr>
          <w:sz w:val="20"/>
          <w:szCs w:val="20"/>
          <w:color w:val="auto"/>
        </w:rPr>
      </w:pPr>
    </w:p>
    <w:p>
      <w:pPr>
        <w:ind w:left="700" w:right="140" w:firstLine="397"/>
        <w:spacing w:after="0" w:line="258" w:lineRule="auto"/>
        <w:rPr>
          <w:sz w:val="20"/>
          <w:szCs w:val="20"/>
          <w:color w:val="auto"/>
        </w:rPr>
      </w:pPr>
      <w:r>
        <w:rPr>
          <w:rFonts w:ascii="Times New Roman" w:cs="Times New Roman" w:eastAsia="Times New Roman" w:hAnsi="Times New Roman"/>
          <w:sz w:val="18"/>
          <w:szCs w:val="18"/>
          <w:color w:val="auto"/>
        </w:rPr>
        <w:t>The bylaws of Celina Landfill, Inc. provide that each director, officer and non-officer employee of the corporation shall be indemnified by the corporation against the costs and expenses reasonably incurred by such person in connection with the defense of any action, suit or proceeding to which such person is made a party by reason of being or having been a director, officer or non-officer employee of the corporation, except with respect to matters as to which such person shall be adjudged in such action to be liable for dereliction or negligence in the performance of such person’s duties as director, officer or non-officer employee.</w:t>
      </w:r>
    </w:p>
    <w:p>
      <w:pPr>
        <w:spacing w:after="0" w:line="89"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Cherokee Run Landfill, Inc. provide that the corporation shall indemnify any person who was or is a party or is threatened to be made a party to any threatened, pending or completed action, suit or proceeding, whether civil, criminal, administrative or investigative (other than an action threatened or instituted directly by the corporation) by reason of the fact that such person is or was a director, officer, employee or agent of the corporation, or is or was serving at the request of the corporation as a director, trustee,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conduct was unlawful. The corporation may indemnify or agree to indemnify any person who was or is a party or is threatened to be made a party to any threatened, pending or completed action or suit which is threatened or instituted by the corporation directly (rather than a derivative action in the right of the corporation) to procure a judgment in its favor by reason of the fact that such person is or was a director, officer, employee or agent of the corporation, or is or was serving at the request of the corporation as a director, trustee, officer, employee or agent of another entity or other enterprise, against expenses (including attorneys’ fees) actually and reasonably incurred by him or her in connection with such action or suit of such person acted in good faith and in a manner such person reasonably believed to be in or not opposed to the best interests of the corporation, except that no such indemnification shall be made in respect of any claim, issue or matter as to which such person shall have been adjudged to be liable for negligence or misconduct in the performance of his or her duty to the corporation unless and only to the extent that the Court of Common Pleas of Madison County, Ohio or the court in which such action or suit was brought shall determine upon application that, despite the adjudication of liability, but in view of all the circumstances of the case, such person is fairly and reasonably entitled to indemnity for such expenses as such court shall deem proper.</w:t>
      </w:r>
    </w:p>
    <w:p>
      <w:pPr>
        <w:spacing w:after="0" w:line="38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20" w:firstLine="397"/>
        <w:spacing w:after="0" w:line="255" w:lineRule="auto"/>
        <w:rPr>
          <w:sz w:val="20"/>
          <w:szCs w:val="20"/>
          <w:color w:val="auto"/>
        </w:rPr>
      </w:pPr>
      <w:r>
        <w:rPr>
          <w:rFonts w:ascii="Times New Roman" w:cs="Times New Roman" w:eastAsia="Times New Roman" w:hAnsi="Times New Roman"/>
          <w:sz w:val="18"/>
          <w:szCs w:val="18"/>
          <w:color w:val="auto"/>
        </w:rPr>
        <w:t>The bylaws of Cherokee Run Landfill, Inc. also provide that, to the extent that a director, trustee, officer, employee or agent has been successful on the merits or otherwise in defense of any such action, suit or proceeding or in defense of any claim, issue or matter therein, such person shall be indemnified against expenses (including attorneys’ fees) actually and reasonably incurred by him or her in connection therewith. The corporation may purchase and maintain insurance on behalf of any person who is or was a director, officer, employee or agent of the corporation, or is or was serving at the request of the corporation as a director, trustee, officer, employee, or agent of another entity or other enterprise, against any liability asserted against him or her and incurred by him or her in any such capacity, or arising out of his status as such, whether or not the corporation would have the power to indemnify him or her against such liability under the bylaws of the corporation.</w:t>
      </w:r>
    </w:p>
    <w:p>
      <w:pPr>
        <w:spacing w:after="0" w:line="91"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Dempsey Waste Systems II, Inc., Noble Road Landfill, Inc., Ohio Republic Contracts, Inc., Port Clinton Landfill, Inc., Preble County Landfill, Inc., R.C. Miller Enterprises, Inc., R.C. Miller Refuse Service Inc., Ross Bros. Waste &amp; Recycling Co., The Ecology Group, Inc. and Williams County Landfill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8" w:lineRule="exact"/>
        <w:rPr>
          <w:sz w:val="20"/>
          <w:szCs w:val="20"/>
          <w:color w:val="auto"/>
        </w:rPr>
      </w:pPr>
    </w:p>
    <w:p>
      <w:pPr>
        <w:ind w:left="700" w:firstLine="397"/>
        <w:spacing w:after="0" w:line="268" w:lineRule="auto"/>
        <w:rPr>
          <w:sz w:val="20"/>
          <w:szCs w:val="20"/>
          <w:color w:val="auto"/>
        </w:rPr>
      </w:pPr>
      <w:r>
        <w:rPr>
          <w:rFonts w:ascii="Times New Roman" w:cs="Times New Roman" w:eastAsia="Times New Roman" w:hAnsi="Times New Roman"/>
          <w:sz w:val="17"/>
          <w:szCs w:val="17"/>
          <w:color w:val="auto"/>
        </w:rPr>
        <w:t>The bylaws of each of Dempsey Waste Systems II, Inc., Noble Road Landfill, Inc., Ohio Republic Contracts, Inc., Port Clinton Landfill, Inc., Preble County Landfill, Inc., R.C. Miller Enterprises, Inc., R.C. Miller Refuse Service Inc., Ross Bros. Waste &amp; Recycling Co., The Ecology Group, Inc. and Williams County Landfill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84" w:lineRule="exact"/>
        <w:rPr>
          <w:sz w:val="20"/>
          <w:szCs w:val="20"/>
          <w:color w:val="auto"/>
        </w:rPr>
      </w:pPr>
    </w:p>
    <w:p>
      <w:pPr>
        <w:ind w:left="700" w:right="560" w:firstLine="390"/>
        <w:spacing w:after="0" w:line="286" w:lineRule="auto"/>
        <w:tabs>
          <w:tab w:leader="none" w:pos="1352"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Transfer Services of Lima, LLC, AWIN Leasing II, LLC, Carbon Limestone Landfill, LLC, County Environmental Landfill, LLC, County Land Development Landfill, LLC, General Refuse</w:t>
      </w:r>
    </w:p>
    <w:p>
      <w:pPr>
        <w:spacing w:after="0" w:line="34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right="60"/>
        <w:spacing w:after="0" w:line="268" w:lineRule="auto"/>
        <w:rPr>
          <w:sz w:val="20"/>
          <w:szCs w:val="20"/>
          <w:color w:val="auto"/>
        </w:rPr>
      </w:pPr>
      <w:r>
        <w:rPr>
          <w:rFonts w:ascii="Times New Roman" w:cs="Times New Roman" w:eastAsia="Times New Roman" w:hAnsi="Times New Roman"/>
          <w:sz w:val="18"/>
          <w:szCs w:val="18"/>
          <w:b w:val="1"/>
          <w:bCs w:val="1"/>
          <w:color w:val="auto"/>
        </w:rPr>
        <w:t>Service of Ohio, L.L.C., Lorain County Landfill, LLC, Lucas County Landfill, LLC, Republic Ohio Contracts, LLC, Republic Services of Ohio Hauling, LLC, Republic Services of Ohio I, LLC, Republic Services of Ohio II, LLC, Republic Services of Ohio III, LLC and Republic Services of Ohio IV, LLC are organized as limited liability companies under the laws of Ohio.</w:t>
      </w:r>
    </w:p>
    <w:p>
      <w:pPr>
        <w:spacing w:after="0" w:line="80" w:lineRule="exact"/>
        <w:rPr>
          <w:sz w:val="20"/>
          <w:szCs w:val="20"/>
          <w:color w:val="auto"/>
        </w:rPr>
      </w:pPr>
    </w:p>
    <w:p>
      <w:pPr>
        <w:ind w:left="700" w:right="460" w:firstLine="397"/>
        <w:spacing w:after="0" w:line="282" w:lineRule="auto"/>
        <w:rPr>
          <w:sz w:val="20"/>
          <w:szCs w:val="20"/>
          <w:color w:val="auto"/>
        </w:rPr>
      </w:pPr>
      <w:r>
        <w:rPr>
          <w:rFonts w:ascii="Times New Roman" w:cs="Times New Roman" w:eastAsia="Times New Roman" w:hAnsi="Times New Roman"/>
          <w:sz w:val="18"/>
          <w:szCs w:val="18"/>
          <w:color w:val="auto"/>
        </w:rPr>
        <w:t>Section 1705.32 of the Ohio Revised Code authorizes a court to award, or a limited liability company to grant, indemnity to a manager, officer, employee or agent of the company under certain circumstances and subject to certain limitations.</w:t>
      </w:r>
    </w:p>
    <w:p>
      <w:pPr>
        <w:spacing w:after="0" w:line="67"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Section 1705.29(D) of the Ohio Revised Code provides that, unless otherwise provided in the articles of incorporation or operating agreement, a manager of a limited liability company shall be liable for damages for any action that such manager takes or fails to take as a manager only if it is proved by clear and convincing evidence in a court with jurisdiction that his action or failure to act involved an act or omission undertaken with deliberate intent to cause injury to the company or undertaken with reckless disregard for the best interests of the company.</w:t>
      </w:r>
    </w:p>
    <w:p>
      <w:pPr>
        <w:spacing w:after="0" w:line="89"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AWIN Leasing II, LLC and General Refuse Service of Ohio,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93" w:lineRule="exact"/>
        <w:rPr>
          <w:sz w:val="20"/>
          <w:szCs w:val="20"/>
          <w:color w:val="auto"/>
        </w:rPr>
      </w:pPr>
    </w:p>
    <w:p>
      <w:pPr>
        <w:ind w:left="700" w:right="40" w:firstLine="397"/>
        <w:spacing w:after="0" w:line="261" w:lineRule="auto"/>
        <w:rPr>
          <w:sz w:val="20"/>
          <w:szCs w:val="20"/>
          <w:color w:val="auto"/>
        </w:rPr>
      </w:pPr>
      <w:r>
        <w:rPr>
          <w:rFonts w:ascii="Times New Roman" w:cs="Times New Roman" w:eastAsia="Times New Roman" w:hAnsi="Times New Roman"/>
          <w:sz w:val="18"/>
          <w:szCs w:val="18"/>
          <w:color w:val="auto"/>
        </w:rPr>
        <w:t>The operating agreement of each of Allied Waste Transfer Services of Lima, LLC, Carbon Limestone Landfill, LLC, County Environmental Landfill, LLC, County Land Development Landfill, LLC, Lorain County Landfill, LLC and Lucas County Landfill, LLC provides for identical indemnification as described in the preceding paragraph, except that such indemnification is also provided to the directors of the sole member of the company.</w:t>
      </w:r>
    </w:p>
    <w:p>
      <w:pPr>
        <w:spacing w:after="0" w:line="86" w:lineRule="exact"/>
        <w:rPr>
          <w:sz w:val="20"/>
          <w:szCs w:val="20"/>
          <w:color w:val="auto"/>
        </w:rPr>
      </w:pPr>
    </w:p>
    <w:p>
      <w:pPr>
        <w:ind w:left="700" w:right="140" w:firstLine="397"/>
        <w:spacing w:after="0" w:line="266"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certificate of formation or the operating agreement of Republic Ohio Contracts, LLC, Republic Services of Ohio Hauling, LLC, Republic Services of Ohio I, LLC, Republic Services of Ohio II, LLC, Republic Services of Ohio III, LLC or Republic Services of Ohio IV, LLC.</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Oklahoma Registrants:</w:t>
      </w:r>
    </w:p>
    <w:p>
      <w:pPr>
        <w:spacing w:after="0" w:line="131" w:lineRule="exact"/>
        <w:rPr>
          <w:sz w:val="20"/>
          <w:szCs w:val="20"/>
          <w:color w:val="auto"/>
        </w:rPr>
      </w:pPr>
    </w:p>
    <w:p>
      <w:pPr>
        <w:ind w:left="700" w:right="160" w:firstLine="390"/>
        <w:spacing w:after="0" w:line="286" w:lineRule="auto"/>
        <w:tabs>
          <w:tab w:leader="none" w:pos="1342"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ADS, Inc., Allied Waste Services of Stillwater, Inc., American Disposal Services of Missouri, Inc. and Pittsburg County Landfill, Inc. are incorporated under the laws of Oklahoma.</w:t>
      </w:r>
    </w:p>
    <w:p>
      <w:pPr>
        <w:spacing w:after="0" w:line="64" w:lineRule="exact"/>
        <w:rPr>
          <w:sz w:val="20"/>
          <w:szCs w:val="20"/>
          <w:color w:val="auto"/>
        </w:rPr>
      </w:pPr>
    </w:p>
    <w:p>
      <w:pPr>
        <w:ind w:left="700" w:right="140" w:firstLine="397"/>
        <w:spacing w:after="0" w:line="313" w:lineRule="auto"/>
        <w:rPr>
          <w:sz w:val="20"/>
          <w:szCs w:val="20"/>
          <w:color w:val="auto"/>
        </w:rPr>
      </w:pPr>
      <w:r>
        <w:rPr>
          <w:rFonts w:ascii="Times New Roman" w:cs="Times New Roman" w:eastAsia="Times New Roman" w:hAnsi="Times New Roman"/>
          <w:sz w:val="17"/>
          <w:szCs w:val="17"/>
          <w:color w:val="auto"/>
        </w:rPr>
        <w:t>Section 1031 of the Oklahoma General Corporation Act authorizes a court to award, or a corporation’s board of directors to grant, indemnity to an officer, director, employee or agent of the corporation under certain circumstances and subject to certain limitations.</w:t>
      </w:r>
    </w:p>
    <w:p>
      <w:pPr>
        <w:spacing w:after="0" w:line="44"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Section 1006(B)(7) of the Oklahoma General Corporation Act permits a corporation to provide in its certificate of incorporation that a director of the corporation shall not be personally liable to the corporation or its shareholders for monetary damages for any breach of a fiduciary duty as a director, subject to certain limitations.</w:t>
      </w:r>
    </w:p>
    <w:p>
      <w:pPr>
        <w:spacing w:after="0" w:line="82" w:lineRule="exact"/>
        <w:rPr>
          <w:sz w:val="20"/>
          <w:szCs w:val="20"/>
          <w:color w:val="auto"/>
        </w:rPr>
      </w:pPr>
    </w:p>
    <w:p>
      <w:pPr>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of each of ADS, Inc., American Disposal Services of Missouri, Inc. and Pittsburg County Landfill, Inc. provides that, to the fullest extent permitted by the Oklahoma General Corporation Act, a director of the corporation shall not be liable to the corporation or its shareholders for monetary damages for breach of fiduciary duty as a director.</w:t>
      </w:r>
    </w:p>
    <w:p>
      <w:pPr>
        <w:spacing w:after="0" w:line="82" w:lineRule="exact"/>
        <w:rPr>
          <w:sz w:val="20"/>
          <w:szCs w:val="20"/>
          <w:color w:val="auto"/>
        </w:rPr>
      </w:pPr>
    </w:p>
    <w:p>
      <w:pPr>
        <w:jc w:val="both"/>
        <w:ind w:left="700" w:firstLine="397"/>
        <w:spacing w:after="0" w:line="274" w:lineRule="auto"/>
        <w:rPr>
          <w:sz w:val="20"/>
          <w:szCs w:val="20"/>
          <w:color w:val="auto"/>
        </w:rPr>
      </w:pPr>
      <w:r>
        <w:rPr>
          <w:rFonts w:ascii="Times New Roman" w:cs="Times New Roman" w:eastAsia="Times New Roman" w:hAnsi="Times New Roman"/>
          <w:sz w:val="17"/>
          <w:szCs w:val="17"/>
          <w:color w:val="auto"/>
        </w:rPr>
        <w:t>The bylaws of each of the Oklahoma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w:t>
      </w: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8"/>
          <w:szCs w:val="18"/>
          <w:color w:val="auto"/>
        </w:rPr>
        <w:t>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8" w:lineRule="exact"/>
        <w:rPr>
          <w:sz w:val="20"/>
          <w:szCs w:val="20"/>
          <w:color w:val="auto"/>
        </w:rPr>
      </w:pPr>
    </w:p>
    <w:p>
      <w:pPr>
        <w:ind w:left="700" w:right="60" w:firstLine="397"/>
        <w:spacing w:after="0" w:line="253" w:lineRule="auto"/>
        <w:rPr>
          <w:sz w:val="20"/>
          <w:szCs w:val="20"/>
          <w:color w:val="auto"/>
        </w:rPr>
      </w:pPr>
      <w:r>
        <w:rPr>
          <w:rFonts w:ascii="Times New Roman" w:cs="Times New Roman" w:eastAsia="Times New Roman" w:hAnsi="Times New Roman"/>
          <w:sz w:val="18"/>
          <w:szCs w:val="18"/>
          <w:color w:val="auto"/>
        </w:rPr>
        <w:t>The bylaws of each of the Oklahoma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90" w:lineRule="exact"/>
        <w:rPr>
          <w:sz w:val="20"/>
          <w:szCs w:val="20"/>
          <w:color w:val="auto"/>
        </w:rPr>
      </w:pPr>
    </w:p>
    <w:p>
      <w:pPr>
        <w:ind w:left="700" w:right="80" w:firstLine="390"/>
        <w:spacing w:after="0" w:line="286" w:lineRule="auto"/>
        <w:tabs>
          <w:tab w:leader="none" w:pos="1362"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BFI Waste Systems of Oklahoma, LLC and Oklahoma City Landfill, L.L.C. are organized as limited liability companies under the laws of Oklahoma.</w:t>
      </w:r>
    </w:p>
    <w:p>
      <w:pPr>
        <w:spacing w:after="0" w:line="64" w:lineRule="exact"/>
        <w:rPr>
          <w:sz w:val="20"/>
          <w:szCs w:val="20"/>
          <w:color w:val="auto"/>
        </w:rPr>
      </w:pPr>
    </w:p>
    <w:p>
      <w:pPr>
        <w:ind w:left="700" w:right="60" w:firstLine="397"/>
        <w:spacing w:after="0" w:line="282" w:lineRule="auto"/>
        <w:rPr>
          <w:sz w:val="20"/>
          <w:szCs w:val="20"/>
          <w:color w:val="auto"/>
        </w:rPr>
      </w:pPr>
      <w:r>
        <w:rPr>
          <w:rFonts w:ascii="Times New Roman" w:cs="Times New Roman" w:eastAsia="Times New Roman" w:hAnsi="Times New Roman"/>
          <w:sz w:val="18"/>
          <w:szCs w:val="18"/>
          <w:color w:val="auto"/>
        </w:rPr>
        <w:t>Section 2003 and 2017 of the Oklahoma Limited Liability Act permit a limited liability company to indemnify a member, manager, agent or employee of the company under certain circumstances and subject to certain limitations.</w:t>
      </w:r>
    </w:p>
    <w:p>
      <w:pPr>
        <w:spacing w:after="0" w:line="67"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Section 2016(4) of the Oklahoma Limited Liability Company Act provides that a manager shall not be liable for any action taken as a manager or any failure to take any action if the manager performed the duties of the office in compliance with the business judgment rule as applied in Oklahoma to directors and officers of a corporation.</w:t>
      </w:r>
    </w:p>
    <w:p>
      <w:pPr>
        <w:spacing w:after="0" w:line="82"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BFI Waste Systems of Oklahoma,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93" w:lineRule="exact"/>
        <w:rPr>
          <w:sz w:val="20"/>
          <w:szCs w:val="20"/>
          <w:color w:val="auto"/>
        </w:rPr>
      </w:pPr>
    </w:p>
    <w:p>
      <w:pPr>
        <w:ind w:left="700" w:right="300" w:firstLine="397"/>
        <w:spacing w:after="0" w:line="282" w:lineRule="auto"/>
        <w:rPr>
          <w:sz w:val="20"/>
          <w:szCs w:val="20"/>
          <w:color w:val="auto"/>
        </w:rPr>
      </w:pPr>
      <w:r>
        <w:rPr>
          <w:rFonts w:ascii="Times New Roman" w:cs="Times New Roman" w:eastAsia="Times New Roman" w:hAnsi="Times New Roman"/>
          <w:sz w:val="18"/>
          <w:szCs w:val="18"/>
          <w:color w:val="auto"/>
        </w:rPr>
        <w:t>The operating agreement of Oklahoma City Landfill, L.L.C. provides for identical indemnification as described in the preceding paragraph, except that such indemnification is also provided to the directors of the sole member of the company.</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Oregon Registrants:</w:t>
      </w:r>
    </w:p>
    <w:p>
      <w:pPr>
        <w:spacing w:after="0" w:line="131" w:lineRule="exact"/>
        <w:rPr>
          <w:sz w:val="20"/>
          <w:szCs w:val="20"/>
          <w:color w:val="auto"/>
        </w:rPr>
      </w:pPr>
    </w:p>
    <w:p>
      <w:pPr>
        <w:ind w:left="700" w:firstLine="390"/>
        <w:spacing w:after="0" w:line="259" w:lineRule="auto"/>
        <w:tabs>
          <w:tab w:leader="none" w:pos="134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Agri-Tech, Inc. of Oregon, Albany — Lebanon Sanitation, Inc., Bio-Med of Oregon, Inc., Capitol Recycling and Disposal, Inc., Corvallis Disposal Co., Dallas Disposal Co., Grants Pass Sanitation, Inc., Keller Drop Box, Inc., McInnis Waste Systems, Inc., Peltier Real Estate Company, Portable Storage Co., Rossman Sanitary Service, Inc., Source Recycling, Inc., United Disposal Service, Inc., Valley Landfills, Inc., Waste Control Systems, Inc., WDTR, Inc. and Willamette Resources, Inc. are incorporated under the laws of Oregon.</w:t>
      </w:r>
    </w:p>
    <w:p>
      <w:pPr>
        <w:spacing w:after="0" w:line="89" w:lineRule="exact"/>
        <w:rPr>
          <w:sz w:val="20"/>
          <w:szCs w:val="20"/>
          <w:color w:val="auto"/>
        </w:rPr>
      </w:pPr>
    </w:p>
    <w:p>
      <w:pPr>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Sections 60.387 et seq. of the Oregon Business Corporation Act authorize a court to award, or a corporation’s board of directors to grant, indemnity to an officer, director, employee or agent of the corporation under certain circumstances and subject to certain limitations.</w:t>
      </w:r>
    </w:p>
    <w:p>
      <w:pPr>
        <w:spacing w:after="0" w:line="82"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Section 60.047(2)(d) of the Oregon Business Corporation Act permits a corporation to provide in its articles of incorporation that a director of the corporation shall not be personally liable to the corporation or its shareholders for monetary damages for conduct as a director, subject to certain limitations. Sections 60.357 and 60.377 of the Oregon Business Corporation Act provide that a director or officer of a corporation shall not be liable for any action taken as a director or officer or any failure to take any action if he or she performed the duties of the office in good faith, with the care an ordinarily prudent person in a like position would exercise under similar circumstances and in a manner he or she reasonably believes to be in the best interests of the corporation.</w:t>
      </w:r>
    </w:p>
    <w:p>
      <w:pPr>
        <w:spacing w:after="0" w:line="93" w:lineRule="exact"/>
        <w:rPr>
          <w:sz w:val="20"/>
          <w:szCs w:val="20"/>
          <w:color w:val="auto"/>
        </w:rPr>
      </w:pPr>
    </w:p>
    <w:p>
      <w:pPr>
        <w:ind w:left="700" w:right="140" w:firstLine="397"/>
        <w:spacing w:after="0" w:line="255" w:lineRule="auto"/>
        <w:rPr>
          <w:sz w:val="20"/>
          <w:szCs w:val="20"/>
          <w:color w:val="auto"/>
        </w:rPr>
      </w:pPr>
      <w:r>
        <w:rPr>
          <w:rFonts w:ascii="Times New Roman" w:cs="Times New Roman" w:eastAsia="Times New Roman" w:hAnsi="Times New Roman"/>
          <w:sz w:val="18"/>
          <w:szCs w:val="18"/>
          <w:color w:val="auto"/>
        </w:rPr>
        <w:t>The articles of incorporation of each of Agri-Tech, Inc. of Oregon, Albany — Lebanon Sanitation, Inc., Bio-Med of Oregon, Inc., Capitol Recycling and Disposal, Inc., Corvallis Disposal Co., Dallas Disposal Co., Grants Pass Sanitation, Inc., Keller Drop Box, Inc., Peltier Real Estate Company, Portable Storage Co., Source Recycling, Inc., United Disposal Service, Inc., Valley Landfills, Inc., Waste Control Systems, Inc., WDTR, Inc. and Willamette Resources, Inc. provide that the corporation shall indemnify, to the fullest extent permitted by law, any person who is made or threatened to be made a party to, witness in, or otherwise involved in, any action, suit or proceeding by reason of the fact that such person is or was a director or officer of the corporation or any of its subsidiaries. The corporation shall advance all reasonable expenses incurred by such person in advance of the proceeding to the fullest extent required or authorized under the law.</w:t>
      </w:r>
    </w:p>
    <w:p>
      <w:pPr>
        <w:spacing w:after="0" w:line="91" w:lineRule="exact"/>
        <w:rPr>
          <w:sz w:val="20"/>
          <w:szCs w:val="20"/>
          <w:color w:val="auto"/>
        </w:rPr>
      </w:pPr>
    </w:p>
    <w:p>
      <w:pPr>
        <w:ind w:left="700" w:right="60" w:firstLine="397"/>
        <w:spacing w:after="0" w:line="254" w:lineRule="auto"/>
        <w:rPr>
          <w:sz w:val="20"/>
          <w:szCs w:val="20"/>
          <w:color w:val="auto"/>
        </w:rPr>
      </w:pPr>
      <w:r>
        <w:rPr>
          <w:rFonts w:ascii="Times New Roman" w:cs="Times New Roman" w:eastAsia="Times New Roman" w:hAnsi="Times New Roman"/>
          <w:sz w:val="18"/>
          <w:szCs w:val="18"/>
          <w:color w:val="auto"/>
        </w:rPr>
        <w:t>The articles of incorporation of each of Agri-Tech, Inc. of Oregon, Albany — Lebanon Sanitation, Inc., Bio-Med of Oregon, Inc., Capitol Recycling and Disposal, Inc., Corvallis Disposal Co., Dallas Disposal Co., Grants Pass Sanitation, Inc., Keller Drop Box, Inc., Peltier Real Estate Company, Portable Storage Co., Source Recycling, Inc., United Disposal Service, Inc., Valley Landfills, Inc., Waste Control Systems, Inc., WDTR, Inc. and Willamette Resources, Inc. provide that, to the fullest extent permitted by law, no director of the corporation shall be personally liable to the corporation or its shareholders for monetary damages for conduct as a director, except that this provision shall not eliminate or limit the liability of a director for (i) any act or omission occurring before the date this provision became effective, (ii) any breach of a director’s duty of loyalty to the corporation or its shareholders, (iii) acts or omissions not in good faith or that involve intentional misconduct or a knowing violation of law, (iv) any distribution to shareholders that is unlawful under the Oregon Business Corporation Act or successor statute or (v) any transaction from which the director derived an improper personal benefit.</w:t>
      </w:r>
    </w:p>
    <w:p>
      <w:pPr>
        <w:spacing w:after="0" w:line="92" w:lineRule="exact"/>
        <w:rPr>
          <w:sz w:val="20"/>
          <w:szCs w:val="20"/>
          <w:color w:val="auto"/>
        </w:rPr>
      </w:pPr>
    </w:p>
    <w:p>
      <w:pPr>
        <w:ind w:left="700" w:right="20" w:firstLine="397"/>
        <w:spacing w:after="0" w:line="270" w:lineRule="auto"/>
        <w:rPr>
          <w:sz w:val="20"/>
          <w:szCs w:val="20"/>
          <w:color w:val="auto"/>
        </w:rPr>
      </w:pPr>
      <w:r>
        <w:rPr>
          <w:rFonts w:ascii="Times New Roman" w:cs="Times New Roman" w:eastAsia="Times New Roman" w:hAnsi="Times New Roman"/>
          <w:sz w:val="17"/>
          <w:szCs w:val="17"/>
          <w:color w:val="auto"/>
        </w:rPr>
        <w:t>The bylaws of each of the Oregon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w:t>
      </w: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6" w:lineRule="auto"/>
        <w:rPr>
          <w:sz w:val="20"/>
          <w:szCs w:val="20"/>
          <w:color w:val="auto"/>
        </w:rPr>
      </w:pPr>
      <w:r>
        <w:rPr>
          <w:rFonts w:ascii="Times New Roman" w:cs="Times New Roman" w:eastAsia="Times New Roman" w:hAnsi="Times New Roman"/>
          <w:sz w:val="18"/>
          <w:szCs w:val="18"/>
          <w:color w:val="auto"/>
        </w:rPr>
        <w:t>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3" w:lineRule="exact"/>
        <w:rPr>
          <w:sz w:val="20"/>
          <w:szCs w:val="20"/>
          <w:color w:val="auto"/>
        </w:rPr>
      </w:pPr>
    </w:p>
    <w:p>
      <w:pPr>
        <w:ind w:left="700" w:right="60" w:firstLine="397"/>
        <w:spacing w:after="0" w:line="253" w:lineRule="auto"/>
        <w:rPr>
          <w:sz w:val="20"/>
          <w:szCs w:val="20"/>
          <w:color w:val="auto"/>
        </w:rPr>
      </w:pPr>
      <w:r>
        <w:rPr>
          <w:rFonts w:ascii="Times New Roman" w:cs="Times New Roman" w:eastAsia="Times New Roman" w:hAnsi="Times New Roman"/>
          <w:sz w:val="18"/>
          <w:szCs w:val="18"/>
          <w:color w:val="auto"/>
        </w:rPr>
        <w:t>The bylaws of each of the Oregon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(b) Allied Waste Transfer Services of Oregon, LLC is organized as a limited liability company under the laws of Oregon.</w:t>
      </w:r>
    </w:p>
    <w:p>
      <w:pPr>
        <w:spacing w:after="0" w:line="135" w:lineRule="exact"/>
        <w:rPr>
          <w:sz w:val="20"/>
          <w:szCs w:val="20"/>
          <w:color w:val="auto"/>
        </w:rPr>
      </w:pPr>
    </w:p>
    <w:p>
      <w:pPr>
        <w:ind w:left="700" w:right="40" w:firstLine="397"/>
        <w:spacing w:after="0" w:line="282" w:lineRule="auto"/>
        <w:rPr>
          <w:sz w:val="20"/>
          <w:szCs w:val="20"/>
          <w:color w:val="auto"/>
        </w:rPr>
      </w:pPr>
      <w:r>
        <w:rPr>
          <w:rFonts w:ascii="Times New Roman" w:cs="Times New Roman" w:eastAsia="Times New Roman" w:hAnsi="Times New Roman"/>
          <w:sz w:val="18"/>
          <w:szCs w:val="18"/>
          <w:color w:val="auto"/>
        </w:rPr>
        <w:t>Section 63.160 of the Oregon Limited Liability Company Act permits a limited liability company to indemnify a member, manager, employee or agent of the company under certain circumstances and subject to certain limitations.</w:t>
      </w:r>
    </w:p>
    <w:p>
      <w:pPr>
        <w:spacing w:after="0" w:line="67"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Allied Waste Transfer Services of Oregon,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Pennsylvania Registrants:</w:t>
      </w:r>
    </w:p>
    <w:p>
      <w:pPr>
        <w:spacing w:after="0" w:line="131" w:lineRule="exact"/>
        <w:rPr>
          <w:sz w:val="20"/>
          <w:szCs w:val="20"/>
          <w:color w:val="auto"/>
        </w:rPr>
      </w:pPr>
    </w:p>
    <w:p>
      <w:pPr>
        <w:ind w:left="700" w:right="860" w:firstLine="390"/>
        <w:spacing w:after="0" w:line="286" w:lineRule="auto"/>
        <w:tabs>
          <w:tab w:leader="none" w:pos="134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Acquisition Pennsylvania, Inc., McCusker Recycling, Inc. and New Morgan Landfill Company, Inc. are incorporated under the laws of Pennsylvania.</w:t>
      </w:r>
    </w:p>
    <w:p>
      <w:pPr>
        <w:spacing w:after="0" w:line="64"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Subchapter D of Subpart B of Part II of the Pennsylvania Business Corporation Law authorizes a court to award, or a corporation’s board of directors to grant, indemnity to an officer, director, employee or agent of the corporation under certain circumstances and subject to certain limitations.</w:t>
      </w:r>
    </w:p>
    <w:p>
      <w:pPr>
        <w:spacing w:after="0" w:line="82"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Section 1712(c) of the Pennsylvania Business Corporation Law provides that, except as otherwise provided in the bylaws, an officer of a corporation shall not be liable by reason of having been an officer of the corporation if such officer performs his or her duties as an officer in good faith, in a manner he or she reasonably believes to be in the best interests of the corporation and with such care, including reasonable inquiry, skill and diligence, as a person of ordinary prudence would use under similar circumstances.</w:t>
      </w:r>
    </w:p>
    <w:p>
      <w:pPr>
        <w:spacing w:after="0" w:line="86" w:lineRule="exact"/>
        <w:rPr>
          <w:sz w:val="20"/>
          <w:szCs w:val="20"/>
          <w:color w:val="auto"/>
        </w:rPr>
      </w:pPr>
    </w:p>
    <w:p>
      <w:pPr>
        <w:ind w:left="700" w:right="540" w:firstLine="397"/>
        <w:spacing w:after="0" w:line="282" w:lineRule="auto"/>
        <w:rPr>
          <w:sz w:val="20"/>
          <w:szCs w:val="20"/>
          <w:color w:val="auto"/>
        </w:rPr>
      </w:pPr>
      <w:r>
        <w:rPr>
          <w:rFonts w:ascii="Times New Roman" w:cs="Times New Roman" w:eastAsia="Times New Roman" w:hAnsi="Times New Roman"/>
          <w:sz w:val="18"/>
          <w:szCs w:val="18"/>
          <w:color w:val="auto"/>
        </w:rPr>
        <w:t>The bylaws of each of McCusker Recycling, Inc. and New Morgan Landfill Company, Inc. provide that the corporation shall indemnify any person who was or is a party or is threatened to be made a party to any threatened,</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2" w:lineRule="auto"/>
        <w:rPr>
          <w:sz w:val="20"/>
          <w:szCs w:val="20"/>
          <w:color w:val="auto"/>
        </w:rPr>
      </w:pPr>
      <w:r>
        <w:rPr>
          <w:rFonts w:ascii="Times New Roman" w:cs="Times New Roman" w:eastAsia="Times New Roman" w:hAnsi="Times New Roman"/>
          <w:sz w:val="18"/>
          <w:szCs w:val="18"/>
          <w:color w:val="auto"/>
        </w:rPr>
        <w:t>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3"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McCusker Recycling, Inc. and New Morgan Landfill Company,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There is no provision for indemnification or insurance in the articles of incorporation or bylaws of Allied Acquisition Pennsylvania,</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w:t>
      </w:r>
    </w:p>
    <w:p>
      <w:pPr>
        <w:spacing w:after="0" w:line="108" w:lineRule="exact"/>
        <w:rPr>
          <w:sz w:val="20"/>
          <w:szCs w:val="20"/>
          <w:color w:val="auto"/>
        </w:rPr>
      </w:pPr>
    </w:p>
    <w:p>
      <w:pPr>
        <w:ind w:left="700" w:right="560" w:firstLine="390"/>
        <w:spacing w:after="0" w:line="268" w:lineRule="auto"/>
        <w:tabs>
          <w:tab w:leader="none" w:pos="135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Systems of Pennsylvania, LLC, BFI Transfer Systems of Pennsylvania, LLC, BFI Waste Services of Pennsylvania, LLC, Greenridge Reclamation, LLC and Greenridge Waste Services, LLC are organized as limited liability companies under the laws of Pennsylvania.</w:t>
      </w:r>
    </w:p>
    <w:p>
      <w:pPr>
        <w:spacing w:after="0" w:line="80" w:lineRule="exact"/>
        <w:rPr>
          <w:sz w:val="20"/>
          <w:szCs w:val="20"/>
          <w:color w:val="auto"/>
        </w:rPr>
      </w:pPr>
    </w:p>
    <w:p>
      <w:pPr>
        <w:ind w:left="700" w:right="360" w:firstLine="397"/>
        <w:spacing w:after="0" w:line="282" w:lineRule="auto"/>
        <w:rPr>
          <w:sz w:val="20"/>
          <w:szCs w:val="20"/>
          <w:color w:val="auto"/>
        </w:rPr>
      </w:pPr>
      <w:r>
        <w:rPr>
          <w:rFonts w:ascii="Times New Roman" w:cs="Times New Roman" w:eastAsia="Times New Roman" w:hAnsi="Times New Roman"/>
          <w:sz w:val="18"/>
          <w:szCs w:val="18"/>
          <w:color w:val="auto"/>
        </w:rPr>
        <w:t>Section 8945 of the Pennsylvania Limited Liability Company Law permits a limited liability company to indemnify a member, manager or other person under certain circumstances and subject to certain limitations.</w:t>
      </w:r>
    </w:p>
    <w:p>
      <w:pPr>
        <w:spacing w:after="0" w:line="67" w:lineRule="exact"/>
        <w:rPr>
          <w:sz w:val="20"/>
          <w:szCs w:val="20"/>
          <w:color w:val="auto"/>
        </w:rPr>
      </w:pPr>
    </w:p>
    <w:p>
      <w:pPr>
        <w:ind w:left="700" w:right="8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the Pennsylvania limited liability company registrants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3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South Carolina Registrants:</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(a) NationsWaste Catawba Regional Landfill, Inc. is incorporated under the laws of South Carolina.</w:t>
      </w:r>
    </w:p>
    <w:p>
      <w:pPr>
        <w:spacing w:after="0" w:line="135" w:lineRule="exact"/>
        <w:rPr>
          <w:sz w:val="20"/>
          <w:szCs w:val="20"/>
          <w:color w:val="auto"/>
        </w:rPr>
      </w:pPr>
    </w:p>
    <w:p>
      <w:pPr>
        <w:jc w:val="both"/>
        <w:ind w:left="700" w:right="460" w:firstLine="397"/>
        <w:spacing w:after="0" w:line="266" w:lineRule="auto"/>
        <w:rPr>
          <w:sz w:val="20"/>
          <w:szCs w:val="20"/>
          <w:color w:val="auto"/>
        </w:rPr>
      </w:pPr>
      <w:r>
        <w:rPr>
          <w:rFonts w:ascii="Times New Roman" w:cs="Times New Roman" w:eastAsia="Times New Roman" w:hAnsi="Times New Roman"/>
          <w:sz w:val="18"/>
          <w:szCs w:val="18"/>
          <w:color w:val="auto"/>
        </w:rPr>
        <w:t>Article 5 of Chapter 8 of the South Carolina Business Corporation Act authorizes a court to award, or a corporation’s board of directors to grant, indemnity to an officer, director, employee or agent of the corporation under certain circumstances and subject to certain limitations.</w:t>
      </w:r>
    </w:p>
    <w:p>
      <w:pPr>
        <w:spacing w:after="0" w:line="82" w:lineRule="exact"/>
        <w:rPr>
          <w:sz w:val="20"/>
          <w:szCs w:val="20"/>
          <w:color w:val="auto"/>
        </w:rPr>
      </w:pPr>
    </w:p>
    <w:p>
      <w:pPr>
        <w:ind w:left="700" w:right="40" w:firstLine="397"/>
        <w:spacing w:after="0" w:line="261" w:lineRule="auto"/>
        <w:rPr>
          <w:sz w:val="20"/>
          <w:szCs w:val="20"/>
          <w:color w:val="auto"/>
        </w:rPr>
      </w:pPr>
      <w:r>
        <w:rPr>
          <w:rFonts w:ascii="Times New Roman" w:cs="Times New Roman" w:eastAsia="Times New Roman" w:hAnsi="Times New Roman"/>
          <w:sz w:val="18"/>
          <w:szCs w:val="18"/>
          <w:color w:val="auto"/>
        </w:rPr>
        <w:t>Sections 33-8-300(d) and 33-8-420(d) of the South Carolina Business Corporation Act provide that a director or officer shall not be liable for any action taken as a director or officer or any failure to take any action if such director or officer performed the duties of his or her office (i) in good faith, (ii) with the care an ordinarily prudent person in a like position would exercise under similar circumstances and (iii) in a manner he or she reasonably believes to be in the best interests of the corporation and its shareholders.</w:t>
      </w:r>
    </w:p>
    <w:p>
      <w:pPr>
        <w:spacing w:after="0" w:line="86" w:lineRule="exact"/>
        <w:rPr>
          <w:sz w:val="20"/>
          <w:szCs w:val="20"/>
          <w:color w:val="auto"/>
        </w:rPr>
      </w:pPr>
    </w:p>
    <w:p>
      <w:pPr>
        <w:ind w:left="700" w:right="360" w:firstLine="397"/>
        <w:spacing w:after="0" w:line="289" w:lineRule="auto"/>
        <w:rPr>
          <w:sz w:val="20"/>
          <w:szCs w:val="20"/>
          <w:color w:val="auto"/>
        </w:rPr>
      </w:pPr>
      <w:r>
        <w:rPr>
          <w:rFonts w:ascii="Times New Roman" w:cs="Times New Roman" w:eastAsia="Times New Roman" w:hAnsi="Times New Roman"/>
          <w:sz w:val="17"/>
          <w:szCs w:val="17"/>
          <w:color w:val="auto"/>
        </w:rPr>
        <w:t>The articles of incorporation of NationsWaste Catawba Regional Landfill, Inc. provide that the corporation shall, to the fullest extent permitted by the South Carolina Business Corporation Act, indemnify any and all persons whom it shall have the power to indemnify under the law from and against any and all of the expenses, liabilities or other matters referred to in or covered by the law.</w:t>
      </w:r>
    </w:p>
    <w:p>
      <w:pPr>
        <w:spacing w:after="0" w:line="64"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The bylaws of NationsWaste Catawba Regional Landfill,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0"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The bylaws of NationsWaste Catawba Regional Landfill,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3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(b) Flint Hill Road, LLC is organized as a limited liability company under the laws of South Carolina.</w:t>
      </w:r>
    </w:p>
    <w:p>
      <w:pPr>
        <w:spacing w:after="0" w:line="135" w:lineRule="exact"/>
        <w:rPr>
          <w:sz w:val="20"/>
          <w:szCs w:val="20"/>
          <w:color w:val="auto"/>
        </w:rPr>
      </w:pPr>
    </w:p>
    <w:p>
      <w:pPr>
        <w:ind w:left="700" w:right="660" w:firstLine="397"/>
        <w:spacing w:after="0" w:line="282" w:lineRule="auto"/>
        <w:rPr>
          <w:sz w:val="20"/>
          <w:szCs w:val="20"/>
          <w:color w:val="auto"/>
        </w:rPr>
      </w:pPr>
      <w:r>
        <w:rPr>
          <w:rFonts w:ascii="Times New Roman" w:cs="Times New Roman" w:eastAsia="Times New Roman" w:hAnsi="Times New Roman"/>
          <w:sz w:val="18"/>
          <w:szCs w:val="18"/>
          <w:color w:val="auto"/>
        </w:rPr>
        <w:t>Section 34-44-403 of the South Carolina Uniform Limited Liability Company Act authorizes a limited liability company to indemnify a member or manager of the company under certain circumstances and subject to certain limitations.</w:t>
      </w:r>
    </w:p>
    <w:p>
      <w:pPr>
        <w:spacing w:after="0" w:line="67" w:lineRule="exact"/>
        <w:rPr>
          <w:sz w:val="20"/>
          <w:szCs w:val="20"/>
          <w:color w:val="auto"/>
        </w:rPr>
      </w:pPr>
    </w:p>
    <w:p>
      <w:pPr>
        <w:ind w:left="700" w:right="140" w:firstLine="397"/>
        <w:spacing w:after="0" w:line="258" w:lineRule="auto"/>
        <w:rPr>
          <w:sz w:val="20"/>
          <w:szCs w:val="20"/>
          <w:color w:val="auto"/>
        </w:rPr>
      </w:pPr>
      <w:r>
        <w:rPr>
          <w:rFonts w:ascii="Times New Roman" w:cs="Times New Roman" w:eastAsia="Times New Roman" w:hAnsi="Times New Roman"/>
          <w:sz w:val="18"/>
          <w:szCs w:val="18"/>
          <w:color w:val="auto"/>
        </w:rPr>
        <w:t>The operating agreement of Flint Hill Road,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Tennessee Registrants:</w:t>
      </w:r>
    </w:p>
    <w:p>
      <w:pPr>
        <w:spacing w:after="0" w:line="131" w:lineRule="exact"/>
        <w:rPr>
          <w:sz w:val="20"/>
          <w:szCs w:val="20"/>
          <w:color w:val="auto"/>
        </w:rPr>
      </w:pPr>
    </w:p>
    <w:p>
      <w:pPr>
        <w:ind w:left="700" w:right="720" w:firstLine="390"/>
        <w:spacing w:after="0" w:line="286" w:lineRule="auto"/>
        <w:tabs>
          <w:tab w:leader="none" w:pos="134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Industries of Tennessee, Inc., Barker Brothers Waste, Incorporated, Browning-Ferris Industries of Tennessee, Inc. and Northwest Tennessee Disposal Corporation are incorporated under the laws of Tennessee.</w:t>
      </w:r>
    </w:p>
    <w:p>
      <w:pPr>
        <w:spacing w:after="0" w:line="64" w:lineRule="exact"/>
        <w:rPr>
          <w:sz w:val="20"/>
          <w:szCs w:val="20"/>
          <w:color w:val="auto"/>
        </w:rPr>
      </w:pPr>
    </w:p>
    <w:p>
      <w:pPr>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Part 5 of Chapter 18 of the Tennessee Business Corporation Act authorizes a court to award, or a corporation’s board of directors to grant, indemnity to an officer, director, employee or agent of the corporation under certain circumstances and subject to certain limitations.</w:t>
      </w:r>
    </w:p>
    <w:p>
      <w:pPr>
        <w:spacing w:after="0" w:line="82" w:lineRule="exact"/>
        <w:rPr>
          <w:sz w:val="20"/>
          <w:szCs w:val="20"/>
          <w:color w:val="auto"/>
        </w:rPr>
      </w:pPr>
    </w:p>
    <w:p>
      <w:pPr>
        <w:jc w:val="both"/>
        <w:ind w:left="700" w:right="160" w:firstLine="397"/>
        <w:spacing w:after="0" w:line="261" w:lineRule="auto"/>
        <w:rPr>
          <w:sz w:val="20"/>
          <w:szCs w:val="20"/>
          <w:color w:val="auto"/>
        </w:rPr>
      </w:pPr>
      <w:r>
        <w:rPr>
          <w:rFonts w:ascii="Times New Roman" w:cs="Times New Roman" w:eastAsia="Times New Roman" w:hAnsi="Times New Roman"/>
          <w:sz w:val="18"/>
          <w:szCs w:val="18"/>
          <w:color w:val="auto"/>
        </w:rPr>
        <w:t>Sections 48-18-301(d) and 48-18-403(d) of the Tennessee Business Corporation Act provide that a director or officer shall not be liable for any action taken as a director or officer or any failure to take any action if the director or officer performed the duties of his or her office (i) in good faith, (ii) with the care an ordinarily prudent person in a like position would exercise under similar circumstances and (iii) in a manner the director reasonably believes to be in the best interests of the corporation.</w:t>
      </w:r>
    </w:p>
    <w:p>
      <w:pPr>
        <w:spacing w:after="0" w:line="86"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each of Barker Brothers Waste, Incorporated, Browning-Ferris Industries of Tennessee, Inc. and Northwest Tennessee Disposal Corporation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9" w:lineRule="exact"/>
        <w:rPr>
          <w:sz w:val="20"/>
          <w:szCs w:val="20"/>
          <w:color w:val="auto"/>
        </w:rPr>
      </w:pPr>
    </w:p>
    <w:p>
      <w:pPr>
        <w:ind w:left="700" w:right="120" w:firstLine="397"/>
        <w:spacing w:after="0" w:line="258" w:lineRule="auto"/>
        <w:rPr>
          <w:sz w:val="20"/>
          <w:szCs w:val="20"/>
          <w:color w:val="auto"/>
        </w:rPr>
      </w:pPr>
      <w:r>
        <w:rPr>
          <w:rFonts w:ascii="Times New Roman" w:cs="Times New Roman" w:eastAsia="Times New Roman" w:hAnsi="Times New Roman"/>
          <w:sz w:val="18"/>
          <w:szCs w:val="18"/>
          <w:color w:val="auto"/>
        </w:rPr>
        <w:t>The bylaws of each of Barker Brothers Waste, Incorporated, Browning-Ferris Industries of Tennessee, Inc. and Northwest Tennessee Disposal Corporation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w:t>
      </w:r>
    </w:p>
    <w:p>
      <w:pPr>
        <w:spacing w:after="0" w:line="37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4" w:lineRule="auto"/>
        <w:rPr>
          <w:sz w:val="20"/>
          <w:szCs w:val="20"/>
          <w:color w:val="auto"/>
        </w:rPr>
      </w:pPr>
      <w:r>
        <w:rPr>
          <w:rFonts w:ascii="Times New Roman" w:cs="Times New Roman" w:eastAsia="Times New Roman" w:hAnsi="Times New Roman"/>
          <w:sz w:val="18"/>
          <w:szCs w:val="18"/>
          <w:color w:val="auto"/>
        </w:rPr>
        <w:t>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92" w:lineRule="exact"/>
        <w:rPr>
          <w:sz w:val="20"/>
          <w:szCs w:val="20"/>
          <w:color w:val="auto"/>
        </w:rPr>
      </w:pPr>
    </w:p>
    <w:p>
      <w:pPr>
        <w:ind w:left="700" w:right="48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articles of incorporation or bylaws of Allied Waste Industries of Tennessee, Inc.</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(b) Madison County Development, LLC is organized as a limited liability company under the laws of Tennessee.</w:t>
      </w:r>
    </w:p>
    <w:p>
      <w:pPr>
        <w:spacing w:after="0" w:line="135" w:lineRule="exact"/>
        <w:rPr>
          <w:sz w:val="20"/>
          <w:szCs w:val="20"/>
          <w:color w:val="auto"/>
        </w:rPr>
      </w:pPr>
    </w:p>
    <w:p>
      <w:pPr>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Section 48-243-101 of the Tennessee Limited Liability Company Act authorizes a court to award, or a limited liability company to grant, indemnity to a governor, member, manager, partner, trustee, employee, independent contractor or agent of the company under certain circumstances and subject to certain limitations.</w:t>
      </w:r>
    </w:p>
    <w:p>
      <w:pPr>
        <w:spacing w:after="0" w:line="82"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Sections 48-240-102(e) and 48-241-111(d) of the Tennessee Limited Liability Company Act provide that a member or manager shall not be liable for any action taken as a member or manager or any failure to take any action if the member or manager performed the duties of the position (i) in good faith, (ii) with the care an ordinarily prudent person in a like position would exercise under similar circumstances and (iii) in a manner the member or manager reasonably believes to be in the best interest of the LLC.</w:t>
      </w:r>
    </w:p>
    <w:p>
      <w:pPr>
        <w:spacing w:after="0" w:line="86"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Madison County Development,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Texas Registrants:</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(a) Action Disposal, Inc. is incorporated under the laws of Texas.</w:t>
      </w:r>
    </w:p>
    <w:p>
      <w:pPr>
        <w:spacing w:after="0" w:line="135" w:lineRule="exact"/>
        <w:rPr>
          <w:sz w:val="20"/>
          <w:szCs w:val="20"/>
          <w:color w:val="auto"/>
        </w:rPr>
      </w:pPr>
    </w:p>
    <w:p>
      <w:pPr>
        <w:ind w:left="700" w:right="280" w:firstLine="397"/>
        <w:spacing w:after="0" w:line="313" w:lineRule="auto"/>
        <w:rPr>
          <w:sz w:val="20"/>
          <w:szCs w:val="20"/>
          <w:color w:val="auto"/>
        </w:rPr>
      </w:pPr>
      <w:r>
        <w:rPr>
          <w:rFonts w:ascii="Times New Roman" w:cs="Times New Roman" w:eastAsia="Times New Roman" w:hAnsi="Times New Roman"/>
          <w:sz w:val="17"/>
          <w:szCs w:val="17"/>
          <w:color w:val="auto"/>
        </w:rPr>
        <w:t>Section 2.02-1 of the Texas Business Corporation Act authorizes a court to award, or a corporation’s board of directors to grant, indemnity to an officer, director, employee or agent of the corporation under certain circumstances and subject to certain limitations.</w:t>
      </w:r>
    </w:p>
    <w:p>
      <w:pPr>
        <w:spacing w:after="0" w:line="44"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The bylaws of Action Disposal,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w:t>
      </w:r>
    </w:p>
    <w:p>
      <w:pPr>
        <w:spacing w:after="0" w:line="3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6" w:lineRule="auto"/>
        <w:rPr>
          <w:sz w:val="20"/>
          <w:szCs w:val="20"/>
          <w:color w:val="auto"/>
        </w:rPr>
      </w:pPr>
      <w:r>
        <w:rPr>
          <w:rFonts w:ascii="Times New Roman" w:cs="Times New Roman" w:eastAsia="Times New Roman" w:hAnsi="Times New Roman"/>
          <w:sz w:val="18"/>
          <w:szCs w:val="18"/>
          <w:color w:val="auto"/>
        </w:rPr>
        <w:t>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93"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The bylaws of Action Disposal,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(b) Total Roll-Offs, L.L.C. is organized as a limited liability company under the laws of Texas.</w:t>
      </w:r>
    </w:p>
    <w:p>
      <w:pPr>
        <w:spacing w:after="0" w:line="135" w:lineRule="exact"/>
        <w:rPr>
          <w:sz w:val="20"/>
          <w:szCs w:val="20"/>
          <w:color w:val="auto"/>
        </w:rPr>
      </w:pPr>
    </w:p>
    <w:p>
      <w:pPr>
        <w:ind w:left="700" w:right="300" w:firstLine="397"/>
        <w:spacing w:after="0" w:line="282" w:lineRule="auto"/>
        <w:rPr>
          <w:sz w:val="20"/>
          <w:szCs w:val="20"/>
          <w:color w:val="auto"/>
        </w:rPr>
      </w:pPr>
      <w:r>
        <w:rPr>
          <w:rFonts w:ascii="Times New Roman" w:cs="Times New Roman" w:eastAsia="Times New Roman" w:hAnsi="Times New Roman"/>
          <w:sz w:val="18"/>
          <w:szCs w:val="18"/>
          <w:color w:val="auto"/>
        </w:rPr>
        <w:t>Section 2.20 of the Texas Limited Liability Company Act permits a limited liability company to indemnify a member, manager, officer or other person under certain circumstances and subject to certain limitations.</w:t>
      </w:r>
    </w:p>
    <w:p>
      <w:pPr>
        <w:spacing w:after="0" w:line="67" w:lineRule="exact"/>
        <w:rPr>
          <w:sz w:val="20"/>
          <w:szCs w:val="20"/>
          <w:color w:val="auto"/>
        </w:rPr>
      </w:pPr>
    </w:p>
    <w:p>
      <w:pPr>
        <w:ind w:left="700" w:right="100" w:firstLine="397"/>
        <w:spacing w:after="0" w:line="258" w:lineRule="auto"/>
        <w:rPr>
          <w:sz w:val="20"/>
          <w:szCs w:val="20"/>
          <w:color w:val="auto"/>
        </w:rPr>
      </w:pPr>
      <w:r>
        <w:rPr>
          <w:rFonts w:ascii="Times New Roman" w:cs="Times New Roman" w:eastAsia="Times New Roman" w:hAnsi="Times New Roman"/>
          <w:sz w:val="18"/>
          <w:szCs w:val="18"/>
          <w:color w:val="auto"/>
        </w:rPr>
        <w:t>The operating agreement of Total Roll-Offs,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5" w:lineRule="exact"/>
        <w:rPr>
          <w:sz w:val="20"/>
          <w:szCs w:val="20"/>
          <w:color w:val="auto"/>
        </w:rPr>
      </w:pPr>
    </w:p>
    <w:p>
      <w:pPr>
        <w:ind w:left="700" w:right="40" w:firstLine="390"/>
        <w:spacing w:after="0" w:line="317" w:lineRule="auto"/>
        <w:tabs>
          <w:tab w:leader="none" w:pos="1342"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Desarrollo del Rancho La Gloria TX, LP, El Centro Landfill, L.P., Frontier Waste Services, L.P., Republic Waste Services of Texas, Ltd. and South Central Texas Land Co. TX, LP are organized as limited partnerships under the laws of Texas.</w:t>
      </w:r>
    </w:p>
    <w:p>
      <w:pPr>
        <w:spacing w:after="0" w:line="41" w:lineRule="exact"/>
        <w:rPr>
          <w:sz w:val="20"/>
          <w:szCs w:val="20"/>
          <w:color w:val="auto"/>
        </w:rPr>
      </w:pPr>
    </w:p>
    <w:p>
      <w:pPr>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Chapter 8 of the Texas Revised Limited Partnership Act authorizes a court to award, or a limited partnership to grant, indemnity to a person serving as part of the governing authority of a limited partnership, officer, employee or agent of the corporation under certain circumstances and subject to certain limitations.</w:t>
      </w:r>
    </w:p>
    <w:p>
      <w:pPr>
        <w:spacing w:after="0" w:line="8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Texas Revised Limited Partnership Act is silent as to exculpation of partners.</w:t>
      </w:r>
    </w:p>
    <w:p>
      <w:pPr>
        <w:spacing w:after="0" w:line="131" w:lineRule="exact"/>
        <w:rPr>
          <w:sz w:val="20"/>
          <w:szCs w:val="20"/>
          <w:color w:val="auto"/>
        </w:rPr>
      </w:pPr>
    </w:p>
    <w:p>
      <w:pPr>
        <w:ind w:left="700" w:right="140" w:firstLine="397"/>
        <w:spacing w:after="0" w:line="256" w:lineRule="auto"/>
        <w:rPr>
          <w:sz w:val="20"/>
          <w:szCs w:val="20"/>
          <w:color w:val="auto"/>
        </w:rPr>
      </w:pPr>
      <w:r>
        <w:rPr>
          <w:rFonts w:ascii="Times New Roman" w:cs="Times New Roman" w:eastAsia="Times New Roman" w:hAnsi="Times New Roman"/>
          <w:sz w:val="18"/>
          <w:szCs w:val="18"/>
          <w:color w:val="auto"/>
        </w:rPr>
        <w:t>The agreement of limited partnership of each of Desarrollo del Rancho La Gloria TX, LP, Frontier Waste Services, L.P. and South Central Texas Land Co. TX, LP provides that the partnership shall defend, indemnify and save harmless the partners and their officers and directors from and against all losses, claims, costs, liabilities and damages incurred by them by reason of any act performed or omitted to be performed by them in connection with the business of the partnership, including attorneys’ fees incurred by them in connection with the defense of any action based on any such act or omission; provided, however, no such person shall be indemnified from any liability for fraud, bad faith, willful misconduct or gross negligence.</w:t>
      </w:r>
    </w:p>
    <w:p>
      <w:pPr>
        <w:spacing w:after="0" w:line="93" w:lineRule="exact"/>
        <w:rPr>
          <w:sz w:val="20"/>
          <w:szCs w:val="20"/>
          <w:color w:val="auto"/>
        </w:rPr>
      </w:pPr>
    </w:p>
    <w:p>
      <w:pPr>
        <w:ind w:left="700" w:right="220" w:firstLine="397"/>
        <w:spacing w:after="0" w:line="266" w:lineRule="auto"/>
        <w:rPr>
          <w:sz w:val="20"/>
          <w:szCs w:val="20"/>
          <w:color w:val="auto"/>
        </w:rPr>
      </w:pPr>
      <w:r>
        <w:rPr>
          <w:rFonts w:ascii="Times New Roman" w:cs="Times New Roman" w:eastAsia="Times New Roman" w:hAnsi="Times New Roman"/>
          <w:sz w:val="18"/>
          <w:szCs w:val="18"/>
          <w:color w:val="auto"/>
        </w:rPr>
        <w:t>The agreement of limited partnership of El Centro Landfill, L.P. provides that the partnership shall indemnify the general partner and its officers, directors, shareholders, controlling persons, employees, agents, affiliates, or assigns thereof, against and save them harmless from any claim, demand, judgment, or liability, and against and</w:t>
      </w:r>
    </w:p>
    <w:p>
      <w:pPr>
        <w:spacing w:after="0" w:line="3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4" w:lineRule="auto"/>
        <w:rPr>
          <w:sz w:val="20"/>
          <w:szCs w:val="20"/>
          <w:color w:val="auto"/>
        </w:rPr>
      </w:pPr>
      <w:r>
        <w:rPr>
          <w:rFonts w:ascii="Times New Roman" w:cs="Times New Roman" w:eastAsia="Times New Roman" w:hAnsi="Times New Roman"/>
          <w:sz w:val="18"/>
          <w:szCs w:val="18"/>
          <w:color w:val="auto"/>
        </w:rPr>
        <w:t>from any loss, cost or expense (including, but not limited to, attorneys’ fees and court costs, which may be paid by the partnership as incurred), which may be made or imposed upon such persons by reason of any (i) act performed for or on behalf of the partnership or in furtherance of the partnership business, (ii) inaction on the part of such persons, so long as the party to be indemnified has determined, in good faith, that such course of conduct was in the best interests of the partnership and said conduct did not constitute gross negligence or willful misconduct. The expenses (including legal fees and expenses) of such indemnified persons incurred in defending any proceeding shall be paid by the partnership in advance of the final disposition of the proceeding upon receipt of an undertaking by or on behalf of such person to repay such amount if it shall ultimately be determined by a court of competent jurisdiction that such person is not entitled to be indemnified by the partnership as authorized hereunder. The partnership may purchase and maintain insurance on behalf of the general partner and the persons covered by the preceding sentence whether or not the partnership would have the power or obligation to provide indemnification against liability under the provisions of the agreement of limited partnership.</w:t>
      </w:r>
    </w:p>
    <w:p>
      <w:pPr>
        <w:spacing w:after="0" w:line="92"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The agreement of limited partnership of El Centro Landfill, L.P. provides that neither the general partner, nor its officers, directors, shareholders, controlling persons, employees, agents, affiliates or assigns thereof, shall be liable, responsible or accountable in damages or otherwise to the partnership or any partner for any action taken or failure to act on behalf of the partnership within the scope of the authority conferred on the general partner by the partnership agreement or by law, so long as such party acted in good faith and on the belief that such course of conduct was in the best interest of the partnership and such conduct did not constitute gross negligence or gross misconduct.</w:t>
      </w:r>
    </w:p>
    <w:p>
      <w:pPr>
        <w:spacing w:after="0" w:line="93" w:lineRule="exact"/>
        <w:rPr>
          <w:sz w:val="20"/>
          <w:szCs w:val="20"/>
          <w:color w:val="auto"/>
        </w:rPr>
      </w:pPr>
    </w:p>
    <w:p>
      <w:pPr>
        <w:ind w:left="700" w:right="14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certificate of limited partnership or the limited partnership agreement of Republic Waste Services of Texas, Ltd.</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Utah Registrants:</w:t>
      </w:r>
    </w:p>
    <w:p>
      <w:pPr>
        <w:spacing w:after="0" w:line="131" w:lineRule="exact"/>
        <w:rPr>
          <w:sz w:val="20"/>
          <w:szCs w:val="20"/>
          <w:color w:val="auto"/>
        </w:rPr>
      </w:pPr>
    </w:p>
    <w:p>
      <w:pPr>
        <w:ind w:left="1340" w:hanging="250"/>
        <w:spacing w:after="0"/>
        <w:tabs>
          <w:tab w:leader="none" w:pos="1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Allied Waste Transfer Services of Utah, Inc. and Wasatch Regional Landfill, Inc. are incorporated under the laws of</w:t>
      </w:r>
    </w:p>
    <w:p>
      <w:pPr>
        <w:spacing w:after="0" w:line="3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Utah.</w:t>
      </w:r>
    </w:p>
    <w:p>
      <w:pPr>
        <w:spacing w:after="0" w:line="112" w:lineRule="exact"/>
        <w:rPr>
          <w:sz w:val="20"/>
          <w:szCs w:val="20"/>
          <w:color w:val="auto"/>
        </w:rPr>
      </w:pPr>
    </w:p>
    <w:p>
      <w:pPr>
        <w:ind w:left="700" w:right="520" w:firstLine="397"/>
        <w:spacing w:after="0" w:line="266" w:lineRule="auto"/>
        <w:rPr>
          <w:sz w:val="20"/>
          <w:szCs w:val="20"/>
          <w:color w:val="auto"/>
        </w:rPr>
      </w:pPr>
      <w:r>
        <w:rPr>
          <w:rFonts w:ascii="Times New Roman" w:cs="Times New Roman" w:eastAsia="Times New Roman" w:hAnsi="Times New Roman"/>
          <w:sz w:val="18"/>
          <w:szCs w:val="18"/>
          <w:color w:val="auto"/>
        </w:rPr>
        <w:t>Part 9 of the Utah Business Organizations Code authorizes a court to award, or a corporation’s board of directors to grant, indemnity to an officer, director, employee, fiduciary or agent of the corporation under certain circumstances and subject to certain limitations.</w:t>
      </w:r>
    </w:p>
    <w:p>
      <w:pPr>
        <w:spacing w:after="0" w:line="82"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Section 16-10a-840(4) of the Utah Business Organizations Code provides that a director or officer shall not be liable to the corporation, its shareholders or any conservator or receiver or any assignee or successor-in-interest thereof for any action taken or any failure to take any action as an officer or director unless (i) the director or officer has failed to perform the duties of his or her office (1) in good faith, (2) with the care an ordinarily prudent person in a like position would exercise under similar circumstances and (3) in a manner the director or officer reasonably believes to be in the best interests of the corporation and (ii) the breach or failure to perform constitutes gross negligence, willful misconduct or intentional infliction of harm on the corporation or the shareholders.</w:t>
      </w:r>
    </w:p>
    <w:p>
      <w:pPr>
        <w:spacing w:after="0" w:line="93" w:lineRule="exact"/>
        <w:rPr>
          <w:sz w:val="20"/>
          <w:szCs w:val="20"/>
          <w:color w:val="auto"/>
        </w:rPr>
      </w:pPr>
    </w:p>
    <w:p>
      <w:pPr>
        <w:ind w:left="700" w:right="60" w:firstLine="397"/>
        <w:spacing w:after="0" w:line="253" w:lineRule="auto"/>
        <w:rPr>
          <w:sz w:val="20"/>
          <w:szCs w:val="20"/>
          <w:color w:val="auto"/>
        </w:rPr>
      </w:pPr>
      <w:r>
        <w:rPr>
          <w:rFonts w:ascii="Times New Roman" w:cs="Times New Roman" w:eastAsia="Times New Roman" w:hAnsi="Times New Roman"/>
          <w:sz w:val="18"/>
          <w:szCs w:val="18"/>
          <w:color w:val="auto"/>
        </w:rPr>
        <w:t>The bylaws of each of the Utah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w:t>
      </w:r>
    </w:p>
    <w:p>
      <w:pPr>
        <w:spacing w:after="0" w:line="3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1" w:lineRule="auto"/>
        <w:rPr>
          <w:sz w:val="20"/>
          <w:szCs w:val="20"/>
          <w:color w:val="auto"/>
        </w:rPr>
      </w:pPr>
      <w:r>
        <w:rPr>
          <w:rFonts w:ascii="Times New Roman" w:cs="Times New Roman" w:eastAsia="Times New Roman" w:hAnsi="Times New Roman"/>
          <w:sz w:val="18"/>
          <w:szCs w:val="18"/>
          <w:color w:val="auto"/>
        </w:rPr>
        <w:t>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86" w:lineRule="exact"/>
        <w:rPr>
          <w:sz w:val="20"/>
          <w:szCs w:val="20"/>
          <w:color w:val="auto"/>
        </w:rPr>
      </w:pPr>
    </w:p>
    <w:p>
      <w:pPr>
        <w:ind w:left="700" w:right="60" w:firstLine="397"/>
        <w:spacing w:after="0" w:line="253" w:lineRule="auto"/>
        <w:rPr>
          <w:sz w:val="20"/>
          <w:szCs w:val="20"/>
          <w:color w:val="auto"/>
        </w:rPr>
      </w:pPr>
      <w:r>
        <w:rPr>
          <w:rFonts w:ascii="Times New Roman" w:cs="Times New Roman" w:eastAsia="Times New Roman" w:hAnsi="Times New Roman"/>
          <w:sz w:val="18"/>
          <w:szCs w:val="18"/>
          <w:color w:val="auto"/>
        </w:rPr>
        <w:t>The bylaws of each of the Utah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90" w:lineRule="exact"/>
        <w:rPr>
          <w:sz w:val="20"/>
          <w:szCs w:val="20"/>
          <w:color w:val="auto"/>
        </w:rPr>
      </w:pPr>
    </w:p>
    <w:p>
      <w:pPr>
        <w:ind w:left="700" w:right="20" w:firstLine="390"/>
        <w:spacing w:after="0" w:line="286" w:lineRule="auto"/>
        <w:tabs>
          <w:tab w:leader="none" w:pos="136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ECDC Environmental, L.C. and Frontier Waste Services (Utah), LLC are organized as limited liability companies under the laws of Utah.</w:t>
      </w:r>
    </w:p>
    <w:p>
      <w:pPr>
        <w:spacing w:after="0" w:line="64" w:lineRule="exact"/>
        <w:rPr>
          <w:sz w:val="20"/>
          <w:szCs w:val="20"/>
          <w:color w:val="auto"/>
        </w:rPr>
      </w:pPr>
    </w:p>
    <w:p>
      <w:pPr>
        <w:ind w:left="700" w:right="340" w:firstLine="397"/>
        <w:spacing w:after="0" w:line="266" w:lineRule="auto"/>
        <w:rPr>
          <w:sz w:val="20"/>
          <w:szCs w:val="20"/>
          <w:color w:val="auto"/>
        </w:rPr>
      </w:pPr>
      <w:r>
        <w:rPr>
          <w:rFonts w:ascii="Times New Roman" w:cs="Times New Roman" w:eastAsia="Times New Roman" w:hAnsi="Times New Roman"/>
          <w:sz w:val="18"/>
          <w:szCs w:val="18"/>
          <w:color w:val="auto"/>
        </w:rPr>
        <w:t>Part 18 of the Utah Revised Limited Liability Company Act authorizes a court to award, or a limited liability company to grant, indemnity to a member, manager, employee, fiduciary or agent of the company under certain circumstances and subject to certain limitations.</w:t>
      </w:r>
    </w:p>
    <w:p>
      <w:pPr>
        <w:spacing w:after="0" w:line="82" w:lineRule="exact"/>
        <w:rPr>
          <w:sz w:val="20"/>
          <w:szCs w:val="20"/>
          <w:color w:val="auto"/>
        </w:rPr>
      </w:pPr>
    </w:p>
    <w:p>
      <w:pPr>
        <w:ind w:left="700" w:right="80" w:firstLine="397"/>
        <w:spacing w:after="0" w:line="258" w:lineRule="auto"/>
        <w:rPr>
          <w:sz w:val="20"/>
          <w:szCs w:val="20"/>
          <w:color w:val="auto"/>
        </w:rPr>
      </w:pPr>
      <w:r>
        <w:rPr>
          <w:rFonts w:ascii="Times New Roman" w:cs="Times New Roman" w:eastAsia="Times New Roman" w:hAnsi="Times New Roman"/>
          <w:sz w:val="18"/>
          <w:szCs w:val="18"/>
          <w:color w:val="auto"/>
        </w:rPr>
        <w:t>Section 48-2c-807(a) of the Utah Revised Limited Liability Company Act provides that a member or manager shall not be liable or accountable in damages or otherwise to the company or the members for any action taken or failure to act on behalf of the company unless the act or omission constitutes (i) gross negligence, (ii) willful misconduct or (iii) a breach of a higher standard of conduct that would result in greater exposure to liability for the member or manager that is established in the company’s articles of organization or operating agreement.</w:t>
      </w:r>
    </w:p>
    <w:p>
      <w:pPr>
        <w:spacing w:after="0" w:line="89" w:lineRule="exact"/>
        <w:rPr>
          <w:sz w:val="20"/>
          <w:szCs w:val="20"/>
          <w:color w:val="auto"/>
        </w:rPr>
      </w:pPr>
    </w:p>
    <w:p>
      <w:pPr>
        <w:ind w:left="700" w:right="140" w:firstLine="397"/>
        <w:spacing w:after="0" w:line="261" w:lineRule="auto"/>
        <w:rPr>
          <w:sz w:val="20"/>
          <w:szCs w:val="20"/>
          <w:color w:val="auto"/>
        </w:rPr>
      </w:pPr>
      <w:r>
        <w:rPr>
          <w:rFonts w:ascii="Times New Roman" w:cs="Times New Roman" w:eastAsia="Times New Roman" w:hAnsi="Times New Roman"/>
          <w:sz w:val="18"/>
          <w:szCs w:val="18"/>
          <w:color w:val="auto"/>
        </w:rPr>
        <w:t>The articles of organization of Frontier Waste Services (Utah), LLC provide that the company shall indemnify to the fullest extent permitted by the Utah Limited Liability Company Act any person or entity who was or is a party or is threatened to be made a party to any threatened, pending or completed action, suit or proceeding, whether civil, criminal, administrative or investigative by reason of the fact that such person is or was a member, manager or officer of the company.</w:t>
      </w:r>
    </w:p>
    <w:p>
      <w:pPr>
        <w:spacing w:after="0" w:line="86"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ECDC Environmental, L.C. and Frontier Waste Services (Utah),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Virginia Registrants:</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(a) 623 Landfill, Inc. is incorporated under the laws of Virginia.</w:t>
      </w:r>
    </w:p>
    <w:p>
      <w:pPr>
        <w:spacing w:after="0" w:line="135" w:lineRule="exact"/>
        <w:rPr>
          <w:sz w:val="20"/>
          <w:szCs w:val="20"/>
          <w:color w:val="auto"/>
        </w:rPr>
      </w:pPr>
    </w:p>
    <w:p>
      <w:pPr>
        <w:ind w:left="700" w:right="720" w:firstLine="397"/>
        <w:spacing w:after="0" w:line="282" w:lineRule="auto"/>
        <w:rPr>
          <w:sz w:val="20"/>
          <w:szCs w:val="20"/>
          <w:color w:val="auto"/>
        </w:rPr>
      </w:pPr>
      <w:r>
        <w:rPr>
          <w:rFonts w:ascii="Times New Roman" w:cs="Times New Roman" w:eastAsia="Times New Roman" w:hAnsi="Times New Roman"/>
          <w:sz w:val="18"/>
          <w:szCs w:val="18"/>
          <w:color w:val="auto"/>
        </w:rPr>
        <w:t>Article 10 of the Virginia Stock Corporation Act authorizes a court to award, or a corporation’s board of directors to grant, indemnity to officers and directors of the corporation under certain circumstances and subject to certain limitations.</w:t>
      </w:r>
    </w:p>
    <w:p>
      <w:pPr>
        <w:spacing w:after="0" w:line="3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460" w:firstLine="397"/>
        <w:spacing w:after="0" w:line="266" w:lineRule="auto"/>
        <w:rPr>
          <w:sz w:val="20"/>
          <w:szCs w:val="20"/>
          <w:color w:val="auto"/>
        </w:rPr>
      </w:pPr>
      <w:r>
        <w:rPr>
          <w:rFonts w:ascii="Times New Roman" w:cs="Times New Roman" w:eastAsia="Times New Roman" w:hAnsi="Times New Roman"/>
          <w:sz w:val="18"/>
          <w:szCs w:val="18"/>
          <w:color w:val="auto"/>
        </w:rPr>
        <w:t>Section 13.1-690(C) of the Virginia Stock Corporation Act provides that a director shall not be liable for any action taken as a director or any failure to take any action if such director performed the duties of the office in accordance with his or her good faith business judgment of the best interests of the corporation.</w:t>
      </w:r>
    </w:p>
    <w:p>
      <w:pPr>
        <w:spacing w:after="0" w:line="82"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The articles of incorporation of 623 Landfill, Inc. provide that every person who was or is a party or is threatened to be made a party to any threatened, pending or completed action, suit or proceeding of any kind or was or is the subject of any claim by reason of his being or having been a director or officer of the corporation or by reason of his serving or having served at the request of the corporation as a director, officer, employee or agent of another entity or other enterprise shall be indemnified by the corporation against expenses (including attorneys’ fees), judgments, fines, penalties, awards, costs, amounts paid in settlement and liabilities of all kinds, actually and reasonably incurred by such person in connection with, or resulting from, such action, suit, proceeding or claim. Such indemnification is only allowed if such person acted in good faith and in the manner he or she reasonably believed to be in, or not opposed to, the best interests of the corporation, and, with respect to any criminal action or proceeding, had no reasonable cause to believe his conduct was unlawful, provided that no indemnification shall be made in respect of any claim, issue or matter as to which such person shall have been adjudicated to be liable to the corporation for negligence or misconduct in the performance of his duty to the corporation unless, and only to the extent that, the court in which such action, suit or proceeding was brought shall determine upon application that, despite the adjudication of liability but in view of all circumstances of the case, such person is fairly and reasonably entitled to indemnity. Any indemnification under the preceding paragraph (unless ordered by a court) shall be made by the corporation only as authorized in the specific case upon a determination that indemnification of such person is proper in the circumstances because he or she had met the applicable standard of conduct set forth in said paragraph. Such determination may be made either (i) by the board of directors of the corporation by a majority vote of a quorum consisting of directors who were not parties to such action, suit, or proceeding, (ii) if such a quorum is not obtainable or, even if obtainable, if a quorum of disinterested directors so directs, by independent legal counsel in a written opinion or (iii) by the stockholders. Expenses incurred by or in respect of any such person in connection with any such action, suit or proceeding, whether criminal, administrative, arbitrative or investigative, may be paid by the corporation in advance of the final disposition thereof upon receipt of an undertaking by, or on behalf of, such person to repay such amount unless it shall ultimately be determined that he or she is entitled to be indemnified by the corporation. The board of directors shall have the power to indemnify its other employees and agents to the same extent as provided in the articles of incorporation with respect to its directors and officers.</w:t>
      </w:r>
    </w:p>
    <w:p>
      <w:pPr>
        <w:spacing w:after="0" w:line="94"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623 Landfill,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0" w:lineRule="exact"/>
        <w:rPr>
          <w:sz w:val="20"/>
          <w:szCs w:val="20"/>
          <w:color w:val="auto"/>
        </w:rPr>
      </w:pPr>
    </w:p>
    <w:p>
      <w:pPr>
        <w:jc w:val="both"/>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The bylaws of 623 Landfill,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w:t>
      </w:r>
    </w:p>
    <w:p>
      <w:pPr>
        <w:spacing w:after="0" w:line="3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3" w:lineRule="auto"/>
        <w:rPr>
          <w:sz w:val="20"/>
          <w:szCs w:val="20"/>
          <w:color w:val="auto"/>
        </w:rPr>
      </w:pPr>
      <w:r>
        <w:rPr>
          <w:rFonts w:ascii="Times New Roman" w:cs="Times New Roman" w:eastAsia="Times New Roman" w:hAnsi="Times New Roman"/>
          <w:sz w:val="18"/>
          <w:szCs w:val="18"/>
          <w:color w:val="auto"/>
        </w:rPr>
        <w:t>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94" w:lineRule="exact"/>
        <w:rPr>
          <w:sz w:val="20"/>
          <w:szCs w:val="20"/>
          <w:color w:val="auto"/>
        </w:rPr>
      </w:pPr>
    </w:p>
    <w:p>
      <w:pPr>
        <w:ind w:left="700" w:right="600" w:firstLine="390"/>
        <w:spacing w:after="0" w:line="286" w:lineRule="auto"/>
        <w:tabs>
          <w:tab w:leader="none" w:pos="1362"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Cumberland County Development Company, LLC, Obscurity Land Development, LLC and Republic Services of Virginia, LLC are organized as limited liability companies under the laws of Virginia.</w:t>
      </w:r>
    </w:p>
    <w:p>
      <w:pPr>
        <w:spacing w:after="0" w:line="64" w:lineRule="exact"/>
        <w:rPr>
          <w:sz w:val="20"/>
          <w:szCs w:val="20"/>
          <w:color w:val="auto"/>
        </w:rPr>
      </w:pPr>
    </w:p>
    <w:p>
      <w:pPr>
        <w:ind w:left="700" w:right="200" w:firstLine="397"/>
        <w:spacing w:after="0" w:line="282" w:lineRule="auto"/>
        <w:rPr>
          <w:sz w:val="20"/>
          <w:szCs w:val="20"/>
          <w:color w:val="auto"/>
        </w:rPr>
      </w:pPr>
      <w:r>
        <w:rPr>
          <w:rFonts w:ascii="Times New Roman" w:cs="Times New Roman" w:eastAsia="Times New Roman" w:hAnsi="Times New Roman"/>
          <w:sz w:val="18"/>
          <w:szCs w:val="18"/>
          <w:color w:val="auto"/>
        </w:rPr>
        <w:t>Section 13.1-1009(16) of the Virginia Limited Liability Company Act permits a limited liability company to indemnify members, managers or other persons from and against any and all claims and demands whatsoever.</w:t>
      </w:r>
    </w:p>
    <w:p>
      <w:pPr>
        <w:spacing w:after="0" w:line="67" w:lineRule="exact"/>
        <w:rPr>
          <w:sz w:val="20"/>
          <w:szCs w:val="20"/>
          <w:color w:val="auto"/>
        </w:rPr>
      </w:pPr>
    </w:p>
    <w:p>
      <w:pPr>
        <w:ind w:left="700" w:right="160" w:firstLine="397"/>
        <w:spacing w:after="0" w:line="256" w:lineRule="auto"/>
        <w:rPr>
          <w:sz w:val="20"/>
          <w:szCs w:val="20"/>
          <w:color w:val="auto"/>
        </w:rPr>
      </w:pPr>
      <w:r>
        <w:rPr>
          <w:rFonts w:ascii="Times New Roman" w:cs="Times New Roman" w:eastAsia="Times New Roman" w:hAnsi="Times New Roman"/>
          <w:sz w:val="18"/>
          <w:szCs w:val="18"/>
          <w:color w:val="auto"/>
        </w:rPr>
        <w:t>The operating agreement of each of Cumberland County Development Company, LLC and Obscurity Land Development,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93" w:lineRule="exact"/>
        <w:rPr>
          <w:sz w:val="20"/>
          <w:szCs w:val="20"/>
          <w:color w:val="auto"/>
        </w:rPr>
      </w:pPr>
    </w:p>
    <w:p>
      <w:pPr>
        <w:ind w:left="700" w:right="600" w:firstLine="397"/>
        <w:spacing w:after="0" w:line="282" w:lineRule="auto"/>
        <w:rPr>
          <w:sz w:val="20"/>
          <w:szCs w:val="20"/>
          <w:color w:val="auto"/>
        </w:rPr>
      </w:pPr>
      <w:r>
        <w:rPr>
          <w:rFonts w:ascii="Times New Roman" w:cs="Times New Roman" w:eastAsia="Times New Roman" w:hAnsi="Times New Roman"/>
          <w:sz w:val="18"/>
          <w:szCs w:val="18"/>
          <w:color w:val="auto"/>
        </w:rPr>
        <w:t>There is no provision for indemnification or insurance in the certificate of formation or the operating agreement of Republic Services of Virginia, LLC.</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Washington Registrants:</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(a) Rabanco Recycling, Inc., Rabanco, Ltd. and WJR Environmental, Inc. are incorporated under the laws of Washington.</w:t>
      </w:r>
    </w:p>
    <w:p>
      <w:pPr>
        <w:spacing w:after="0" w:line="135" w:lineRule="exact"/>
        <w:rPr>
          <w:sz w:val="20"/>
          <w:szCs w:val="20"/>
          <w:color w:val="auto"/>
        </w:rPr>
      </w:pPr>
    </w:p>
    <w:p>
      <w:pPr>
        <w:ind w:left="700" w:right="340" w:firstLine="397"/>
        <w:spacing w:after="0" w:line="266" w:lineRule="auto"/>
        <w:rPr>
          <w:sz w:val="20"/>
          <w:szCs w:val="20"/>
          <w:color w:val="auto"/>
        </w:rPr>
      </w:pPr>
      <w:r>
        <w:rPr>
          <w:rFonts w:ascii="Times New Roman" w:cs="Times New Roman" w:eastAsia="Times New Roman" w:hAnsi="Times New Roman"/>
          <w:sz w:val="18"/>
          <w:szCs w:val="18"/>
          <w:color w:val="auto"/>
        </w:rPr>
        <w:t>Sections 23B.08.500 et seq. of the Washington Business Corporation Act authorize a court to award, or a corporation’s board of directors to grant, indemnity to an officer, director, employee or agent of the corporation under certain circumstances and subject to certain limitations.</w:t>
      </w:r>
    </w:p>
    <w:p>
      <w:pPr>
        <w:spacing w:after="0" w:line="82" w:lineRule="exact"/>
        <w:rPr>
          <w:sz w:val="20"/>
          <w:szCs w:val="20"/>
          <w:color w:val="auto"/>
        </w:rPr>
      </w:pPr>
    </w:p>
    <w:p>
      <w:pPr>
        <w:ind w:left="700" w:right="280" w:firstLine="397"/>
        <w:spacing w:after="0" w:line="261" w:lineRule="auto"/>
        <w:rPr>
          <w:sz w:val="20"/>
          <w:szCs w:val="20"/>
          <w:color w:val="auto"/>
        </w:rPr>
      </w:pPr>
      <w:r>
        <w:rPr>
          <w:rFonts w:ascii="Times New Roman" w:cs="Times New Roman" w:eastAsia="Times New Roman" w:hAnsi="Times New Roman"/>
          <w:sz w:val="18"/>
          <w:szCs w:val="18"/>
          <w:color w:val="auto"/>
        </w:rPr>
        <w:t>Section 23B.08.320 of the Washington Business Corporation Act provides that the articles of incorporation of a corporation may eliminate or limit the personal liability of a director to the corporation or its shareholders, subject to certain limitations.</w:t>
      </w:r>
    </w:p>
    <w:p>
      <w:pPr>
        <w:ind w:left="700"/>
        <w:spacing w:after="0" w:line="254" w:lineRule="auto"/>
        <w:rPr>
          <w:sz w:val="20"/>
          <w:szCs w:val="20"/>
          <w:color w:val="auto"/>
        </w:rPr>
      </w:pPr>
      <w:r>
        <w:rPr>
          <w:rFonts w:ascii="Times New Roman" w:cs="Times New Roman" w:eastAsia="Times New Roman" w:hAnsi="Times New Roman"/>
          <w:sz w:val="18"/>
          <w:szCs w:val="18"/>
          <w:color w:val="auto"/>
        </w:rPr>
        <w:t>Sections 23B.08.420(4) and 23B.08.300(4) of the Washington Business Corporation Act provide that a director or officer of a corporation shall not be liable for any action taken as a director or officer or any failure to take any action if such director or officer performed the duties of his or her office (i) in good faith, (ii) with the care an ordinarily prudent person in a like position would exercise under similar circumstances and (iii) in a manner he or she reasonably believes to be in the best interests of the corporation.</w:t>
      </w:r>
    </w:p>
    <w:p>
      <w:pPr>
        <w:spacing w:after="0" w:line="91" w:lineRule="exact"/>
        <w:rPr>
          <w:sz w:val="20"/>
          <w:szCs w:val="20"/>
          <w:color w:val="auto"/>
        </w:rPr>
      </w:pPr>
    </w:p>
    <w:p>
      <w:pPr>
        <w:jc w:val="both"/>
        <w:ind w:left="700" w:right="180" w:firstLine="397"/>
        <w:spacing w:after="0" w:line="266" w:lineRule="auto"/>
        <w:rPr>
          <w:sz w:val="20"/>
          <w:szCs w:val="20"/>
          <w:color w:val="auto"/>
        </w:rPr>
      </w:pPr>
      <w:r>
        <w:rPr>
          <w:rFonts w:ascii="Times New Roman" w:cs="Times New Roman" w:eastAsia="Times New Roman" w:hAnsi="Times New Roman"/>
          <w:sz w:val="18"/>
          <w:szCs w:val="18"/>
          <w:color w:val="auto"/>
        </w:rPr>
        <w:t>The articles of incorporation of each of Rabanco Recycling, Inc. and Rabanco, Ltd. provide that a director of the corporation shall not be personally liable to the corporation or its stockholders for monetary damages for breach of fiduciary duty as a director, except to the extent that the elimination or limitation of liability is prohibited under the Washington Business Corporation Act.</w:t>
      </w:r>
    </w:p>
    <w:p>
      <w:pPr>
        <w:spacing w:after="0" w:line="82" w:lineRule="exact"/>
        <w:rPr>
          <w:sz w:val="20"/>
          <w:szCs w:val="20"/>
          <w:color w:val="auto"/>
        </w:rPr>
      </w:pPr>
    </w:p>
    <w:p>
      <w:pPr>
        <w:jc w:val="both"/>
        <w:ind w:left="700" w:right="120" w:firstLine="397"/>
        <w:spacing w:after="0" w:line="261" w:lineRule="auto"/>
        <w:rPr>
          <w:sz w:val="20"/>
          <w:szCs w:val="20"/>
          <w:color w:val="auto"/>
        </w:rPr>
      </w:pPr>
      <w:r>
        <w:rPr>
          <w:rFonts w:ascii="Times New Roman" w:cs="Times New Roman" w:eastAsia="Times New Roman" w:hAnsi="Times New Roman"/>
          <w:sz w:val="18"/>
          <w:szCs w:val="18"/>
          <w:color w:val="auto"/>
        </w:rPr>
        <w:t>The articles of incorporation of WJR Environmental, Inc. provide that a director of the corporation shall not be personally liable to the corporation or its shareholders for monetary damages for conduct as a director, except for (i) acts or omissions involving intentional misconduct by the director or a knowing violation of law by the director, (ii) conduct violating 23B.08.310 of the Washington Business Corporation Act relating to certain distributions by</w:t>
      </w:r>
    </w:p>
    <w:p>
      <w:pPr>
        <w:spacing w:after="0" w:line="3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82" w:lineRule="auto"/>
        <w:rPr>
          <w:sz w:val="20"/>
          <w:szCs w:val="20"/>
          <w:color w:val="auto"/>
        </w:rPr>
      </w:pPr>
      <w:r>
        <w:rPr>
          <w:rFonts w:ascii="Times New Roman" w:cs="Times New Roman" w:eastAsia="Times New Roman" w:hAnsi="Times New Roman"/>
          <w:sz w:val="18"/>
          <w:szCs w:val="18"/>
          <w:color w:val="auto"/>
        </w:rPr>
        <w:t>the corporation or (iii) any transaction from which the director will personally receive a benefit in money, property or services to which the director is not legally entitled.</w:t>
      </w:r>
    </w:p>
    <w:p>
      <w:pPr>
        <w:spacing w:after="0" w:line="67"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The bylaws of each of the Washington corporation registrants provide that the corporation shall, to the fullest extent permitted by the law, indemnify and advance expenses to each person to whom indemnification and advancement of expenses may be offered under the law. The corporation shall have the power to purchase and maintain insurance on behalf of any person who is or was a director, officer, employee or agent of the corporation, or is or was serving at the request of the corporation as a director, officer, partner, trustee, employee or agent of another entity or other enterprise against any liability asserted against or incurred by such person in such capacity or arising out of such person’s status as such, whether or not the corporation would have the power to indemnify such person against such liability under the provisions of Washington law.</w:t>
      </w:r>
    </w:p>
    <w:p>
      <w:pPr>
        <w:spacing w:after="0" w:line="9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(b) Rabanco Companies is organized as a general partnership under the laws of Washington.</w:t>
      </w:r>
    </w:p>
    <w:p>
      <w:pPr>
        <w:spacing w:after="0" w:line="135" w:lineRule="exact"/>
        <w:rPr>
          <w:sz w:val="20"/>
          <w:szCs w:val="20"/>
          <w:color w:val="auto"/>
        </w:rPr>
      </w:pPr>
    </w:p>
    <w:p>
      <w:pPr>
        <w:ind w:left="700" w:right="260" w:firstLine="397"/>
        <w:spacing w:after="0" w:line="282" w:lineRule="auto"/>
        <w:rPr>
          <w:sz w:val="20"/>
          <w:szCs w:val="20"/>
          <w:color w:val="auto"/>
        </w:rPr>
      </w:pPr>
      <w:r>
        <w:rPr>
          <w:rFonts w:ascii="Times New Roman" w:cs="Times New Roman" w:eastAsia="Times New Roman" w:hAnsi="Times New Roman"/>
          <w:sz w:val="18"/>
          <w:szCs w:val="18"/>
          <w:color w:val="auto"/>
        </w:rPr>
        <w:t>Section 25.05.150(3) of the Washington Revised Uniform Partnership Act authorizes a general partnership to indemnify partners under certain circumstances and subject to certain limitations.</w:t>
      </w:r>
    </w:p>
    <w:p>
      <w:pPr>
        <w:spacing w:after="0" w:line="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There is no provision for indemnification or insurance in the partnership agreement of Rabanco Companies.</w:t>
      </w:r>
    </w:p>
    <w:p>
      <w:pPr>
        <w:spacing w:after="0" w:line="1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West Virginia Registrant: Sandy Hollow Landfill Corp. is organized as a corporation under the laws of West Virginia.</w:t>
      </w:r>
    </w:p>
    <w:p>
      <w:pPr>
        <w:spacing w:after="0" w:line="135" w:lineRule="exact"/>
        <w:rPr>
          <w:sz w:val="20"/>
          <w:szCs w:val="20"/>
          <w:color w:val="auto"/>
        </w:rPr>
      </w:pPr>
    </w:p>
    <w:p>
      <w:pPr>
        <w:ind w:left="700" w:right="160" w:firstLine="397"/>
        <w:spacing w:after="0" w:line="282" w:lineRule="auto"/>
        <w:rPr>
          <w:sz w:val="20"/>
          <w:szCs w:val="20"/>
          <w:color w:val="auto"/>
        </w:rPr>
      </w:pPr>
      <w:r>
        <w:rPr>
          <w:rFonts w:ascii="Times New Roman" w:cs="Times New Roman" w:eastAsia="Times New Roman" w:hAnsi="Times New Roman"/>
          <w:sz w:val="18"/>
          <w:szCs w:val="18"/>
          <w:color w:val="auto"/>
        </w:rPr>
        <w:t>Part 5 of Article 8 of the West Virginia Business Corporation Act authorizes a court to award, or a corporation’s board of directors to grant, indemnity to officers and directors of the corporation under certain circumstances and subject to certain limitations.</w:t>
      </w:r>
    </w:p>
    <w:p>
      <w:pPr>
        <w:spacing w:after="0" w:line="67" w:lineRule="exact"/>
        <w:rPr>
          <w:sz w:val="20"/>
          <w:szCs w:val="20"/>
          <w:color w:val="auto"/>
        </w:rPr>
      </w:pPr>
    </w:p>
    <w:p>
      <w:pPr>
        <w:ind w:left="700" w:right="80" w:firstLine="397"/>
        <w:spacing w:after="0" w:line="273" w:lineRule="auto"/>
        <w:rPr>
          <w:sz w:val="20"/>
          <w:szCs w:val="20"/>
          <w:color w:val="auto"/>
        </w:rPr>
      </w:pPr>
      <w:r>
        <w:rPr>
          <w:rFonts w:ascii="Times New Roman" w:cs="Times New Roman" w:eastAsia="Times New Roman" w:hAnsi="Times New Roman"/>
          <w:sz w:val="17"/>
          <w:szCs w:val="17"/>
          <w:color w:val="auto"/>
        </w:rPr>
        <w:t>Section 31D-8-831(a) of the West Virginia Business Corporation Act provides that a director of a corporation shall not be liable to the corporation or its shareholders for any decision to take or not to take action or any failure to take any action as a director unless the party asserting liability establishes that the articles of incorporation and other law do not preclude liability and the challenged conduct consisted of or was the result of (i) action not in good faith, (ii) a decision (1) which the director did not reasonably believe to be in the best interests of the corporation or (2) as to which the director was not informed to an extent the director reasonably believed appropriate in the circumstances, (iii) a lack of objectivity or independence, (iv) a sustained failure of the director to devote attention to ongoing oversight of the business and affairs of the corporation or (v) receipt of a financial benefit to which the director was not entitled.</w:t>
      </w:r>
    </w:p>
    <w:p>
      <w:pPr>
        <w:spacing w:after="0" w:line="78"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bylaws of Sandy Hollow Landfill Corp.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3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53" w:lineRule="auto"/>
        <w:rPr>
          <w:sz w:val="20"/>
          <w:szCs w:val="20"/>
          <w:color w:val="auto"/>
        </w:rPr>
      </w:pPr>
      <w:r>
        <w:rPr>
          <w:rFonts w:ascii="Times New Roman" w:cs="Times New Roman" w:eastAsia="Times New Roman" w:hAnsi="Times New Roman"/>
          <w:sz w:val="18"/>
          <w:szCs w:val="18"/>
          <w:color w:val="auto"/>
        </w:rPr>
        <w:t>The bylaws of Sandy Hollow Landfill Corp.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198" w:lineRule="exact"/>
        <w:rPr>
          <w:sz w:val="20"/>
          <w:szCs w:val="20"/>
          <w:color w:val="auto"/>
        </w:rPr>
      </w:pPr>
    </w:p>
    <w:p>
      <w:pPr>
        <w:ind w:left="70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21.</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 list of exhibits filed with this registration statement is contained in the index to exhibits, which is incorporated by reference.</w:t>
      </w:r>
    </w:p>
    <w:p>
      <w:pPr>
        <w:spacing w:after="0" w:line="235" w:lineRule="exact"/>
        <w:rPr>
          <w:sz w:val="20"/>
          <w:szCs w:val="20"/>
          <w:color w:val="auto"/>
        </w:rPr>
      </w:pPr>
    </w:p>
    <w:p>
      <w:pPr>
        <w:ind w:left="70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22.</w:t>
      </w:r>
      <w:r>
        <w:rPr>
          <w:sz w:val="20"/>
          <w:szCs w:val="20"/>
          <w:color w:val="auto"/>
        </w:rPr>
        <w:tab/>
      </w:r>
      <w:r>
        <w:rPr>
          <w:rFonts w:ascii="Times New Roman" w:cs="Times New Roman" w:eastAsia="Times New Roman" w:hAnsi="Times New Roman"/>
          <w:sz w:val="17"/>
          <w:szCs w:val="17"/>
          <w:b w:val="1"/>
          <w:bCs w:val="1"/>
          <w:i w:val="1"/>
          <w:iCs w:val="1"/>
          <w:color w:val="auto"/>
        </w:rPr>
        <w:t>Undertakings</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Each of the undersigned co-registrants hereby undertakes:</w:t>
      </w:r>
    </w:p>
    <w:p>
      <w:pPr>
        <w:spacing w:after="0" w:line="131" w:lineRule="exact"/>
        <w:rPr>
          <w:sz w:val="20"/>
          <w:szCs w:val="20"/>
          <w:color w:val="auto"/>
        </w:rPr>
      </w:pPr>
    </w:p>
    <w:p>
      <w:pPr>
        <w:ind w:left="1080" w:right="740" w:firstLine="391"/>
        <w:spacing w:after="0" w:line="282" w:lineRule="auto"/>
        <w:tabs>
          <w:tab w:leader="none" w:pos="17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67" w:lineRule="exact"/>
        <w:rPr>
          <w:rFonts w:ascii="Times New Roman" w:cs="Times New Roman" w:eastAsia="Times New Roman" w:hAnsi="Times New Roman"/>
          <w:sz w:val="18"/>
          <w:szCs w:val="18"/>
          <w:color w:val="auto"/>
        </w:rPr>
      </w:pPr>
    </w:p>
    <w:p>
      <w:pPr>
        <w:ind w:left="2060" w:hanging="208"/>
        <w:spacing w:after="0"/>
        <w:tabs>
          <w:tab w:leader="none" w:pos="20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480" w:right="60" w:firstLine="372"/>
        <w:spacing w:after="0" w:line="255" w:lineRule="auto"/>
        <w:tabs>
          <w:tab w:leader="none" w:pos="210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0" w:lineRule="exact"/>
        <w:rPr>
          <w:rFonts w:ascii="Times New Roman" w:cs="Times New Roman" w:eastAsia="Times New Roman" w:hAnsi="Times New Roman"/>
          <w:sz w:val="18"/>
          <w:szCs w:val="18"/>
          <w:color w:val="auto"/>
        </w:rPr>
      </w:pPr>
    </w:p>
    <w:p>
      <w:pPr>
        <w:ind w:left="1480" w:right="820" w:firstLine="372"/>
        <w:spacing w:after="0" w:line="282" w:lineRule="auto"/>
        <w:tabs>
          <w:tab w:leader="none" w:pos="215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1080" w:firstLine="391"/>
        <w:spacing w:after="0" w:line="266" w:lineRule="auto"/>
        <w:tabs>
          <w:tab w:leader="none" w:pos="17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180" w:firstLine="391"/>
        <w:spacing w:after="0" w:line="282" w:lineRule="auto"/>
        <w:tabs>
          <w:tab w:leader="none" w:pos="17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right="20" w:firstLine="391"/>
        <w:spacing w:after="0" w:line="261" w:lineRule="auto"/>
        <w:tabs>
          <w:tab w:leader="none" w:pos="17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w:t>
      </w:r>
    </w:p>
    <w:p>
      <w:pPr>
        <w:spacing w:after="0" w:line="3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220"/>
        <w:spacing w:after="0" w:line="282" w:lineRule="auto"/>
        <w:rPr>
          <w:sz w:val="20"/>
          <w:szCs w:val="20"/>
          <w:color w:val="auto"/>
        </w:rPr>
      </w:pPr>
      <w:r>
        <w:rPr>
          <w:rFonts w:ascii="Times New Roman" w:cs="Times New Roman" w:eastAsia="Times New Roman" w:hAnsi="Times New Roman"/>
          <w:sz w:val="18"/>
          <w:szCs w:val="18"/>
          <w:color w:val="auto"/>
        </w:rPr>
        <w:t xml:space="preserve">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7" w:lineRule="exact"/>
        <w:rPr>
          <w:sz w:val="20"/>
          <w:szCs w:val="20"/>
          <w:color w:val="auto"/>
        </w:rPr>
      </w:pPr>
    </w:p>
    <w:p>
      <w:pPr>
        <w:ind w:left="1080" w:firstLine="391"/>
        <w:spacing w:after="0" w:line="255" w:lineRule="auto"/>
        <w:tabs>
          <w:tab w:leader="none" w:pos="171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0" w:lineRule="exact"/>
        <w:rPr>
          <w:rFonts w:ascii="Times New Roman" w:cs="Times New Roman" w:eastAsia="Times New Roman" w:hAnsi="Times New Roman"/>
          <w:sz w:val="18"/>
          <w:szCs w:val="18"/>
          <w:color w:val="auto"/>
        </w:rPr>
      </w:pPr>
    </w:p>
    <w:p>
      <w:pPr>
        <w:jc w:val="both"/>
        <w:ind w:left="1080" w:right="60" w:firstLine="391"/>
        <w:spacing w:after="0" w:line="261" w:lineRule="auto"/>
        <w:tabs>
          <w:tab w:leader="none" w:pos="171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5" w:lineRule="exact"/>
        <w:rPr>
          <w:rFonts w:ascii="Times New Roman" w:cs="Times New Roman" w:eastAsia="Times New Roman" w:hAnsi="Times New Roman"/>
          <w:sz w:val="18"/>
          <w:szCs w:val="18"/>
          <w:color w:val="auto"/>
        </w:rPr>
      </w:pPr>
    </w:p>
    <w:p>
      <w:pPr>
        <w:ind w:left="1080" w:right="520" w:firstLine="391"/>
        <w:spacing w:after="0" w:line="313" w:lineRule="auto"/>
        <w:tabs>
          <w:tab w:leader="none" w:pos="1713"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43" w:lineRule="exact"/>
        <w:rPr>
          <w:rFonts w:ascii="Times New Roman" w:cs="Times New Roman" w:eastAsia="Times New Roman" w:hAnsi="Times New Roman"/>
          <w:sz w:val="17"/>
          <w:szCs w:val="17"/>
          <w:color w:val="auto"/>
        </w:rPr>
      </w:pPr>
    </w:p>
    <w:p>
      <w:pPr>
        <w:ind w:left="1080" w:firstLine="391"/>
        <w:spacing w:after="0" w:line="254" w:lineRule="auto"/>
        <w:tabs>
          <w:tab w:leader="none" w:pos="171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Republic Services, Inc.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REPUBLIC SERVICES, INC.</w:t>
      </w:r>
    </w:p>
    <w:p>
      <w:pPr>
        <w:spacing w:after="0" w:line="225" w:lineRule="exact"/>
        <w:rPr>
          <w:sz w:val="20"/>
          <w:szCs w:val="20"/>
          <w:color w:val="auto"/>
        </w:rPr>
      </w:pPr>
    </w:p>
    <w:tbl>
      <w:tblPr>
        <w:tblLayout w:type="fixed"/>
        <w:tblInd w:w="532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E. O’Connor *</w:t>
            </w:r>
          </w:p>
        </w:tc>
      </w:tr>
      <w:tr>
        <w:trPr>
          <w:trHeight w:val="228"/>
        </w:trPr>
        <w:tc>
          <w:tcPr>
            <w:tcW w:w="34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E. O’Connor</w:t>
            </w:r>
          </w:p>
        </w:tc>
      </w:tr>
      <w:tr>
        <w:trPr>
          <w:trHeight w:val="396"/>
        </w:trPr>
        <w:tc>
          <w:tcPr>
            <w:tcW w:w="340" w:type="dxa"/>
            <w:vAlign w:val="bottom"/>
          </w:tcPr>
          <w:p>
            <w:pPr>
              <w:spacing w:after="0"/>
              <w:rPr>
                <w:sz w:val="24"/>
                <w:szCs w:val="24"/>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34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191"/>
        </w:trPr>
        <w:tc>
          <w:tcPr>
            <w:tcW w:w="5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 James E. O’Connor *</w:t>
            </w:r>
          </w:p>
        </w:tc>
        <w:tc>
          <w:tcPr>
            <w:tcW w:w="580" w:type="dxa"/>
            <w:vAlign w:val="bottom"/>
          </w:tcPr>
          <w:p>
            <w:pPr>
              <w:spacing w:after="0"/>
              <w:rPr>
                <w:sz w:val="16"/>
                <w:szCs w:val="16"/>
                <w:color w:val="auto"/>
              </w:rPr>
            </w:pPr>
          </w:p>
        </w:tc>
        <w:tc>
          <w:tcPr>
            <w:tcW w:w="5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0" w:type="dxa"/>
            <w:vAlign w:val="bottom"/>
          </w:tcPr>
          <w:p>
            <w:pPr>
              <w:spacing w:after="0"/>
              <w:rPr>
                <w:sz w:val="1"/>
                <w:szCs w:val="1"/>
                <w:color w:val="auto"/>
              </w:rPr>
            </w:pPr>
          </w:p>
        </w:tc>
      </w:tr>
      <w:tr>
        <w:trPr>
          <w:trHeight w:val="32"/>
        </w:trPr>
        <w:tc>
          <w:tcPr>
            <w:tcW w:w="54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91"/>
        </w:trPr>
        <w:tc>
          <w:tcPr>
            <w:tcW w:w="5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James E. O’Connor</w:t>
            </w:r>
          </w:p>
        </w:tc>
        <w:tc>
          <w:tcPr>
            <w:tcW w:w="580" w:type="dxa"/>
            <w:vAlign w:val="bottom"/>
          </w:tcPr>
          <w:p>
            <w:pPr>
              <w:spacing w:after="0"/>
              <w:rPr>
                <w:sz w:val="16"/>
                <w:szCs w:val="16"/>
                <w:color w:val="auto"/>
              </w:rPr>
            </w:pPr>
          </w:p>
        </w:tc>
        <w:tc>
          <w:tcPr>
            <w:tcW w:w="5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Tod C. Holmes</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0" w:type="dxa"/>
            <w:vAlign w:val="bottom"/>
          </w:tcPr>
          <w:p>
            <w:pPr>
              <w:spacing w:after="0"/>
              <w:rPr>
                <w:sz w:val="1"/>
                <w:szCs w:val="1"/>
                <w:color w:val="auto"/>
              </w:rPr>
            </w:pPr>
          </w:p>
        </w:tc>
      </w:tr>
      <w:tr>
        <w:trPr>
          <w:trHeight w:val="32"/>
        </w:trPr>
        <w:tc>
          <w:tcPr>
            <w:tcW w:w="54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191"/>
        </w:trPr>
        <w:tc>
          <w:tcPr>
            <w:tcW w:w="5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Tod C. Holmes</w:t>
            </w:r>
          </w:p>
        </w:tc>
        <w:tc>
          <w:tcPr>
            <w:tcW w:w="580" w:type="dxa"/>
            <w:vAlign w:val="bottom"/>
          </w:tcPr>
          <w:p>
            <w:pPr>
              <w:spacing w:after="0"/>
              <w:rPr>
                <w:sz w:val="16"/>
                <w:szCs w:val="16"/>
                <w:color w:val="auto"/>
              </w:rPr>
            </w:pPr>
          </w:p>
        </w:tc>
        <w:tc>
          <w:tcPr>
            <w:tcW w:w="5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c>
          <w:tcPr>
            <w:tcW w:w="0" w:type="dxa"/>
            <w:vAlign w:val="bottom"/>
          </w:tcPr>
          <w:p>
            <w:pPr>
              <w:spacing w:after="0"/>
              <w:rPr>
                <w:sz w:val="1"/>
                <w:szCs w:val="1"/>
                <w:color w:val="auto"/>
              </w:rPr>
            </w:pPr>
          </w:p>
        </w:tc>
      </w:tr>
      <w:tr>
        <w:trPr>
          <w:trHeight w:val="32"/>
        </w:trPr>
        <w:tc>
          <w:tcPr>
            <w:tcW w:w="54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191"/>
        </w:trPr>
        <w:tc>
          <w:tcPr>
            <w:tcW w:w="5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Charles F. Serianni</w:t>
            </w:r>
          </w:p>
        </w:tc>
        <w:tc>
          <w:tcPr>
            <w:tcW w:w="580" w:type="dxa"/>
            <w:vAlign w:val="bottom"/>
          </w:tcPr>
          <w:p>
            <w:pPr>
              <w:spacing w:after="0"/>
              <w:rPr>
                <w:sz w:val="16"/>
                <w:szCs w:val="16"/>
                <w:color w:val="auto"/>
              </w:rPr>
            </w:pPr>
          </w:p>
        </w:tc>
        <w:tc>
          <w:tcPr>
            <w:tcW w:w="5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W. Croghan *</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98"/>
        </w:trPr>
        <w:tc>
          <w:tcPr>
            <w:tcW w:w="5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John W. Croghan</w:t>
            </w: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W. Crownover *</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98"/>
        </w:trPr>
        <w:tc>
          <w:tcPr>
            <w:tcW w:w="5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James W. Crownover</w:t>
            </w: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J. Flynn *</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98"/>
        </w:trPr>
        <w:tc>
          <w:tcPr>
            <w:tcW w:w="5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William J. Flynn</w:t>
            </w: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I. Foley *</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I. Foley</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5420" w:type="dxa"/>
            <w:vAlign w:val="bottom"/>
          </w:tcPr>
          <w:p>
            <w:pPr>
              <w:spacing w:after="0"/>
              <w:rPr>
                <w:sz w:val="24"/>
                <w:szCs w:val="24"/>
                <w:color w:val="auto"/>
              </w:rPr>
            </w:pPr>
          </w:p>
        </w:tc>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II-63</w:t>
            </w:r>
          </w:p>
        </w:tc>
        <w:tc>
          <w:tcPr>
            <w:tcW w:w="0" w:type="dxa"/>
            <w:vAlign w:val="bottom"/>
          </w:tcPr>
          <w:p>
            <w:pPr>
              <w:spacing w:after="0"/>
              <w:rPr>
                <w:sz w:val="1"/>
                <w:szCs w:val="1"/>
                <w:color w:val="auto"/>
              </w:rPr>
            </w:pPr>
          </w:p>
        </w:tc>
      </w:tr>
      <w:tr>
        <w:trPr>
          <w:trHeight w:val="226"/>
        </w:trPr>
        <w:tc>
          <w:tcPr>
            <w:tcW w:w="5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 w:type="dxa"/>
            <w:vAlign w:val="bottom"/>
            <w:tcBorders>
              <w:bottom w:val="single" w:sz="8" w:color="auto"/>
            </w:tcBorders>
          </w:tcPr>
          <w:p>
            <w:pPr>
              <w:spacing w:after="0"/>
              <w:rPr>
                <w:sz w:val="15"/>
                <w:szCs w:val="15"/>
                <w:color w:val="auto"/>
              </w:rPr>
            </w:pPr>
          </w:p>
        </w:tc>
        <w:tc>
          <w:tcPr>
            <w:tcW w:w="480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23"/>
        </w:trPr>
        <w:tc>
          <w:tcPr>
            <w:tcW w:w="620" w:type="dxa"/>
            <w:vAlign w:val="bottom"/>
            <w:tcBorders>
              <w:bottom w:val="single" w:sz="8" w:color="auto"/>
            </w:tcBorders>
          </w:tcPr>
          <w:p>
            <w:pPr>
              <w:spacing w:after="0"/>
              <w:rPr>
                <w:sz w:val="19"/>
                <w:szCs w:val="19"/>
                <w:color w:val="auto"/>
              </w:rPr>
            </w:pPr>
          </w:p>
        </w:tc>
        <w:tc>
          <w:tcPr>
            <w:tcW w:w="480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99"/>
              </w:rPr>
              <w:t>/s/ Michael Larson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91"/>
        </w:trPr>
        <w:tc>
          <w:tcPr>
            <w:tcW w:w="620" w:type="dxa"/>
            <w:vAlign w:val="bottom"/>
          </w:tcPr>
          <w:p>
            <w:pPr>
              <w:spacing w:after="0"/>
              <w:rPr>
                <w:sz w:val="16"/>
                <w:szCs w:val="16"/>
                <w:color w:val="auto"/>
              </w:rPr>
            </w:pPr>
          </w:p>
        </w:tc>
        <w:tc>
          <w:tcPr>
            <w:tcW w:w="4800" w:type="dxa"/>
            <w:vAlign w:val="bottom"/>
          </w:tcPr>
          <w:p>
            <w:pPr>
              <w:jc w:val="center"/>
              <w:ind w:right="531"/>
              <w:spacing w:after="0" w:line="191" w:lineRule="exact"/>
              <w:rPr>
                <w:sz w:val="20"/>
                <w:szCs w:val="20"/>
                <w:color w:val="auto"/>
              </w:rPr>
            </w:pPr>
            <w:r>
              <w:rPr>
                <w:rFonts w:ascii="Times New Roman" w:cs="Times New Roman" w:eastAsia="Times New Roman" w:hAnsi="Times New Roman"/>
                <w:sz w:val="18"/>
                <w:szCs w:val="18"/>
                <w:color w:val="auto"/>
              </w:rPr>
              <w:t>Michael Larson</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20" w:type="dxa"/>
            <w:vAlign w:val="bottom"/>
          </w:tcPr>
          <w:p>
            <w:pPr>
              <w:spacing w:after="0"/>
              <w:rPr>
                <w:sz w:val="16"/>
                <w:szCs w:val="16"/>
                <w:color w:val="auto"/>
              </w:rPr>
            </w:pPr>
          </w:p>
        </w:tc>
      </w:tr>
      <w:tr>
        <w:trPr>
          <w:trHeight w:val="241"/>
        </w:trPr>
        <w:tc>
          <w:tcPr>
            <w:tcW w:w="6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rPr>
              <w:t>/s/ Nolan Lehmann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98"/>
        </w:trPr>
        <w:tc>
          <w:tcPr>
            <w:tcW w:w="620" w:type="dxa"/>
            <w:vAlign w:val="bottom"/>
          </w:tcPr>
          <w:p>
            <w:pPr>
              <w:spacing w:after="0"/>
              <w:rPr>
                <w:sz w:val="17"/>
                <w:szCs w:val="17"/>
                <w:color w:val="auto"/>
              </w:rPr>
            </w:pPr>
          </w:p>
        </w:tc>
        <w:tc>
          <w:tcPr>
            <w:tcW w:w="4800" w:type="dxa"/>
            <w:vAlign w:val="bottom"/>
          </w:tcPr>
          <w:p>
            <w:pPr>
              <w:jc w:val="center"/>
              <w:ind w:right="511"/>
              <w:spacing w:after="0" w:line="198" w:lineRule="exact"/>
              <w:rPr>
                <w:sz w:val="20"/>
                <w:szCs w:val="20"/>
                <w:color w:val="auto"/>
              </w:rPr>
            </w:pPr>
            <w:r>
              <w:rPr>
                <w:rFonts w:ascii="Times New Roman" w:cs="Times New Roman" w:eastAsia="Times New Roman" w:hAnsi="Times New Roman"/>
                <w:sz w:val="18"/>
                <w:szCs w:val="18"/>
                <w:color w:val="auto"/>
                <w:w w:val="99"/>
              </w:rPr>
              <w:t>Nolan Lehmann</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41"/>
        </w:trPr>
        <w:tc>
          <w:tcPr>
            <w:tcW w:w="6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98"/>
              </w:rPr>
              <w:t>/s/ W. Lee Nutter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98"/>
        </w:trPr>
        <w:tc>
          <w:tcPr>
            <w:tcW w:w="620" w:type="dxa"/>
            <w:vAlign w:val="bottom"/>
          </w:tcPr>
          <w:p>
            <w:pPr>
              <w:spacing w:after="0"/>
              <w:rPr>
                <w:sz w:val="17"/>
                <w:szCs w:val="17"/>
                <w:color w:val="auto"/>
              </w:rPr>
            </w:pPr>
          </w:p>
        </w:tc>
        <w:tc>
          <w:tcPr>
            <w:tcW w:w="4800" w:type="dxa"/>
            <w:vAlign w:val="bottom"/>
          </w:tcPr>
          <w:p>
            <w:pPr>
              <w:jc w:val="center"/>
              <w:ind w:right="531"/>
              <w:spacing w:after="0" w:line="198" w:lineRule="exact"/>
              <w:rPr>
                <w:sz w:val="20"/>
                <w:szCs w:val="20"/>
                <w:color w:val="auto"/>
              </w:rPr>
            </w:pPr>
            <w:r>
              <w:rPr>
                <w:rFonts w:ascii="Times New Roman" w:cs="Times New Roman" w:eastAsia="Times New Roman" w:hAnsi="Times New Roman"/>
                <w:sz w:val="18"/>
                <w:szCs w:val="18"/>
                <w:color w:val="auto"/>
                <w:w w:val="98"/>
              </w:rPr>
              <w:t>W. Lee Nutter</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41"/>
        </w:trPr>
        <w:tc>
          <w:tcPr>
            <w:tcW w:w="6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99"/>
              </w:rPr>
              <w:t>/s/ Ramon A. Rodriguez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620" w:type="dxa"/>
            <w:vAlign w:val="bottom"/>
          </w:tcPr>
          <w:p>
            <w:pPr>
              <w:spacing w:after="0"/>
              <w:rPr>
                <w:sz w:val="20"/>
                <w:szCs w:val="20"/>
                <w:color w:val="auto"/>
              </w:rPr>
            </w:pPr>
          </w:p>
        </w:tc>
        <w:tc>
          <w:tcPr>
            <w:tcW w:w="480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rPr>
              <w:t>Ramon A. Rodriguez</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637"/>
        </w:trPr>
        <w:tc>
          <w:tcPr>
            <w:tcW w:w="6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jc w:val="center"/>
              <w:ind w:right="531"/>
              <w:spacing w:after="0"/>
              <w:rPr>
                <w:sz w:val="20"/>
                <w:szCs w:val="20"/>
                <w:color w:val="auto"/>
              </w:rPr>
            </w:pPr>
            <w:r>
              <w:rPr>
                <w:rFonts w:ascii="Times New Roman" w:cs="Times New Roman" w:eastAsia="Times New Roman" w:hAnsi="Times New Roman"/>
                <w:sz w:val="18"/>
                <w:szCs w:val="18"/>
                <w:color w:val="auto"/>
                <w:w w:val="99"/>
              </w:rPr>
              <w:t>/s/ Donald W. Slager</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620" w:type="dxa"/>
            <w:vAlign w:val="bottom"/>
          </w:tcPr>
          <w:p>
            <w:pPr>
              <w:spacing w:after="0"/>
              <w:rPr>
                <w:sz w:val="20"/>
                <w:szCs w:val="20"/>
                <w:color w:val="auto"/>
              </w:rPr>
            </w:pPr>
          </w:p>
        </w:tc>
        <w:tc>
          <w:tcPr>
            <w:tcW w:w="480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8"/>
              </w:rPr>
              <w:t>Donald W. Slager</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21"/>
        </w:trPr>
        <w:tc>
          <w:tcPr>
            <w:tcW w:w="6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jc w:val="center"/>
              <w:ind w:right="531"/>
              <w:spacing w:after="0"/>
              <w:rPr>
                <w:sz w:val="20"/>
                <w:szCs w:val="20"/>
                <w:color w:val="auto"/>
              </w:rPr>
            </w:pPr>
            <w:r>
              <w:rPr>
                <w:rFonts w:ascii="Times New Roman" w:cs="Times New Roman" w:eastAsia="Times New Roman" w:hAnsi="Times New Roman"/>
                <w:sz w:val="18"/>
                <w:szCs w:val="18"/>
                <w:color w:val="auto"/>
                <w:w w:val="99"/>
              </w:rPr>
              <w:t>/s/ Allan C. Sorensen *</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98"/>
        </w:trPr>
        <w:tc>
          <w:tcPr>
            <w:tcW w:w="620" w:type="dxa"/>
            <w:vAlign w:val="bottom"/>
          </w:tcPr>
          <w:p>
            <w:pPr>
              <w:spacing w:after="0"/>
              <w:rPr>
                <w:sz w:val="17"/>
                <w:szCs w:val="17"/>
                <w:color w:val="auto"/>
              </w:rPr>
            </w:pPr>
          </w:p>
        </w:tc>
        <w:tc>
          <w:tcPr>
            <w:tcW w:w="4800" w:type="dxa"/>
            <w:vAlign w:val="bottom"/>
          </w:tcPr>
          <w:p>
            <w:pPr>
              <w:jc w:val="center"/>
              <w:ind w:right="511"/>
              <w:spacing w:after="0" w:line="198" w:lineRule="exact"/>
              <w:rPr>
                <w:sz w:val="20"/>
                <w:szCs w:val="20"/>
                <w:color w:val="auto"/>
              </w:rPr>
            </w:pPr>
            <w:r>
              <w:rPr>
                <w:rFonts w:ascii="Times New Roman" w:cs="Times New Roman" w:eastAsia="Times New Roman" w:hAnsi="Times New Roman"/>
                <w:sz w:val="18"/>
                <w:szCs w:val="18"/>
                <w:color w:val="auto"/>
              </w:rPr>
              <w:t>Allan C. Sorensen</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41"/>
        </w:trPr>
        <w:tc>
          <w:tcPr>
            <w:tcW w:w="6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98"/>
              </w:rPr>
              <w:t>/s/ John M. Trani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98"/>
        </w:trPr>
        <w:tc>
          <w:tcPr>
            <w:tcW w:w="620" w:type="dxa"/>
            <w:vAlign w:val="bottom"/>
          </w:tcPr>
          <w:p>
            <w:pPr>
              <w:spacing w:after="0"/>
              <w:rPr>
                <w:sz w:val="17"/>
                <w:szCs w:val="17"/>
                <w:color w:val="auto"/>
              </w:rPr>
            </w:pPr>
          </w:p>
        </w:tc>
        <w:tc>
          <w:tcPr>
            <w:tcW w:w="4800" w:type="dxa"/>
            <w:vAlign w:val="bottom"/>
          </w:tcPr>
          <w:p>
            <w:pPr>
              <w:jc w:val="center"/>
              <w:ind w:right="531"/>
              <w:spacing w:after="0" w:line="198" w:lineRule="exact"/>
              <w:rPr>
                <w:sz w:val="20"/>
                <w:szCs w:val="20"/>
                <w:color w:val="auto"/>
              </w:rPr>
            </w:pPr>
            <w:r>
              <w:rPr>
                <w:rFonts w:ascii="Times New Roman" w:cs="Times New Roman" w:eastAsia="Times New Roman" w:hAnsi="Times New Roman"/>
                <w:sz w:val="18"/>
                <w:szCs w:val="18"/>
                <w:color w:val="auto"/>
                <w:w w:val="99"/>
              </w:rPr>
              <w:t>John M. Trani</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41"/>
        </w:trPr>
        <w:tc>
          <w:tcPr>
            <w:tcW w:w="6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98"/>
              </w:rPr>
              <w:t>/s/ Michael W. Wickham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620" w:type="dxa"/>
            <w:vAlign w:val="bottom"/>
          </w:tcPr>
          <w:p>
            <w:pPr>
              <w:spacing w:after="0"/>
              <w:rPr>
                <w:sz w:val="20"/>
                <w:szCs w:val="20"/>
                <w:color w:val="auto"/>
              </w:rPr>
            </w:pPr>
          </w:p>
        </w:tc>
        <w:tc>
          <w:tcPr>
            <w:tcW w:w="480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7"/>
              </w:rPr>
              <w:t>Michael W. Wickham</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Tod C. Holmes</w:t>
            </w:r>
          </w:p>
        </w:tc>
        <w:tc>
          <w:tcPr>
            <w:tcW w:w="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620" w:type="dxa"/>
            <w:vAlign w:val="bottom"/>
          </w:tcPr>
          <w:p>
            <w:pPr>
              <w:spacing w:after="0"/>
              <w:rPr>
                <w:sz w:val="17"/>
                <w:szCs w:val="17"/>
                <w:color w:val="auto"/>
              </w:rPr>
            </w:pPr>
          </w:p>
        </w:tc>
        <w:tc>
          <w:tcPr>
            <w:tcW w:w="48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Attorney-in-Fact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6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II-64</w:t>
            </w:r>
          </w:p>
        </w:tc>
      </w:tr>
      <w:tr>
        <w:trPr>
          <w:trHeight w:val="226"/>
        </w:trPr>
        <w:tc>
          <w:tcPr>
            <w:tcW w:w="62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A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Schedule A hereto</w:t>
      </w:r>
    </w:p>
    <w:p>
      <w:pPr>
        <w:spacing w:after="0" w:line="207" w:lineRule="exact"/>
        <w:rPr>
          <w:sz w:val="20"/>
          <w:szCs w:val="20"/>
          <w:color w:val="auto"/>
        </w:rPr>
      </w:pPr>
    </w:p>
    <w:tbl>
      <w:tblPr>
        <w:tblLayout w:type="fixed"/>
        <w:tblInd w:w="534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60" w:type="dxa"/>
            <w:vAlign w:val="bottom"/>
          </w:tcPr>
          <w:p>
            <w:pPr>
              <w:spacing w:after="0"/>
              <w:rPr>
                <w:sz w:val="19"/>
                <w:szCs w:val="19"/>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6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 w:type="dxa"/>
            <w:vAlign w:val="bottom"/>
            <w:tcBorders>
              <w:bottom w:val="single" w:sz="8" w:color="auto"/>
            </w:tcBorders>
          </w:tcPr>
          <w:p>
            <w:pPr>
              <w:spacing w:after="0"/>
              <w:rPr>
                <w:sz w:val="15"/>
                <w:szCs w:val="15"/>
                <w:color w:val="auto"/>
              </w:rPr>
            </w:pPr>
          </w:p>
        </w:tc>
        <w:tc>
          <w:tcPr>
            <w:tcW w:w="4800" w:type="dxa"/>
            <w:vAlign w:val="bottom"/>
            <w:tcBorders>
              <w:bottom w:val="single" w:sz="8" w:color="auto"/>
            </w:tcBorders>
          </w:tcPr>
          <w:p>
            <w:pPr>
              <w:jc w:val="center"/>
              <w:ind w:right="51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4800" w:type="dxa"/>
            <w:vAlign w:val="bottom"/>
          </w:tcPr>
          <w:p>
            <w:pPr>
              <w:jc w:val="center"/>
              <w:ind w:right="512"/>
              <w:spacing w:after="0" w:line="191" w:lineRule="exact"/>
              <w:rPr>
                <w:sz w:val="20"/>
                <w:szCs w:val="20"/>
                <w:color w:val="auto"/>
              </w:rPr>
            </w:pPr>
            <w:r>
              <w:rPr>
                <w:rFonts w:ascii="Times New Roman" w:cs="Times New Roman" w:eastAsia="Times New Roman" w:hAnsi="Times New Roman"/>
                <w:sz w:val="18"/>
                <w:szCs w:val="18"/>
                <w:color w:val="auto"/>
                <w:w w:val="99"/>
              </w:rPr>
              <w:t>/s/ Donald W. Slager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President and Director</w:t>
            </w:r>
          </w:p>
        </w:tc>
        <w:tc>
          <w:tcPr>
            <w:tcW w:w="0" w:type="dxa"/>
            <w:vAlign w:val="bottom"/>
          </w:tcPr>
          <w:p>
            <w:pPr>
              <w:spacing w:after="0"/>
              <w:rPr>
                <w:sz w:val="1"/>
                <w:szCs w:val="1"/>
                <w:color w:val="auto"/>
              </w:rPr>
            </w:pPr>
          </w:p>
        </w:tc>
      </w:tr>
      <w:tr>
        <w:trPr>
          <w:trHeight w:val="32"/>
        </w:trPr>
        <w:tc>
          <w:tcPr>
            <w:tcW w:w="62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4800" w:type="dxa"/>
            <w:vAlign w:val="bottom"/>
          </w:tcPr>
          <w:p>
            <w:pPr>
              <w:jc w:val="center"/>
              <w:ind w:right="512"/>
              <w:spacing w:after="0" w:line="191" w:lineRule="exact"/>
              <w:rPr>
                <w:sz w:val="20"/>
                <w:szCs w:val="20"/>
                <w:color w:val="auto"/>
              </w:rPr>
            </w:pPr>
            <w:r>
              <w:rPr>
                <w:rFonts w:ascii="Times New Roman" w:cs="Times New Roman" w:eastAsia="Times New Roman" w:hAnsi="Times New Roman"/>
                <w:sz w:val="18"/>
                <w:szCs w:val="18"/>
                <w:color w:val="auto"/>
                <w:w w:val="98"/>
              </w:rPr>
              <w:t>Donald W. Slager</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8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rPr>
              <w:t>/s/ Edward A. Lang, III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Treasurer and Director</w:t>
            </w:r>
          </w:p>
        </w:tc>
        <w:tc>
          <w:tcPr>
            <w:tcW w:w="0" w:type="dxa"/>
            <w:vAlign w:val="bottom"/>
          </w:tcPr>
          <w:p>
            <w:pPr>
              <w:spacing w:after="0"/>
              <w:rPr>
                <w:sz w:val="1"/>
                <w:szCs w:val="1"/>
                <w:color w:val="auto"/>
              </w:rPr>
            </w:pPr>
          </w:p>
        </w:tc>
      </w:tr>
      <w:tr>
        <w:trPr>
          <w:trHeight w:val="32"/>
        </w:trPr>
        <w:tc>
          <w:tcPr>
            <w:tcW w:w="62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4800" w:type="dxa"/>
            <w:vAlign w:val="bottom"/>
          </w:tcPr>
          <w:p>
            <w:pPr>
              <w:jc w:val="center"/>
              <w:ind w:right="532"/>
              <w:spacing w:after="0" w:line="191" w:lineRule="exact"/>
              <w:rPr>
                <w:sz w:val="20"/>
                <w:szCs w:val="20"/>
                <w:color w:val="auto"/>
              </w:rPr>
            </w:pPr>
            <w:r>
              <w:rPr>
                <w:rFonts w:ascii="Times New Roman" w:cs="Times New Roman" w:eastAsia="Times New Roman" w:hAnsi="Times New Roman"/>
                <w:sz w:val="18"/>
                <w:szCs w:val="18"/>
                <w:color w:val="auto"/>
                <w:w w:val="99"/>
              </w:rPr>
              <w:t>Edward A. Lang, III</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jc w:val="center"/>
              <w:ind w:right="512"/>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480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Tod C. Holmes</w:t>
            </w:r>
          </w:p>
        </w:tc>
        <w:tc>
          <w:tcPr>
            <w:tcW w:w="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48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Attorney-in-Fact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II-65</w:t>
            </w:r>
          </w:p>
        </w:tc>
        <w:tc>
          <w:tcPr>
            <w:tcW w:w="0" w:type="dxa"/>
            <w:vAlign w:val="bottom"/>
          </w:tcPr>
          <w:p>
            <w:pPr>
              <w:spacing w:after="0"/>
              <w:rPr>
                <w:sz w:val="1"/>
                <w:szCs w:val="1"/>
                <w:color w:val="auto"/>
              </w:rPr>
            </w:pPr>
          </w:p>
        </w:tc>
      </w:tr>
      <w:tr>
        <w:trPr>
          <w:trHeight w:val="226"/>
        </w:trPr>
        <w:tc>
          <w:tcPr>
            <w:tcW w:w="62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B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B 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6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left="951"/>
              <w:spacing w:after="0"/>
              <w:rPr>
                <w:sz w:val="20"/>
                <w:szCs w:val="20"/>
                <w:color w:val="auto"/>
              </w:rPr>
            </w:pPr>
            <w:r>
              <w:rPr>
                <w:rFonts w:ascii="Times New Roman" w:cs="Times New Roman" w:eastAsia="Times New Roman" w:hAnsi="Times New Roman"/>
                <w:sz w:val="18"/>
                <w:szCs w:val="18"/>
                <w:color w:val="auto"/>
                <w:w w:val="99"/>
              </w:rPr>
              <w:t>/s/ Kevin Walbridge *</w:t>
            </w: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620" w:type="dxa"/>
            <w:vAlign w:val="bottom"/>
          </w:tcPr>
          <w:p>
            <w:pPr>
              <w:spacing w:after="0"/>
              <w:rPr>
                <w:sz w:val="19"/>
                <w:szCs w:val="19"/>
                <w:color w:val="auto"/>
              </w:rPr>
            </w:pPr>
          </w:p>
        </w:tc>
        <w:tc>
          <w:tcPr>
            <w:tcW w:w="422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7"/>
              </w:rPr>
              <w:t>Kevin Walbridge</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6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left="951"/>
              <w:spacing w:after="0"/>
              <w:rPr>
                <w:sz w:val="20"/>
                <w:szCs w:val="20"/>
                <w:color w:val="auto"/>
              </w:rPr>
            </w:pPr>
            <w:r>
              <w:rPr>
                <w:rFonts w:ascii="Times New Roman" w:cs="Times New Roman" w:eastAsia="Times New Roman" w:hAnsi="Times New Roman"/>
                <w:sz w:val="18"/>
                <w:szCs w:val="18"/>
                <w:color w:val="auto"/>
              </w:rPr>
              <w:t>/s/ Edward A. Lang, III *</w:t>
            </w: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Treasurer and Director</w:t>
            </w:r>
          </w:p>
        </w:tc>
      </w:tr>
      <w:tr>
        <w:trPr>
          <w:trHeight w:val="228"/>
        </w:trPr>
        <w:tc>
          <w:tcPr>
            <w:tcW w:w="620" w:type="dxa"/>
            <w:vAlign w:val="bottom"/>
          </w:tcPr>
          <w:p>
            <w:pPr>
              <w:spacing w:after="0"/>
              <w:rPr>
                <w:sz w:val="19"/>
                <w:szCs w:val="19"/>
                <w:color w:val="auto"/>
              </w:rPr>
            </w:pPr>
          </w:p>
        </w:tc>
        <w:tc>
          <w:tcPr>
            <w:tcW w:w="422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6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left="951"/>
              <w:spacing w:after="0"/>
              <w:rPr>
                <w:sz w:val="20"/>
                <w:szCs w:val="20"/>
                <w:color w:val="auto"/>
              </w:rPr>
            </w:pPr>
            <w:r>
              <w:rPr>
                <w:rFonts w:ascii="Times New Roman" w:cs="Times New Roman" w:eastAsia="Times New Roman" w:hAnsi="Times New Roman"/>
                <w:sz w:val="18"/>
                <w:szCs w:val="18"/>
                <w:color w:val="auto"/>
                <w:w w:val="98"/>
              </w:rPr>
              <w:t>/s/ Donald W. Slager *</w:t>
            </w: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620" w:type="dxa"/>
            <w:vAlign w:val="bottom"/>
          </w:tcPr>
          <w:p>
            <w:pPr>
              <w:spacing w:after="0"/>
              <w:rPr>
                <w:sz w:val="19"/>
                <w:szCs w:val="19"/>
                <w:color w:val="auto"/>
              </w:rPr>
            </w:pPr>
          </w:p>
        </w:tc>
        <w:tc>
          <w:tcPr>
            <w:tcW w:w="422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7"/>
              </w:rPr>
              <w:t>Donald W. Slager</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427"/>
        </w:trPr>
        <w:tc>
          <w:tcPr>
            <w:tcW w:w="6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left="931"/>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620" w:type="dxa"/>
            <w:vAlign w:val="bottom"/>
          </w:tcPr>
          <w:p>
            <w:pPr>
              <w:spacing w:after="0"/>
              <w:rPr>
                <w:sz w:val="19"/>
                <w:szCs w:val="19"/>
                <w:color w:val="auto"/>
              </w:rPr>
            </w:pPr>
          </w:p>
        </w:tc>
        <w:tc>
          <w:tcPr>
            <w:tcW w:w="422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Charles F. Serianni</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42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jc w:val="center"/>
              <w:ind w:left="951"/>
              <w:spacing w:after="0"/>
              <w:rPr>
                <w:sz w:val="20"/>
                <w:szCs w:val="20"/>
                <w:color w:val="auto"/>
              </w:rPr>
            </w:pPr>
            <w:r>
              <w:rPr>
                <w:rFonts w:ascii="Times New Roman" w:cs="Times New Roman" w:eastAsia="Times New Roman" w:hAnsi="Times New Roman"/>
                <w:sz w:val="18"/>
                <w:szCs w:val="18"/>
                <w:color w:val="auto"/>
                <w:w w:val="98"/>
              </w:rPr>
              <w:t>/s/ Tod C. Holmes</w:t>
            </w: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205"/>
        </w:trPr>
        <w:tc>
          <w:tcPr>
            <w:tcW w:w="620" w:type="dxa"/>
            <w:vAlign w:val="bottom"/>
          </w:tcPr>
          <w:p>
            <w:pPr>
              <w:spacing w:after="0"/>
              <w:rPr>
                <w:sz w:val="17"/>
                <w:szCs w:val="17"/>
                <w:color w:val="auto"/>
              </w:rPr>
            </w:pPr>
          </w:p>
        </w:tc>
        <w:tc>
          <w:tcPr>
            <w:tcW w:w="4220" w:type="dxa"/>
            <w:vAlign w:val="bottom"/>
          </w:tcPr>
          <w:p>
            <w:pPr>
              <w:jc w:val="center"/>
              <w:ind w:left="951"/>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0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p>
        </w:tc>
        <w:tc>
          <w:tcPr>
            <w:tcW w:w="422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rPr>
              <w:t>Attorney-in-Fact</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05"/>
        </w:trPr>
        <w:tc>
          <w:tcPr>
            <w:tcW w:w="6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5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II-66</w:t>
            </w:r>
          </w:p>
        </w:tc>
      </w:tr>
      <w:tr>
        <w:trPr>
          <w:trHeight w:val="226"/>
        </w:trPr>
        <w:tc>
          <w:tcPr>
            <w:tcW w:w="62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C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C 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Jeff D. Andrews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Jeff D. Andrews</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Treasurer and 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II-67</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D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D 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Ronald Krall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Ronald Krall</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Treasurer and 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II-68</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E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E 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Edward A. Lang, III *</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2010.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 Christopher Synek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Christopher Synek</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Treasurer and 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II-69</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F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F</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000"/>
        <w:spacing w:after="0"/>
        <w:tabs>
          <w:tab w:leader="none" w:pos="81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7"/>
          <w:szCs w:val="17"/>
          <w:color w:val="auto"/>
        </w:rPr>
        <w:t>/s/ Donald W. Slager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070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8"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Donald W. Slager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jc w:val="center"/>
        <w:ind w:right="2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ectPr>
          <w:pgSz w:w="11900" w:h="16838" w:orient="portrait"/>
          <w:cols w:equalWidth="0" w:num="2">
            <w:col w:w="6560" w:space="720"/>
            <w:col w:w="414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6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Treasurer and 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8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6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682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682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682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682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II-70</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G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G 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Jeff D. Andrews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Jeff D. Andrews</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Treasurer and 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II-71</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H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H 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Ronald Krall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Ronald Krall</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Treasurer and 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II-72</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I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I</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 Kevin Walbridge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Kevin Walbridge</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Treasurer and 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II-73</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J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J</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 Christopher Synek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Christopher Synek</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Treasurer and 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II-74</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K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K 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E. O’Connor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E. O’Connor</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James E. O’Connor</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Tod C. Holmes</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II-75</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L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L 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 Thomas E. Miller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Thomas E. Miller</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II-76</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M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M 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Roger A. Groen Jr.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Roger A. Groen Jr.</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Roger A. Groen Jr.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Director</w:t>
            </w:r>
          </w:p>
        </w:tc>
      </w:tr>
      <w:tr>
        <w:trPr>
          <w:trHeight w:val="205"/>
        </w:trPr>
        <w:tc>
          <w:tcPr>
            <w:tcW w:w="460" w:type="dxa"/>
            <w:vAlign w:val="bottom"/>
          </w:tcPr>
          <w:p>
            <w:pPr>
              <w:spacing w:after="0"/>
              <w:rPr>
                <w:sz w:val="17"/>
                <w:szCs w:val="17"/>
                <w:color w:val="auto"/>
              </w:rPr>
            </w:pPr>
          </w:p>
        </w:tc>
        <w:tc>
          <w:tcPr>
            <w:tcW w:w="4140" w:type="dxa"/>
            <w:vAlign w:val="bottom"/>
            <w:gridSpan w:val="2"/>
          </w:tcPr>
          <w:p>
            <w:pPr>
              <w:jc w:val="center"/>
              <w:ind w:right="460"/>
              <w:spacing w:after="0" w:line="205" w:lineRule="exact"/>
              <w:rPr>
                <w:sz w:val="20"/>
                <w:szCs w:val="20"/>
                <w:color w:val="auto"/>
              </w:rPr>
            </w:pPr>
            <w:r>
              <w:rPr>
                <w:rFonts w:ascii="Times New Roman" w:cs="Times New Roman" w:eastAsia="Times New Roman" w:hAnsi="Times New Roman"/>
                <w:sz w:val="18"/>
                <w:szCs w:val="18"/>
                <w:color w:val="auto"/>
                <w:w w:val="98"/>
              </w:rPr>
              <w:t>Roger A. Groen Jr.</w:t>
            </w:r>
          </w:p>
        </w:tc>
        <w:tc>
          <w:tcPr>
            <w:tcW w:w="560" w:type="dxa"/>
            <w:vAlign w:val="bottom"/>
          </w:tcPr>
          <w:p>
            <w:pPr>
              <w:spacing w:after="0"/>
              <w:rPr>
                <w:sz w:val="17"/>
                <w:szCs w:val="17"/>
                <w:color w:val="auto"/>
              </w:rPr>
            </w:pPr>
          </w:p>
        </w:tc>
        <w:tc>
          <w:tcPr>
            <w:tcW w:w="62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(principal executive officer, principal financial officer and principal accounting</w:t>
            </w:r>
          </w:p>
        </w:tc>
      </w:tr>
      <w:tr>
        <w:trPr>
          <w:trHeight w:val="234"/>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II-77</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N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N 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Ronald Krall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Ronald Krall</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Treasurer and 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II-78</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O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O hereto</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Allied Waste Landfill Holdings, Inc., as General</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Director of Allied Waste Landfill</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Holdings, Inc.</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Treasurer and Director of</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Allied Waste Landfill Holdings, Inc.</w:t>
            </w:r>
          </w:p>
        </w:tc>
      </w:tr>
      <w:tr>
        <w:trPr>
          <w:trHeight w:val="427"/>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Allied Waste Landfill Holdings, Inc.</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56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II-79</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P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P</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Allied Waste Landfill Holdings, Inc., as General</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52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17145</wp:posOffset>
            </wp:positionV>
            <wp:extent cx="26670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Vice President — Finance and Treasurer</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Allied Waste North America, Inc., as General</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52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 O’Connor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17145</wp:posOffset>
            </wp:positionV>
            <wp:extent cx="26670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color w:val="auto"/>
        </w:rPr>
        <w:t>James E. O’Connor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58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Director of Allied Waste Landfill</w:t>
            </w:r>
          </w:p>
        </w:tc>
      </w:tr>
      <w:tr>
        <w:trPr>
          <w:trHeight w:val="228"/>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Donald W. Slager</w:t>
            </w:r>
          </w:p>
        </w:tc>
        <w:tc>
          <w:tcPr>
            <w:tcW w:w="58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Holdings, Inc.</w:t>
            </w:r>
          </w:p>
        </w:tc>
      </w:tr>
      <w:tr>
        <w:trPr>
          <w:trHeight w:val="427"/>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8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Treasurer and Director of</w:t>
            </w:r>
          </w:p>
        </w:tc>
      </w:tr>
      <w:tr>
        <w:trPr>
          <w:trHeight w:val="228"/>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Allied Waste Landfill Holdings, Inc.</w:t>
            </w:r>
          </w:p>
        </w:tc>
      </w:tr>
      <w:tr>
        <w:trPr>
          <w:trHeight w:val="427"/>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58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Allied Waste Landfill Holdings, Inc. and</w:t>
            </w:r>
          </w:p>
        </w:tc>
      </w:tr>
      <w:tr>
        <w:trPr>
          <w:trHeight w:val="228"/>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58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 of Allied Waste North America, Inc.</w:t>
            </w:r>
          </w:p>
        </w:tc>
      </w:tr>
      <w:tr>
        <w:trPr>
          <w:trHeight w:val="427"/>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58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 of</w:t>
            </w:r>
          </w:p>
        </w:tc>
      </w:tr>
      <w:tr>
        <w:trPr>
          <w:trHeight w:val="228"/>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E. O’Connor</w:t>
            </w:r>
          </w:p>
        </w:tc>
        <w:tc>
          <w:tcPr>
            <w:tcW w:w="58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Allied Waste North America, Inc.</w:t>
            </w:r>
          </w:p>
        </w:tc>
      </w:tr>
      <w:tr>
        <w:trPr>
          <w:trHeight w:val="400"/>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II-80</w:t>
            </w:r>
          </w:p>
        </w:tc>
      </w:tr>
      <w:tr>
        <w:trPr>
          <w:trHeight w:val="226"/>
        </w:trPr>
        <w:tc>
          <w:tcPr>
            <w:tcW w:w="4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Director of Allied Waste</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Tod C. Holmes</w:t>
            </w:r>
          </w:p>
        </w:tc>
        <w:tc>
          <w:tcPr>
            <w:tcW w:w="56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North America, Inc.</w:t>
            </w: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II-81</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Q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Q</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Allied Waste North America, Inc., as General</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52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 O’Connor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17145</wp:posOffset>
            </wp:positionV>
            <wp:extent cx="26670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color w:val="auto"/>
        </w:rPr>
        <w:t>James E. O’Connor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Browning-Ferris Industries of Tennessee, Inc., as</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52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17145</wp:posOffset>
            </wp:positionV>
            <wp:extent cx="26670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Vice President — Finance and Treasurer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Borders>
              <w:bottom w:val="single" w:sz="8" w:color="auto"/>
            </w:tcBorders>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26"/>
        </w:trPr>
        <w:tc>
          <w:tcPr>
            <w:tcW w:w="51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1120" w:type="dxa"/>
            <w:vAlign w:val="bottom"/>
          </w:tcPr>
          <w:p>
            <w:pPr>
              <w:spacing w:after="0"/>
              <w:rPr>
                <w:sz w:val="24"/>
                <w:szCs w:val="24"/>
                <w:color w:val="auto"/>
              </w:rPr>
            </w:pPr>
          </w:p>
        </w:tc>
        <w:tc>
          <w:tcPr>
            <w:tcW w:w="5140" w:type="dxa"/>
            <w:vAlign w:val="bottom"/>
          </w:tcPr>
          <w:p>
            <w:pPr>
              <w:jc w:val="center"/>
              <w:ind w:right="1093"/>
              <w:spacing w:after="0"/>
              <w:rPr>
                <w:sz w:val="20"/>
                <w:szCs w:val="20"/>
                <w:color w:val="auto"/>
              </w:rPr>
            </w:pPr>
            <w:r>
              <w:rPr>
                <w:rFonts w:ascii="Times New Roman" w:cs="Times New Roman" w:eastAsia="Times New Roman" w:hAnsi="Times New Roman"/>
                <w:sz w:val="18"/>
                <w:szCs w:val="18"/>
                <w:color w:val="auto"/>
              </w:rPr>
              <w:t>President, Chief Executive Officer and Director of</w:t>
            </w:r>
          </w:p>
        </w:tc>
      </w:tr>
      <w:tr>
        <w:trPr>
          <w:trHeight w:val="228"/>
        </w:trPr>
        <w:tc>
          <w:tcPr>
            <w:tcW w:w="4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James E. O’Connor</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140" w:type="dxa"/>
            <w:vAlign w:val="bottom"/>
          </w:tcPr>
          <w:p>
            <w:pPr>
              <w:jc w:val="center"/>
              <w:ind w:right="1033"/>
              <w:spacing w:after="0"/>
              <w:rPr>
                <w:sz w:val="20"/>
                <w:szCs w:val="20"/>
                <w:color w:val="auto"/>
              </w:rPr>
            </w:pPr>
            <w:r>
              <w:rPr>
                <w:rFonts w:ascii="Times New Roman" w:cs="Times New Roman" w:eastAsia="Times New Roman" w:hAnsi="Times New Roman"/>
                <w:sz w:val="18"/>
                <w:szCs w:val="18"/>
                <w:color w:val="auto"/>
                <w:w w:val="99"/>
              </w:rPr>
              <w:t>Allied Waste North America, Inc.</w:t>
            </w:r>
          </w:p>
        </w:tc>
      </w:tr>
      <w:tr>
        <w:trPr>
          <w:trHeight w:val="427"/>
        </w:trPr>
        <w:tc>
          <w:tcPr>
            <w:tcW w:w="51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1120" w:type="dxa"/>
            <w:vAlign w:val="bottom"/>
          </w:tcPr>
          <w:p>
            <w:pPr>
              <w:spacing w:after="0"/>
              <w:rPr>
                <w:sz w:val="24"/>
                <w:szCs w:val="24"/>
                <w:color w:val="auto"/>
              </w:rPr>
            </w:pPr>
          </w:p>
        </w:tc>
        <w:tc>
          <w:tcPr>
            <w:tcW w:w="5140" w:type="dxa"/>
            <w:vAlign w:val="bottom"/>
          </w:tcPr>
          <w:p>
            <w:pPr>
              <w:jc w:val="center"/>
              <w:ind w:right="1093"/>
              <w:spacing w:after="0"/>
              <w:rPr>
                <w:sz w:val="20"/>
                <w:szCs w:val="20"/>
                <w:color w:val="auto"/>
              </w:rPr>
            </w:pPr>
            <w:r>
              <w:rPr>
                <w:rFonts w:ascii="Times New Roman" w:cs="Times New Roman" w:eastAsia="Times New Roman" w:hAnsi="Times New Roman"/>
                <w:sz w:val="18"/>
                <w:szCs w:val="18"/>
                <w:color w:val="auto"/>
                <w:w w:val="99"/>
              </w:rPr>
              <w:t>Chief Financial Officer and Director of Allied Waste</w:t>
            </w:r>
          </w:p>
        </w:tc>
      </w:tr>
      <w:tr>
        <w:trPr>
          <w:trHeight w:val="228"/>
        </w:trPr>
        <w:tc>
          <w:tcPr>
            <w:tcW w:w="4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Tod C. Holmes</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140" w:type="dxa"/>
            <w:vAlign w:val="bottom"/>
          </w:tcPr>
          <w:p>
            <w:pPr>
              <w:jc w:val="center"/>
              <w:ind w:right="1033"/>
              <w:spacing w:after="0"/>
              <w:rPr>
                <w:sz w:val="20"/>
                <w:szCs w:val="20"/>
                <w:color w:val="auto"/>
              </w:rPr>
            </w:pPr>
            <w:r>
              <w:rPr>
                <w:rFonts w:ascii="Times New Roman" w:cs="Times New Roman" w:eastAsia="Times New Roman" w:hAnsi="Times New Roman"/>
                <w:sz w:val="18"/>
                <w:szCs w:val="18"/>
                <w:color w:val="auto"/>
              </w:rPr>
              <w:t>North America, Inc.</w:t>
            </w:r>
          </w:p>
        </w:tc>
      </w:tr>
      <w:tr>
        <w:trPr>
          <w:trHeight w:val="427"/>
        </w:trPr>
        <w:tc>
          <w:tcPr>
            <w:tcW w:w="51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1120" w:type="dxa"/>
            <w:vAlign w:val="bottom"/>
          </w:tcPr>
          <w:p>
            <w:pPr>
              <w:spacing w:after="0"/>
              <w:rPr>
                <w:sz w:val="24"/>
                <w:szCs w:val="24"/>
                <w:color w:val="auto"/>
              </w:rPr>
            </w:pPr>
          </w:p>
        </w:tc>
        <w:tc>
          <w:tcPr>
            <w:tcW w:w="5140" w:type="dxa"/>
            <w:vAlign w:val="bottom"/>
          </w:tcPr>
          <w:p>
            <w:pPr>
              <w:jc w:val="center"/>
              <w:ind w:right="1093"/>
              <w:spacing w:after="0"/>
              <w:rPr>
                <w:sz w:val="20"/>
                <w:szCs w:val="20"/>
                <w:color w:val="auto"/>
              </w:rPr>
            </w:pPr>
            <w:r>
              <w:rPr>
                <w:rFonts w:ascii="Times New Roman" w:cs="Times New Roman" w:eastAsia="Times New Roman" w:hAnsi="Times New Roman"/>
                <w:sz w:val="18"/>
                <w:szCs w:val="18"/>
                <w:color w:val="auto"/>
                <w:w w:val="99"/>
              </w:rPr>
              <w:t>Chief Accounting Officer of Allied Waste North</w:t>
            </w:r>
          </w:p>
        </w:tc>
      </w:tr>
      <w:tr>
        <w:trPr>
          <w:trHeight w:val="228"/>
        </w:trPr>
        <w:tc>
          <w:tcPr>
            <w:tcW w:w="4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580" w:type="dxa"/>
            <w:vAlign w:val="bottom"/>
          </w:tcPr>
          <w:p>
            <w:pPr>
              <w:spacing w:after="0"/>
              <w:rPr>
                <w:sz w:val="19"/>
                <w:szCs w:val="19"/>
                <w:color w:val="auto"/>
              </w:rPr>
            </w:pPr>
          </w:p>
        </w:tc>
        <w:tc>
          <w:tcPr>
            <w:tcW w:w="6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America, Inc. and Director of Browning-Ferris Industries of Tennessee, Inc.</w:t>
            </w:r>
          </w:p>
        </w:tc>
      </w:tr>
      <w:tr>
        <w:trPr>
          <w:trHeight w:val="427"/>
        </w:trPr>
        <w:tc>
          <w:tcPr>
            <w:tcW w:w="51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6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President and Director of Browning-Ferris Industries of</w:t>
            </w:r>
          </w:p>
        </w:tc>
      </w:tr>
      <w:tr>
        <w:trPr>
          <w:trHeight w:val="228"/>
        </w:trPr>
        <w:tc>
          <w:tcPr>
            <w:tcW w:w="4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Donald W. Slager</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140" w:type="dxa"/>
            <w:vAlign w:val="bottom"/>
          </w:tcPr>
          <w:p>
            <w:pPr>
              <w:jc w:val="center"/>
              <w:ind w:right="1033"/>
              <w:spacing w:after="0"/>
              <w:rPr>
                <w:sz w:val="20"/>
                <w:szCs w:val="20"/>
                <w:color w:val="auto"/>
              </w:rPr>
            </w:pPr>
            <w:r>
              <w:rPr>
                <w:rFonts w:ascii="Times New Roman" w:cs="Times New Roman" w:eastAsia="Times New Roman" w:hAnsi="Times New Roman"/>
                <w:sz w:val="18"/>
                <w:szCs w:val="18"/>
                <w:color w:val="auto"/>
                <w:w w:val="98"/>
              </w:rPr>
              <w:t>Tennessee, Inc.</w:t>
            </w:r>
          </w:p>
        </w:tc>
      </w:tr>
      <w:tr>
        <w:trPr>
          <w:trHeight w:val="400"/>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II-82</w:t>
            </w:r>
          </w:p>
        </w:tc>
      </w:tr>
      <w:tr>
        <w:trPr>
          <w:trHeight w:val="226"/>
        </w:trPr>
        <w:tc>
          <w:tcPr>
            <w:tcW w:w="4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6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Vice President — Finance, Treasurer and Director of</w:t>
            </w:r>
          </w:p>
        </w:tc>
      </w:tr>
      <w:tr>
        <w:trPr>
          <w:trHeight w:val="228"/>
        </w:trPr>
        <w:tc>
          <w:tcPr>
            <w:tcW w:w="460" w:type="dxa"/>
            <w:vAlign w:val="bottom"/>
          </w:tcPr>
          <w:p>
            <w:pPr>
              <w:spacing w:after="0"/>
              <w:rPr>
                <w:sz w:val="19"/>
                <w:szCs w:val="19"/>
                <w:color w:val="auto"/>
              </w:rPr>
            </w:pPr>
          </w:p>
        </w:tc>
        <w:tc>
          <w:tcPr>
            <w:tcW w:w="4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8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Browning-Ferris Industries of Tennessee, Inc.</w:t>
            </w: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682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682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682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II-83</w:t>
            </w:r>
          </w:p>
        </w:tc>
      </w:tr>
      <w:tr>
        <w:trPr>
          <w:trHeight w:val="226"/>
        </w:trPr>
        <w:tc>
          <w:tcPr>
            <w:tcW w:w="4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R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R</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Republic Waste Services of Texas GP, Inc., as General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280"/>
        <w:spacing w:after="0"/>
        <w:tabs>
          <w:tab w:leader="none" w:pos="8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Treasurer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Christopher Synek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of Republic Waste Services of Texas GP,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Christopher Synek</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Treasurer and Director of Republic Waste Services of</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Edward A. Lang, III</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 GP, Inc.</w:t>
            </w: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Director of Republic Waste Services of Texas GP,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Director of Republic Waste Services of Texas GP,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47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4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05"/>
        </w:trPr>
        <w:tc>
          <w:tcPr>
            <w:tcW w:w="4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II-84</w:t>
            </w:r>
          </w:p>
        </w:tc>
      </w:tr>
      <w:tr>
        <w:trPr>
          <w:trHeight w:val="226"/>
        </w:trPr>
        <w:tc>
          <w:tcPr>
            <w:tcW w:w="42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S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S</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BFI Energy Systems of Southeastern Connecticut, Inc., as General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280"/>
        <w:spacing w:after="0"/>
        <w:tabs>
          <w:tab w:leader="none" w:pos="8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Vice President — Finance and Treasurer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Director of BFI Energy Systems of</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Southeastern Connecticut, Inc.</w:t>
            </w: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Treasurer and Director of BFI</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Edward A. Lang, III</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Energy Systems of Southeastern Connecticut, Inc.</w:t>
            </w: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BFI Energy Systems of Southeastern</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Connecticut, Inc.</w:t>
            </w: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47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4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05"/>
        </w:trPr>
        <w:tc>
          <w:tcPr>
            <w:tcW w:w="4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II-85</w:t>
            </w:r>
          </w:p>
        </w:tc>
      </w:tr>
      <w:tr>
        <w:trPr>
          <w:trHeight w:val="226"/>
        </w:trPr>
        <w:tc>
          <w:tcPr>
            <w:tcW w:w="42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T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T</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Republic Services, Inc., as General Partner</w:t>
      </w:r>
    </w:p>
    <w:p>
      <w:pPr>
        <w:spacing w:after="0" w:line="225" w:lineRule="exact"/>
        <w:rPr>
          <w:sz w:val="20"/>
          <w:szCs w:val="20"/>
          <w:color w:val="auto"/>
        </w:rPr>
      </w:pPr>
    </w:p>
    <w:p>
      <w:pPr>
        <w:ind w:left="6280"/>
        <w:spacing w:after="0"/>
        <w:tabs>
          <w:tab w:leader="none" w:pos="8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 O’Connor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James E. O’Connor</w:t>
      </w:r>
    </w:p>
    <w:p>
      <w:pPr>
        <w:spacing w:after="0" w:line="22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Zakaroff Services, as General Partner</w:t>
      </w:r>
    </w:p>
    <w:p>
      <w:pPr>
        <w:spacing w:after="0" w:line="225" w:lineRule="exact"/>
        <w:rPr>
          <w:sz w:val="20"/>
          <w:szCs w:val="20"/>
          <w:color w:val="auto"/>
        </w:rPr>
      </w:pPr>
    </w:p>
    <w:p>
      <w:pPr>
        <w:ind w:left="6280"/>
        <w:spacing w:after="0"/>
        <w:tabs>
          <w:tab w:leader="none" w:pos="8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Treasurer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and Chief Executive Officer of</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E. O’Connor</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Republic Services, Inc.</w:t>
            </w:r>
          </w:p>
        </w:tc>
      </w:tr>
      <w:tr>
        <w:trPr>
          <w:trHeight w:val="42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Tod C. Holmes</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 of</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Tod C. Holmes</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Republic Services, Inc.</w:t>
            </w:r>
          </w:p>
        </w:tc>
      </w:tr>
      <w:tr>
        <w:trPr>
          <w:trHeight w:val="42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 of</w:t>
            </w:r>
          </w:p>
        </w:tc>
      </w:tr>
      <w:tr>
        <w:trPr>
          <w:trHeight w:val="205"/>
        </w:trPr>
        <w:tc>
          <w:tcPr>
            <w:tcW w:w="51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Charles F. Serianni</w:t>
            </w:r>
          </w:p>
        </w:tc>
        <w:tc>
          <w:tcPr>
            <w:tcW w:w="1120" w:type="dxa"/>
            <w:vAlign w:val="bottom"/>
          </w:tcPr>
          <w:p>
            <w:pPr>
              <w:spacing w:after="0"/>
              <w:rPr>
                <w:sz w:val="17"/>
                <w:szCs w:val="17"/>
                <w:color w:val="auto"/>
              </w:rPr>
            </w:pPr>
          </w:p>
        </w:tc>
        <w:tc>
          <w:tcPr>
            <w:tcW w:w="5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Republic Services, Inc. and Director of Zakaroff</w:t>
            </w:r>
          </w:p>
        </w:tc>
      </w:tr>
      <w:tr>
        <w:trPr>
          <w:trHeight w:val="234"/>
        </w:trPr>
        <w:tc>
          <w:tcPr>
            <w:tcW w:w="5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w:t>
            </w:r>
          </w:p>
        </w:tc>
      </w:tr>
      <w:tr>
        <w:trPr>
          <w:trHeight w:val="432"/>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W. Croghan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Croghan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W. Crownover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W. Crownover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00"/>
        </w:trPr>
        <w:tc>
          <w:tcPr>
            <w:tcW w:w="516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II-86</w:t>
            </w:r>
          </w:p>
        </w:tc>
      </w:tr>
      <w:tr>
        <w:trPr>
          <w:trHeight w:val="226"/>
        </w:trPr>
        <w:tc>
          <w:tcPr>
            <w:tcW w:w="5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William J. Flynn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William J. Flynn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/s/ David I. Foley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David I. Foley</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Michael Larson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Michael Larson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/s/ Nolan Lehmann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Nolan Lehmann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 W. Lee Nutter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W. Lee Nutter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Ramon A. Rodriguez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Ramon A. Rodriguez</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625"/>
        </w:trPr>
        <w:tc>
          <w:tcPr>
            <w:tcW w:w="4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Republic Services, Inc., and</w:t>
            </w:r>
          </w:p>
        </w:tc>
      </w:tr>
      <w:tr>
        <w:trPr>
          <w:trHeight w:val="234"/>
        </w:trPr>
        <w:tc>
          <w:tcPr>
            <w:tcW w:w="4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/s/ Donald W. Slager</w:t>
            </w:r>
          </w:p>
        </w:tc>
        <w:tc>
          <w:tcPr>
            <w:tcW w:w="11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Director of Zakaroff Services</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643"/>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/s/ Allan C. Sorensen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Allan C. Sorensen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 John M. Trani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John M. Trani</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 Michael W. Wickham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Michael W. Wickham</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Treasurer and Director of Zakaroff Services</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Edward A. Lang, III</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47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4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05"/>
        </w:trPr>
        <w:tc>
          <w:tcPr>
            <w:tcW w:w="4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II-87</w:t>
            </w:r>
          </w:p>
        </w:tc>
      </w:tr>
      <w:tr>
        <w:trPr>
          <w:trHeight w:val="226"/>
        </w:trPr>
        <w:tc>
          <w:tcPr>
            <w:tcW w:w="42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U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U</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Rabanco Recycling, Inc., as General Partner</w:t>
      </w:r>
    </w:p>
    <w:p>
      <w:pPr>
        <w:spacing w:after="0" w:line="225" w:lineRule="exact"/>
        <w:rPr>
          <w:sz w:val="20"/>
          <w:szCs w:val="20"/>
          <w:color w:val="auto"/>
        </w:rPr>
      </w:pPr>
    </w:p>
    <w:p>
      <w:pPr>
        <w:ind w:left="6280"/>
        <w:spacing w:after="0"/>
        <w:tabs>
          <w:tab w:leader="none" w:pos="8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Vice President — Finance and Treasurer</w:t>
      </w:r>
    </w:p>
    <w:p>
      <w:pPr>
        <w:spacing w:after="0" w:line="2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Rabanco, Ltd., as General Partner</w:t>
      </w:r>
    </w:p>
    <w:p>
      <w:pPr>
        <w:spacing w:after="0" w:line="225" w:lineRule="exact"/>
        <w:rPr>
          <w:sz w:val="20"/>
          <w:szCs w:val="20"/>
          <w:color w:val="auto"/>
        </w:rPr>
      </w:pPr>
    </w:p>
    <w:p>
      <w:pPr>
        <w:ind w:left="6280"/>
        <w:spacing w:after="0"/>
        <w:tabs>
          <w:tab w:leader="none" w:pos="8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Vice President — Finance and Treasurer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 D. Andrews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of Rabanco Recycling, Inc. and Rabanco, Ltd.</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 D. Andrews</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Treasurer and Director of</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Edward A. Lang, III</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Rabanco Recycling, Inc. and Rabanco, Ltd.</w:t>
            </w:r>
          </w:p>
        </w:tc>
      </w:tr>
      <w:tr>
        <w:trPr>
          <w:trHeight w:val="42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Rabanco Recycling, Inc. and Rabanco, Ltd.</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Donald W. Slager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Rabanco Recycling, Inc. and Rabanco, Ltd.</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00"/>
        </w:trPr>
        <w:tc>
          <w:tcPr>
            <w:tcW w:w="516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II-88</w:t>
            </w:r>
          </w:p>
        </w:tc>
      </w:tr>
      <w:tr>
        <w:trPr>
          <w:trHeight w:val="226"/>
        </w:trPr>
        <w:tc>
          <w:tcPr>
            <w:tcW w:w="5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Tod C.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300164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Tod C. Holmes</w:t>
      </w:r>
    </w:p>
    <w:p>
      <w:pPr>
        <w:spacing w:after="0" w:line="2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Attorney-in-Fact</w:t>
      </w:r>
    </w:p>
    <w:p>
      <w:pPr>
        <w:spacing w:after="0" w:line="180"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V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V</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Republic Silver State Disposal, Inc., as General Partner</w:t>
      </w:r>
    </w:p>
    <w:p>
      <w:pPr>
        <w:spacing w:after="0" w:line="225" w:lineRule="exact"/>
        <w:rPr>
          <w:sz w:val="20"/>
          <w:szCs w:val="20"/>
          <w:color w:val="auto"/>
        </w:rPr>
      </w:pPr>
    </w:p>
    <w:p>
      <w:pPr>
        <w:ind w:left="6280"/>
        <w:spacing w:after="0"/>
        <w:tabs>
          <w:tab w:leader="none" w:pos="8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Treasurer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Jeff D. Andrews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of Republic Silver State Disposal,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Jeff D. Andrews</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Treasurer and Director of Republic Silver State</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Edward A. Lang, III</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Disposal, Inc.</w:t>
            </w: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Republic Silver State Disposal,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Republic Silver State Disposal,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47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4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05"/>
        </w:trPr>
        <w:tc>
          <w:tcPr>
            <w:tcW w:w="4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II-90</w:t>
            </w:r>
          </w:p>
        </w:tc>
      </w:tr>
      <w:tr>
        <w:trPr>
          <w:trHeight w:val="226"/>
        </w:trPr>
        <w:tc>
          <w:tcPr>
            <w:tcW w:w="42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W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W</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Republic Services of Florida GP, Inc., as General Partner</w:t>
      </w:r>
    </w:p>
    <w:p>
      <w:pPr>
        <w:spacing w:after="0" w:line="225" w:lineRule="exact"/>
        <w:rPr>
          <w:sz w:val="20"/>
          <w:szCs w:val="20"/>
          <w:color w:val="auto"/>
        </w:rPr>
      </w:pPr>
    </w:p>
    <w:p>
      <w:pPr>
        <w:ind w:left="6280"/>
        <w:spacing w:after="0"/>
        <w:tabs>
          <w:tab w:leader="none" w:pos="8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Treasurer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Christopher Synek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of Republic Services of Florida GP,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Christopher Synek</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Treasurer and Director of Republic Services of Florida</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Edward A. Lang, III</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GP, Inc.</w:t>
            </w: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of Florida GP,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of Florida GP,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47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4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05"/>
        </w:trPr>
        <w:tc>
          <w:tcPr>
            <w:tcW w:w="4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II-91</w:t>
            </w:r>
          </w:p>
        </w:tc>
      </w:tr>
      <w:tr>
        <w:trPr>
          <w:trHeight w:val="226"/>
        </w:trPr>
        <w:tc>
          <w:tcPr>
            <w:tcW w:w="42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X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X</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Republic Services of Georgia GP, LLC, as General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280"/>
        <w:spacing w:after="0"/>
        <w:tabs>
          <w:tab w:leader="none" w:pos="8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Treasurer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426"/>
        </w:trPr>
        <w:tc>
          <w:tcPr>
            <w:tcW w:w="5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/s/ Christopher Synek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of Republic Services of Georgia GP, LLC</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4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Christopher Synek</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Treasurer of Republic Services of Georgia GP, LLC</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4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Edward A. Lang, III</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Republic Services, Inc.</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 of Republic Services of Georgia</w:t>
            </w:r>
          </w:p>
        </w:tc>
        <w:tc>
          <w:tcPr>
            <w:tcW w:w="0" w:type="dxa"/>
            <w:vAlign w:val="bottom"/>
          </w:tcPr>
          <w:p>
            <w:pPr>
              <w:spacing w:after="0"/>
              <w:rPr>
                <w:sz w:val="1"/>
                <w:szCs w:val="1"/>
                <w:color w:val="auto"/>
              </w:rPr>
            </w:pPr>
          </w:p>
        </w:tc>
      </w:tr>
      <w:tr>
        <w:trPr>
          <w:trHeight w:val="234"/>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11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GP, LLC</w:t>
            </w:r>
          </w:p>
        </w:tc>
        <w:tc>
          <w:tcPr>
            <w:tcW w:w="0" w:type="dxa"/>
            <w:vAlign w:val="bottom"/>
          </w:tcPr>
          <w:p>
            <w:pPr>
              <w:spacing w:after="0"/>
              <w:rPr>
                <w:sz w:val="1"/>
                <w:szCs w:val="1"/>
                <w:color w:val="auto"/>
              </w:rPr>
            </w:pPr>
          </w:p>
        </w:tc>
      </w:tr>
      <w:tr>
        <w:trPr>
          <w:trHeight w:val="216"/>
        </w:trPr>
        <w:tc>
          <w:tcPr>
            <w:tcW w:w="540" w:type="dxa"/>
            <w:vAlign w:val="bottom"/>
            <w:vMerge w:val="continue"/>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James E. O’Connor</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Chairman of the Board and Chief Executive</w:t>
            </w:r>
          </w:p>
        </w:tc>
        <w:tc>
          <w:tcPr>
            <w:tcW w:w="11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Officer</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Tod C. Holmes</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46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II-92</w:t>
            </w:r>
          </w:p>
        </w:tc>
        <w:tc>
          <w:tcPr>
            <w:tcW w:w="0" w:type="dxa"/>
            <w:vAlign w:val="bottom"/>
          </w:tcPr>
          <w:p>
            <w:pPr>
              <w:spacing w:after="0"/>
              <w:rPr>
                <w:sz w:val="1"/>
                <w:szCs w:val="1"/>
                <w:color w:val="auto"/>
              </w:rPr>
            </w:pPr>
          </w:p>
        </w:tc>
      </w:tr>
      <w:tr>
        <w:trPr>
          <w:trHeight w:val="226"/>
        </w:trPr>
        <w:tc>
          <w:tcPr>
            <w:tcW w:w="54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Y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Y</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Republic Services, Inc., as General Partner</w:t>
      </w:r>
    </w:p>
    <w:p>
      <w:pPr>
        <w:spacing w:after="0" w:line="225" w:lineRule="exact"/>
        <w:rPr>
          <w:sz w:val="20"/>
          <w:szCs w:val="20"/>
          <w:color w:val="auto"/>
        </w:rPr>
      </w:pPr>
    </w:p>
    <w:p>
      <w:pPr>
        <w:ind w:left="6280"/>
        <w:spacing w:after="0"/>
        <w:tabs>
          <w:tab w:leader="none" w:pos="8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 O’Connor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James E. O’Connor</w:t>
      </w:r>
    </w:p>
    <w:p>
      <w:pPr>
        <w:spacing w:after="0" w:line="22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and Chief Executive Officer of</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E. O’Connor</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Republic Services, Inc.</w:t>
            </w:r>
          </w:p>
        </w:tc>
      </w:tr>
      <w:tr>
        <w:trPr>
          <w:trHeight w:val="42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Tod C. Holmes</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 of</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Tod C. Holmes</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Republic Services, Inc.</w:t>
            </w:r>
          </w:p>
        </w:tc>
      </w:tr>
      <w:tr>
        <w:trPr>
          <w:trHeight w:val="42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F. Serianni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 of</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Charles F. Serianni</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Republic Services, Inc.</w:t>
            </w:r>
          </w:p>
        </w:tc>
      </w:tr>
      <w:tr>
        <w:trPr>
          <w:trHeight w:val="42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W. Croghan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Croghan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W. Crownover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W. Crownover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J. Flynn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J. Flynn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00"/>
        </w:trPr>
        <w:tc>
          <w:tcPr>
            <w:tcW w:w="516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II-93</w:t>
            </w:r>
          </w:p>
        </w:tc>
      </w:tr>
      <w:tr>
        <w:trPr>
          <w:trHeight w:val="226"/>
        </w:trPr>
        <w:tc>
          <w:tcPr>
            <w:tcW w:w="5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/s/ David I. Foley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David I. Foley</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Michael Larson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Michael Larson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/s/ Nolan Lehmann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Nolan Lehmann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 W. Lee Nutter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W. Lee Nutter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Ramon A. Rodriguez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Ramon A. Rodriguez</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860"/>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/s/ Donald W. Slager</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643"/>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/s/ Allan C. Sorensen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Allan C. Sorensen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 John M. Trani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John M. Trani</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 Michael W. Wickham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Republic Services, Inc.</w:t>
            </w:r>
          </w:p>
        </w:tc>
      </w:tr>
      <w:tr>
        <w:trPr>
          <w:trHeight w:val="228"/>
        </w:trPr>
        <w:tc>
          <w:tcPr>
            <w:tcW w:w="420" w:type="dxa"/>
            <w:vAlign w:val="bottom"/>
          </w:tcPr>
          <w:p>
            <w:pPr>
              <w:spacing w:after="0"/>
              <w:rPr>
                <w:sz w:val="19"/>
                <w:szCs w:val="19"/>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Michael W. Wickham</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Tod C. Holmes</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47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4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05"/>
        </w:trPr>
        <w:tc>
          <w:tcPr>
            <w:tcW w:w="4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II-94</w:t>
            </w:r>
          </w:p>
        </w:tc>
      </w:tr>
      <w:tr>
        <w:trPr>
          <w:trHeight w:val="226"/>
        </w:trPr>
        <w:tc>
          <w:tcPr>
            <w:tcW w:w="42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Z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Z</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Republic Services of Wisconsin GP, LLC, as General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280"/>
        <w:spacing w:after="0"/>
        <w:tabs>
          <w:tab w:leader="none" w:pos="8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Treasurer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426"/>
        </w:trPr>
        <w:tc>
          <w:tcPr>
            <w:tcW w:w="5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Kevin Walbridge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of Republic Services of Wisconsin GP, LLC</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4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Kevin Walbridge</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 of Republic Services of Wisconsin GP, LLC</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4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Edward A. Lang, III</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Republic Services, Inc.</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 of Republic Services of Wisconsin</w:t>
            </w:r>
          </w:p>
        </w:tc>
        <w:tc>
          <w:tcPr>
            <w:tcW w:w="0" w:type="dxa"/>
            <w:vAlign w:val="bottom"/>
          </w:tcPr>
          <w:p>
            <w:pPr>
              <w:spacing w:after="0"/>
              <w:rPr>
                <w:sz w:val="1"/>
                <w:szCs w:val="1"/>
                <w:color w:val="auto"/>
              </w:rPr>
            </w:pPr>
          </w:p>
        </w:tc>
      </w:tr>
      <w:tr>
        <w:trPr>
          <w:trHeight w:val="234"/>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11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GP, LLC</w:t>
            </w:r>
          </w:p>
        </w:tc>
        <w:tc>
          <w:tcPr>
            <w:tcW w:w="0" w:type="dxa"/>
            <w:vAlign w:val="bottom"/>
          </w:tcPr>
          <w:p>
            <w:pPr>
              <w:spacing w:after="0"/>
              <w:rPr>
                <w:sz w:val="1"/>
                <w:szCs w:val="1"/>
                <w:color w:val="auto"/>
              </w:rPr>
            </w:pPr>
          </w:p>
        </w:tc>
      </w:tr>
      <w:tr>
        <w:trPr>
          <w:trHeight w:val="216"/>
        </w:trPr>
        <w:tc>
          <w:tcPr>
            <w:tcW w:w="540" w:type="dxa"/>
            <w:vAlign w:val="bottom"/>
            <w:vMerge w:val="continue"/>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James E. O’Connor</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Chairman of the Board and Chief Executive</w:t>
            </w:r>
          </w:p>
        </w:tc>
        <w:tc>
          <w:tcPr>
            <w:tcW w:w="11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Officer</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Tod C. Holmes</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46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II-95</w:t>
            </w:r>
          </w:p>
        </w:tc>
        <w:tc>
          <w:tcPr>
            <w:tcW w:w="0" w:type="dxa"/>
            <w:vAlign w:val="bottom"/>
          </w:tcPr>
          <w:p>
            <w:pPr>
              <w:spacing w:after="0"/>
              <w:rPr>
                <w:sz w:val="1"/>
                <w:szCs w:val="1"/>
                <w:color w:val="auto"/>
              </w:rPr>
            </w:pPr>
          </w:p>
        </w:tc>
      </w:tr>
      <w:tr>
        <w:trPr>
          <w:trHeight w:val="226"/>
        </w:trPr>
        <w:tc>
          <w:tcPr>
            <w:tcW w:w="54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AA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AA</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280"/>
        <w:spacing w:after="0"/>
        <w:tabs>
          <w:tab w:leader="none" w:pos="8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Treasurer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05"/>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2"/>
          </w:tcPr>
          <w:p>
            <w:pPr>
              <w:jc w:val="center"/>
              <w:ind w:right="540"/>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120" w:type="dxa"/>
            <w:vAlign w:val="bottom"/>
          </w:tcPr>
          <w:p>
            <w:pPr>
              <w:spacing w:after="0"/>
              <w:rPr>
                <w:sz w:val="17"/>
                <w:szCs w:val="17"/>
                <w:color w:val="auto"/>
              </w:rPr>
            </w:pPr>
          </w:p>
        </w:tc>
        <w:tc>
          <w:tcPr>
            <w:tcW w:w="5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(principal financial officer and principal accounting</w:t>
            </w:r>
          </w:p>
        </w:tc>
      </w:t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432"/>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Republic Services of Indiana, Limited Partnership</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Republic Services, Inc., as General Partner</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5"/>
        </w:trPr>
        <w:tc>
          <w:tcPr>
            <w:tcW w:w="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17"/>
                <w:szCs w:val="17"/>
                <w:color w:val="auto"/>
              </w:rPr>
            </w:pPr>
          </w:p>
        </w:tc>
        <w:tc>
          <w:tcPr>
            <w:tcW w:w="46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James E. O’Connor</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18"/>
                <w:szCs w:val="18"/>
                <w:color w:val="auto"/>
              </w:rPr>
            </w:pP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Chairman of the Board and Chief Executive</w:t>
            </w:r>
          </w:p>
        </w:tc>
        <w:tc>
          <w:tcPr>
            <w:tcW w:w="112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Officer</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4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Tod C. Holmes</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5"/>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0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II-96</w:t>
            </w:r>
          </w:p>
        </w:tc>
      </w:tr>
      <w:tr>
        <w:trPr>
          <w:trHeight w:val="226"/>
        </w:trPr>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BB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BB</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280"/>
        <w:spacing w:after="0"/>
        <w:tabs>
          <w:tab w:leader="none" w:pos="8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30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Vice President — Finance and Treasurer</w:t>
      </w:r>
    </w:p>
    <w:p>
      <w:pPr>
        <w:spacing w:after="0" w:line="117"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/s/ Donald W. Slager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540" w:type="dxa"/>
            <w:vAlign w:val="bottom"/>
          </w:tcPr>
          <w:p>
            <w:pPr>
              <w:spacing w:after="0"/>
              <w:rPr>
                <w:sz w:val="19"/>
                <w:szCs w:val="19"/>
                <w:color w:val="auto"/>
              </w:rPr>
            </w:pPr>
          </w:p>
        </w:tc>
        <w:tc>
          <w:tcPr>
            <w:tcW w:w="4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Donald W. Slager</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05"/>
        </w:trPr>
        <w:tc>
          <w:tcPr>
            <w:tcW w:w="540" w:type="dxa"/>
            <w:vAlign w:val="bottom"/>
          </w:tcPr>
          <w:p>
            <w:pPr>
              <w:spacing w:after="0"/>
              <w:rPr>
                <w:sz w:val="17"/>
                <w:szCs w:val="17"/>
                <w:color w:val="auto"/>
              </w:rPr>
            </w:pPr>
          </w:p>
        </w:tc>
        <w:tc>
          <w:tcPr>
            <w:tcW w:w="4620" w:type="dxa"/>
            <w:vAlign w:val="bottom"/>
            <w:gridSpan w:val="2"/>
          </w:tcPr>
          <w:p>
            <w:pPr>
              <w:jc w:val="center"/>
              <w:ind w:right="540"/>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120" w:type="dxa"/>
            <w:vAlign w:val="bottom"/>
          </w:tcPr>
          <w:p>
            <w:pPr>
              <w:spacing w:after="0"/>
              <w:rPr>
                <w:sz w:val="17"/>
                <w:szCs w:val="17"/>
                <w:color w:val="auto"/>
              </w:rPr>
            </w:pPr>
          </w:p>
        </w:tc>
        <w:tc>
          <w:tcPr>
            <w:tcW w:w="5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(principal financial officer and principal accounting</w:t>
            </w:r>
          </w:p>
        </w:tc>
      </w:tr>
      <w:tr>
        <w:trPr>
          <w:trHeight w:val="234"/>
        </w:trPr>
        <w:tc>
          <w:tcPr>
            <w:tcW w:w="5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Allied Waste North America, Inc.</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Edward A. Lang, III</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Tod C. Holmes</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5"/>
        </w:trPr>
        <w:tc>
          <w:tcPr>
            <w:tcW w:w="540" w:type="dxa"/>
            <w:vAlign w:val="bottom"/>
          </w:tcPr>
          <w:p>
            <w:pPr>
              <w:spacing w:after="0"/>
              <w:rPr>
                <w:sz w:val="17"/>
                <w:szCs w:val="17"/>
                <w:color w:val="auto"/>
              </w:rPr>
            </w:pPr>
          </w:p>
        </w:tc>
        <w:tc>
          <w:tcPr>
            <w:tcW w:w="46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4"/>
        </w:trPr>
        <w:tc>
          <w:tcPr>
            <w:tcW w:w="540" w:type="dxa"/>
            <w:vAlign w:val="bottom"/>
          </w:tcPr>
          <w:p>
            <w:pPr>
              <w:spacing w:after="0"/>
              <w:rPr>
                <w:sz w:val="20"/>
                <w:szCs w:val="20"/>
                <w:color w:val="auto"/>
              </w:rPr>
            </w:pP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05"/>
        </w:trPr>
        <w:tc>
          <w:tcPr>
            <w:tcW w:w="5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II-97</w:t>
            </w:r>
          </w:p>
        </w:tc>
      </w:tr>
      <w:tr>
        <w:trPr>
          <w:trHeight w:val="226"/>
        </w:trPr>
        <w:tc>
          <w:tcPr>
            <w:tcW w:w="54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CC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CC</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w:t>
            </w:r>
          </w:p>
        </w:tc>
      </w:tr>
      <w:tr>
        <w:trPr>
          <w:trHeight w:val="228"/>
        </w:trPr>
        <w:tc>
          <w:tcPr>
            <w:tcW w:w="3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320" w:type="dxa"/>
            <w:vAlign w:val="bottom"/>
          </w:tcPr>
          <w:p>
            <w:pPr>
              <w:spacing w:after="0"/>
              <w:rPr>
                <w:sz w:val="15"/>
                <w:szCs w:val="15"/>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/s/ Donald W. Slager *</w:t>
            </w: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720" w:type="dxa"/>
            <w:vAlign w:val="bottom"/>
          </w:tcPr>
          <w:p>
            <w:pPr>
              <w:spacing w:after="0"/>
              <w:rPr>
                <w:sz w:val="19"/>
                <w:szCs w:val="19"/>
                <w:color w:val="auto"/>
              </w:rPr>
            </w:pPr>
          </w:p>
        </w:tc>
        <w:tc>
          <w:tcPr>
            <w:tcW w:w="4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Donald W. Slager</w:t>
            </w: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Allied Waste Landfill Holdings, Inc.</w:t>
            </w: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 Tod C. Holmes</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Attorney-in-Fact</w:t>
            </w: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II-98</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DD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DD</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/s/ Kevin Walbridge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Kevin Walbridge</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Browning-Ferris Industries, LLC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II-99</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EE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EE</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/s/ Ronald Krall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Ronald Krall</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Browning-Ferris Industries, LLC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II-100</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FF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FF</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/s/ Ronald Krall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Ronald Krall</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Allied Waste North America, Inc.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II-101</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GG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GG</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/s/ Donald W. Slager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391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8"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Donald W. Slager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ectPr>
          <w:pgSz w:w="11900" w:h="16838" w:orient="portrait"/>
          <w:cols w:equalWidth="0" w:num="2">
            <w:col w:w="6980" w:space="720"/>
            <w:col w:w="372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Browning-Ferris Industries, LLC</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600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600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600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600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II-102</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HH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HH</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/s/ Jeff D. Andrews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Jeff D. Andrews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Browning-Ferris Industries, LLC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II-103</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II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II</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14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6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6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/s/ Jeff D. Andrews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Jeff D. Andrews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Allied Waste North America, Inc.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II-104</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JJ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JJ</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1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6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6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/s/ Christopher Synek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391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6"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Christopher Synek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ectPr>
          <w:pgSz w:w="11900" w:h="16838" w:orient="portrait"/>
          <w:cols w:equalWidth="0" w:num="2">
            <w:col w:w="6980" w:space="720"/>
            <w:col w:w="372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Browning-Ferris Industries, LLC</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600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600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600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600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II-105</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KK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KK</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/s/ Kevin Walbridge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Kevin Walbridge</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Allied Waste North America, Inc.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II-106</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LL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LL</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/s/ Donald W. Slager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39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8"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Donald W. Slager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ectPr>
          <w:pgSz w:w="11900" w:h="16838" w:orient="portrait"/>
          <w:cols w:equalWidth="0" w:num="2">
            <w:col w:w="6980" w:space="720"/>
            <w:col w:w="372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60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Republic Services Aviation, Inc.</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600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Treasurer</w:t>
            </w:r>
          </w:p>
        </w:tc>
        <w:tc>
          <w:tcPr>
            <w:tcW w:w="600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600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600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II-107</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MM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MM</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/s/ Christopher Synek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391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6"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Christopher Synek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ectPr>
          <w:pgSz w:w="11900" w:h="16838" w:orient="portrait"/>
          <w:cols w:equalWidth="0" w:num="2">
            <w:col w:w="6980" w:space="720"/>
            <w:col w:w="372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Allied Waste North America, Inc.</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600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600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600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600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II-108</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NN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NN</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/s/ Donald W. Slager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391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8"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Donald W. Slager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ectPr>
          <w:pgSz w:w="11900" w:h="16838" w:orient="portrait"/>
          <w:cols w:equalWidth="0" w:num="2">
            <w:col w:w="6980" w:space="720"/>
            <w:col w:w="372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Allied Green Power, Inc.</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600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600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600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600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II-109</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OO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OO</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/s/ Donald W. Slager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391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8"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Donald W. Slager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ectPr>
          <w:pgSz w:w="11900" w:h="16838" w:orient="portrait"/>
          <w:cols w:equalWidth="0" w:num="2">
            <w:col w:w="6980" w:space="720"/>
            <w:col w:w="372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BFI Waste Systems of North America, LLC</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600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600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600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600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II-110</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PP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PP</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/s/ Kevin Walbridge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Kevin Walbridge</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Bridgeton Landfill, LLC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II-111</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QQ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QQ</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/s/ Ronald Krall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Ronald Krall</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Browning-Ferris Industries of Ohio, Inc.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II-112</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RR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RR</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/s/ Christopher Synek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391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6"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Christopher Synek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ectPr>
          <w:pgSz w:w="11900" w:h="16838" w:orient="portrait"/>
          <w:cols w:equalWidth="0" w:num="2">
            <w:col w:w="6980" w:space="720"/>
            <w:col w:w="372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60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Republic Services of Georgia, Limited Partnership</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Republic Services of Georgia GP, LLC, as General Partner</w:t>
            </w:r>
          </w:p>
        </w:tc>
        <w:tc>
          <w:tcPr>
            <w:tcW w:w="600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600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Treasurer</w:t>
            </w:r>
          </w:p>
        </w:tc>
        <w:tc>
          <w:tcPr>
            <w:tcW w:w="600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600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600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II-113</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SS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SS</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/s/ Jeff D. Andrews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Jeff D. Andrews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Republic Services, Inc.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James E. O’Connor</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Chairman of the Board and Chief Executive Officer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II-114</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TT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TT</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/s/ Ronald Krall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Ronald Krall</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Republic Services, Inc.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James E. O’Connor</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Chairman of the Board and Chief Executive Officer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II-115</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UU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UU</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/s/ Ronald Krall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Ronald Krall</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County Disposal (Ohio), Inc.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II-116</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VV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VV</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/s/ Kevin Walbridge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Kevin Walbridge</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Liberty Waste Services of Illinois, L.L.C.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II-117</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WW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WW</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/s/ Jeff D. Andrews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Jeff D. Andrews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ECDC Holdings, Inc.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II-118</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XX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XX</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/s/ Donald W. Slager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39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8"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Donald W. Slager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ectPr>
          <w:pgSz w:w="11900" w:h="16838" w:orient="portrait"/>
          <w:cols w:equalWidth="0" w:num="2">
            <w:col w:w="6980" w:space="720"/>
            <w:col w:w="372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Liberty Waste Services Limited, L.L.C.</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600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600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600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600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II-119</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YY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YY</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/s/ Donald W. Slager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391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8"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Donald W. Slager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President</w:t>
      </w:r>
    </w:p>
    <w:p>
      <w:pPr>
        <w:spacing w:after="0" w:line="36"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ectPr>
          <w:pgSz w:w="11900" w:h="16838" w:orient="portrait"/>
          <w:cols w:equalWidth="0" w:num="2">
            <w:col w:w="6980" w:space="720"/>
            <w:col w:w="372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Frontier Waste Services, L.P.</w:t>
            </w: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Allied Waste Landfill Holdings, Inc., as General Partner</w:t>
            </w:r>
          </w:p>
        </w:tc>
        <w:tc>
          <w:tcPr>
            <w:tcW w:w="600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6000" w:type="dxa"/>
            <w:vAlign w:val="bottom"/>
          </w:tcPr>
          <w:p>
            <w:pPr>
              <w:spacing w:after="0"/>
              <w:rPr>
                <w:sz w:val="24"/>
                <w:szCs w:val="24"/>
                <w:color w:val="auto"/>
              </w:rPr>
            </w:pP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600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Tod C. Holmes</w:t>
            </w:r>
          </w:p>
        </w:tc>
        <w:tc>
          <w:tcPr>
            <w:tcW w:w="600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Attorney-in-Fact</w:t>
            </w:r>
          </w:p>
        </w:tc>
        <w:tc>
          <w:tcPr>
            <w:tcW w:w="6000" w:type="dxa"/>
            <w:vAlign w:val="bottom"/>
          </w:tcPr>
          <w:p>
            <w:pPr>
              <w:spacing w:after="0"/>
              <w:rPr>
                <w:sz w:val="20"/>
                <w:szCs w:val="20"/>
                <w:color w:val="auto"/>
              </w:rPr>
            </w:pPr>
          </w:p>
        </w:tc>
      </w:tr>
      <w:tr>
        <w:trPr>
          <w:trHeight w:val="405"/>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II-120</w:t>
            </w:r>
          </w:p>
        </w:tc>
      </w:tr>
      <w:tr>
        <w:trPr>
          <w:trHeight w:val="226"/>
        </w:trPr>
        <w:tc>
          <w:tcPr>
            <w:tcW w:w="7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ZZ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ZZ</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ectPr>
          <w:pgSz w:w="11900" w:h="16838" w:orient="portrait"/>
          <w:cols w:equalWidth="0" w:num="1">
            <w:col w:w="11340"/>
          </w:cols>
          <w:pgMar w:left="240" w:top="415" w:right="319" w:bottom="1440" w:gutter="0" w:footer="0" w:header="0"/>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r>
      <w:tr>
        <w:trPr>
          <w:trHeight w:val="426"/>
        </w:trPr>
        <w:tc>
          <w:tcPr>
            <w:tcW w:w="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Jeff D. Andrews *</w:t>
            </w:r>
          </w:p>
        </w:tc>
      </w:tr>
      <w:tr>
        <w:trPr>
          <w:trHeight w:val="228"/>
        </w:trPr>
        <w:tc>
          <w:tcPr>
            <w:tcW w:w="720" w:type="dxa"/>
            <w:vAlign w:val="bottom"/>
          </w:tcPr>
          <w:p>
            <w:pPr>
              <w:spacing w:after="0"/>
              <w:rPr>
                <w:sz w:val="19"/>
                <w:szCs w:val="19"/>
                <w:color w:val="auto"/>
              </w:rPr>
            </w:pPr>
          </w:p>
        </w:tc>
        <w:tc>
          <w:tcPr>
            <w:tcW w:w="4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Jeff D. Andrews</w:t>
            </w:r>
          </w:p>
        </w:tc>
      </w:tr>
      <w:tr>
        <w:trPr>
          <w:trHeight w:val="427"/>
        </w:trPr>
        <w:tc>
          <w:tcPr>
            <w:tcW w:w="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720" w:type="dxa"/>
            <w:vAlign w:val="bottom"/>
          </w:tcPr>
          <w:p>
            <w:pPr>
              <w:spacing w:after="0"/>
              <w:rPr>
                <w:sz w:val="19"/>
                <w:szCs w:val="19"/>
                <w:color w:val="auto"/>
              </w:rPr>
            </w:pPr>
          </w:p>
        </w:tc>
        <w:tc>
          <w:tcPr>
            <w:tcW w:w="4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27"/>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Allied Waste Services of North America, LLC</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7620</wp:posOffset>
            </wp:positionV>
            <wp:extent cx="352488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President</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Vice President – Finance and Treasurer</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Managing Member</w:t>
      </w:r>
    </w:p>
    <w:p>
      <w:pPr>
        <w:spacing w:after="0" w:line="1116" w:lineRule="exact"/>
        <w:rPr>
          <w:sz w:val="20"/>
          <w:szCs w:val="20"/>
          <w:color w:val="auto"/>
        </w:rPr>
      </w:pPr>
    </w:p>
    <w:p>
      <w:pPr>
        <w:sectPr>
          <w:pgSz w:w="11900" w:h="16838" w:orient="portrait"/>
          <w:cols w:equalWidth="0" w:num="2">
            <w:col w:w="5800" w:space="720"/>
            <w:col w:w="4820"/>
          </w:cols>
          <w:pgMar w:left="240" w:top="415" w:right="31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Tod C. Holmes</w:t>
            </w:r>
          </w:p>
        </w:tc>
      </w:tr>
      <w:tr>
        <w:trPr>
          <w:trHeight w:val="205"/>
        </w:trPr>
        <w:tc>
          <w:tcPr>
            <w:tcW w:w="720" w:type="dxa"/>
            <w:vAlign w:val="bottom"/>
          </w:tcPr>
          <w:p>
            <w:pPr>
              <w:spacing w:after="0"/>
              <w:rPr>
                <w:sz w:val="17"/>
                <w:szCs w:val="17"/>
                <w:color w:val="auto"/>
              </w:rPr>
            </w:pPr>
          </w:p>
        </w:tc>
        <w:tc>
          <w:tcPr>
            <w:tcW w:w="46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Tod C. Holmes</w:t>
            </w:r>
          </w:p>
        </w:tc>
      </w:tr>
      <w:tr>
        <w:trPr>
          <w:trHeight w:val="234"/>
        </w:trPr>
        <w:tc>
          <w:tcPr>
            <w:tcW w:w="72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Attorney-in-Fact</w:t>
            </w:r>
          </w:p>
        </w:tc>
      </w:tr>
    </w:tbl>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type w:val="continuous"/>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AAA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AAA</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5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ectPr>
          <w:pgSz w:w="11900" w:h="16838" w:orient="portrait"/>
          <w:cols w:equalWidth="0" w:num="1">
            <w:col w:w="11340"/>
          </w:cols>
          <w:pgMar w:left="240" w:top="415" w:right="319" w:bottom="1440" w:gutter="0" w:footer="0" w:header="0"/>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r>
      <w:tr>
        <w:trPr>
          <w:trHeight w:val="426"/>
        </w:trPr>
        <w:tc>
          <w:tcPr>
            <w:tcW w:w="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/s/ Donald W. Slager *</w:t>
            </w:r>
          </w:p>
        </w:tc>
      </w:tr>
      <w:tr>
        <w:trPr>
          <w:trHeight w:val="228"/>
        </w:trPr>
        <w:tc>
          <w:tcPr>
            <w:tcW w:w="720" w:type="dxa"/>
            <w:vAlign w:val="bottom"/>
          </w:tcPr>
          <w:p>
            <w:pPr>
              <w:spacing w:after="0"/>
              <w:rPr>
                <w:sz w:val="19"/>
                <w:szCs w:val="19"/>
                <w:color w:val="auto"/>
              </w:rPr>
            </w:pPr>
          </w:p>
        </w:tc>
        <w:tc>
          <w:tcPr>
            <w:tcW w:w="4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Donald W. Slager</w:t>
            </w:r>
          </w:p>
        </w:tc>
      </w:tr>
      <w:tr>
        <w:trPr>
          <w:trHeight w:val="427"/>
        </w:trPr>
        <w:tc>
          <w:tcPr>
            <w:tcW w:w="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720" w:type="dxa"/>
            <w:vAlign w:val="bottom"/>
          </w:tcPr>
          <w:p>
            <w:pPr>
              <w:spacing w:after="0"/>
              <w:rPr>
                <w:sz w:val="19"/>
                <w:szCs w:val="19"/>
                <w:color w:val="auto"/>
              </w:rPr>
            </w:pPr>
          </w:p>
        </w:tc>
        <w:tc>
          <w:tcPr>
            <w:tcW w:w="4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27"/>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American Disposal Services of Illinois, Inc.</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7620</wp:posOffset>
            </wp:positionV>
            <wp:extent cx="352488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President</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Vice President – Finance and Treasurer</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Managing Member</w:t>
      </w:r>
    </w:p>
    <w:p>
      <w:pPr>
        <w:spacing w:after="0" w:line="1116" w:lineRule="exact"/>
        <w:rPr>
          <w:sz w:val="20"/>
          <w:szCs w:val="20"/>
          <w:color w:val="auto"/>
        </w:rPr>
      </w:pPr>
    </w:p>
    <w:p>
      <w:pPr>
        <w:sectPr>
          <w:pgSz w:w="11900" w:h="16838" w:orient="portrait"/>
          <w:cols w:equalWidth="0" w:num="2">
            <w:col w:w="5800" w:space="720"/>
            <w:col w:w="4820"/>
          </w:cols>
          <w:pgMar w:left="240" w:top="415" w:right="31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Tod C. Holmes</w:t>
            </w:r>
          </w:p>
        </w:tc>
      </w:tr>
      <w:tr>
        <w:trPr>
          <w:trHeight w:val="205"/>
        </w:trPr>
        <w:tc>
          <w:tcPr>
            <w:tcW w:w="580" w:type="dxa"/>
            <w:vAlign w:val="bottom"/>
          </w:tcPr>
          <w:p>
            <w:pPr>
              <w:spacing w:after="0"/>
              <w:rPr>
                <w:sz w:val="17"/>
                <w:szCs w:val="17"/>
                <w:color w:val="auto"/>
              </w:rPr>
            </w:pPr>
          </w:p>
        </w:tc>
        <w:tc>
          <w:tcPr>
            <w:tcW w:w="47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r>
      <w:tr>
        <w:trPr>
          <w:trHeight w:val="234"/>
        </w:trPr>
        <w:tc>
          <w:tcPr>
            <w:tcW w:w="580" w:type="dxa"/>
            <w:vAlign w:val="bottom"/>
          </w:tcPr>
          <w:p>
            <w:pPr>
              <w:spacing w:after="0"/>
              <w:rPr>
                <w:sz w:val="20"/>
                <w:szCs w:val="20"/>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type w:val="continuous"/>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BBB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BBB</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5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ectPr>
          <w:pgSz w:w="11900" w:h="16838" w:orient="portrait"/>
          <w:cols w:equalWidth="0" w:num="1">
            <w:col w:w="11340"/>
          </w:cols>
          <w:pgMar w:left="240" w:top="415" w:right="319" w:bottom="1440" w:gutter="0" w:footer="0" w:header="0"/>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r>
      <w:tr>
        <w:trPr>
          <w:trHeight w:val="426"/>
        </w:trPr>
        <w:tc>
          <w:tcPr>
            <w:tcW w:w="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/s/ Kevin Walbridge *</w:t>
            </w:r>
          </w:p>
        </w:tc>
      </w:tr>
      <w:tr>
        <w:trPr>
          <w:trHeight w:val="228"/>
        </w:trPr>
        <w:tc>
          <w:tcPr>
            <w:tcW w:w="720" w:type="dxa"/>
            <w:vAlign w:val="bottom"/>
          </w:tcPr>
          <w:p>
            <w:pPr>
              <w:spacing w:after="0"/>
              <w:rPr>
                <w:sz w:val="19"/>
                <w:szCs w:val="19"/>
                <w:color w:val="auto"/>
              </w:rPr>
            </w:pPr>
          </w:p>
        </w:tc>
        <w:tc>
          <w:tcPr>
            <w:tcW w:w="4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Kevin Walbridge</w:t>
            </w:r>
          </w:p>
        </w:tc>
      </w:tr>
      <w:tr>
        <w:trPr>
          <w:trHeight w:val="427"/>
        </w:trPr>
        <w:tc>
          <w:tcPr>
            <w:tcW w:w="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720" w:type="dxa"/>
            <w:vAlign w:val="bottom"/>
          </w:tcPr>
          <w:p>
            <w:pPr>
              <w:spacing w:after="0"/>
              <w:rPr>
                <w:sz w:val="19"/>
                <w:szCs w:val="19"/>
                <w:color w:val="auto"/>
              </w:rPr>
            </w:pPr>
          </w:p>
        </w:tc>
        <w:tc>
          <w:tcPr>
            <w:tcW w:w="4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27"/>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Liberty Waste Services Limited, L.L.C.</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7620</wp:posOffset>
            </wp:positionV>
            <wp:extent cx="35248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President</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Vice President – Finance and Treasurer</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Managing Member</w:t>
      </w:r>
    </w:p>
    <w:p>
      <w:pPr>
        <w:spacing w:after="0" w:line="1116" w:lineRule="exact"/>
        <w:rPr>
          <w:sz w:val="20"/>
          <w:szCs w:val="20"/>
          <w:color w:val="auto"/>
        </w:rPr>
      </w:pPr>
    </w:p>
    <w:p>
      <w:pPr>
        <w:sectPr>
          <w:pgSz w:w="11900" w:h="16838" w:orient="portrait"/>
          <w:cols w:equalWidth="0" w:num="2">
            <w:col w:w="5800" w:space="720"/>
            <w:col w:w="4820"/>
          </w:cols>
          <w:pgMar w:left="240" w:top="415" w:right="31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Tod C. Holmes</w:t>
            </w:r>
          </w:p>
        </w:tc>
      </w:tr>
      <w:tr>
        <w:trPr>
          <w:trHeight w:val="205"/>
        </w:trPr>
        <w:tc>
          <w:tcPr>
            <w:tcW w:w="580" w:type="dxa"/>
            <w:vAlign w:val="bottom"/>
          </w:tcPr>
          <w:p>
            <w:pPr>
              <w:spacing w:after="0"/>
              <w:rPr>
                <w:sz w:val="17"/>
                <w:szCs w:val="17"/>
                <w:color w:val="auto"/>
              </w:rPr>
            </w:pPr>
          </w:p>
        </w:tc>
        <w:tc>
          <w:tcPr>
            <w:tcW w:w="47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r>
      <w:tr>
        <w:trPr>
          <w:trHeight w:val="234"/>
        </w:trPr>
        <w:tc>
          <w:tcPr>
            <w:tcW w:w="580" w:type="dxa"/>
            <w:vAlign w:val="bottom"/>
          </w:tcPr>
          <w:p>
            <w:pPr>
              <w:spacing w:after="0"/>
              <w:rPr>
                <w:sz w:val="20"/>
                <w:szCs w:val="20"/>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type w:val="continuous"/>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CCC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CCC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5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ectPr>
          <w:pgSz w:w="11900" w:h="16838" w:orient="portrait"/>
          <w:cols w:equalWidth="0" w:num="1">
            <w:col w:w="11340"/>
          </w:cols>
          <w:pgMar w:left="240" w:top="415" w:right="319" w:bottom="1440" w:gutter="0" w:footer="0" w:header="0"/>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r>
      <w:tr>
        <w:trPr>
          <w:trHeight w:val="426"/>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/s/ Kevin Walbridge *</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Kevin Walbridge</w:t>
            </w:r>
          </w:p>
        </w:tc>
      </w:tr>
      <w:tr>
        <w:trPr>
          <w:trHeight w:val="427"/>
        </w:trPr>
        <w:tc>
          <w:tcPr>
            <w:tcW w:w="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720" w:type="dxa"/>
            <w:vAlign w:val="bottom"/>
          </w:tcPr>
          <w:p>
            <w:pPr>
              <w:spacing w:after="0"/>
              <w:rPr>
                <w:sz w:val="19"/>
                <w:szCs w:val="19"/>
                <w:color w:val="auto"/>
              </w:rPr>
            </w:pPr>
          </w:p>
        </w:tc>
        <w:tc>
          <w:tcPr>
            <w:tcW w:w="4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2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Allied Waste Systems, Inc.</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6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7620</wp:posOffset>
            </wp:positionV>
            <wp:extent cx="34474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0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President</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Vice President – Finance and Treasurer</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Managing Member</w:t>
      </w:r>
    </w:p>
    <w:p>
      <w:pPr>
        <w:spacing w:after="0" w:line="1116" w:lineRule="exact"/>
        <w:rPr>
          <w:sz w:val="20"/>
          <w:szCs w:val="20"/>
          <w:color w:val="auto"/>
        </w:rPr>
      </w:pPr>
    </w:p>
    <w:p>
      <w:pPr>
        <w:sectPr>
          <w:pgSz w:w="11900" w:h="16838" w:orient="portrait"/>
          <w:cols w:equalWidth="0" w:num="2">
            <w:col w:w="5860" w:space="720"/>
            <w:col w:w="4760"/>
          </w:cols>
          <w:pgMar w:left="240" w:top="415" w:right="31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Tod C. Holmes</w:t>
            </w:r>
          </w:p>
        </w:tc>
      </w:tr>
      <w:tr>
        <w:trPr>
          <w:trHeight w:val="205"/>
        </w:trPr>
        <w:tc>
          <w:tcPr>
            <w:tcW w:w="580" w:type="dxa"/>
            <w:vAlign w:val="bottom"/>
          </w:tcPr>
          <w:p>
            <w:pPr>
              <w:spacing w:after="0"/>
              <w:rPr>
                <w:sz w:val="17"/>
                <w:szCs w:val="17"/>
                <w:color w:val="auto"/>
              </w:rPr>
            </w:pPr>
          </w:p>
        </w:tc>
        <w:tc>
          <w:tcPr>
            <w:tcW w:w="47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r>
      <w:tr>
        <w:trPr>
          <w:trHeight w:val="234"/>
        </w:trPr>
        <w:tc>
          <w:tcPr>
            <w:tcW w:w="580" w:type="dxa"/>
            <w:vAlign w:val="bottom"/>
          </w:tcPr>
          <w:p>
            <w:pPr>
              <w:spacing w:after="0"/>
              <w:rPr>
                <w:sz w:val="20"/>
                <w:szCs w:val="20"/>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type w:val="continuous"/>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DDD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DDD</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6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/s/ Donald W. Slager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Donald W. Slager</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Edward A. Lang, III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Republic Services of Ohio Hauling, LLC</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 Tod C. Holmes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560" w:type="dxa"/>
            <w:vAlign w:val="bottom"/>
            <w:tcBorders>
              <w:top w:val="single" w:sz="8" w:color="auto"/>
            </w:tcBorders>
          </w:tcPr>
          <w:p>
            <w:pPr>
              <w:jc w:val="center"/>
              <w:ind w:right="52"/>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Attorney-in-Fact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II-125</w:t>
            </w:r>
          </w:p>
        </w:tc>
      </w:tr>
      <w:tr>
        <w:trPr>
          <w:trHeight w:val="226"/>
        </w:trPr>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EEE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EEE</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5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7"/>
          <w:szCs w:val="17"/>
          <w:color w:val="auto"/>
        </w:rPr>
        <w:t>/s/ Donald W. Slager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391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8"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Donald W. Slager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President</w:t>
      </w:r>
    </w:p>
    <w:p>
      <w:pPr>
        <w:spacing w:after="0" w:line="27"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8" w:lineRule="exact"/>
        <w:rPr>
          <w:sz w:val="20"/>
          <w:szCs w:val="20"/>
          <w:color w:val="auto"/>
        </w:rPr>
      </w:pPr>
    </w:p>
    <w:p>
      <w:pPr>
        <w:sectPr>
          <w:pgSz w:w="11900" w:h="16838" w:orient="portrait"/>
          <w:cols w:equalWidth="0" w:num="2">
            <w:col w:w="7000" w:space="720"/>
            <w:col w:w="370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3"/>
          </w:tcPr>
          <w:p>
            <w:pPr>
              <w:jc w:val="center"/>
              <w:ind w:right="1780"/>
              <w:spacing w:after="0"/>
              <w:rPr>
                <w:sz w:val="20"/>
                <w:szCs w:val="20"/>
                <w:color w:val="auto"/>
              </w:rPr>
            </w:pPr>
            <w:r>
              <w:rPr>
                <w:rFonts w:ascii="Times New Roman" w:cs="Times New Roman" w:eastAsia="Times New Roman" w:hAnsi="Times New Roman"/>
                <w:sz w:val="18"/>
                <w:szCs w:val="18"/>
                <w:color w:val="auto"/>
              </w:rPr>
              <w:t>/s/ Edward A. Lang, III *</w:t>
            </w:r>
          </w:p>
        </w:tc>
        <w:tc>
          <w:tcPr>
            <w:tcW w:w="60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40" w:type="dxa"/>
            <w:vAlign w:val="bottom"/>
            <w:gridSpan w:val="3"/>
          </w:tcPr>
          <w:p>
            <w:pPr>
              <w:jc w:val="center"/>
              <w:ind w:right="17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0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Republic Services, Inc.</w:t>
            </w:r>
          </w:p>
        </w:tc>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60" w:type="dxa"/>
            <w:vAlign w:val="bottom"/>
          </w:tcPr>
          <w:p>
            <w:pPr>
              <w:spacing w:after="0"/>
              <w:rPr>
                <w:sz w:val="24"/>
                <w:szCs w:val="24"/>
                <w:color w:val="auto"/>
              </w:rPr>
            </w:pPr>
          </w:p>
        </w:tc>
        <w:tc>
          <w:tcPr>
            <w:tcW w:w="364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6000" w:type="dxa"/>
            <w:vAlign w:val="bottom"/>
          </w:tcPr>
          <w:p>
            <w:pPr>
              <w:spacing w:after="0"/>
              <w:rPr>
                <w:sz w:val="24"/>
                <w:szCs w:val="24"/>
                <w:color w:val="auto"/>
              </w:rPr>
            </w:pPr>
          </w:p>
        </w:tc>
      </w:tr>
      <w:tr>
        <w:trPr>
          <w:trHeight w:val="205"/>
        </w:trPr>
        <w:tc>
          <w:tcPr>
            <w:tcW w:w="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6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gridSpan w:val="2"/>
          </w:tcPr>
          <w:p>
            <w:pPr>
              <w:jc w:val="center"/>
              <w:ind w:right="1060"/>
              <w:spacing w:after="0" w:line="205" w:lineRule="exact"/>
              <w:rPr>
                <w:sz w:val="20"/>
                <w:szCs w:val="20"/>
                <w:color w:val="auto"/>
              </w:rPr>
            </w:pPr>
            <w:r>
              <w:rPr>
                <w:rFonts w:ascii="Times New Roman" w:cs="Times New Roman" w:eastAsia="Times New Roman" w:hAnsi="Times New Roman"/>
                <w:sz w:val="18"/>
                <w:szCs w:val="18"/>
                <w:color w:val="auto"/>
                <w:w w:val="98"/>
              </w:rPr>
              <w:t>James E. O’Connor</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Chairman of the Board and Chief Executive Officer</w:t>
            </w:r>
          </w:p>
        </w:tc>
        <w:tc>
          <w:tcPr>
            <w:tcW w:w="6000" w:type="dxa"/>
            <w:vAlign w:val="bottom"/>
          </w:tcPr>
          <w:p>
            <w:pPr>
              <w:spacing w:after="0"/>
              <w:rPr>
                <w:sz w:val="20"/>
                <w:szCs w:val="20"/>
                <w:color w:val="auto"/>
              </w:rPr>
            </w:pP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60" w:type="dxa"/>
            <w:vAlign w:val="bottom"/>
          </w:tcPr>
          <w:p>
            <w:pPr>
              <w:spacing w:after="0"/>
              <w:rPr>
                <w:sz w:val="24"/>
                <w:szCs w:val="24"/>
                <w:color w:val="auto"/>
              </w:rPr>
            </w:pPr>
          </w:p>
        </w:tc>
        <w:tc>
          <w:tcPr>
            <w:tcW w:w="364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8"/>
              </w:rPr>
              <w:t>/s/ Tod C. Holmes</w:t>
            </w:r>
          </w:p>
        </w:tc>
        <w:tc>
          <w:tcPr>
            <w:tcW w:w="6000" w:type="dxa"/>
            <w:vAlign w:val="bottom"/>
          </w:tcPr>
          <w:p>
            <w:pPr>
              <w:spacing w:after="0"/>
              <w:rPr>
                <w:sz w:val="24"/>
                <w:szCs w:val="24"/>
                <w:color w:val="auto"/>
              </w:rPr>
            </w:pPr>
          </w:p>
        </w:tc>
      </w:tr>
      <w:tr>
        <w:trPr>
          <w:trHeight w:val="205"/>
        </w:trPr>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tcPr>
          <w:p>
            <w:pPr>
              <w:jc w:val="center"/>
              <w:ind w:right="1110"/>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140" w:type="dxa"/>
            <w:vAlign w:val="bottom"/>
            <w:gridSpan w:val="2"/>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4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rPr>
              <w:t>Attorney-in-Fact</w:t>
            </w:r>
          </w:p>
        </w:tc>
        <w:tc>
          <w:tcPr>
            <w:tcW w:w="600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II-126</w:t>
            </w:r>
          </w:p>
        </w:tc>
      </w:tr>
      <w:tr>
        <w:trPr>
          <w:trHeight w:val="226"/>
        </w:trPr>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FFF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FFF</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Jeff D. Andrews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Jeff D. Andrews</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Edward A. Lang, III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Republic Services Holding Company, Inc.</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 Tod C. Holmes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560" w:type="dxa"/>
            <w:vAlign w:val="bottom"/>
            <w:tcBorders>
              <w:top w:val="single" w:sz="8" w:color="auto"/>
            </w:tcBorders>
          </w:tcPr>
          <w:p>
            <w:pPr>
              <w:jc w:val="center"/>
              <w:ind w:right="52"/>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Attorney-in-Fact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II-127</w:t>
            </w:r>
          </w:p>
        </w:tc>
      </w:tr>
      <w:tr>
        <w:trPr>
          <w:trHeight w:val="226"/>
        </w:trPr>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GGG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GGG</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6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Jeff D. Andrews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Jeff D. Andrews</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Edward A. Lang, III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Republic Services of California Holding Company, Inc.</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 Tod C. Holmes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560" w:type="dxa"/>
            <w:vAlign w:val="bottom"/>
            <w:tcBorders>
              <w:top w:val="single" w:sz="8" w:color="auto"/>
            </w:tcBorders>
          </w:tcPr>
          <w:p>
            <w:pPr>
              <w:jc w:val="center"/>
              <w:ind w:right="52"/>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Attorney-in-Fact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II-128</w:t>
            </w:r>
          </w:p>
        </w:tc>
      </w:tr>
      <w:tr>
        <w:trPr>
          <w:trHeight w:val="226"/>
        </w:trPr>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HHH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HHH</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4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/s/ Christopher Synek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391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6"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Christopher Synek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President</w:t>
      </w:r>
    </w:p>
    <w:p>
      <w:pPr>
        <w:spacing w:after="0" w:line="27"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8" w:lineRule="exact"/>
        <w:rPr>
          <w:sz w:val="20"/>
          <w:szCs w:val="20"/>
          <w:color w:val="auto"/>
        </w:rPr>
      </w:pPr>
    </w:p>
    <w:p>
      <w:pPr>
        <w:sectPr>
          <w:pgSz w:w="11900" w:h="16838" w:orient="portrait"/>
          <w:cols w:equalWidth="0" w:num="2">
            <w:col w:w="7000" w:space="720"/>
            <w:col w:w="370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3"/>
          </w:tcPr>
          <w:p>
            <w:pPr>
              <w:jc w:val="center"/>
              <w:ind w:right="1780"/>
              <w:spacing w:after="0"/>
              <w:rPr>
                <w:sz w:val="20"/>
                <w:szCs w:val="20"/>
                <w:color w:val="auto"/>
              </w:rPr>
            </w:pPr>
            <w:r>
              <w:rPr>
                <w:rFonts w:ascii="Times New Roman" w:cs="Times New Roman" w:eastAsia="Times New Roman" w:hAnsi="Times New Roman"/>
                <w:sz w:val="18"/>
                <w:szCs w:val="18"/>
                <w:color w:val="auto"/>
              </w:rPr>
              <w:t>/s/ Edward A. Lang, III *</w:t>
            </w:r>
          </w:p>
        </w:tc>
        <w:tc>
          <w:tcPr>
            <w:tcW w:w="60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40" w:type="dxa"/>
            <w:vAlign w:val="bottom"/>
            <w:gridSpan w:val="3"/>
          </w:tcPr>
          <w:p>
            <w:pPr>
              <w:jc w:val="center"/>
              <w:ind w:right="178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60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Republic Services, Inc.</w:t>
            </w:r>
          </w:p>
        </w:tc>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60" w:type="dxa"/>
            <w:vAlign w:val="bottom"/>
          </w:tcPr>
          <w:p>
            <w:pPr>
              <w:spacing w:after="0"/>
              <w:rPr>
                <w:sz w:val="24"/>
                <w:szCs w:val="24"/>
                <w:color w:val="auto"/>
              </w:rPr>
            </w:pPr>
          </w:p>
        </w:tc>
        <w:tc>
          <w:tcPr>
            <w:tcW w:w="364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6000" w:type="dxa"/>
            <w:vAlign w:val="bottom"/>
          </w:tcPr>
          <w:p>
            <w:pPr>
              <w:spacing w:after="0"/>
              <w:rPr>
                <w:sz w:val="24"/>
                <w:szCs w:val="24"/>
                <w:color w:val="auto"/>
              </w:rPr>
            </w:pPr>
          </w:p>
        </w:tc>
      </w:tr>
      <w:tr>
        <w:trPr>
          <w:trHeight w:val="205"/>
        </w:trPr>
        <w:tc>
          <w:tcPr>
            <w:tcW w:w="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6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gridSpan w:val="2"/>
          </w:tcPr>
          <w:p>
            <w:pPr>
              <w:jc w:val="center"/>
              <w:ind w:right="1060"/>
              <w:spacing w:after="0" w:line="205" w:lineRule="exact"/>
              <w:rPr>
                <w:sz w:val="20"/>
                <w:szCs w:val="20"/>
                <w:color w:val="auto"/>
              </w:rPr>
            </w:pPr>
            <w:r>
              <w:rPr>
                <w:rFonts w:ascii="Times New Roman" w:cs="Times New Roman" w:eastAsia="Times New Roman" w:hAnsi="Times New Roman"/>
                <w:sz w:val="18"/>
                <w:szCs w:val="18"/>
                <w:color w:val="auto"/>
                <w:w w:val="98"/>
              </w:rPr>
              <w:t>James E. O’Connor</w:t>
            </w:r>
          </w:p>
        </w:tc>
        <w:tc>
          <w:tcPr>
            <w:tcW w:w="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Chairman of the Board and Chief Executive Officer</w:t>
            </w:r>
          </w:p>
        </w:tc>
        <w:tc>
          <w:tcPr>
            <w:tcW w:w="6000" w:type="dxa"/>
            <w:vAlign w:val="bottom"/>
          </w:tcPr>
          <w:p>
            <w:pPr>
              <w:spacing w:after="0"/>
              <w:rPr>
                <w:sz w:val="20"/>
                <w:szCs w:val="20"/>
                <w:color w:val="auto"/>
              </w:rPr>
            </w:pP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60" w:type="dxa"/>
            <w:vAlign w:val="bottom"/>
          </w:tcPr>
          <w:p>
            <w:pPr>
              <w:spacing w:after="0"/>
              <w:rPr>
                <w:sz w:val="24"/>
                <w:szCs w:val="24"/>
                <w:color w:val="auto"/>
              </w:rPr>
            </w:pPr>
          </w:p>
        </w:tc>
        <w:tc>
          <w:tcPr>
            <w:tcW w:w="364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8"/>
              </w:rPr>
              <w:t>/s/ Tod C. Holmes</w:t>
            </w:r>
          </w:p>
        </w:tc>
        <w:tc>
          <w:tcPr>
            <w:tcW w:w="6000" w:type="dxa"/>
            <w:vAlign w:val="bottom"/>
          </w:tcPr>
          <w:p>
            <w:pPr>
              <w:spacing w:after="0"/>
              <w:rPr>
                <w:sz w:val="24"/>
                <w:szCs w:val="24"/>
                <w:color w:val="auto"/>
              </w:rPr>
            </w:pPr>
          </w:p>
        </w:tc>
      </w:tr>
      <w:tr>
        <w:trPr>
          <w:trHeight w:val="205"/>
        </w:trPr>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tcPr>
          <w:p>
            <w:pPr>
              <w:jc w:val="center"/>
              <w:ind w:right="1110"/>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140" w:type="dxa"/>
            <w:vAlign w:val="bottom"/>
            <w:gridSpan w:val="2"/>
          </w:tcPr>
          <w:p>
            <w:pPr>
              <w:spacing w:after="0"/>
              <w:rPr>
                <w:sz w:val="17"/>
                <w:szCs w:val="17"/>
                <w:color w:val="auto"/>
              </w:rPr>
            </w:pPr>
          </w:p>
        </w:tc>
        <w:tc>
          <w:tcPr>
            <w:tcW w:w="600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4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rPr>
              <w:t>Attorney-in-Fact</w:t>
            </w:r>
          </w:p>
        </w:tc>
        <w:tc>
          <w:tcPr>
            <w:tcW w:w="600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II-129</w:t>
            </w:r>
          </w:p>
        </w:tc>
      </w:tr>
      <w:tr>
        <w:trPr>
          <w:trHeight w:val="226"/>
        </w:trPr>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III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III</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1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60" w:type="dxa"/>
            <w:vAlign w:val="bottom"/>
          </w:tcPr>
          <w:p>
            <w:pPr>
              <w:spacing w:after="0"/>
              <w:rPr>
                <w:sz w:val="19"/>
                <w:szCs w:val="19"/>
                <w:color w:val="auto"/>
              </w:rPr>
            </w:pPr>
          </w:p>
        </w:tc>
        <w:tc>
          <w:tcPr>
            <w:tcW w:w="43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6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/s/ Kevin Walbridge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Kevin Walbridge</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Republic Services, Inc.</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/s/ James E. O’Connor *</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James E. O’Connor</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Chairman of the Board and Chief Executive Officer</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/s/ Tod C. Holmes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560" w:type="dxa"/>
            <w:vAlign w:val="bottom"/>
            <w:tcBorders>
              <w:top w:val="single" w:sz="8" w:color="auto"/>
            </w:tcBorders>
          </w:tcPr>
          <w:p>
            <w:pPr>
              <w:jc w:val="center"/>
              <w:ind w:right="52"/>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1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Attorney-in-Fact</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II-130</w:t>
            </w:r>
          </w:p>
        </w:tc>
      </w:tr>
      <w:tr>
        <w:trPr>
          <w:trHeight w:val="226"/>
        </w:trPr>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JJJ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JJJ</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4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/s/ Kevin Walbridge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Kevin Walbridge</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Edward A. Lang, III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Republic Services of Michigan Holding Company, Inc.</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 Tod C. Holmes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560" w:type="dxa"/>
            <w:vAlign w:val="bottom"/>
            <w:tcBorders>
              <w:top w:val="single" w:sz="8" w:color="auto"/>
            </w:tcBorders>
          </w:tcPr>
          <w:p>
            <w:pPr>
              <w:jc w:val="center"/>
              <w:ind w:right="52"/>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Attorney-in-Fact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II-131</w:t>
            </w:r>
          </w:p>
        </w:tc>
      </w:tr>
      <w:tr>
        <w:trPr>
          <w:trHeight w:val="226"/>
        </w:trPr>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KKK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KKK</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6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Ronald Krall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Ronald Krall</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Edward A. Lang, III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Continental Waste Industries, L.L.C.</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 Tod C. Holmes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560" w:type="dxa"/>
            <w:vAlign w:val="bottom"/>
            <w:tcBorders>
              <w:top w:val="single" w:sz="8" w:color="auto"/>
            </w:tcBorders>
          </w:tcPr>
          <w:p>
            <w:pPr>
              <w:jc w:val="center"/>
              <w:ind w:right="52"/>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Attorney-in-Fact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II-132</w:t>
            </w:r>
          </w:p>
        </w:tc>
      </w:tr>
      <w:tr>
        <w:trPr>
          <w:trHeight w:val="226"/>
        </w:trPr>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LLL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LLL</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5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/s/ Donald W. Slager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Donald W. Slager</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Edward A. Lang, III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Republic Services Holding Company, Inc.</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 Tod C. Holmes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560" w:type="dxa"/>
            <w:vAlign w:val="bottom"/>
            <w:tcBorders>
              <w:top w:val="single" w:sz="8" w:color="auto"/>
            </w:tcBorders>
          </w:tcPr>
          <w:p>
            <w:pPr>
              <w:jc w:val="center"/>
              <w:ind w:right="52"/>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Attorney-in-Fact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II-133</w:t>
            </w:r>
          </w:p>
        </w:tc>
      </w:tr>
      <w:tr>
        <w:trPr>
          <w:trHeight w:val="226"/>
        </w:trPr>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MMM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MMM</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8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340" w:type="dxa"/>
            <w:vAlign w:val="bottom"/>
          </w:tcPr>
          <w:p>
            <w:pPr>
              <w:spacing w:after="0"/>
              <w:rPr>
                <w:sz w:val="19"/>
                <w:szCs w:val="19"/>
                <w:color w:val="auto"/>
              </w:rPr>
            </w:pPr>
          </w:p>
        </w:tc>
        <w:tc>
          <w:tcPr>
            <w:tcW w:w="46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Ronald Krall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Ronald Krall</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Edward A. Lang, III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Republic Services Holding Company, Inc.</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 Tod C. Holmes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560" w:type="dxa"/>
            <w:vAlign w:val="bottom"/>
            <w:tcBorders>
              <w:top w:val="single" w:sz="8" w:color="auto"/>
            </w:tcBorders>
          </w:tcPr>
          <w:p>
            <w:pPr>
              <w:jc w:val="center"/>
              <w:ind w:right="52"/>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Attorney-in-Fact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II-134</w:t>
            </w:r>
          </w:p>
        </w:tc>
      </w:tr>
      <w:tr>
        <w:trPr>
          <w:trHeight w:val="226"/>
        </w:trPr>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NNN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NNN</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6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ectPr>
          <w:pgSz w:w="11900" w:h="16838" w:orient="portrait"/>
          <w:cols w:equalWidth="0" w:num="1">
            <w:col w:w="11340"/>
          </w:cols>
          <w:pgMar w:left="240" w:top="415" w:right="319" w:bottom="1440" w:gutter="0" w:footer="0" w:header="0"/>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r>
      <w:tr>
        <w:trPr>
          <w:trHeight w:val="426"/>
        </w:trPr>
        <w:tc>
          <w:tcPr>
            <w:tcW w:w="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/s/ Donald W. Slager *</w:t>
            </w:r>
          </w:p>
        </w:tc>
      </w:tr>
      <w:tr>
        <w:trPr>
          <w:trHeight w:val="228"/>
        </w:trPr>
        <w:tc>
          <w:tcPr>
            <w:tcW w:w="720" w:type="dxa"/>
            <w:vAlign w:val="bottom"/>
          </w:tcPr>
          <w:p>
            <w:pPr>
              <w:spacing w:after="0"/>
              <w:rPr>
                <w:sz w:val="19"/>
                <w:szCs w:val="19"/>
                <w:color w:val="auto"/>
              </w:rPr>
            </w:pPr>
          </w:p>
        </w:tc>
        <w:tc>
          <w:tcPr>
            <w:tcW w:w="4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Donald W. Slager</w:t>
            </w:r>
          </w:p>
        </w:tc>
      </w:tr>
      <w:tr>
        <w:trPr>
          <w:trHeight w:val="427"/>
        </w:trPr>
        <w:tc>
          <w:tcPr>
            <w:tcW w:w="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 Edward A. Lang, III *</w:t>
            </w:r>
          </w:p>
        </w:tc>
      </w:tr>
      <w:tr>
        <w:trPr>
          <w:trHeight w:val="228"/>
        </w:trPr>
        <w:tc>
          <w:tcPr>
            <w:tcW w:w="720" w:type="dxa"/>
            <w:vAlign w:val="bottom"/>
          </w:tcPr>
          <w:p>
            <w:pPr>
              <w:spacing w:after="0"/>
              <w:rPr>
                <w:sz w:val="19"/>
                <w:szCs w:val="19"/>
                <w:color w:val="auto"/>
              </w:rPr>
            </w:pPr>
          </w:p>
        </w:tc>
        <w:tc>
          <w:tcPr>
            <w:tcW w:w="4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27"/>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Browning-Ferris Industries of Tennessee, Inc.</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05"/>
        </w:trPr>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7620</wp:posOffset>
            </wp:positionV>
            <wp:extent cx="352488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President</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Vice President – Finance and Treasurer</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Managing Member</w:t>
      </w:r>
    </w:p>
    <w:p>
      <w:pPr>
        <w:spacing w:after="0" w:line="1116" w:lineRule="exact"/>
        <w:rPr>
          <w:sz w:val="20"/>
          <w:szCs w:val="20"/>
          <w:color w:val="auto"/>
        </w:rPr>
      </w:pPr>
    </w:p>
    <w:p>
      <w:pPr>
        <w:sectPr>
          <w:pgSz w:w="11900" w:h="16838" w:orient="portrait"/>
          <w:cols w:equalWidth="0" w:num="2">
            <w:col w:w="5800" w:space="720"/>
            <w:col w:w="4820"/>
          </w:cols>
          <w:pgMar w:left="240" w:top="415" w:right="31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Tod C. Holmes</w:t>
            </w:r>
          </w:p>
        </w:tc>
      </w:tr>
      <w:tr>
        <w:trPr>
          <w:trHeight w:val="205"/>
        </w:trPr>
        <w:tc>
          <w:tcPr>
            <w:tcW w:w="580" w:type="dxa"/>
            <w:vAlign w:val="bottom"/>
          </w:tcPr>
          <w:p>
            <w:pPr>
              <w:spacing w:after="0"/>
              <w:rPr>
                <w:sz w:val="17"/>
                <w:szCs w:val="17"/>
                <w:color w:val="auto"/>
              </w:rPr>
            </w:pPr>
          </w:p>
        </w:tc>
        <w:tc>
          <w:tcPr>
            <w:tcW w:w="47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r>
      <w:tr>
        <w:trPr>
          <w:trHeight w:val="234"/>
        </w:trPr>
        <w:tc>
          <w:tcPr>
            <w:tcW w:w="580" w:type="dxa"/>
            <w:vAlign w:val="bottom"/>
          </w:tcPr>
          <w:p>
            <w:pPr>
              <w:spacing w:after="0"/>
              <w:rPr>
                <w:sz w:val="20"/>
                <w:szCs w:val="20"/>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type w:val="continuous"/>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OOO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OOO</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49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6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/s/ Donald W. Slager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Donald W. Slager</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Edward A. Lang, III *</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Republic Waste, Limited Partnership</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1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Republic Waste Services of Texas GP, Inc.,</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General Partner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 Tod C. Holmes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5"/>
        </w:trPr>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560" w:type="dxa"/>
            <w:vAlign w:val="bottom"/>
            <w:tcBorders>
              <w:top w:val="single" w:sz="8" w:color="auto"/>
            </w:tcBorders>
          </w:tcPr>
          <w:p>
            <w:pPr>
              <w:jc w:val="center"/>
              <w:ind w:right="51"/>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Attorney-in-Fact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II-136</w:t>
            </w:r>
          </w:p>
        </w:tc>
      </w:tr>
      <w:tr>
        <w:trPr>
          <w:trHeight w:val="226"/>
        </w:trPr>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PPP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PPP</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60" w:type="dxa"/>
            <w:vAlign w:val="bottom"/>
          </w:tcPr>
          <w:p>
            <w:pPr>
              <w:spacing w:after="0"/>
              <w:rPr>
                <w:sz w:val="19"/>
                <w:szCs w:val="19"/>
                <w:color w:val="auto"/>
              </w:rPr>
            </w:pPr>
          </w:p>
        </w:tc>
        <w:tc>
          <w:tcPr>
            <w:tcW w:w="45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ectPr>
          <w:pgSz w:w="11900" w:h="16838" w:orient="portrait"/>
          <w:cols w:equalWidth="0" w:num="1">
            <w:col w:w="11340"/>
          </w:cols>
          <w:pgMar w:left="240" w:top="415" w:right="319" w:bottom="1440" w:gutter="0" w:footer="0" w:header="0"/>
        </w:sectPr>
      </w:pPr>
    </w:p>
    <w:p>
      <w:pPr>
        <w:spacing w:after="0" w:line="15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391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 Christopher Synek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391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Christopher Synek</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 Edward A. Lang,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391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Edward A. Lang,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Brenham Total Roll-Offs, LP</w:t>
      </w:r>
    </w:p>
    <w:p>
      <w:pPr>
        <w:spacing w:after="0" w:line="2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Allied Waste Landfill Holdings, Inc.,</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General Partner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7620</wp:posOffset>
            </wp:positionV>
            <wp:extent cx="344741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0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President</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Vice President – Finance and Treasurer</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Managing Member</w:t>
      </w:r>
    </w:p>
    <w:p>
      <w:pPr>
        <w:spacing w:after="0" w:line="866" w:lineRule="exact"/>
        <w:rPr>
          <w:sz w:val="20"/>
          <w:szCs w:val="20"/>
          <w:color w:val="auto"/>
        </w:rPr>
      </w:pPr>
    </w:p>
    <w:p>
      <w:pPr>
        <w:sectPr>
          <w:pgSz w:w="11900" w:h="16838" w:orient="portrait"/>
          <w:cols w:equalWidth="0" w:num="2">
            <w:col w:w="5860" w:space="720"/>
            <w:col w:w="4760"/>
          </w:cols>
          <w:pgMar w:left="240" w:top="415" w:right="31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05"/>
        </w:trPr>
        <w:tc>
          <w:tcPr>
            <w:tcW w:w="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Edward A. Lang, III</w:t>
            </w: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43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 Tod C. Holmes</w:t>
            </w:r>
          </w:p>
        </w:tc>
      </w:tr>
      <w:tr>
        <w:trPr>
          <w:trHeight w:val="205"/>
        </w:trPr>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56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8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type w:val="continuous"/>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0" w:firstLine="225"/>
        <w:spacing w:after="0" w:line="31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each of the Subsidiary Guarantors listed on Schedule QQQ hereto has duly caused this registration statement to be signed on its behalf by the undersigned, thereunto duly authorized, in the City of Phoenix, State of Arizona on June 29, 2010.</w:t>
      </w:r>
    </w:p>
    <w:p>
      <w:pPr>
        <w:spacing w:after="0" w:line="1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QQQ 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/s/ Donald W. Slager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391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8"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Donald W. Slager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President</w:t>
      </w:r>
    </w:p>
    <w:p>
      <w:pPr>
        <w:spacing w:after="0" w:line="27"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8" w:lineRule="exact"/>
        <w:rPr>
          <w:sz w:val="20"/>
          <w:szCs w:val="20"/>
          <w:color w:val="auto"/>
        </w:rPr>
      </w:pPr>
    </w:p>
    <w:p>
      <w:pPr>
        <w:sectPr>
          <w:pgSz w:w="11900" w:h="16838" w:orient="portrait"/>
          <w:cols w:equalWidth="0" w:num="2">
            <w:col w:w="6980" w:space="720"/>
            <w:col w:w="372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/s/ Edward A. Lang, III *</w:t>
            </w:r>
          </w:p>
        </w:tc>
        <w:tc>
          <w:tcPr>
            <w:tcW w:w="300" w:type="dxa"/>
            <w:vAlign w:val="bottom"/>
          </w:tcPr>
          <w:p>
            <w:pPr>
              <w:spacing w:after="0"/>
              <w:rPr>
                <w:sz w:val="20"/>
                <w:szCs w:val="20"/>
                <w:color w:val="auto"/>
              </w:rPr>
            </w:pPr>
          </w:p>
        </w:tc>
        <w:tc>
          <w:tcPr>
            <w:tcW w:w="5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820" w:type="dxa"/>
            <w:vAlign w:val="bottom"/>
          </w:tcPr>
          <w:p>
            <w:pPr>
              <w:spacing w:after="0"/>
              <w:rPr>
                <w:sz w:val="19"/>
                <w:szCs w:val="19"/>
                <w:color w:val="auto"/>
              </w:rPr>
            </w:pPr>
          </w:p>
        </w:tc>
        <w:tc>
          <w:tcPr>
            <w:tcW w:w="46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300" w:type="dxa"/>
            <w:vAlign w:val="bottom"/>
          </w:tcPr>
          <w:p>
            <w:pPr>
              <w:spacing w:after="0"/>
              <w:rPr>
                <w:sz w:val="19"/>
                <w:szCs w:val="19"/>
                <w:color w:val="auto"/>
              </w:rPr>
            </w:pPr>
          </w:p>
        </w:tc>
        <w:tc>
          <w:tcPr>
            <w:tcW w:w="57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Central Virginia Properties, LLC</w:t>
            </w:r>
          </w:p>
        </w:tc>
        <w:tc>
          <w:tcPr>
            <w:tcW w:w="300" w:type="dxa"/>
            <w:vAlign w:val="bottom"/>
          </w:tcPr>
          <w:p>
            <w:pPr>
              <w:spacing w:after="0"/>
              <w:rPr>
                <w:sz w:val="24"/>
                <w:szCs w:val="24"/>
                <w:color w:val="auto"/>
              </w:rPr>
            </w:pPr>
          </w:p>
        </w:tc>
        <w:tc>
          <w:tcPr>
            <w:tcW w:w="57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/s/ Edward A. Lang, III *</w:t>
            </w:r>
          </w:p>
        </w:tc>
        <w:tc>
          <w:tcPr>
            <w:tcW w:w="300" w:type="dxa"/>
            <w:vAlign w:val="bottom"/>
            <w:tcBorders>
              <w:bottom w:val="single" w:sz="8" w:color="auto"/>
            </w:tcBorders>
          </w:tcPr>
          <w:p>
            <w:pPr>
              <w:spacing w:after="0"/>
              <w:rPr>
                <w:sz w:val="24"/>
                <w:szCs w:val="24"/>
                <w:color w:val="auto"/>
              </w:rPr>
            </w:pPr>
          </w:p>
        </w:tc>
        <w:tc>
          <w:tcPr>
            <w:tcW w:w="5700" w:type="dxa"/>
            <w:vAlign w:val="bottom"/>
          </w:tcPr>
          <w:p>
            <w:pPr>
              <w:spacing w:after="0"/>
              <w:rPr>
                <w:sz w:val="24"/>
                <w:szCs w:val="24"/>
                <w:color w:val="auto"/>
              </w:rPr>
            </w:pPr>
          </w:p>
        </w:tc>
      </w:tr>
      <w:tr>
        <w:trPr>
          <w:trHeight w:val="205"/>
        </w:trPr>
        <w:tc>
          <w:tcPr>
            <w:tcW w:w="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jc w:val="center"/>
              <w:ind w:left="210"/>
              <w:spacing w:after="0" w:line="205" w:lineRule="exact"/>
              <w:rPr>
                <w:sz w:val="20"/>
                <w:szCs w:val="20"/>
                <w:color w:val="auto"/>
              </w:rPr>
            </w:pPr>
            <w:r>
              <w:rPr>
                <w:rFonts w:ascii="Times New Roman" w:cs="Times New Roman" w:eastAsia="Times New Roman" w:hAnsi="Times New Roman"/>
                <w:sz w:val="18"/>
                <w:szCs w:val="18"/>
                <w:color w:val="auto"/>
                <w:w w:val="99"/>
              </w:rPr>
              <w:t>Edward A. Lang, III</w:t>
            </w:r>
          </w:p>
        </w:tc>
        <w:tc>
          <w:tcPr>
            <w:tcW w:w="30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Treasurer</w:t>
            </w:r>
          </w:p>
        </w:tc>
        <w:tc>
          <w:tcPr>
            <w:tcW w:w="300" w:type="dxa"/>
            <w:vAlign w:val="bottom"/>
          </w:tcPr>
          <w:p>
            <w:pPr>
              <w:spacing w:after="0"/>
              <w:rPr>
                <w:sz w:val="20"/>
                <w:szCs w:val="20"/>
                <w:color w:val="auto"/>
              </w:rPr>
            </w:pPr>
          </w:p>
        </w:tc>
        <w:tc>
          <w:tcPr>
            <w:tcW w:w="570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8"/>
              </w:rPr>
              <w:t>/s/ Tod C. Holmes</w:t>
            </w:r>
          </w:p>
        </w:tc>
        <w:tc>
          <w:tcPr>
            <w:tcW w:w="300" w:type="dxa"/>
            <w:vAlign w:val="bottom"/>
            <w:tcBorders>
              <w:bottom w:val="single" w:sz="8" w:color="auto"/>
            </w:tcBorders>
          </w:tcPr>
          <w:p>
            <w:pPr>
              <w:spacing w:after="0"/>
              <w:rPr>
                <w:sz w:val="24"/>
                <w:szCs w:val="24"/>
                <w:color w:val="auto"/>
              </w:rPr>
            </w:pPr>
          </w:p>
        </w:tc>
        <w:tc>
          <w:tcPr>
            <w:tcW w:w="5700" w:type="dxa"/>
            <w:vAlign w:val="bottom"/>
          </w:tcPr>
          <w:p>
            <w:pPr>
              <w:spacing w:after="0"/>
              <w:rPr>
                <w:sz w:val="24"/>
                <w:szCs w:val="24"/>
                <w:color w:val="auto"/>
              </w:rPr>
            </w:pPr>
          </w:p>
        </w:tc>
      </w:tr>
      <w:tr>
        <w:trPr>
          <w:trHeight w:val="205"/>
        </w:trPr>
        <w:tc>
          <w:tcPr>
            <w:tcW w:w="820" w:type="dxa"/>
            <w:vAlign w:val="bottom"/>
          </w:tcPr>
          <w:p>
            <w:pPr>
              <w:spacing w:after="0"/>
              <w:rPr>
                <w:sz w:val="17"/>
                <w:szCs w:val="17"/>
                <w:color w:val="auto"/>
              </w:rPr>
            </w:pPr>
          </w:p>
        </w:tc>
        <w:tc>
          <w:tcPr>
            <w:tcW w:w="4600" w:type="dxa"/>
            <w:vAlign w:val="bottom"/>
          </w:tcPr>
          <w:p>
            <w:pPr>
              <w:jc w:val="center"/>
              <w:ind w:left="210"/>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30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34"/>
        </w:trPr>
        <w:tc>
          <w:tcPr>
            <w:tcW w:w="820" w:type="dxa"/>
            <w:vAlign w:val="bottom"/>
          </w:tcPr>
          <w:p>
            <w:pPr>
              <w:spacing w:after="0"/>
              <w:rPr>
                <w:sz w:val="20"/>
                <w:szCs w:val="20"/>
                <w:color w:val="auto"/>
              </w:rPr>
            </w:pPr>
          </w:p>
        </w:tc>
        <w:tc>
          <w:tcPr>
            <w:tcW w:w="4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Attorney-in-Fact</w:t>
            </w:r>
          </w:p>
        </w:tc>
        <w:tc>
          <w:tcPr>
            <w:tcW w:w="300" w:type="dxa"/>
            <w:vAlign w:val="bottom"/>
          </w:tcPr>
          <w:p>
            <w:pPr>
              <w:spacing w:after="0"/>
              <w:rPr>
                <w:sz w:val="20"/>
                <w:szCs w:val="20"/>
                <w:color w:val="auto"/>
              </w:rPr>
            </w:pPr>
          </w:p>
        </w:tc>
        <w:tc>
          <w:tcPr>
            <w:tcW w:w="5700" w:type="dxa"/>
            <w:vAlign w:val="bottom"/>
          </w:tcPr>
          <w:p>
            <w:pPr>
              <w:spacing w:after="0"/>
              <w:rPr>
                <w:sz w:val="20"/>
                <w:szCs w:val="20"/>
                <w:color w:val="auto"/>
              </w:rPr>
            </w:pPr>
          </w:p>
        </w:tc>
      </w:tr>
      <w:tr>
        <w:trPr>
          <w:trHeight w:val="405"/>
        </w:trPr>
        <w:tc>
          <w:tcPr>
            <w:tcW w:w="8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II-138</w:t>
            </w:r>
          </w:p>
        </w:tc>
      </w:tr>
      <w:tr>
        <w:trPr>
          <w:trHeight w:val="226"/>
        </w:trPr>
        <w:tc>
          <w:tcPr>
            <w:tcW w:w="82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RRR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On behalf of each Subsidiary Guarantor listed 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Schedule RRR hereto</w:t>
      </w:r>
    </w:p>
    <w:p>
      <w:pPr>
        <w:spacing w:after="0" w:line="20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40" w:type="dxa"/>
            <w:vAlign w:val="bottom"/>
          </w:tcPr>
          <w:p>
            <w:pPr>
              <w:spacing w:after="0"/>
              <w:rPr>
                <w:sz w:val="19"/>
                <w:szCs w:val="19"/>
                <w:color w:val="auto"/>
              </w:rPr>
            </w:pPr>
          </w:p>
        </w:tc>
        <w:tc>
          <w:tcPr>
            <w:tcW w:w="4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Edward A. Lang, III</w:t>
            </w:r>
          </w:p>
        </w:tc>
      </w:tr>
      <w:tr>
        <w:trPr>
          <w:trHeight w:val="414"/>
        </w:trPr>
        <w:tc>
          <w:tcPr>
            <w:tcW w:w="3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p>
      <w:pPr>
        <w:ind w:left="242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4"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/s/ Christopher Synek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391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6"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Christopher Synek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President</w:t>
      </w:r>
    </w:p>
    <w:p>
      <w:pPr>
        <w:spacing w:after="0" w:line="27"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8" w:lineRule="exact"/>
        <w:rPr>
          <w:sz w:val="20"/>
          <w:szCs w:val="20"/>
          <w:color w:val="auto"/>
        </w:rPr>
      </w:pPr>
    </w:p>
    <w:p>
      <w:pPr>
        <w:sectPr>
          <w:pgSz w:w="11900" w:h="16838" w:orient="portrait"/>
          <w:cols w:equalWidth="0" w:num="2">
            <w:col w:w="6980" w:space="720"/>
            <w:col w:w="3720"/>
          </w:cols>
          <w:pgMar w:left="240" w:top="415"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/s/ Edward A. Lang, III *</w:t>
            </w:r>
          </w:p>
        </w:tc>
        <w:tc>
          <w:tcPr>
            <w:tcW w:w="300" w:type="dxa"/>
            <w:vAlign w:val="bottom"/>
          </w:tcPr>
          <w:p>
            <w:pPr>
              <w:spacing w:after="0"/>
              <w:rPr>
                <w:sz w:val="20"/>
                <w:szCs w:val="20"/>
                <w:color w:val="auto"/>
              </w:rPr>
            </w:pPr>
          </w:p>
        </w:tc>
        <w:tc>
          <w:tcPr>
            <w:tcW w:w="57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r>
      <w:tr>
        <w:trPr>
          <w:trHeight w:val="228"/>
        </w:trPr>
        <w:tc>
          <w:tcPr>
            <w:tcW w:w="820" w:type="dxa"/>
            <w:vAlign w:val="bottom"/>
          </w:tcPr>
          <w:p>
            <w:pPr>
              <w:spacing w:after="0"/>
              <w:rPr>
                <w:sz w:val="19"/>
                <w:szCs w:val="19"/>
                <w:color w:val="auto"/>
              </w:rPr>
            </w:pPr>
          </w:p>
        </w:tc>
        <w:tc>
          <w:tcPr>
            <w:tcW w:w="46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300" w:type="dxa"/>
            <w:vAlign w:val="bottom"/>
          </w:tcPr>
          <w:p>
            <w:pPr>
              <w:spacing w:after="0"/>
              <w:rPr>
                <w:sz w:val="19"/>
                <w:szCs w:val="19"/>
                <w:color w:val="auto"/>
              </w:rPr>
            </w:pPr>
          </w:p>
        </w:tc>
        <w:tc>
          <w:tcPr>
            <w:tcW w:w="57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BFI Waste Systems of North America, LLC</w:t>
            </w:r>
          </w:p>
        </w:tc>
        <w:tc>
          <w:tcPr>
            <w:tcW w:w="300" w:type="dxa"/>
            <w:vAlign w:val="bottom"/>
          </w:tcPr>
          <w:p>
            <w:pPr>
              <w:spacing w:after="0"/>
              <w:rPr>
                <w:sz w:val="24"/>
                <w:szCs w:val="24"/>
                <w:color w:val="auto"/>
              </w:rPr>
            </w:pPr>
          </w:p>
        </w:tc>
        <w:tc>
          <w:tcPr>
            <w:tcW w:w="57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/s/ Edward A. Lang, III *</w:t>
            </w:r>
          </w:p>
        </w:tc>
        <w:tc>
          <w:tcPr>
            <w:tcW w:w="300" w:type="dxa"/>
            <w:vAlign w:val="bottom"/>
            <w:tcBorders>
              <w:bottom w:val="single" w:sz="8" w:color="auto"/>
            </w:tcBorders>
          </w:tcPr>
          <w:p>
            <w:pPr>
              <w:spacing w:after="0"/>
              <w:rPr>
                <w:sz w:val="24"/>
                <w:szCs w:val="24"/>
                <w:color w:val="auto"/>
              </w:rPr>
            </w:pPr>
          </w:p>
        </w:tc>
        <w:tc>
          <w:tcPr>
            <w:tcW w:w="5700" w:type="dxa"/>
            <w:vAlign w:val="bottom"/>
          </w:tcPr>
          <w:p>
            <w:pPr>
              <w:spacing w:after="0"/>
              <w:rPr>
                <w:sz w:val="24"/>
                <w:szCs w:val="24"/>
                <w:color w:val="auto"/>
              </w:rPr>
            </w:pPr>
          </w:p>
        </w:tc>
      </w:tr>
      <w:tr>
        <w:trPr>
          <w:trHeight w:val="205"/>
        </w:trPr>
        <w:tc>
          <w:tcPr>
            <w:tcW w:w="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jc w:val="center"/>
              <w:ind w:left="210"/>
              <w:spacing w:after="0" w:line="205" w:lineRule="exact"/>
              <w:rPr>
                <w:sz w:val="20"/>
                <w:szCs w:val="20"/>
                <w:color w:val="auto"/>
              </w:rPr>
            </w:pPr>
            <w:r>
              <w:rPr>
                <w:rFonts w:ascii="Times New Roman" w:cs="Times New Roman" w:eastAsia="Times New Roman" w:hAnsi="Times New Roman"/>
                <w:sz w:val="18"/>
                <w:szCs w:val="18"/>
                <w:color w:val="auto"/>
                <w:w w:val="99"/>
              </w:rPr>
              <w:t>Edward A. Lang, III</w:t>
            </w:r>
          </w:p>
        </w:tc>
        <w:tc>
          <w:tcPr>
            <w:tcW w:w="30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Vice President – Finance and Treasurer</w:t>
            </w:r>
          </w:p>
        </w:tc>
        <w:tc>
          <w:tcPr>
            <w:tcW w:w="300" w:type="dxa"/>
            <w:vAlign w:val="bottom"/>
          </w:tcPr>
          <w:p>
            <w:pPr>
              <w:spacing w:after="0"/>
              <w:rPr>
                <w:sz w:val="20"/>
                <w:szCs w:val="20"/>
                <w:color w:val="auto"/>
              </w:rPr>
            </w:pPr>
          </w:p>
        </w:tc>
        <w:tc>
          <w:tcPr>
            <w:tcW w:w="570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8"/>
              </w:rPr>
              <w:t>/s/ Tod C. Holmes</w:t>
            </w:r>
          </w:p>
        </w:tc>
        <w:tc>
          <w:tcPr>
            <w:tcW w:w="300" w:type="dxa"/>
            <w:vAlign w:val="bottom"/>
            <w:tcBorders>
              <w:bottom w:val="single" w:sz="8" w:color="auto"/>
            </w:tcBorders>
          </w:tcPr>
          <w:p>
            <w:pPr>
              <w:spacing w:after="0"/>
              <w:rPr>
                <w:sz w:val="24"/>
                <w:szCs w:val="24"/>
                <w:color w:val="auto"/>
              </w:rPr>
            </w:pPr>
          </w:p>
        </w:tc>
        <w:tc>
          <w:tcPr>
            <w:tcW w:w="5700" w:type="dxa"/>
            <w:vAlign w:val="bottom"/>
          </w:tcPr>
          <w:p>
            <w:pPr>
              <w:spacing w:after="0"/>
              <w:rPr>
                <w:sz w:val="24"/>
                <w:szCs w:val="24"/>
                <w:color w:val="auto"/>
              </w:rPr>
            </w:pPr>
          </w:p>
        </w:tc>
      </w:tr>
      <w:tr>
        <w:trPr>
          <w:trHeight w:val="205"/>
        </w:trPr>
        <w:tc>
          <w:tcPr>
            <w:tcW w:w="820" w:type="dxa"/>
            <w:vAlign w:val="bottom"/>
          </w:tcPr>
          <w:p>
            <w:pPr>
              <w:spacing w:after="0"/>
              <w:rPr>
                <w:sz w:val="17"/>
                <w:szCs w:val="17"/>
                <w:color w:val="auto"/>
              </w:rPr>
            </w:pPr>
          </w:p>
        </w:tc>
        <w:tc>
          <w:tcPr>
            <w:tcW w:w="4600" w:type="dxa"/>
            <w:vAlign w:val="bottom"/>
          </w:tcPr>
          <w:p>
            <w:pPr>
              <w:jc w:val="center"/>
              <w:ind w:left="210"/>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30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34"/>
        </w:trPr>
        <w:tc>
          <w:tcPr>
            <w:tcW w:w="820" w:type="dxa"/>
            <w:vAlign w:val="bottom"/>
          </w:tcPr>
          <w:p>
            <w:pPr>
              <w:spacing w:after="0"/>
              <w:rPr>
                <w:sz w:val="20"/>
                <w:szCs w:val="20"/>
                <w:color w:val="auto"/>
              </w:rPr>
            </w:pPr>
          </w:p>
        </w:tc>
        <w:tc>
          <w:tcPr>
            <w:tcW w:w="4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Attorney-in-Fact</w:t>
            </w:r>
          </w:p>
        </w:tc>
        <w:tc>
          <w:tcPr>
            <w:tcW w:w="300" w:type="dxa"/>
            <w:vAlign w:val="bottom"/>
          </w:tcPr>
          <w:p>
            <w:pPr>
              <w:spacing w:after="0"/>
              <w:rPr>
                <w:sz w:val="20"/>
                <w:szCs w:val="20"/>
                <w:color w:val="auto"/>
              </w:rPr>
            </w:pPr>
          </w:p>
        </w:tc>
        <w:tc>
          <w:tcPr>
            <w:tcW w:w="5700" w:type="dxa"/>
            <w:vAlign w:val="bottom"/>
          </w:tcPr>
          <w:p>
            <w:pPr>
              <w:spacing w:after="0"/>
              <w:rPr>
                <w:sz w:val="20"/>
                <w:szCs w:val="20"/>
                <w:color w:val="auto"/>
              </w:rPr>
            </w:pPr>
          </w:p>
        </w:tc>
      </w:tr>
      <w:tr>
        <w:trPr>
          <w:trHeight w:val="405"/>
        </w:trPr>
        <w:tc>
          <w:tcPr>
            <w:tcW w:w="8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II-139</w:t>
            </w:r>
          </w:p>
        </w:tc>
      </w:tr>
      <w:tr>
        <w:trPr>
          <w:trHeight w:val="226"/>
        </w:trPr>
        <w:tc>
          <w:tcPr>
            <w:tcW w:w="82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Subsidiary Guarantors listed on Schedule SSS hereto has duly caused this registration statement to be signed on its behalf by the undersigned, thereunto duly authorized, in the City of Phoenix, State of Arizona on June 29, 2010.</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On behalf of each Subsidiary Guarantor listed on Schedule SSS</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 Edward A. Lang, III *</w:t>
            </w:r>
          </w:p>
        </w:tc>
      </w:tr>
      <w:tr>
        <w:trPr>
          <w:trHeight w:val="228"/>
        </w:trPr>
        <w:tc>
          <w:tcPr>
            <w:tcW w:w="36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A. Lang, III</w:t>
            </w:r>
          </w:p>
        </w:tc>
      </w:tr>
      <w:tr>
        <w:trPr>
          <w:trHeight w:val="414"/>
        </w:trPr>
        <w:tc>
          <w:tcPr>
            <w:tcW w:w="3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bl>
    <w:p>
      <w:pPr>
        <w:spacing w:after="0" w:line="30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jc w:val="center"/>
              <w:ind w:right="71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8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ind w:right="731"/>
              <w:spacing w:after="0"/>
              <w:rPr>
                <w:sz w:val="20"/>
                <w:szCs w:val="20"/>
                <w:color w:val="auto"/>
              </w:rPr>
            </w:pPr>
            <w:r>
              <w:rPr>
                <w:rFonts w:ascii="Times New Roman" w:cs="Times New Roman" w:eastAsia="Times New Roman" w:hAnsi="Times New Roman"/>
                <w:sz w:val="18"/>
                <w:szCs w:val="18"/>
                <w:color w:val="auto"/>
                <w:w w:val="99"/>
              </w:rPr>
              <w:t>/s/ Kevin Walbridge *</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820" w:type="dxa"/>
            <w:vAlign w:val="bottom"/>
          </w:tcPr>
          <w:p>
            <w:pPr>
              <w:spacing w:after="0"/>
              <w:rPr>
                <w:sz w:val="19"/>
                <w:szCs w:val="19"/>
                <w:color w:val="auto"/>
              </w:rPr>
            </w:pPr>
          </w:p>
        </w:tc>
        <w:tc>
          <w:tcPr>
            <w:tcW w:w="4600" w:type="dxa"/>
            <w:vAlign w:val="bottom"/>
          </w:tcPr>
          <w:p>
            <w:pPr>
              <w:jc w:val="center"/>
              <w:ind w:right="711"/>
              <w:spacing w:after="0"/>
              <w:rPr>
                <w:sz w:val="20"/>
                <w:szCs w:val="20"/>
                <w:color w:val="auto"/>
              </w:rPr>
            </w:pPr>
            <w:r>
              <w:rPr>
                <w:rFonts w:ascii="Times New Roman" w:cs="Times New Roman" w:eastAsia="Times New Roman" w:hAnsi="Times New Roman"/>
                <w:sz w:val="18"/>
                <w:szCs w:val="18"/>
                <w:color w:val="auto"/>
                <w:w w:val="99"/>
              </w:rPr>
              <w:t>Kevin Walbridge</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8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ind w:right="731"/>
              <w:spacing w:after="0"/>
              <w:rPr>
                <w:sz w:val="20"/>
                <w:szCs w:val="20"/>
                <w:color w:val="auto"/>
              </w:rPr>
            </w:pPr>
            <w:r>
              <w:rPr>
                <w:rFonts w:ascii="Times New Roman" w:cs="Times New Roman" w:eastAsia="Times New Roman" w:hAnsi="Times New Roman"/>
                <w:sz w:val="18"/>
                <w:szCs w:val="18"/>
                <w:color w:val="auto"/>
              </w:rPr>
              <w:t>/s/ Edward A. Lang, III *</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228"/>
        </w:trPr>
        <w:tc>
          <w:tcPr>
            <w:tcW w:w="820" w:type="dxa"/>
            <w:vAlign w:val="bottom"/>
          </w:tcPr>
          <w:p>
            <w:pPr>
              <w:spacing w:after="0"/>
              <w:rPr>
                <w:sz w:val="19"/>
                <w:szCs w:val="19"/>
                <w:color w:val="auto"/>
              </w:rPr>
            </w:pPr>
          </w:p>
        </w:tc>
        <w:tc>
          <w:tcPr>
            <w:tcW w:w="4600" w:type="dxa"/>
            <w:vAlign w:val="bottom"/>
          </w:tcPr>
          <w:p>
            <w:pPr>
              <w:jc w:val="center"/>
              <w:ind w:right="731"/>
              <w:spacing w:after="0"/>
              <w:rPr>
                <w:sz w:val="20"/>
                <w:szCs w:val="20"/>
                <w:color w:val="auto"/>
              </w:rPr>
            </w:pPr>
            <w:r>
              <w:rPr>
                <w:rFonts w:ascii="Times New Roman" w:cs="Times New Roman" w:eastAsia="Times New Roman" w:hAnsi="Times New Roman"/>
                <w:sz w:val="18"/>
                <w:szCs w:val="18"/>
                <w:color w:val="auto"/>
                <w:w w:val="99"/>
              </w:rPr>
              <w:t>Edward A. Lang, III</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Republic Services of Indiana, Limited Partnership</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Managing Member</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Republic Services, Inc., as General Partner</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color w:val="auto"/>
              </w:rPr>
              <w:t>/s/ James E. O’Connor *</w:t>
            </w:r>
          </w:p>
        </w:tc>
        <w:tc>
          <w:tcPr>
            <w:tcW w:w="3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jc w:val="center"/>
              <w:ind w:left="211"/>
              <w:spacing w:after="0" w:line="205" w:lineRule="exact"/>
              <w:rPr>
                <w:sz w:val="20"/>
                <w:szCs w:val="20"/>
                <w:color w:val="auto"/>
              </w:rPr>
            </w:pPr>
            <w:r>
              <w:rPr>
                <w:rFonts w:ascii="Times New Roman" w:cs="Times New Roman" w:eastAsia="Times New Roman" w:hAnsi="Times New Roman"/>
                <w:sz w:val="18"/>
                <w:szCs w:val="18"/>
                <w:color w:val="auto"/>
              </w:rPr>
              <w:t>James E. O’Connor</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Chairman of the Board and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46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Chief Executive Officer</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color w:val="auto"/>
                <w:w w:val="98"/>
              </w:rPr>
              <w:t>/s/ Tod C. Holmes</w:t>
            </w:r>
          </w:p>
        </w:tc>
        <w:tc>
          <w:tcPr>
            <w:tcW w:w="3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5"/>
        </w:trPr>
        <w:tc>
          <w:tcPr>
            <w:tcW w:w="820" w:type="dxa"/>
            <w:vAlign w:val="bottom"/>
          </w:tcPr>
          <w:p>
            <w:pPr>
              <w:spacing w:after="0"/>
              <w:rPr>
                <w:sz w:val="17"/>
                <w:szCs w:val="17"/>
                <w:color w:val="auto"/>
              </w:rPr>
            </w:pPr>
          </w:p>
        </w:tc>
        <w:tc>
          <w:tcPr>
            <w:tcW w:w="4600" w:type="dxa"/>
            <w:vAlign w:val="bottom"/>
          </w:tcPr>
          <w:p>
            <w:pPr>
              <w:jc w:val="center"/>
              <w:ind w:left="211"/>
              <w:spacing w:after="0" w:line="205" w:lineRule="exact"/>
              <w:rPr>
                <w:sz w:val="20"/>
                <w:szCs w:val="20"/>
                <w:color w:val="auto"/>
              </w:rPr>
            </w:pPr>
            <w:r>
              <w:rPr>
                <w:rFonts w:ascii="Times New Roman" w:cs="Times New Roman" w:eastAsia="Times New Roman" w:hAnsi="Times New Roman"/>
                <w:sz w:val="18"/>
                <w:szCs w:val="18"/>
                <w:color w:val="auto"/>
                <w:w w:val="99"/>
              </w:rPr>
              <w:t>Tod C. Holmes</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4"/>
        </w:trPr>
        <w:tc>
          <w:tcPr>
            <w:tcW w:w="820" w:type="dxa"/>
            <w:vAlign w:val="bottom"/>
          </w:tcPr>
          <w:p>
            <w:pPr>
              <w:spacing w:after="0"/>
              <w:rPr>
                <w:sz w:val="20"/>
                <w:szCs w:val="20"/>
                <w:color w:val="auto"/>
              </w:rPr>
            </w:pPr>
          </w:p>
        </w:tc>
        <w:tc>
          <w:tcPr>
            <w:tcW w:w="46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Attorney-in-Fact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05"/>
        </w:trPr>
        <w:tc>
          <w:tcPr>
            <w:tcW w:w="8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II-140</w:t>
            </w:r>
          </w:p>
        </w:tc>
      </w:tr>
      <w:tr>
        <w:trPr>
          <w:trHeight w:val="226"/>
        </w:trPr>
        <w:tc>
          <w:tcPr>
            <w:tcW w:w="82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Action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Ada County Development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ADS of Illinois,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Alabama Recycling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Acquisition Pennsylvania,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Acquisition Two,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Enviroengineering,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Green Power,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Nova Scotia,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Alabama,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Hauling of Georgia,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Holdings (Canada) Ltd.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Industries (New Mexico),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Industries of Georgia,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Industries of Northwest Indiana,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Industries (Southwest),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Landfill Holdings,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of California,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of Long Island,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of New Jersey,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Rural Sanitation,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Services of Colorado,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Systems Holdings,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Systems,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Transportation,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American Disposal Services of New Jersey,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American Disposal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American Disposal Transfer Services of Illinois,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American Materials Recycling Corp.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American Sanitation,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American Transfer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Area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Atlantic Waste Holding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Attwoods of North America,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Autoshred,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AWIN Leasing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AWIN Management,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BBCO,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Atlantic,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Energy Systems of Albany,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Energy Systems of Delaware County,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Energy Systems of Essex County,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Energy Systems of Hempstead,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Energy Systems of Niagara II,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Energy Systems of Niagara,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Energy Systems of SEMASS, Inc.</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Energy Systems of Southeastern Connecticut, Inc.</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International,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REF-FUEL,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Trans River (GP),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Borrow Pit Corp.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Financial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Industries Chemical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Industries of Florida,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Industries of Illinois,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Industries of New Jersey,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Industries of New York,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Industries of Tennessee,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Bunting Trash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CECOS International,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Charter Evaporation Resource Recovery Systems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County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Delta Dade Recycling Corp.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Delta Paper Stock, Co.</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Delta Site Development Corp.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Delta Waste Corp.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Eagle Industries Leasing,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ECDC Environmental of Humboldt County,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ECDC Holdings,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Evergreen Scavenger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 Van Dyken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General Refuse Rolloff Corp.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Georgia Recycling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Golden Waste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Great Lakes Disposal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Gulfcoast Waste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Illinois Recycling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Ingrum Waste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Island Waste Services Ltd.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Jetter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La Cañada Disposal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Liberty Waste Holdings,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Louis Pinto &amp; Son, Inc., Sanitation Contractors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Lucas County Land Development,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Manumit of Florida,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Midway Development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Mississippi Waste Paper Company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Mountain Home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NationsWaste Catawba Regional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NationsWaste,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Ncorp,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Pinal County Landfill Corp.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Portable Storage Co.</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Preble County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Price &amp; Sons Recycling Company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R.C. Miller Enterprises,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Resource Recovery,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Risk Services, Inc.</w:t>
      </w:r>
    </w:p>
    <w:p>
      <w:pPr>
        <w:spacing w:after="0" w:line="396"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II-142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Rock Road Industries, Inc.</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Ross Bros. Waste &amp; Recycling Co.</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Royal Holdings,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 &amp; S Recycling,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San Marcos NCRRF,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Sanitary Disposal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Shred — All Recycling Systems,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Standard Disposal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Standard Waste,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Suburban Transfer,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Summit Waste Systems,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Tate’s Transfer Systems,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Taylor Ridge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Tennessee Union County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Ecology Group,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Total Solid Waste Recyclers,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Tri-State Recycling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Tri-State Refuse Corporation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Vining Disposal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Waste Control Systems,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Wastehaul,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Wayne County Landfill IL, Inc.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Adrian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Industries of Illinois,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Services of Stillwater,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American Disposal Services of Kansas,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American Disposal Services of Illinois,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Belleville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Bond County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Brickyard Disposal &amp; Recycling,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CC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Central Sanitary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Citizens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City-Star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Clarkston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Dempsey Waste Systems II,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DTC Management,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East Chicago Compost Facility,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Environmental Development Corp. (DE)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Environmental Reclamation Company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Environtech,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Fred Barbara Trucking Co.,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Harland’s Sanitary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Illinois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Illinois Valley Recycling,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Kankakee Quarry,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LandComp Corporation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Lee County Landfill, Inc.</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Loop Recycling, Inc.</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Loop Transfer, Incorporated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Northlake Transfer,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Oakland Heights Development,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Oscar’s Collection System of Fremont,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Ottawa County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Pittsburg County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RCS,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Roxana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Saline County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Sangamon Valley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Sauk Trail Development,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Standard Environmental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Streator Area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Suburban Warehouse,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Sunset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Thomas Disposal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Upper Rock Island County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Williams County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Woodlake Sanitary Service, Inc.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Agri-Tech, Inc. of Oregon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Albany-Lebanon Sanitation,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Industries (Arizona),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Services of Page,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Transfer Services of Utah,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Apache Junction Landfill Corporation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Bio-Med of Oregon,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Borrego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Industries of California,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Capitol Recycling and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Central Arizona Transfer,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Cocopah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Copper Mountain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Corvallis Disposal Co.</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Dallas Disposal Co.</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Delta Container Corporation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Denver RL North,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Elder Creek Transfer &amp; Recovery,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Forward,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Grants Pass Sanitation,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Imperial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Independent Trucking Company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International Disposal Corp. of California</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Keller Canyon Landfill Company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Keller Drop Box,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Lathrop Sunrise Sanitation Corporation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McInnis Waste Systems,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Mesa Disposal, Inc.</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Otay Landfill, Inc.</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Palomar Transfer Station,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Peltier Real Estate Company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Rabanco Recycling,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Rabanco, Ltd.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Ramona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Rossman Sanitary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Source Recycling,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Sunrise Sanitation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Sunset Disposal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Sycamore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United Disposal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Valley Landfills,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Wasatch Regional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WDTR,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Willamette Resources,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WJR Environmental, Inc.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D</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American Disposal Services of Missouri,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American Disposal Services of West Virginia,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Automated Modular Systems,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Transfer Systems of New Jersey,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Industries,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Industries of Ohio,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Celina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Cherokee Run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County Disposal (Ohio),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County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 P. McNamara Rubbish Removal,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Lake Norman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Newco Waste Systems of New Jersey,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New Morgan Landfill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Noble Road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Port Clinton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R.C. Miller Refuse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Tom Luciano’s Disposal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Tricil (N.Y.), Inc.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E</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Industries of Tennessee,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Delta Resources Corp.</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GEK, Inc.</w:t>
      </w:r>
    </w:p>
    <w:p>
      <w:pPr>
        <w:spacing w:after="0" w:line="32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F</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D A J Corporation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Atlas Transport,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Bay Collection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Bay Environmental Management,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Bay Landfills,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Bay Leasing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McCusker Recycling,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Ohio Republic Contracts, II,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Ohio Republic Contracts,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Perdomo &amp; Sons,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Aviation,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Holding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Florida LP,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California Holding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Indiana LP,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Michigan Holding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Real Estate Holding,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Waste Services of Texas LP,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RI/Alameda Corp.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Sandy Hollow Landfill Corp.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Zakaroff Services</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G</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Berkeley Sanitary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BLT Enterprises of Oxnard,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Crockett Sanitary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Golden Bear Transfer Services,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Dumpco,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Environmental Technologies,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Silver State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Richmond Sanitary Service,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Solano Garbage Company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West Contra Costa Energy Recovery Company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West Contra Costa Sanitary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West County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West County Resource Recovery, Inc.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H</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623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Calvert Trash Systems, Incorporated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Honeygo Run Reclamation Center, Inc.</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Arc Disposal Company,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Barker Brothers Waste, Incorporated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Compactor Rental Systems of Delaware,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CWI of Illinois,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CWI of Missouri,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Northwest Tennessee Disposal Corporation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Reliable Disposal,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Southern Illinois Regional Landfill,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Tay-Ban Corporation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Tri-County Refuse Service, Inc.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J</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Envirocycle,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Florida GP,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Waste Services of Texas GP,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Schofield Corporation of Orlando</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K</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Industries,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North America, Inc.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L</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Financial LP, Inc.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M</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Dinverno, Inc.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N</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New Jersey, Inc.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Waste Services of New York, Inc.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O</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Abilene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Transfer Systems of Texas,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Services of Indiana, LP</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Services of Texas, LP</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Indiana,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Blue Ridge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Brenham Total Roll-Offs,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Camelot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Cefe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Crow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Desarrollo del Rancho La Gloria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El Centro Landfill,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Ellis County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Fort Worth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Frontier Waste Services,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Galveston County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Giles Road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Golden Triangle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Greenwood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Gulf West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Itasca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Kerrville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Lewisville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Mars Road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McCarty Road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Mesquite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Mexia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Panama Road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Pine Hill Farms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Pleasant Oaks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Rio Grande Valley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Royal Oaks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South Central Texas Land Co.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Southwest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Tessman Road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Turkey Creek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Victoria Landfill TX,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Whispering Pines Landfill TX, LP</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P</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Benton County Development Company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Clinton County Landfill Partnership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County Line Landfill Partnership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Illiana Disposal Partnership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Jasper County Development Company Partnership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Key Waste Indiana Partnership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Lake County C &amp; D Development Partnership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Newton County Landfill Partnership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Springfield Environmental General Partnership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Tippecanoe County Waste Services Partnership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Warrick County Development Company</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Q</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Benson Valley Landfill General Partnership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Blue Ridge Landfill General Partnership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Green Valley Landfill General Partnership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Morehead Landfill General Partnership</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R</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Waste Services of Texas, Ltd.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RWS Transport, L.P.</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S</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SUBSIDIARY GUARANTORS</w:t>
      </w:r>
    </w:p>
    <w:p>
      <w:pPr>
        <w:spacing w:after="0" w:line="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Energy Systems of Southeastern Connecticut, Limited Partnership</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T</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Oceanside Waste &amp; Recycling Services</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U</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Rabanco Companies</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V</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Financial, Limited Partnership</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W</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Florida, Limited Partnership</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X</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Georgia, Limited Partnership</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Y</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Indiana, Limited Partnership</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Z</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SUBSIDIARY GUARANTORS</w:t>
      </w:r>
    </w:p>
    <w:p>
      <w:pPr>
        <w:spacing w:after="0" w:line="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Wisconsin, Limited Partnership</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AA</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Agricultural Acquisitions,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BB</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Gas Recovery Systems,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Transfer Systems of New Jersey,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Systems of New Jersey,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Transfer Services of Lima,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Anson County Landfill NC,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AWIN Leasing II,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Services,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Bridgeton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Browning-Ferris Industries,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Cumberland County Development Company,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 Leasing Company,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Flint Hill Road,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 Leasing Company,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Harrison County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Jackson County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Jefferson Parish Development Company,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Little Creek Landing,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Missouri City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 Leasing Company,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New York Waste Services,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Obscurity Land Development,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Polk County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Prince George’s County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 Leasing Company,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San Diego Landfill Systems,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 Bernard Parish Development Company,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 Joseph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Wayne County Land Development,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CC</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Services,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DD</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SUBSIDIARY GUARANTORS</w:t>
      </w:r>
    </w:p>
    <w:p>
      <w:pPr>
        <w:spacing w:after="0" w:line="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Environmental Management Group,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 &amp; C Expanded Sanitary Landfill, LLC</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EE</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Niagara Falls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Recycling Services of New Hampshire,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Systems of Michigan,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Systems of Pennsylvania,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Transfer Services of New York,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Transfer Services of North Carolina,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Transfer Services of Rhode Island,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Transfer Systems of Pennsylvania,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FF</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of New Jersey-New York,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Services of Massachusetts,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Sycamore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Transfer Systems of Maryland,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Transfer Systems of Massachusetts,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Transfer Systems of Virginia,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Services of Pennsylvania,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Virginia,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Brunswick Waste Management Facility,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Greenridge Reclamation,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Greenridge Waste Services,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Lee County Landfill SC,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Menands Environmental Solutions,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Northeast Landfill,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GG</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Services of North America,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Systems of Indiana,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Systems of North Carolina,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North America,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Crescent Acres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Sand Valley Holdings,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HH</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Systems of Arizona,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Systems of Colorado,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Systems of Montana,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Transfer Services of California, LLC</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Transfer Services of Oregon, LLC</w:t>
      </w:r>
    </w:p>
    <w:p>
      <w:pPr>
        <w:spacing w:after="0" w:line="32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Transfer Services of Arizona,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Cactus Waste Systems,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JJ</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Transfer Services of Florida,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KK</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Allied Waste Transfer Services of Iowa,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Missouri,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Oklahoma,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Butler County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Courtney Ridge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Ellis Scott Landfill MO,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Forest View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Great Plains Landfill OK,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Jefferson City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Lemons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Pinecrest Landfill OK,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Show-Me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Southeast Landfill,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LL</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Ariana,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MM</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Autauga County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Transfer Systems of Alabama,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Transfer Systems of Georgia,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Transfer Systems of Mississippi,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Alabama,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Arkansas,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Georgia,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Louisiana,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Mississippi,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Tennessee,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Chilton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Gateway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Hancock County Development Company, LLC</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Madison County Development, LLC</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Willow Ridge Landfill,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NN</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BFGSI,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OO</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Transfer Systems of DC,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Kentucky,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Massachusetts,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North Carolina,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Systems of South Carolina,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General Refuse Service of Ohio,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Local Sanitation of Rowan County,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PP</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Bridgeton Transfer Station,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QQ</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Carbon Limestone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County Land Development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Lorain County Landfill,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Lucas County Landfill,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RR</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Central Virginia Properties,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SS</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Consolidated Disposal Service,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Waste Services of Southern California,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Rubbish Control,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TT</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Continental Waste Industries,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North Carolina,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Pennsylvania,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Virginia, LLC</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UU</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County Environmental Landfill,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VV</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 &amp; L Disposal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Envotech-Illinois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Liberty Waste Services of McCook,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WW</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ECDC Environmental, 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XX</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Evergreen Scavenger Service,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Packerton Land Company,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YY</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Frontier Waste Services (Colorado),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Frontier Waste Services (Utah),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Frontier Waste Services of Louisiana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ZZ</w:t>
      </w:r>
    </w:p>
    <w:p>
      <w:pPr>
        <w:spacing w:after="0" w:line="2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SUBSIDIARY GUARANTORS</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Kandel Enterprises,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AAA</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Liberty Waste Services Limited,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BBB</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Liberty Waste Services of Illinois,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CCC</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Oklahoma City Landfill, L.L.C.</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DDD</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Ohio Contracts,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EEE</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Group,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Georgia LP,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South Carolina,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Southern California,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Wisconsin LP,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FFF</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Arizona Hauling,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Colorado Hauling,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Colorado I,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GGG</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California II,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Vasco Road,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HHH</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Georgia GP,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Kentucky,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Wisconsin GP,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JJJ</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Michigan Hauling,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Michigan I,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Michigan II,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Michigan III,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Michigan IV,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Michigan V, LLC</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KKK</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New Jersey,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LLL</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Ohio Hauling,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MMM</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Ohio I,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Ohio II,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Ohio III, LLC</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Ohio IV,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NNN</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BFI Waste Services of Tennessee,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OOO</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RITM,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PPP</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Total Roll-Offs,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QQQ</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Wayne Developers,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RRR</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Webster Parish Landfill, L.L.C.</w:t>
      </w:r>
    </w:p>
    <w:p>
      <w:pPr>
        <w:spacing w:after="0" w:line="31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SSS</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Republic Services of Indiana Transportation, LLC</w:t>
      </w:r>
    </w:p>
    <w:p>
      <w:pPr>
        <w:spacing w:after="0" w:line="39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9660" w:type="dxa"/>
            <w:vAlign w:val="bottom"/>
            <w:gridSpan w:val="3"/>
          </w:tcPr>
          <w:p>
            <w:pPr>
              <w:ind w:left="300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259"/>
        </w:trPr>
        <w:tc>
          <w:tcPr>
            <w:tcW w:w="17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20" w:type="dxa"/>
            <w:vAlign w:val="bottom"/>
          </w:tcPr>
          <w:p>
            <w:pPr>
              <w:spacing w:after="0"/>
              <w:rPr>
                <w:sz w:val="22"/>
                <w:szCs w:val="22"/>
                <w:color w:val="auto"/>
              </w:rPr>
            </w:pPr>
          </w:p>
        </w:tc>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7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20" w:type="dxa"/>
            <w:vAlign w:val="bottom"/>
          </w:tcPr>
          <w:p>
            <w:pPr>
              <w:spacing w:after="0"/>
              <w:rPr>
                <w:sz w:val="16"/>
                <w:szCs w:val="16"/>
                <w:color w:val="auto"/>
              </w:rPr>
            </w:pPr>
          </w:p>
        </w:tc>
        <w:tc>
          <w:tcPr>
            <w:tcW w:w="5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7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3.1</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Certificate of Incorporation of Republic Services, Inc. (incorporated by reference to Exhibit 3.1 to</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Republic’s Quarterly Report on Form 10-Q for the period ended June 30, 1998).</w:t>
            </w:r>
          </w:p>
        </w:tc>
        <w:tc>
          <w:tcPr>
            <w:tcW w:w="0" w:type="dxa"/>
            <w:vAlign w:val="bottom"/>
          </w:tcPr>
          <w:p>
            <w:pPr>
              <w:spacing w:after="0"/>
              <w:rPr>
                <w:sz w:val="1"/>
                <w:szCs w:val="1"/>
                <w:color w:val="auto"/>
              </w:rPr>
            </w:pPr>
          </w:p>
        </w:tc>
      </w:tr>
      <w:tr>
        <w:trPr>
          <w:trHeight w:val="216"/>
        </w:trPr>
        <w:tc>
          <w:tcPr>
            <w:tcW w:w="17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3.2</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Amendment to Amended and Restated Certificate of Incorporation of Republic Services, Inc. (incorporated</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 reference to Exhibit 4.2 to Republic’s Registration Statement on Form S-8, Registration No. 333-81801, filed with the</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Commission on June 29, 1999).</w:t>
            </w:r>
          </w:p>
        </w:tc>
        <w:tc>
          <w:tcPr>
            <w:tcW w:w="0" w:type="dxa"/>
            <w:vAlign w:val="bottom"/>
          </w:tcPr>
          <w:p>
            <w:pPr>
              <w:spacing w:after="0"/>
              <w:rPr>
                <w:sz w:val="1"/>
                <w:szCs w:val="1"/>
                <w:color w:val="auto"/>
              </w:rPr>
            </w:pPr>
          </w:p>
        </w:tc>
      </w:tr>
      <w:tr>
        <w:trPr>
          <w:trHeight w:val="216"/>
        </w:trPr>
        <w:tc>
          <w:tcPr>
            <w:tcW w:w="17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3.3</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Republic Services, Inc. (incorporated by reference to Exhibit 3.1 to Republic’s Current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Report on Form 8-K filed on June 28, 2010).</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†3.4</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623 Landfill, Inc.,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623 Landfill,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†3.6</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 D A J Corporation.</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†3.7</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Second Amended and Restated Bylaws of A D A J Corporation.</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†3.8</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Limited Partnership of Abilene Landfill TX, LP.</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Agreement of Limited Partnership of Abilene Landfill TX, LP,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Action Disposal,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Action Disposal,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†3.12</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Ada County Development Company,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†3.13</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Ada County Development Company,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†3.14</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Adrian Landfill, Inc. (f/k/a Adrian County Landfill, Inc., f/k/a Laidlaw Waste Systems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(Adrian) Inc., f/k/a Laidlaw Waste Systems (Michigan) Inc., f/k/a Lenawee Disposal Service Company),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†3.15</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Adrian Landfill, Inc. (f/k/a Adrian County Landfill, Inc., f/k/a Laidlaw Waste Systems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(Adrian) Inc., f/k/a Laidlaw Waste Systems (Michigan) Inc., f/k/a Lenawee Disposal Service Company),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†3.16</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ADS of Illinois, Inc. (f/k/a American Disposal Services of Illinois, Inc.),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†3.17</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ADS of Illinois, Inc. (f/k/a American Disposal Services of Illinois,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†3.18</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ADS, Inc. (f/k/a American Disposal Services, Inc.),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†3.19</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ADS, Inc. (f/k/a American Disposal Services,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†3.20</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Organization of Agricultural Acquisitions, LLC,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†3.21</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for Agricultural Acquisitions,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†3.22</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Agri-Tech, Inc. of Oregon (f/k/a Agri-Tech Inc.),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†3.23</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Agri-Tech, Inc. of Oregon (f/k/a Agri-Tech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†3.24</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Alabama Recycling Services, Inc. (f/k/a ECS Environmental Contractors, Inc.),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†3.25</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Alabama Recycling Services, Inc. (f/k/a ECS Environmental Contractors,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†3.26</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Albany-Lebanon Sanitation, Inc. (f/k/a The Spay-Redfield Corporation),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†3.27</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Albany-Lebanon Sanitation, Inc. (f/k/a The Spay-Redfield Corporation).</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†3.28</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Allied Acquisition Pennsylvania,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†3.29</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Acquisition Pennsylvania,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†3.30</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Organization of Allied Acquisition Two,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†3.31</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Acquisition Two,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†3.32</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Enviroengineering, Inc.</w:t>
            </w:r>
          </w:p>
        </w:tc>
        <w:tc>
          <w:tcPr>
            <w:tcW w:w="0" w:type="dxa"/>
            <w:vAlign w:val="bottom"/>
          </w:tcPr>
          <w:p>
            <w:pPr>
              <w:spacing w:after="0"/>
              <w:rPr>
                <w:sz w:val="1"/>
                <w:szCs w:val="1"/>
                <w:color w:val="auto"/>
              </w:rPr>
            </w:pPr>
          </w:p>
        </w:tc>
      </w:tr>
      <w:tr>
        <w:trPr>
          <w:trHeight w:val="234"/>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†3.33</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Allied Enviroengineering, Inc.</w:t>
            </w:r>
          </w:p>
        </w:tc>
        <w:tc>
          <w:tcPr>
            <w:tcW w:w="0" w:type="dxa"/>
            <w:vAlign w:val="bottom"/>
          </w:tcPr>
          <w:p>
            <w:pPr>
              <w:spacing w:after="0"/>
              <w:rPr>
                <w:sz w:val="1"/>
                <w:szCs w:val="1"/>
                <w:color w:val="auto"/>
              </w:rPr>
            </w:pPr>
          </w:p>
        </w:tc>
      </w:tr>
      <w:tr>
        <w:trPr>
          <w:trHeight w:val="226"/>
        </w:trPr>
        <w:tc>
          <w:tcPr>
            <w:tcW w:w="17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-5549900</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20" w:type="dxa"/>
            <w:vAlign w:val="bottom"/>
          </w:tcPr>
          <w:p>
            <w:pPr>
              <w:spacing w:after="0"/>
              <w:rPr>
                <w:sz w:val="13"/>
                <w:szCs w:val="13"/>
                <w:color w:val="auto"/>
              </w:rPr>
            </w:pPr>
          </w:p>
        </w:tc>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7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20" w:type="dxa"/>
            <w:vAlign w:val="bottom"/>
          </w:tcPr>
          <w:p>
            <w:pPr>
              <w:spacing w:after="0"/>
              <w:rPr>
                <w:sz w:val="16"/>
                <w:szCs w:val="16"/>
                <w:color w:val="auto"/>
              </w:rPr>
            </w:pPr>
          </w:p>
        </w:tc>
        <w:tc>
          <w:tcPr>
            <w:tcW w:w="5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†3.34</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Formation of Allied Gas Recovery Systems, L.L.C.,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†3.35</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Gas Recovery Systems,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†3.36</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Green Power,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†3.37</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Green Power,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†3.38</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Nova Scotia, Inc.,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†3.39</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Nova Scotia,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†3.40</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Formation of Allied Services, LLC,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†3.41</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Operating Agreement of Allied Services,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†3.42</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Formation of Allied Transfer Systems of New Jersey,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†3.43</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Transfer Systems of New Jersey,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†3.44</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Waste Alabama,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†3.45</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Alabama,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†3.46</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Waste Company, Inc. (f/k/a Allied Waste Systems, Inc.),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†3.47</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Company, Inc. (f/k/a Allied Waste Systems,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†3.48</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Formation of Allied Waste Environmental Management Group,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†3.49</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Environmental Management Group,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†3.50</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Allied Waste Hauling of Georgia,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†3.51</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Hauling of Georgia,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†3.52</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Waste Holdings (Canada) Ltd.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†3.53</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Allied Waste Holdings (Canada) Ltd.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†3.54</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Allied Waste Industries (Arizona),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†3.55</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Industries (Arizona),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†3.56</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Allied Waste Industries (New Mexico),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†3.57</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Industries (New Mexico),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†3.58</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Allied Waste Industries (Southwest),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†3.59</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Industries (Southwest),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†3.60</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Allied Waste Industries of Georgia,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†3.61</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Industries of Georgia,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†3.62</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Allied Waste Industries of Illinois,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†3.63</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Industries of Illinois,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†3.64</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Allies Waste Industries of Northwest Indiana,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†3.65</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Allies Waste Industries of Northwest Indiana,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†3.66</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Charter of Allied Waste Industries of Tennessee,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†3.67</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Industries of Tennessee,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†3.68</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Certificate of Incorporation of Allied Waste Industries,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†3.69</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Allied Waste Industries,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†3.70</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Waste Landfill Holdings,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†3.71</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Landfill Holdings,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†3.72</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Organization of Allied Waste Niagara Falls Landfill,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†3.73</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Niagara Falls Landfill,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†3.74</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Waste North America, Inc. (f/k/a Allied Holdings (United States), Inc.), as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†3.75</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North America, Inc. (f/k/a Allied Holdings (United States),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†3.76</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Allied Waste of California, Inc.</w:t>
            </w:r>
          </w:p>
        </w:tc>
        <w:tc>
          <w:tcPr>
            <w:tcW w:w="0" w:type="dxa"/>
            <w:vAlign w:val="bottom"/>
          </w:tcPr>
          <w:p>
            <w:pPr>
              <w:spacing w:after="0"/>
              <w:rPr>
                <w:sz w:val="1"/>
                <w:szCs w:val="1"/>
                <w:color w:val="auto"/>
              </w:rPr>
            </w:pPr>
          </w:p>
        </w:tc>
      </w:tr>
      <w:tr>
        <w:trPr>
          <w:trHeight w:val="234"/>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†3.77</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of California, Inc.</w:t>
            </w:r>
          </w:p>
        </w:tc>
        <w:tc>
          <w:tcPr>
            <w:tcW w:w="0" w:type="dxa"/>
            <w:vAlign w:val="bottom"/>
          </w:tcPr>
          <w:p>
            <w:pPr>
              <w:spacing w:after="0"/>
              <w:rPr>
                <w:sz w:val="1"/>
                <w:szCs w:val="1"/>
                <w:color w:val="auto"/>
              </w:rPr>
            </w:pPr>
          </w:p>
        </w:tc>
      </w:tr>
      <w:tr>
        <w:trPr>
          <w:trHeight w:val="226"/>
        </w:trPr>
        <w:tc>
          <w:tcPr>
            <w:tcW w:w="17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-6373495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20" w:type="dxa"/>
            <w:vAlign w:val="bottom"/>
          </w:tcPr>
          <w:p>
            <w:pPr>
              <w:spacing w:after="0"/>
              <w:rPr>
                <w:sz w:val="13"/>
                <w:szCs w:val="13"/>
                <w:color w:val="auto"/>
              </w:rPr>
            </w:pPr>
          </w:p>
        </w:tc>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7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20" w:type="dxa"/>
            <w:vAlign w:val="bottom"/>
          </w:tcPr>
          <w:p>
            <w:pPr>
              <w:spacing w:after="0"/>
              <w:rPr>
                <w:sz w:val="16"/>
                <w:szCs w:val="16"/>
                <w:color w:val="auto"/>
              </w:rPr>
            </w:pPr>
          </w:p>
        </w:tc>
        <w:tc>
          <w:tcPr>
            <w:tcW w:w="5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†3.78</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Waste of Long Island,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†3.79</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of Long Island,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†3.80</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Waste of New Jersey,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†3.81</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of New Jersey,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†3.82</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Formation of Allied Waste of New Jersey-New York, LLC (f/k/a Allied Waste of New Jersey, LLC), as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†3.83</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of New Jersey-New York, LLC (f/k/a Allied Waste of New Jersey,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†3.84</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Formation of Allied Waste Recycling Services of New Hampshire,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†3.85</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Recycling Services of New Hampshire,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†3.86</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Waste Rural Sanitation,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†3.87</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Rural Sanitation,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†3.88</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Waste Services of Colorado,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†3.89</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Services of Colorado,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†3.90</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Organization of Allied Waste Services of Massachusetts, LLC (f/k/a BFI Waste Services of Massachusetts,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LLC),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†3.91</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Services of Massachusetts, LLC (f/k/a BFI Waste Services of Massachusetts,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LLC),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†3.92</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Formation of Allied Waste Services of North America,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†3.93</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Services of North America, LLC,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†3.94</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Allied Waste Services of Page, Inc. (f/k/a PSI Waste Systems, Inc., f/k/a Parks &amp; Sons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Intermountain, Inc.),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†3.95</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Services of Page, Inc. (f/k/a PSI Waste Systems, Inc., f/k/a Parks &amp; Sons Intermountain,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†3.96</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Allied Waste Services of Stillwater, Inc. (f/k/a H.E.W. Waste Systems, Inc.),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†3.97</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Allied Waste Services of Stillwater, Inc. (f/k/a H.E.W. Waste Systems,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†3.98</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Formation of Allied Waste Sycamore Landfill,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†3.99</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Sycamore Landfill,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†3.100</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Waste Systems Holdings, Inc. (f/k/a Laidlaw Waste Systems Holdings, Inc., f/k/a</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Peabody Sanitary Landfill, Inc.), as amended.</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†3.101</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Allied Waste Systems Holdings, Inc. (f/k/a Laidlaw Waste Systems Holdings, Inc., f/k/a Peabody Sanitary</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Landfill, Inc.).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†3.102</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Organization of Allied Waste Systems of Arizona,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†3.103</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Systems of Arizona,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†3.104</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Organization of Allied Waste Systems of Colorado,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†3.105</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Systems of Colorado,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†3.106</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Formation of Allied Waste Systems of Indiana,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†3.107</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Systems of Indiana,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†3.108</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Organization of Allied Waste Systems of Michigan,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†3.109</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Systems of Michigan,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†3.110</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Organization of Allied Waste Systems of Montana,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†3.111</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Operating Agreement of Allied Waste Systems of Montana,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†3.112</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Formation of Allied Waste Systems of New Jersey, LLC.</w:t>
            </w:r>
          </w:p>
        </w:tc>
        <w:tc>
          <w:tcPr>
            <w:tcW w:w="0" w:type="dxa"/>
            <w:vAlign w:val="bottom"/>
          </w:tcPr>
          <w:p>
            <w:pPr>
              <w:spacing w:after="0"/>
              <w:rPr>
                <w:sz w:val="1"/>
                <w:szCs w:val="1"/>
                <w:color w:val="auto"/>
              </w:rPr>
            </w:pPr>
          </w:p>
        </w:tc>
      </w:tr>
      <w:tr>
        <w:trPr>
          <w:trHeight w:val="216"/>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†3.113</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Systems of New Jersey, LLC.</w:t>
            </w:r>
          </w:p>
        </w:tc>
        <w:tc>
          <w:tcPr>
            <w:tcW w:w="0" w:type="dxa"/>
            <w:vAlign w:val="bottom"/>
          </w:tcPr>
          <w:p>
            <w:pPr>
              <w:spacing w:after="0"/>
              <w:rPr>
                <w:sz w:val="1"/>
                <w:szCs w:val="1"/>
                <w:color w:val="auto"/>
              </w:rPr>
            </w:pPr>
          </w:p>
        </w:tc>
      </w:tr>
      <w:tr>
        <w:trPr>
          <w:trHeight w:val="234"/>
        </w:trPr>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†3.114</w:t>
            </w: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Organization of Allied Waste Systems of North Carolina, LLC.</w:t>
            </w:r>
          </w:p>
        </w:tc>
        <w:tc>
          <w:tcPr>
            <w:tcW w:w="0" w:type="dxa"/>
            <w:vAlign w:val="bottom"/>
          </w:tcPr>
          <w:p>
            <w:pPr>
              <w:spacing w:after="0"/>
              <w:rPr>
                <w:sz w:val="1"/>
                <w:szCs w:val="1"/>
                <w:color w:val="auto"/>
              </w:rPr>
            </w:pPr>
          </w:p>
        </w:tc>
      </w:tr>
      <w:tr>
        <w:trPr>
          <w:trHeight w:val="226"/>
        </w:trPr>
        <w:tc>
          <w:tcPr>
            <w:tcW w:w="17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-6098540</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20" w:type="dxa"/>
            <w:vAlign w:val="bottom"/>
          </w:tcPr>
          <w:p>
            <w:pPr>
              <w:spacing w:after="0"/>
              <w:rPr>
                <w:sz w:val="13"/>
                <w:szCs w:val="13"/>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20" w:type="dxa"/>
            <w:vAlign w:val="bottom"/>
          </w:tcPr>
          <w:p>
            <w:pPr>
              <w:spacing w:after="0"/>
              <w:rPr>
                <w:sz w:val="16"/>
                <w:szCs w:val="16"/>
                <w:color w:val="auto"/>
              </w:rPr>
            </w:pPr>
          </w:p>
        </w:tc>
        <w:tc>
          <w:tcPr>
            <w:tcW w:w="4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†3.115</w:t>
            </w:r>
          </w:p>
        </w:tc>
        <w:tc>
          <w:tcPr>
            <w:tcW w:w="8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Systems of North Carolina, LLC.</w:t>
            </w:r>
          </w:p>
        </w:tc>
        <w:tc>
          <w:tcPr>
            <w:tcW w:w="0" w:type="dxa"/>
            <w:vAlign w:val="bottom"/>
          </w:tcPr>
          <w:p>
            <w:pPr>
              <w:spacing w:after="0"/>
              <w:rPr>
                <w:sz w:val="1"/>
                <w:szCs w:val="1"/>
                <w:color w:val="auto"/>
              </w:rPr>
            </w:pPr>
          </w:p>
        </w:tc>
      </w:tr>
      <w:tr>
        <w:trPr>
          <w:trHeight w:val="216"/>
        </w:trPr>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†3.116</w:t>
            </w:r>
          </w:p>
        </w:tc>
        <w:tc>
          <w:tcPr>
            <w:tcW w:w="8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Organization of Allied Waste Systems of Pennsylvania, LLC (f/k/a BFI Waste Systems of North America,</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 as amended.</w:t>
            </w:r>
          </w:p>
        </w:tc>
        <w:tc>
          <w:tcPr>
            <w:tcW w:w="0" w:type="dxa"/>
            <w:vAlign w:val="bottom"/>
          </w:tcPr>
          <w:p>
            <w:pPr>
              <w:spacing w:after="0"/>
              <w:rPr>
                <w:sz w:val="1"/>
                <w:szCs w:val="1"/>
                <w:color w:val="auto"/>
              </w:rPr>
            </w:pPr>
          </w:p>
        </w:tc>
      </w:tr>
      <w:tr>
        <w:trPr>
          <w:trHeight w:val="216"/>
        </w:trPr>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†3.117</w:t>
            </w:r>
          </w:p>
        </w:tc>
        <w:tc>
          <w:tcPr>
            <w:tcW w:w="8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Allied Waste Systems of Pennsylvania, LLC (f/k/a BFI Waste Systems of North America, Inc.),</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 amended.</w:t>
            </w:r>
          </w:p>
        </w:tc>
        <w:tc>
          <w:tcPr>
            <w:tcW w:w="0" w:type="dxa"/>
            <w:vAlign w:val="bottom"/>
          </w:tcPr>
          <w:p>
            <w:pPr>
              <w:spacing w:after="0"/>
              <w:rPr>
                <w:sz w:val="1"/>
                <w:szCs w:val="1"/>
                <w:color w:val="auto"/>
              </w:rPr>
            </w:pPr>
          </w:p>
        </w:tc>
      </w:tr>
      <w:tr>
        <w:trPr>
          <w:trHeight w:val="216"/>
        </w:trPr>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†3.118</w:t>
            </w:r>
          </w:p>
        </w:tc>
        <w:tc>
          <w:tcPr>
            <w:tcW w:w="8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Allied Waste Systems, Inc. (f/k/a Laidlaw Systems Inc., f/k/a Theta Systems, Inc., f/k/a</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Theta Associates, Inc., f/k/a Theta of Hinsdale, Inc.), as amended.</w:t>
            </w:r>
          </w:p>
        </w:tc>
        <w:tc>
          <w:tcPr>
            <w:tcW w:w="0" w:type="dxa"/>
            <w:vAlign w:val="bottom"/>
          </w:tcPr>
          <w:p>
            <w:pPr>
              <w:spacing w:after="0"/>
              <w:rPr>
                <w:sz w:val="1"/>
                <w:szCs w:val="1"/>
                <w:color w:val="auto"/>
              </w:rPr>
            </w:pPr>
          </w:p>
        </w:tc>
      </w:tr>
      <w:tr>
        <w:trPr>
          <w:trHeight w:val="234"/>
        </w:trPr>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†3.119</w:t>
            </w:r>
          </w:p>
        </w:tc>
        <w:tc>
          <w:tcPr>
            <w:tcW w:w="8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Amended and Restated Bylaws of Allied Waste Systems, Inc. (f/k/a Laidlaw Systems Inc., f/k/a Theta Systems, Inc., f/k/a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-1139825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Theta Associates, Inc., f/k/a Theta of Hinsdale,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†3.120</w:t>
        <w:tab/>
        <w:t>Certificate of Formation of Allied Waste Transfer Services of Arizona,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†3.121</w:t>
        <w:tab/>
        <w:t>Operating Agreement of Allied Waste Transfer Services of Arizona,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†3.122</w:t>
        <w:tab/>
        <w:t>Articles of Organization of Allied Waste Transfer Services of California,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†3.123</w:t>
        <w:tab/>
        <w:t>Operating Agreement of Allied Waste Transfer Services of California,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†3.124</w:t>
        <w:tab/>
        <w:t>Articles of Organization of Allied Waste Transfer Services of Florida,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†3.125</w:t>
        <w:tab/>
        <w:t>Operating Agreement of Allied Waste Transfer Services of Florida,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†3.126</w:t>
        <w:tab/>
        <w:t>Articles of Organization of Allied Waste Transfer Services of Iowa,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†3.127</w:t>
        <w:tab/>
        <w:t>Operating Agreement of Allied Waste Transfer Services of Iowa,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†3.128</w:t>
        <w:tab/>
        <w:t>Articles of Organization of Allied Waste Transfer Services of Lima,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†3.129</w:t>
        <w:tab/>
        <w:t>Operating Agreement of Allied Waste Transfer Services of Lima,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†3.130</w:t>
        <w:tab/>
        <w:t>Articles of Organization of Allied Waste Transfer Services of New York,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†3.131</w:t>
        <w:tab/>
        <w:t>Operating Agreement of Allied Waste Transfer Services of New York,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†3.132</w:t>
        <w:tab/>
        <w:t>Articles of Organization of Allied Waste Transfer Services of North Carolina,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†3.133</w:t>
        <w:tab/>
        <w:t>Operating Agreement of Allied Waste Transfer Services of North Carolina,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†3.134</w:t>
        <w:tab/>
        <w:t>Articles of Organization of Allied Waste Transfer Services of Oregon,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†3.135</w:t>
        <w:tab/>
        <w:t>Operating Agreement of Allied Waste Transfer Services of Oregon,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†3.136</w:t>
        <w:tab/>
        <w:t>Certificate of Formation of Allied Waste Transfer Services of Rhode Island,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†3.137</w:t>
        <w:tab/>
        <w:t>Operating Agreement of Allied Waste Transfer Services of Rhode Island,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†3.138</w:t>
        <w:tab/>
        <w:t>Articles of Incorporation of Allied Waste Transfer Services of Utah,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†3.139</w:t>
        <w:tab/>
        <w:t>Bylaws of Allied Waste Transfer Services of Utah,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†3.140</w:t>
        <w:tab/>
        <w:t>Certificate of Incorporation of Allied Waste Transportation,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†3.141</w:t>
        <w:tab/>
        <w:t>Bylaws of Allied Waste Transportation, Inc.</w:t>
      </w:r>
    </w:p>
    <w:p>
      <w:pPr>
        <w:spacing w:after="0" w:line="9" w:lineRule="exact"/>
        <w:rPr>
          <w:sz w:val="20"/>
          <w:szCs w:val="20"/>
          <w:color w:val="auto"/>
        </w:rPr>
      </w:pPr>
    </w:p>
    <w:p>
      <w:pPr>
        <w:ind w:left="1840" w:right="38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†3.142</w:t>
        <w:tab/>
        <w:t>Certificate of Incorporation of American Disposal Services of Illinois, Inc. (f/k/a County Disposal (Illinois), Inc.), as amended.</w:t>
      </w:r>
    </w:p>
    <w:p>
      <w:pPr>
        <w:spacing w:after="0" w:line="1" w:lineRule="exact"/>
        <w:rPr>
          <w:sz w:val="20"/>
          <w:szCs w:val="20"/>
          <w:color w:val="auto"/>
        </w:rPr>
      </w:pPr>
    </w:p>
    <w:p>
      <w:pPr>
        <w:ind w:left="1080" w:right="60"/>
        <w:spacing w:after="0" w:line="250" w:lineRule="auto"/>
        <w:rPr>
          <w:sz w:val="20"/>
          <w:szCs w:val="20"/>
          <w:color w:val="auto"/>
        </w:rPr>
      </w:pPr>
      <w:r>
        <w:rPr>
          <w:rFonts w:ascii="Times New Roman" w:cs="Times New Roman" w:eastAsia="Times New Roman" w:hAnsi="Times New Roman"/>
          <w:sz w:val="18"/>
          <w:szCs w:val="18"/>
          <w:color w:val="auto"/>
        </w:rPr>
        <w:t>†3.143 Amended and Restated Bylaws of American Disposal Services of Illinois, Inc. (f/k/a County Disposal (Illinois), Inc.). †3.144 Articles of Incorporation of American Disposal Services of Kansas, Inc. (f/k/a Burgan Trucking and Excavating, Inc.), as</w:t>
      </w:r>
    </w:p>
    <w:p>
      <w:pPr>
        <w:spacing w:after="0" w:line="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amended.</w:t>
      </w:r>
    </w:p>
    <w:p>
      <w:pPr>
        <w:spacing w:after="0" w:line="9" w:lineRule="exact"/>
        <w:rPr>
          <w:sz w:val="20"/>
          <w:szCs w:val="20"/>
          <w:color w:val="auto"/>
        </w:rPr>
      </w:pPr>
    </w:p>
    <w:p>
      <w:pPr>
        <w:ind w:left="1840" w:right="22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†3.145</w:t>
        <w:tab/>
        <w:t>Amended and Restated Bylaws of American Disposal Services of Kansas, Inc. (f/k/a Burgan Trucking and Excavating, Inc.).</w:t>
      </w:r>
    </w:p>
    <w:p>
      <w:pPr>
        <w:spacing w:after="0" w:line="1" w:lineRule="exact"/>
        <w:rPr>
          <w:sz w:val="20"/>
          <w:szCs w:val="20"/>
          <w:color w:val="auto"/>
        </w:rPr>
      </w:pPr>
    </w:p>
    <w:p>
      <w:pPr>
        <w:ind w:left="1840" w:right="22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†3.146</w:t>
        <w:tab/>
        <w:t>Certificate of Incorporation of American Disposal Services of Missouri, Inc. (f/k/a Missouri Disposal, Inc., f/k/a Joplin Disposal, Inc.), as amended.</w:t>
      </w:r>
    </w:p>
    <w:p>
      <w:pPr>
        <w:spacing w:after="0" w:line="1" w:lineRule="exact"/>
        <w:rPr>
          <w:sz w:val="20"/>
          <w:szCs w:val="20"/>
          <w:color w:val="auto"/>
        </w:rPr>
      </w:pPr>
    </w:p>
    <w:p>
      <w:pPr>
        <w:ind w:left="1840" w:right="42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†3.147</w:t>
        <w:tab/>
        <w:t>Amended and Restated Bylaws of American Disposal Services of Missouri, Inc. (f/k/a Missouri Disposal, Inc., f/k/a Joplin Disposal, Inc.).</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†3.148</w:t>
        <w:tab/>
        <w:t>Certificate of Incorporation of American Disposal Services of New Jersey,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†3.149</w:t>
        <w:tab/>
        <w:t>Amended and Restated Bylaws of American Disposal Services of New Jersey,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†3.150</w:t>
        <w:tab/>
        <w:t>Certificate of Incorporation of American Disposal Services of West Virginia,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†3.151</w:t>
        <w:tab/>
        <w:t>Amended and Restated Bylaws of American Disposal Services of West Virginia,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†3.152</w:t>
        <w:tab/>
        <w:t>Certificate of Incorporation of American Disposal Services, Inc., as amended.</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†3.153</w:t>
        <w:tab/>
        <w:t>Amended and Restated Bylaws of American Disposal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†3.154</w:t>
        <w:tab/>
        <w:t>Certificate of Incorporation of American Disposal Transfer Services of Illinois,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†3.155</w:t>
        <w:tab/>
        <w:t>Amended and Restated Bylaws of American Disposal Transfer Services of Illinois,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†3.156</w:t>
        <w:tab/>
        <w:t>Certificate of Incorporation of American Materials Recycling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†3.157</w:t>
        <w:tab/>
        <w:t>Amended and Restated Bylaws of American Materials Recycling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†3.158</w:t>
        <w:tab/>
        <w:t>Articles of Incorporation of American Sanitation,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†3.159</w:t>
        <w:tab/>
        <w:t>Amended and Restated Bylaws of American Sanitation,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7"/>
          <w:szCs w:val="17"/>
          <w:color w:val="auto"/>
        </w:rPr>
        <w:t>†3.160</w:t>
        <w:tab/>
        <w:t>Certificate of Incorporation of American Transfer Company, Inc. (f/k/a Duffy Ave. Realty Corp.), as amended.</w:t>
      </w:r>
    </w:p>
    <w:p>
      <w:pPr>
        <w:spacing w:after="0" w:line="2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†3.161</w:t>
        <w:tab/>
        <w:t>Amended and Restated Bylaws of American Transfer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†3.162</w:t>
        <w:tab/>
        <w:t>Certificate of Formation of Anson County Landfill NC,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†3.163</w:t>
        <w:tab/>
        <w:t>Operating Agreement of Anson County Landfill NC,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†3.164</w:t>
        <w:tab/>
        <w:t>Articles of Incorporation of Apache Junction Landfill Corporation.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†3.165</w:t>
        <w:tab/>
        <w:t>Bylaws of Apache Junction Landfill Corporation.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†3.166</w:t>
        <w:tab/>
        <w:t>Articles of Incorporation of Arc Disposal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†3.167</w:t>
        <w:tab/>
        <w:t>Amended and Restated Bylaws of Arc Disposal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†3.168</w:t>
        <w:tab/>
        <w:t>Articles of Incorporation of Area Disposal, Inc. (f/k/a Advanced Disposal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†3.169</w:t>
        <w:tab/>
        <w:t>Amended and Restated Bylaws of Area Disposal, Inc. (f/k/a Advanced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†3.170</w:t>
        <w:tab/>
        <w:t>Certificate of Formation of Ariana,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†3.171</w:t>
        <w:tab/>
        <w:t>Second Amended and Restated Operating Agreement of Ariana,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†3.172</w:t>
        <w:tab/>
        <w:t>Articles of Organization of Atlantic Waste Holding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†3.173</w:t>
        <w:tab/>
        <w:t>Bylaws of Atlantic Waste Holding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†3.174</w:t>
        <w:tab/>
        <w:t>Articles of Incorporation of Atlas Transport,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†3.175</w:t>
        <w:tab/>
        <w:t>Second Amended and Restated Bylaws of Atlas Transport,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†3.176</w:t>
        <w:tab/>
        <w:t>Certificate of Incorporation of Attwoods of North America, Inc. (f/k/a Stockley Road,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†3.177</w:t>
        <w:tab/>
        <w:t>Amended and Restated Bylaws of Attwoods of North America,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†3.178</w:t>
        <w:tab/>
        <w:t>Articles of Organization of Autauga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†3.179</w:t>
        <w:tab/>
        <w:t>Operating Agreement of Autauga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†3.180</w:t>
        <w:tab/>
        <w:t>Certificate of Incorporation of Automated Modular Systems,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†3.181</w:t>
        <w:tab/>
        <w:t>Amended and Restated Bylaws of Automated Modular Systems,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†3.182</w:t>
        <w:tab/>
        <w:t>Certificate of Incorporation of Autoshred, Inc. (f/k/a Autosred,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†3.183</w:t>
        <w:tab/>
        <w:t>Amended and Restated Bylaws of Autoshred, Inc. (f/k/a Autosred,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†3.184</w:t>
        <w:tab/>
        <w:t>Certificate of Incorporation of AWIN Leasing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†3.185</w:t>
        <w:tab/>
        <w:t>Bylaws of AWIN Leasing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†3.186</w:t>
        <w:tab/>
        <w:t>Articles of Organization of AWIN Leasing II,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†3.187</w:t>
        <w:tab/>
        <w:t>Operating Agreement of AWIN Leasing II,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†3.188</w:t>
        <w:tab/>
        <w:t>Certificate of Incorporation of AWIN Management, Inc. (f/k/a AWIN Finance Company,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†3.189</w:t>
        <w:tab/>
        <w:t>Bylaws of AWIN Management, Inc. (f/k/a AWIN Finance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†3.190</w:t>
        <w:tab/>
        <w:t>Charter of Barker Brothers Waste, Incorporated,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†3.191</w:t>
        <w:tab/>
        <w:t>Amended and Restated Bylaws of Barker Brothers Waste, Incorporated.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†3.192</w:t>
        <w:tab/>
        <w:t>Articles of Incorporation of Bay Collection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†3.193</w:t>
        <w:tab/>
        <w:t>Second Amended and Restated Bylaws of Bay Collection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†3.194</w:t>
        <w:tab/>
        <w:t>Articles of Incorporation of Bay Environmental Management, Inc. (f/k/a RSS Management Corporation), as amended.</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†3.195</w:t>
        <w:tab/>
        <w:t>Second Amended and Restated Bylaws of Bay Environmental Management, Inc. (f/k/a RSS Management Corporation).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†3.196</w:t>
        <w:tab/>
        <w:t>Articles of Incorporation of Bay Landfills,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†3.197</w:t>
        <w:tab/>
        <w:t>Second Amended and Restated Bylaws of Bay Landfills,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†3.198</w:t>
        <w:tab/>
        <w:t>Articles of Incorporation of Bay Leasing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†3.199</w:t>
        <w:tab/>
        <w:t>Second Amended and Restated Bylaws of Bay Leasing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†3.200</w:t>
        <w:tab/>
        <w:t>Certificate of Incorporation of BBCO,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†3.201</w:t>
        <w:tab/>
        <w:t>Bylaws of BBCO, Inc.</w:t>
      </w:r>
    </w:p>
    <w:p>
      <w:pPr>
        <w:spacing w:after="0" w:line="9" w:lineRule="exact"/>
        <w:rPr>
          <w:sz w:val="20"/>
          <w:szCs w:val="20"/>
          <w:color w:val="auto"/>
        </w:rPr>
      </w:pPr>
    </w:p>
    <w:p>
      <w:pPr>
        <w:ind w:left="1840" w:right="40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†3.202</w:t>
        <w:tab/>
        <w:t>Articles of Incorporation of Belleville Landfill, Inc. (f/k/a Laidlaw Waste Systems (Belleville) Inc., f/k/a Mid-States Disposal,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†3.203</w:t>
        <w:tab/>
        <w:t>Bylaws of Belleville Landfill, Inc. (f/k/a Laidlaw Waste Systems (Belleville) Inc., f/k/a Mid-States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†3.204</w:t>
        <w:tab/>
        <w:t>Partnership Agreement of Benson Valley Landfill General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†3.205</w:t>
        <w:tab/>
        <w:t>Partnership Agreement of Benton County Development Company.</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†3.206</w:t>
        <w:tab/>
        <w:t>Articles of Incorporation of Berkley Sanitary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†3.207</w:t>
        <w:tab/>
        <w:t>Second Amended and Restated Bylaws of Berkley Sanitary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†3.208</w:t>
        <w:tab/>
        <w:t>Certificate of Formation of BFGSI,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†3.209</w:t>
        <w:tab/>
        <w:t>Amended and Restated Operating Agreement of BFGSI,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†3.210</w:t>
        <w:tab/>
        <w:t>Certificate of Incorporation of BFI Atlantic, Inc. (f/k/a BFI Argentina,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†3.211</w:t>
        <w:tab/>
        <w:t>Amended and Restated Bylaws of BFI Atlantic,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†3.212</w:t>
        <w:tab/>
        <w:t>Certificate of Incorporation of BFI Energy Systems of Albany,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†3.213</w:t>
        <w:tab/>
        <w:t>Amended and Restated Bylaws of BFI Energy Systems of Albany,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†3.214</w:t>
        <w:tab/>
        <w:t>Certificate of Incorporation of BFI Energy Systems of Delaware County,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†3.215</w:t>
        <w:tab/>
        <w:t>Amended and Restated Bylaws of BFI Energy Systems of Delaware County, Inc.</w:t>
      </w:r>
    </w:p>
    <w:p>
      <w:pPr>
        <w:spacing w:after="0" w:line="9" w:lineRule="exact"/>
        <w:rPr>
          <w:sz w:val="20"/>
          <w:szCs w:val="20"/>
          <w:color w:val="auto"/>
        </w:rPr>
      </w:pPr>
    </w:p>
    <w:p>
      <w:pPr>
        <w:ind w:left="1840" w:right="40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†3.216</w:t>
        <w:tab/>
        <w:t>Certificate of Incorporation of BFI Energy Systems of Essex County, Inc. (f/k/a BFI Energy Systems of New Jersey,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†3.217</w:t>
        <w:tab/>
        <w:t>Amended and Restated Bylaws of BFI Energy Systems of Essex County,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†3.218</w:t>
        <w:tab/>
        <w:t>Certificate of Incorporation of BFI Energy Systems of Hempstead,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†3.219</w:t>
        <w:tab/>
        <w:t>Amended and Restated Bylaws of BFI Energy Systems of Hempstead,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†3.220</w:t>
        <w:tab/>
        <w:t>Certificate of Incorporation of BFI Energy Systems of Niagara II,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†3.221</w:t>
        <w:tab/>
        <w:t>Amended and Restated Bylaws of BFI Energy Systems of Niagara II, Inc.</w:t>
      </w:r>
    </w:p>
    <w:p>
      <w:pPr>
        <w:spacing w:after="0" w:line="9" w:lineRule="exact"/>
        <w:rPr>
          <w:sz w:val="20"/>
          <w:szCs w:val="20"/>
          <w:color w:val="auto"/>
        </w:rPr>
      </w:pPr>
    </w:p>
    <w:p>
      <w:pPr>
        <w:ind w:left="1840" w:right="70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†3.222</w:t>
        <w:tab/>
        <w:t>Certificate of Incorporation of BFI Energy Systems of Niagara, Inc. (f/k/a BFI Energy Systems of Northwestern Connecticut,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†3.223</w:t>
        <w:tab/>
        <w:t>Amended and Restated Bylaws of BFI Energy Systems of Niagara,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†3.224</w:t>
        <w:tab/>
        <w:t>Certificate of Incorporation of BFI Energy Systems of SEMASS,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†3.225</w:t>
        <w:tab/>
        <w:t>Amended and Restated Bylaws of BFI Energy Systems of SEMASS,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†3.226</w:t>
        <w:tab/>
        <w:t>Certificate of Incorporation of BFI Energy Systems of Southeastern Connecticut,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†3.227</w:t>
        <w:tab/>
        <w:t>Amended and Restated Bylaws of BFI Energy Systems of Southeastern Connecticut,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†3.228</w:t>
        <w:tab/>
        <w:t>Certificate of Limited Partnership of BFI Energy Systems of Southeastern Connecticut, Limited Partnership,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†3.229</w:t>
        <w:tab/>
        <w:t>Agreement of Limited Partnership of BFI Energy Systems of Southeastern Connecticut, Limited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†3.230</w:t>
        <w:tab/>
        <w:t>Certificate of Incorporation of BFI International, Inc. (f/k/a Browning-Ferris Overseas,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†3.231</w:t>
        <w:tab/>
        <w:t>Amended and Restated Bylaws of BFI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†3.232</w:t>
        <w:tab/>
        <w:t>Certificate of Incorporation of BFI REF-FUEL, INC.</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†3.233</w:t>
        <w:tab/>
        <w:t>Amended and Restated Bylaws of BFI REF-FUEL,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7"/>
          <w:szCs w:val="17"/>
          <w:color w:val="auto"/>
        </w:rPr>
        <w:t>†3.234</w:t>
        <w:tab/>
        <w:t>Certificate of Incorporation of BFI Trans River (GP), Inc. (f/k/a BFI Energy Systems of Kent/Sussex, Inc.), as amended.</w:t>
      </w:r>
    </w:p>
    <w:p>
      <w:pPr>
        <w:spacing w:after="0" w:line="2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†3.235</w:t>
        <w:tab/>
        <w:t>Amended and Restated Bylaws of BFI Trans River (GP),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†3.236</w:t>
        <w:tab/>
        <w:t>Certificate of Formation of BFI Transfer Systems of Alabama,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†3.237</w:t>
        <w:tab/>
        <w:t>Operating Agreement of BFI Transfer Systems of Alabama,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†3.238</w:t>
        <w:tab/>
        <w:t>Certificate of Formation of BFI Transfer Systems of DC,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†3.239</w:t>
        <w:tab/>
        <w:t>Operating Agreement of BFI Transfer Systems of DC,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†3.240</w:t>
        <w:tab/>
        <w:t>Certificate of Formation of BFI Transfer Systems of Georgia,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†3.241</w:t>
        <w:tab/>
        <w:t>Operating Agreement of BFI Transfer Systems of Georgia, LLC.</w:t>
      </w:r>
    </w:p>
    <w:p>
      <w:pPr>
        <w:spacing w:after="0" w:line="9" w:lineRule="exact"/>
        <w:rPr>
          <w:sz w:val="20"/>
          <w:szCs w:val="20"/>
          <w:color w:val="auto"/>
        </w:rPr>
      </w:pPr>
    </w:p>
    <w:p>
      <w:pPr>
        <w:ind w:left="1840" w:right="2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†3.242</w:t>
        <w:tab/>
        <w:t>Certificate of Formation of BFI Transfer Systems of Maryland, LLC (f/k/a BFI Transfer Systems of Kentucky, LLC), as amended.</w:t>
      </w:r>
    </w:p>
    <w:p>
      <w:pPr>
        <w:spacing w:after="0" w:line="1" w:lineRule="exact"/>
        <w:rPr>
          <w:sz w:val="20"/>
          <w:szCs w:val="20"/>
          <w:color w:val="auto"/>
        </w:rPr>
      </w:pPr>
    </w:p>
    <w:p>
      <w:pPr>
        <w:ind w:left="1840" w:right="20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†3.243</w:t>
        <w:tab/>
        <w:t>Operating Agreement of BFI Transfer Systems of Maryland, LLC (f/k/a BFI Transfer Systems of Kentucky, LLC),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†3.244</w:t>
        <w:tab/>
        <w:t>Certificate of Organization of BFI Transfer Systems of Massachusetts,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†3.245</w:t>
        <w:tab/>
        <w:t>Operating Agreement of BFI Transfer Systems of Massachusetts, LLC, as amended.</w:t>
      </w:r>
    </w:p>
    <w:p>
      <w:pPr>
        <w:spacing w:after="0" w:line="9" w:lineRule="exact"/>
        <w:rPr>
          <w:sz w:val="20"/>
          <w:szCs w:val="20"/>
          <w:color w:val="auto"/>
        </w:rPr>
      </w:pPr>
    </w:p>
    <w:p>
      <w:pPr>
        <w:ind w:left="1840" w:right="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†3.246</w:t>
        <w:tab/>
        <w:t>Certificate of Formation of BFI Transfer Systems of Mississippi, LLC (f/k/a BFI Transfer Systems of Tennessee, LLC),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†3.247</w:t>
        <w:tab/>
        <w:t>Operating Agreement of BFI Transfer Systems of Mississippi, LLC (f/k/a BFI Transfer Systems of Tennessee,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†3.248</w:t>
        <w:tab/>
        <w:t>Certificate of Incorporation of BFI Transfer Systems of New Jersey,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†3.249</w:t>
        <w:tab/>
        <w:t>Amended and Restated Bylaws of BFI Transfer Systems of New Jersey,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†3.250</w:t>
        <w:tab/>
        <w:t>Certificate of Organization of BFI Transfer Systems of Pennsylvania,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†3.251</w:t>
        <w:tab/>
        <w:t>Operating Agreement of BFI Transfer Systems of Pennsylvania,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†3.252</w:t>
        <w:tab/>
        <w:t>Certificate of Limited Partnership of BFI Transfer Systems of Texas,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†3.253</w:t>
        <w:tab/>
        <w:t>Agreement of Limited Partnership of BFI Transfer Systems of Texas,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†3.254</w:t>
        <w:tab/>
        <w:t>Certificate of Formation of BFI Transfer Systems of Virginia,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†3.255</w:t>
        <w:tab/>
        <w:t>Operating Agreement of BFI Transfer Systems of Virginia,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†3.256</w:t>
        <w:tab/>
        <w:t>Certificate of Limited Partnership of BFI Waste Services of Indiana,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†3.257</w:t>
        <w:tab/>
        <w:t>Agreement of Limited Partnership of BFI Waste Services of Indiana,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†3.258</w:t>
        <w:tab/>
        <w:t>Certificate of Organization of BFI Waste Services of Pennsylvania,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†3.259</w:t>
        <w:tab/>
        <w:t>Operating Agreement of BFI Waste Services of Pennsylvania,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†3.260</w:t>
        <w:tab/>
        <w:t>Certificate of Formation of BFI Waste Services of Tennessee,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†3.261</w:t>
        <w:tab/>
        <w:t>Operating Agreement of BFI Waste Services of Tennessee,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†3.262</w:t>
        <w:tab/>
        <w:t>Certificate of Limited Partnership of BFI Waste Services of Texas,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†3.263</w:t>
        <w:tab/>
        <w:t>Agreement of Limited Partnership of BFI Waste Services of Texas,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†3.264</w:t>
        <w:tab/>
        <w:t>Certificate of Formation of BFI Waste Services,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†3.265</w:t>
        <w:tab/>
        <w:t>Operating Agreement of BFI Waste Services,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†3.266</w:t>
        <w:tab/>
        <w:t>Certificate of Formation of BFI Waste Systems of Alabama,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†3.267</w:t>
        <w:tab/>
        <w:t>Operating Agreement of BFI Waste Systems of Alabama,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†3.268</w:t>
        <w:tab/>
        <w:t>Certificate of Formation of BFI Waste Systems of Arkansas,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†3.269</w:t>
        <w:tab/>
        <w:t>Operating Agreement of BFI Waste Systems of Arkansas,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†3.270</w:t>
        <w:tab/>
        <w:t>Certificate of Formation of BFI Waste Systems of Georgia,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†3.271</w:t>
        <w:tab/>
        <w:t>Operating Agreement of BFI Waste Systems of Georgia,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†3.272</w:t>
        <w:tab/>
        <w:t>Certificate of Limited Partnership of BFI Waste Systems of Indiana,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†3.273</w:t>
        <w:tab/>
        <w:t>Agreement of Limited Partnership of BFI Waste Systems of Indiana, LP.</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†3.274</w:t>
        <w:tab/>
        <w:t>Certificate of Formation of BFI Waste Systems of Kentucky,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†3.275</w:t>
        <w:tab/>
        <w:t>Operating Agreement of BFI Waste Systems of Kentucky,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†3.276</w:t>
        <w:tab/>
        <w:t>Certificate of Formation of BFI Waste Systems of Louisiana,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†3.277</w:t>
        <w:tab/>
        <w:t>Operating Agreement of BFI Waste Systems of Louisiana,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†3.278</w:t>
        <w:tab/>
        <w:t>Certificate of Organization of BFI Waste Systems of Massachusetts,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†3.279</w:t>
        <w:tab/>
        <w:t>Operating Agreement of BFI Waste Systems of Massachusetts,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†3.280</w:t>
        <w:tab/>
        <w:t>Certificate of Formation of BFI Waste Systems of Mississippi,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†3.281</w:t>
        <w:tab/>
        <w:t>Operating Agreement of BFI Waste Systems of Mississippi,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†3.282</w:t>
        <w:tab/>
        <w:t>Certificate of Formation of BFI Waste Systems of Missouri,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†3.283</w:t>
        <w:tab/>
        <w:t>Operating Agreement of BFI Waste Systems of Missouri, LLC, as amended.</w:t>
      </w:r>
    </w:p>
    <w:p>
      <w:pPr>
        <w:spacing w:after="0" w:line="9" w:lineRule="exact"/>
        <w:rPr>
          <w:sz w:val="20"/>
          <w:szCs w:val="20"/>
          <w:color w:val="auto"/>
        </w:rPr>
      </w:pPr>
    </w:p>
    <w:p>
      <w:pPr>
        <w:ind w:left="1840" w:right="28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†3.284</w:t>
        <w:tab/>
        <w:t>Certificate of Incorporation of BFI Waste Systems of New Jersey, Inc. (f/k/a Browning-Ferris Industries, of Elizabeth, N.J., Inc., f/k/a Elizabeth Disposal,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†3.285</w:t>
        <w:tab/>
        <w:t>Amended and Restated Bylaws of BFI Waste Systems of New Jersey, Inc.</w:t>
      </w:r>
    </w:p>
    <w:p>
      <w:pPr>
        <w:spacing w:after="0" w:line="9" w:lineRule="exact"/>
        <w:rPr>
          <w:sz w:val="20"/>
          <w:szCs w:val="20"/>
          <w:color w:val="auto"/>
        </w:rPr>
      </w:pPr>
    </w:p>
    <w:p>
      <w:pPr>
        <w:ind w:left="18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†3.286</w:t>
        <w:tab/>
        <w:t>Certificate of Formation of BFI Waste Systems of North America, LLC (f/k/a BFI Waste Systems of North America, Inc., f/k/a BFI Transportation,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†3.287</w:t>
        <w:tab/>
        <w:t>Operating Agreement of BFI Waste Systems of North America,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†3.288</w:t>
        <w:tab/>
        <w:t>Certificate of Formation of BFI Waste Systems of North Carolina,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†3.289</w:t>
        <w:tab/>
        <w:t>Operating Agreement of BFI Waste Systems of North Carolina,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†3.290</w:t>
        <w:tab/>
        <w:t>Articles of Organization of BFI Waste Systems of Oklahoma,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†3.291</w:t>
        <w:tab/>
        <w:t>Operating Agreement of BFI Waste Systems of Oklahoma,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†3.292</w:t>
        <w:tab/>
        <w:t>Certificate of Formation of BFI Waste Systems of South Carolina,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†3.293</w:t>
        <w:tab/>
        <w:t>Operating Agreement of BFI Waste Systems of South Carolina,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†3.294</w:t>
        <w:tab/>
        <w:t>Certificate of Formation of BFI Waste Systems of Tennessee,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†3.295</w:t>
        <w:tab/>
        <w:t>Operating Agreement of BFI Waste Systems of Tennessee,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†3.296</w:t>
        <w:tab/>
        <w:t>Certificate of Formation of BFI Waste Systems of Virginia,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†3.297</w:t>
        <w:tab/>
        <w:t>Operating Agreement of BFI Waste Systems of Virginia, LLC, as amended.</w:t>
      </w:r>
    </w:p>
    <w:p>
      <w:pPr>
        <w:spacing w:after="0" w:line="9" w:lineRule="exact"/>
        <w:rPr>
          <w:sz w:val="20"/>
          <w:szCs w:val="20"/>
          <w:color w:val="auto"/>
        </w:rPr>
      </w:pPr>
    </w:p>
    <w:p>
      <w:pPr>
        <w:ind w:left="18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†3.298</w:t>
        <w:tab/>
        <w:t>Articles of Incorporation of Bio-Med of Oregon, Inc. (f/k/a O. D. Recycling, Ltd., f/k/a Pacific Energy Recovery,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†3.299</w:t>
        <w:tab/>
        <w:t>Amended and Restated Bylaws of Bio-Med of Oregon,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†3.300</w:t>
        <w:tab/>
        <w:t>Articles of Incorporation of BLT Enterprises of Oxnard,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†3.301</w:t>
        <w:tab/>
        <w:t>Second Amended and Restated Bylaws of BLT Enterprises of Oxnard,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†3.302</w:t>
        <w:tab/>
        <w:t>Partnership Agreement of Blue Ridge Landfill General Partnership.</w:t>
      </w:r>
    </w:p>
    <w:p>
      <w:pPr>
        <w:spacing w:after="0" w:line="9" w:lineRule="exact"/>
        <w:rPr>
          <w:sz w:val="20"/>
          <w:szCs w:val="20"/>
          <w:color w:val="auto"/>
        </w:rPr>
      </w:pPr>
    </w:p>
    <w:p>
      <w:pPr>
        <w:jc w:val="both"/>
        <w:ind w:left="1080" w:right="160"/>
        <w:spacing w:after="0" w:line="250" w:lineRule="auto"/>
        <w:rPr>
          <w:sz w:val="20"/>
          <w:szCs w:val="20"/>
          <w:color w:val="auto"/>
        </w:rPr>
      </w:pPr>
      <w:r>
        <w:rPr>
          <w:rFonts w:ascii="Times New Roman" w:cs="Times New Roman" w:eastAsia="Times New Roman" w:hAnsi="Times New Roman"/>
          <w:sz w:val="18"/>
          <w:szCs w:val="18"/>
          <w:color w:val="auto"/>
        </w:rPr>
        <w:t>†3.303 Certificate of Limited Partnership of Blue Ridge Landfill TX, LP (f/k/a BFI Waste Systems of Texas, LP), as amended. †3.304 Agreement of Limited Partnership of Blue Ridge Landfill TX, LP (f/k/a BFI Waste Systems of Texas, LP), as amended. †3.305 Certificate of Incorporation of Bond County Landfill, Inc. (f/k/a Kankeekee RDF Landfill, Inc., f/k/a Draw Acquisition</w:t>
      </w:r>
    </w:p>
    <w:p>
      <w:pPr>
        <w:spacing w:after="0" w:line="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Company Twenty-Three), as amended.</w:t>
      </w:r>
    </w:p>
    <w:p>
      <w:pPr>
        <w:spacing w:after="0" w:line="9" w:lineRule="exact"/>
        <w:rPr>
          <w:sz w:val="20"/>
          <w:szCs w:val="20"/>
          <w:color w:val="auto"/>
        </w:rPr>
      </w:pPr>
    </w:p>
    <w:p>
      <w:pPr>
        <w:ind w:left="1840" w:right="2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†3.306</w:t>
        <w:tab/>
        <w:t>Bylaws of Bond County Landfill, Inc. (f/k/a Kankeekee RDF Landfill, Inc., f/k/a Draw Acquisition Company Twenty-Three).</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†3.307</w:t>
        <w:tab/>
        <w:t>Articles of Incorporation of Borrego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†3.308</w:t>
        <w:tab/>
        <w:t>Bylaws of Borrego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†3.309</w:t>
        <w:tab/>
        <w:t>Articles of Incorporation of Borrow Pit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†3.310</w:t>
        <w:tab/>
        <w:t>Amended and Restated Bylaws of Borrow Pit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†3.311</w:t>
        <w:tab/>
        <w:t>Certificate of Limited Partnership of Brenham Total Roll-Offs,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†3.312</w:t>
        <w:tab/>
        <w:t>Agreement of Limited Partnership of Brenham Total Roll-Offs,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†3.313</w:t>
        <w:tab/>
        <w:t>Articles of Incorporation of Brickyard Disposal &amp; Recycling, Inc. (f/k/a H/L Disposal Co.), as amended.</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†3.314</w:t>
        <w:tab/>
        <w:t>Amended and Restated Bylaws of Brickyard Disposal &amp; Recycling,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†3.315</w:t>
        <w:tab/>
        <w:t>Certificate of Formation of Bridgeton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†3.316</w:t>
        <w:tab/>
        <w:t>Operating Agreement of Bridgeton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†3.317</w:t>
        <w:tab/>
        <w:t>Certificate of Formation of Bridgeton Transfer Station,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†3.318</w:t>
        <w:tab/>
        <w:t>Operating Agreement of Bridgeton Transfer Station,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†3.319</w:t>
        <w:tab/>
        <w:t>Certificate of Incorporation of Browning-Ferris Financial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†3.320</w:t>
        <w:tab/>
        <w:t>Amended and Restated Bylaws of Browning-Ferris Financial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†3.321</w:t>
        <w:tab/>
        <w:t>Articles of Incorporation of Browning-Ferris Industries Chemical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†3.322</w:t>
        <w:tab/>
        <w:t>Amended and Restated Bylaws of Browning-Ferris Industries Chemical Services, Inc.</w:t>
      </w:r>
    </w:p>
    <w:p>
      <w:pPr>
        <w:spacing w:after="0" w:line="9" w:lineRule="exact"/>
        <w:rPr>
          <w:sz w:val="20"/>
          <w:szCs w:val="20"/>
          <w:color w:val="auto"/>
        </w:rPr>
      </w:pPr>
    </w:p>
    <w:p>
      <w:pPr>
        <w:ind w:left="18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†3.323</w:t>
        <w:tab/>
        <w:t>Articles of Incorporation of Browning-Ferris Industries of California, Inc. (f/k/a Browning-Ferris Industries of Southern California, Inc., f/k/a BFI Waste Systems of Southern California,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†3.324</w:t>
        <w:tab/>
        <w:t>Amended and Restated Bylaws of Browning-Ferris Industries of California,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†3.325</w:t>
        <w:tab/>
        <w:t>Certificate of Incorporation of Browning-Ferris Industries of Florida,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†3.326</w:t>
        <w:tab/>
        <w:t>Amended and Restated Bylaws of Browning-Ferris Industries of Florida,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†3.327</w:t>
        <w:tab/>
        <w:t>Certificate of Incorporation of Browning-Ferris Industries of Illinois, Inc. (f/k/a BFI of Illinois,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†3.328</w:t>
        <w:tab/>
        <w:t>Amended and Restated Bylaws of Browning-Ferris Industries of Illinois,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†3.329</w:t>
        <w:tab/>
        <w:t>Certificate of Incorporation of Browning-Ferris Industries of New Jersey,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†3.330</w:t>
        <w:tab/>
        <w:t>Amended and Restated Bylaws of Browning-Ferris Industries of New Jersey,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7"/>
          <w:szCs w:val="17"/>
          <w:color w:val="auto"/>
        </w:rPr>
        <w:t>†3.331</w:t>
        <w:tab/>
        <w:t>Certificate of Incorporation of Browning-Ferris Industries of New York, Inc. (f/k/a Modern Waste Service, Inc., f/k/a T.</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Pedone &amp; Sons,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†3.332</w:t>
        <w:tab/>
        <w:t>Amended and Restated Bylaws of Browning-Ferris Industries of New York,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†3.333</w:t>
        <w:tab/>
        <w:t>Certificate of Incorporation of Browning-Ferris Industries of Ohio,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†3.334</w:t>
        <w:tab/>
        <w:t>Amended and Restated Bylaws of Browning-Ferris Industries of Ohio, Inc.</w:t>
      </w:r>
    </w:p>
    <w:p>
      <w:pPr>
        <w:spacing w:after="0" w:line="9" w:lineRule="exact"/>
        <w:rPr>
          <w:sz w:val="20"/>
          <w:szCs w:val="20"/>
          <w:color w:val="auto"/>
        </w:rPr>
      </w:pPr>
    </w:p>
    <w:p>
      <w:pPr>
        <w:ind w:left="1840" w:right="1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†3.335</w:t>
        <w:tab/>
        <w:t>Restated Charter of Browning-Ferris Industries of Tennessee, Inc. (f/k/a Browning-Ferris Industries of Memphis, Inc., f/k/a Patterson Waste Control, Inc., f/k/a PWC, Inc.).</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†3.336</w:t>
        <w:tab/>
        <w:t>Amended and Restated Bylaws of Browning-Ferris Industries of Tennessee, Inc.</w:t>
      </w:r>
    </w:p>
    <w:p>
      <w:pPr>
        <w:spacing w:after="0" w:line="9" w:lineRule="exact"/>
        <w:rPr>
          <w:sz w:val="20"/>
          <w:szCs w:val="20"/>
          <w:color w:val="auto"/>
        </w:rPr>
      </w:pPr>
    </w:p>
    <w:p>
      <w:pPr>
        <w:ind w:left="1840" w:right="38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†3.337</w:t>
        <w:tab/>
        <w:t>Articles of Organization of Browning-Ferris Industries, Inc. (f/k/a BFI Waste Systems of Massachusetts, Inc., f/k/a Dooley Bros.,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†3.338</w:t>
        <w:tab/>
        <w:t>Amended and Restated Bylaws of Browning-Ferris Industries,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†3.339</w:t>
        <w:tab/>
        <w:t>Certificate of Formation of Browning-Ferris Industries, LLC (f/k/a Browning-Ferris Industries,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†3.340</w:t>
        <w:tab/>
        <w:t>Operating Agreement of Browning-Ferris Industries,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†3.341</w:t>
        <w:tab/>
        <w:t>Certificate of Incorporation of Browning-Ferris Services,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†3.342</w:t>
        <w:tab/>
        <w:t>Amended and Restated Bylaws of Browning-Ferris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†3.343</w:t>
        <w:tab/>
        <w:t>Articles of Incorporation of Browning-Ferris,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†3.344</w:t>
        <w:tab/>
        <w:t>Amended and Restated Bylaws of Browning-Ferris, Inc.</w:t>
      </w:r>
    </w:p>
    <w:p>
      <w:pPr>
        <w:spacing w:after="0" w:line="9" w:lineRule="exact"/>
        <w:rPr>
          <w:sz w:val="20"/>
          <w:szCs w:val="20"/>
          <w:color w:val="auto"/>
        </w:rPr>
      </w:pPr>
    </w:p>
    <w:p>
      <w:pPr>
        <w:ind w:left="1840" w:right="20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†3.345</w:t>
        <w:tab/>
        <w:t>Certificate of Formation of Brunswick Waste Management Facility, LLC (f/k/a Brunswick County Landfill, LLC),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†3.346</w:t>
        <w:tab/>
        <w:t>Operating Agreement of Brunswick Waste Management Facility, LLC (f/k/a Brunswick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†3.347</w:t>
        <w:tab/>
        <w:t>Articles of Incorporation of Bunting Trash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†3.348</w:t>
        <w:tab/>
        <w:t>Amended and Restated Bylaws of Bunting Trash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†3.349</w:t>
        <w:tab/>
        <w:t>Certificate of Formation of Butler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†3.350</w:t>
        <w:tab/>
        <w:t>Operating Agreement of Butler County Landfill,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5" w:right="117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†3.351</w:t>
        <w:tab/>
        <w:t>Articles of Organization of C &amp; C Expanded Sanitary Landfill, LLC.</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†3.352</w:t>
        <w:tab/>
        <w:t>Operating Agreement of C &amp; C Expanded Sanitary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†3.353</w:t>
        <w:tab/>
        <w:t>Articles of Organization of Cactus Waste Systems, LLC (f/k/a Cactus Waste Systems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†3.354</w:t>
        <w:tab/>
        <w:t>Amended and Restated Operating Agreement of Cactus Waste Systems, LLC.</w:t>
      </w:r>
    </w:p>
    <w:p>
      <w:pPr>
        <w:spacing w:after="0" w:line="9" w:lineRule="exact"/>
        <w:rPr>
          <w:sz w:val="20"/>
          <w:szCs w:val="20"/>
          <w:color w:val="auto"/>
        </w:rPr>
      </w:pPr>
    </w:p>
    <w:p>
      <w:pPr>
        <w:ind w:left="1840" w:right="28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†3.355</w:t>
        <w:tab/>
        <w:t>Articles of Incorporation of Calvert Trash Systems, Incorporated (f/k/a GLJ Equipment Company, Incorporated),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†3.356</w:t>
        <w:tab/>
        <w:t>Amended and Restated Bylaws of Calvert Trash Systems, Incorporated.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†3.357</w:t>
        <w:tab/>
        <w:t>Certificate of Limited Partnership of Camelot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†3.358</w:t>
        <w:tab/>
        <w:t>Agreement of Limited Partnership of Camelot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†3.359</w:t>
        <w:tab/>
        <w:t>Articles of Incorporation of Capitol Recycling and Disposal,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†3.360</w:t>
        <w:tab/>
        <w:t>Amended and Restated Bylaws of Capitol Recycling and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†3.361</w:t>
        <w:tab/>
        <w:t>Articles of Organization of Carbon Limestone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†3.362</w:t>
        <w:tab/>
        <w:t>Operating Agreement of Carbon Limestone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†3.363</w:t>
        <w:tab/>
        <w:t>Certificate of Incorporation of CC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†3.364</w:t>
        <w:tab/>
        <w:t>Bylaws of CC Landfill, Inc.</w:t>
      </w:r>
    </w:p>
    <w:p>
      <w:pPr>
        <w:spacing w:after="0" w:line="9" w:lineRule="exact"/>
        <w:rPr>
          <w:sz w:val="20"/>
          <w:szCs w:val="20"/>
          <w:color w:val="auto"/>
        </w:rPr>
      </w:pPr>
    </w:p>
    <w:p>
      <w:pPr>
        <w:ind w:left="1840" w:right="22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†3.365</w:t>
        <w:tab/>
        <w:t>Certificate of Incorporation of CECOS International, Inc. (f/k/a CECOS, Chemical and Environmental Conservation Systems, Inc., f/k/a Newco Chemical Waste Systems,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†3.366</w:t>
        <w:tab/>
        <w:t>Amended and Restated Bylaws of CECOS International, Inc.</w:t>
      </w:r>
    </w:p>
    <w:p>
      <w:pPr>
        <w:spacing w:after="0" w:line="9" w:lineRule="exact"/>
        <w:rPr>
          <w:sz w:val="20"/>
          <w:szCs w:val="20"/>
          <w:color w:val="auto"/>
        </w:rPr>
      </w:pPr>
    </w:p>
    <w:p>
      <w:pPr>
        <w:ind w:left="1080" w:right="400"/>
        <w:spacing w:after="0" w:line="250" w:lineRule="auto"/>
        <w:rPr>
          <w:sz w:val="20"/>
          <w:szCs w:val="20"/>
          <w:color w:val="auto"/>
        </w:rPr>
      </w:pPr>
      <w:r>
        <w:rPr>
          <w:rFonts w:ascii="Times New Roman" w:cs="Times New Roman" w:eastAsia="Times New Roman" w:hAnsi="Times New Roman"/>
          <w:sz w:val="18"/>
          <w:szCs w:val="18"/>
          <w:color w:val="auto"/>
        </w:rPr>
        <w:t>†3.367 Certificate of Limited Partnership of Cefe Landfill TX, LP (f/k/a BFI Elliott Landfill TX, LP), as amended. †3.368 Agreement of Limited Partnership of Cefe Landfill TX, LP (f/k/a BFI Elliott Landfill TX, LP), as amended. †3.369 Articles of Incorporation of Celina Landfill, Inc. (f/k/a Laidlaw Waste Systems (Celina), Inc., f/k/a Laidlaw Waste</w:t>
      </w:r>
    </w:p>
    <w:p>
      <w:pPr>
        <w:spacing w:after="0" w:line="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Systems (Ohio) Inc., f/k/a WBT, Inc.), as amended.</w:t>
      </w:r>
    </w:p>
    <w:p>
      <w:pPr>
        <w:spacing w:after="0" w:line="9" w:lineRule="exact"/>
        <w:rPr>
          <w:sz w:val="20"/>
          <w:szCs w:val="20"/>
          <w:color w:val="auto"/>
        </w:rPr>
      </w:pPr>
    </w:p>
    <w:p>
      <w:pPr>
        <w:ind w:left="1840" w:right="6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†3.370</w:t>
        <w:tab/>
        <w:t>Code of Regulations of Celina Landfill, Inc. (f/k/a Laidlaw Waste Systems (Celina), Inc., f/k/a Laidlaw Waste Systems (Ohio) Inc., f/k/a WBT, Inc.).</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†3.371</w:t>
        <w:tab/>
        <w:t>Articles of Incorporation of Central Arizona Transfer,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†3.372</w:t>
        <w:tab/>
        <w:t>Bylaws of Central Arizona Transfer,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†3.373</w:t>
        <w:tab/>
        <w:t>Articles of Incorporation of Central Sanitary Landfill,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†3.374</w:t>
        <w:tab/>
        <w:t>Bylaws of Central Sanitary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†3.375</w:t>
        <w:tab/>
        <w:t>Articles of Organization of Central Virginia Properties,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†3.376</w:t>
        <w:tab/>
        <w:t>Operating Agreement of Central Virginia Properties,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†3.377</w:t>
        <w:tab/>
        <w:t>Articles of Incorporation of Charter Evaporation Resource Recovery Systems,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†3.378</w:t>
        <w:tab/>
        <w:t>Amended and Restated Bylaws of Charter Evaporation Resource Recovery Systems.</w:t>
      </w:r>
    </w:p>
    <w:p>
      <w:pPr>
        <w:spacing w:after="0" w:line="9" w:lineRule="exact"/>
        <w:rPr>
          <w:sz w:val="20"/>
          <w:szCs w:val="20"/>
          <w:color w:val="auto"/>
        </w:rPr>
      </w:pPr>
    </w:p>
    <w:p>
      <w:pPr>
        <w:ind w:left="18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†3.379</w:t>
        <w:tab/>
        <w:t>Articles of Incorporation of Cherokee Run Landfill, Inc. (f/k/a Laidlaw Waste Systems (Bellefontaine) Inc., f/k/a Logan Waste Control, Inc.), as amended.</w:t>
      </w:r>
    </w:p>
    <w:p>
      <w:pPr>
        <w:spacing w:after="0" w:line="1" w:lineRule="exact"/>
        <w:rPr>
          <w:sz w:val="20"/>
          <w:szCs w:val="20"/>
          <w:color w:val="auto"/>
        </w:rPr>
      </w:pPr>
    </w:p>
    <w:p>
      <w:pPr>
        <w:ind w:left="1840" w:right="4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†3.380</w:t>
        <w:tab/>
        <w:t>Regulations of Cherokee Run Landfill, Inc. (f/k/a Laidlaw Waste Systems (Bellefontaine) Inc., f/k/a Logan Waste Control, Inc.).</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†3.381</w:t>
        <w:tab/>
        <w:t>Certificate of Formation of Chilton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†3.382</w:t>
        <w:tab/>
        <w:t>Operating Agreement of Chilton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†3.383</w:t>
        <w:tab/>
        <w:t>Articles of Incorporation of Citizens Disposal,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†3.384</w:t>
        <w:tab/>
        <w:t>Bylaws of Citizens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†3.385</w:t>
        <w:tab/>
        <w:t>Articles of Incorporation of City-Star Services,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†3.386</w:t>
        <w:tab/>
        <w:t>Bylaws of City-Star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†3.387</w:t>
        <w:tab/>
        <w:t>Articles of Incorporation of Clarkston Disposal,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†3.388</w:t>
        <w:tab/>
        <w:t>Bylaws of Clarkston Disposal,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415" w:right="119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†3.389</w:t>
        <w:tab/>
        <w:t>Partnership Agreement of Clinton County Landfill Partnership.</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†3.390</w:t>
        <w:tab/>
        <w:t>Certificate of Incorporation of Cocopah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†3.391</w:t>
        <w:tab/>
        <w:t>Bylaws of Cocopah Landfill, Inc.</w:t>
      </w:r>
    </w:p>
    <w:p>
      <w:pPr>
        <w:spacing w:after="0" w:line="9" w:lineRule="exact"/>
        <w:rPr>
          <w:sz w:val="20"/>
          <w:szCs w:val="20"/>
          <w:color w:val="auto"/>
        </w:rPr>
      </w:pPr>
    </w:p>
    <w:p>
      <w:pPr>
        <w:ind w:left="18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†3.392</w:t>
        <w:tab/>
        <w:t>Certificate of Incorporation of Compactor Rental Systems of Delaware, Inc. (f/k/a Republic Industries Compactor Rental,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†3.393</w:t>
        <w:tab/>
        <w:t>Amended and Restated Bylaws of Compactor Rental Systems of Delaware,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†3.394</w:t>
        <w:tab/>
        <w:t>Certificate of Formation of Consolidated Disposal Service, L.L.C. (f/k/a L.A. County,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†3.395</w:t>
        <w:tab/>
        <w:t>Third Amended and Restated Operating Agreement of Consolidated Disposal Service,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†3.396</w:t>
        <w:tab/>
        <w:t>Certificate of Formation of Continental Waste Industries, L.L.C. (f/k/a Continental Waste Industries,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†3.397</w:t>
        <w:tab/>
        <w:t>Operating Agreement of Continental Waste Industries,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†3.398</w:t>
        <w:tab/>
        <w:t>Certificate of Incorporation of Copper Mountain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†3.399</w:t>
        <w:tab/>
        <w:t>Bylaws of Copper Mountain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†3.400</w:t>
        <w:tab/>
        <w:t>Articles of Incorporation of Corvallis Disposal Co.,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†3.401</w:t>
        <w:tab/>
        <w:t>Amended and Restated Bylaws of Corvallis Disposal Co.</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†3.402</w:t>
        <w:tab/>
        <w:t>Certificate of Incorporation of County Disposal (Ohio),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†3.403</w:t>
        <w:tab/>
        <w:t>Amended and Restated Bylaws of County Disposal (Ohio),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†3.404</w:t>
        <w:tab/>
        <w:t>Certificate of Incorporation of County Disposal,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†3.405</w:t>
        <w:tab/>
        <w:t>Amended and Restated Bylaws of County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†3.406</w:t>
        <w:tab/>
        <w:t>Articles of Organization of County Environmental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†3.407</w:t>
        <w:tab/>
        <w:t>Operating Agreement of County Environmental Landfill, LLC.</w:t>
      </w:r>
    </w:p>
    <w:p>
      <w:pPr>
        <w:spacing w:after="0" w:line="9" w:lineRule="exact"/>
        <w:rPr>
          <w:sz w:val="20"/>
          <w:szCs w:val="20"/>
          <w:color w:val="auto"/>
        </w:rPr>
      </w:pPr>
    </w:p>
    <w:p>
      <w:pPr>
        <w:ind w:left="18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†3.408</w:t>
        <w:tab/>
        <w:t>Articles of Organization of County Land Development Landfill, LLC (f/k/a County Land Development Sanitary Landfill, LLC), as amended.</w:t>
      </w:r>
    </w:p>
    <w:p>
      <w:pPr>
        <w:spacing w:after="0" w:line="1" w:lineRule="exact"/>
        <w:rPr>
          <w:sz w:val="20"/>
          <w:szCs w:val="20"/>
          <w:color w:val="auto"/>
        </w:rPr>
      </w:pPr>
    </w:p>
    <w:p>
      <w:pPr>
        <w:ind w:left="1840" w:right="18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†3.409</w:t>
        <w:tab/>
        <w:t>Operating Agreement of County Land Development Landfill, LLC (f/k/a County Land Development Sanitary Landfill, LLC).</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†3.410</w:t>
        <w:tab/>
        <w:t>Certificate of Incorporation of County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†3.411</w:t>
        <w:tab/>
        <w:t>Amended and Restated Bylaws of County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†3.412</w:t>
        <w:tab/>
        <w:t>Partnership Agreement of County Line Landfill Partnership,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†3.413</w:t>
        <w:tab/>
        <w:t>Certificate of Formation of Courtney Ridge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†3.414</w:t>
        <w:tab/>
        <w:t>Operating Agreement of Courtney Ridge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†3.415</w:t>
        <w:tab/>
        <w:t>Articles of Organization of Crescent Acres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†3.416</w:t>
        <w:tab/>
        <w:t>Operating Agreement of Crescent Acres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†3.417</w:t>
        <w:tab/>
        <w:t>Articles of Incorporation of Crockett Sanitary Service, Inc. (f/k/a Crockett Garbage Service,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†3.418</w:t>
        <w:tab/>
        <w:t>Second Amended and Restated Bylaws of Crockett Sanitary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†3.419</w:t>
        <w:tab/>
        <w:t>Certificate of Limited Partnership of Crow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†3.420</w:t>
        <w:tab/>
        <w:t>Agreement of Limited Partnership of Crow Landfill TX, L.P., as amended.</w:t>
      </w:r>
    </w:p>
    <w:p>
      <w:pPr>
        <w:spacing w:after="0" w:line="9" w:lineRule="exact"/>
        <w:rPr>
          <w:sz w:val="20"/>
          <w:szCs w:val="20"/>
          <w:color w:val="auto"/>
        </w:rPr>
      </w:pPr>
    </w:p>
    <w:p>
      <w:pPr>
        <w:ind w:left="1840" w:right="40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†3.421</w:t>
        <w:tab/>
        <w:t>Articles of Organization of Cumberland County Development Company, LLC (f/k/a Charlotte County Development Company, LLC).</w:t>
      </w:r>
    </w:p>
    <w:p>
      <w:pPr>
        <w:spacing w:after="0" w:line="1" w:lineRule="exact"/>
        <w:rPr>
          <w:sz w:val="20"/>
          <w:szCs w:val="20"/>
          <w:color w:val="auto"/>
        </w:rPr>
      </w:pPr>
    </w:p>
    <w:p>
      <w:pPr>
        <w:ind w:left="1840" w:right="58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†3.422</w:t>
        <w:tab/>
        <w:t>Operating Agreement of Cumberland County Development Company, LLC (f/k/a Charlotte County Development Company, LLC).</w:t>
      </w:r>
    </w:p>
    <w:p>
      <w:pPr>
        <w:spacing w:after="0" w:line="1" w:lineRule="exact"/>
        <w:rPr>
          <w:sz w:val="20"/>
          <w:szCs w:val="20"/>
          <w:color w:val="auto"/>
        </w:rPr>
      </w:pPr>
    </w:p>
    <w:p>
      <w:pPr>
        <w:ind w:left="1840" w:right="30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†3.423</w:t>
        <w:tab/>
        <w:t>Articles of Incorporation of CWI of Illinois, Inc. (f/k/a Continental Waste Industries of Illinois, Inc., f/k/a Continental Waste Industries Venture, Inc., f/k/a Continental Waste Industries Venture,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†3.424</w:t>
        <w:tab/>
        <w:t>Amended and Restated Bylaws of CWI of Illinois,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†3.425</w:t>
        <w:tab/>
        <w:t>Articles of Incorporation of CWI of Missouri, Inc. (f/k/a Tutor Jr. Refuse Service, Inc.),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†3.426</w:t>
        <w:tab/>
        <w:t>Amended and Restated Bylaws of CWI of Missouri, Inc.</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†3.427</w:t>
        <w:tab/>
        <w:t>Certificate of Formation of D &amp; L Disposal,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†3.428</w:t>
        <w:tab/>
        <w:t>Amended and Restated Operating Agreement of D &amp; L Disposal, L.L.C.</w:t>
      </w:r>
    </w:p>
    <w:p>
      <w:pPr>
        <w:spacing w:after="0" w:line="9" w:lineRule="exact"/>
        <w:rPr>
          <w:sz w:val="20"/>
          <w:szCs w:val="20"/>
          <w:color w:val="auto"/>
        </w:rPr>
      </w:pPr>
    </w:p>
    <w:p>
      <w:pPr>
        <w:ind w:left="1840" w:right="38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†3.429</w:t>
        <w:tab/>
        <w:t>Articles of Incorporation of Dallas Disposal Co. (f/k/a Dallas Garbage Disposal Co., f/k/a Kelman Garbage Disposal Company),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†3.430</w:t>
        <w:tab/>
        <w:t>Amended and Restated Bylaws of Dallas Disposal Co.</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†3.431</w:t>
        <w:tab/>
        <w:t>Articles of Incorporation of Delta Container Corporation.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†3.432</w:t>
        <w:tab/>
        <w:t>Bylaws of Delta Container Corporation.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†3.433</w:t>
        <w:tab/>
        <w:t>Articles of Incorporation of Delta Dade Recycling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†3.434</w:t>
        <w:tab/>
        <w:t>Amended and Restated Bylaws of Delta Dade Recycling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†3.435</w:t>
        <w:tab/>
        <w:t>Articles of Incorporation of Delta Paper Stock, Co.</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†3.436</w:t>
        <w:tab/>
        <w:t>Bylaws of Delta Paper Stock, Co.</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†3.437</w:t>
        <w:tab/>
        <w:t>Articles of Incorporation of Delta Resources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†3.438</w:t>
        <w:tab/>
        <w:t>Amended and Restated Bylaws of Delta Resources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†3.439</w:t>
        <w:tab/>
        <w:t>Articles of Incorporation of Delta Site Development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†3.440</w:t>
        <w:tab/>
        <w:t>Amended and Restated Bylaws of Delta Site Development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†3.441</w:t>
        <w:tab/>
        <w:t>Articles of Incorporation of Delta Waste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†3.442</w:t>
        <w:tab/>
        <w:t>Amended and Restated Bylaws of Delta Waste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†3.443</w:t>
        <w:tab/>
        <w:t>Articles of Incorporation of Dempsey Waste Systems II,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†3.444</w:t>
        <w:tab/>
        <w:t>Bylaws of Dempsey Waste Systems II,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†3.445</w:t>
        <w:tab/>
        <w:t>Articles of Incorporation of Denver RL North,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†3.446</w:t>
        <w:tab/>
        <w:t>Bylaws of Denver RL North, Inc.</w:t>
      </w:r>
    </w:p>
    <w:p>
      <w:pPr>
        <w:spacing w:after="0" w:line="9" w:lineRule="exact"/>
        <w:rPr>
          <w:sz w:val="20"/>
          <w:szCs w:val="20"/>
          <w:color w:val="auto"/>
        </w:rPr>
      </w:pPr>
    </w:p>
    <w:p>
      <w:pPr>
        <w:ind w:left="18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†3.447</w:t>
        <w:tab/>
        <w:t>Certificate of Limited Partnership of Desarrollo del Rancho La Gloria TX, LP (f/k/a Donna Development Co. TX, LP),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†3.448</w:t>
        <w:tab/>
        <w:t>Agreement of Limited Partnership of Desarrollo del Rancho La Gloria TX, LP (f/k/a Donna Development Co.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†3.449</w:t>
        <w:tab/>
        <w:t>Articles of Incorporation of Dinverno,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†3.450</w:t>
        <w:tab/>
        <w:t>Amended and Restated Bylaws of Dinverno,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†3.451</w:t>
        <w:tab/>
        <w:t>Articles of Incorporation of DTC Management,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†3.452</w:t>
        <w:tab/>
        <w:t>Amended and Restated Bylaws of DTC Management,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†3.453</w:t>
        <w:tab/>
        <w:t>Certificate of Formation of E Leasing Company,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†3.454</w:t>
        <w:tab/>
        <w:t>Limited Liability Company Agreement of E Leasing Company,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†3.455</w:t>
        <w:tab/>
        <w:t>Articles of Incorporation of Eagle Industries Leasing,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†3.456</w:t>
        <w:tab/>
        <w:t>Amended and Restated Bylaws of Eagle Industries Leasing,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†3.457</w:t>
        <w:tab/>
        <w:t>Certificate of Incorporation of East Chicago Compost Facility,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†3.458</w:t>
        <w:tab/>
        <w:t>Bylaws of East Chicago Compost Facility,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†3.459</w:t>
        <w:tab/>
        <w:t>Certificate of Incorporation of ECDC Environmental of Humboldt County,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†3.460</w:t>
        <w:tab/>
        <w:t>Bylaws of ECDC Environmental of Humboldt County,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†3.461</w:t>
        <w:tab/>
        <w:t>Articles of Organization of ECDC Environmental, L.C. (f/k/a ECDFP, 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†3.462</w:t>
        <w:tab/>
        <w:t>Amended and Restated Operating Agreement of ECDC Environmental, 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†3.463</w:t>
        <w:tab/>
        <w:t>Certificate of Incorporation of ECDC Holdings,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†3.464</w:t>
        <w:tab/>
        <w:t>Bylaws of ECDC Holdings,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†3.465</w:t>
        <w:tab/>
        <w:t>Certificate of Limited Partnership of El Centro Landfill,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†3.466</w:t>
        <w:tab/>
        <w:t>Amended and Restated Partnership Agreement of El Centro Landfill,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†3.467</w:t>
        <w:tab/>
        <w:t>Articles of Incorporation of Elder Creek Transfer &amp; Recovery,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†3.468</w:t>
        <w:tab/>
        <w:t>Bylaws of Elder Creek Transfer &amp; Recovery,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†3.469</w:t>
        <w:tab/>
        <w:t>Certificate of Limited Partnership of Ellis County Landfill TX, LP, as amended.</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†3.470</w:t>
        <w:tab/>
        <w:t>Agreement of Limited Partnership of Ellis County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†3.471</w:t>
        <w:tab/>
        <w:t>Certificate of Formation of Ellis Scott Landfill MO,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†3.472</w:t>
        <w:tab/>
        <w:t>Operating Agreement of Ellis Scott Landfill MO,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†3.473</w:t>
        <w:tab/>
        <w:t>Articles of Incorporation of Envirocycle,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†3.474</w:t>
        <w:tab/>
        <w:t>Amended and Restated Bylaws of Envirocycle,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†3.475</w:t>
        <w:tab/>
        <w:t>Certificate of Incorporation of Environmental Development Corp.,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†3.476</w:t>
        <w:tab/>
        <w:t>Amended and Restated Bylaws of Environmental Development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†3.477</w:t>
        <w:tab/>
        <w:t>Articles of Incorporation of Environmental Reclamation Company,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†3.478</w:t>
        <w:tab/>
        <w:t>Amended and Restated Bylaws of Environmental Reclamation Company,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†3.479</w:t>
        <w:tab/>
        <w:t>Certificate of Incorporation of EnvironTech,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†3.480</w:t>
        <w:tab/>
        <w:t>Amended and Restated Bylaws of EnvironTech,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†3.481</w:t>
        <w:tab/>
        <w:t>Certificate of Formation of Envotech-Illinois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†3.482</w:t>
        <w:tab/>
        <w:t>Amended and Restated Operating Agreement of Envotech-Illinois L.L.C.</w:t>
      </w:r>
    </w:p>
    <w:p>
      <w:pPr>
        <w:spacing w:after="0" w:line="9" w:lineRule="exact"/>
        <w:rPr>
          <w:sz w:val="20"/>
          <w:szCs w:val="20"/>
          <w:color w:val="auto"/>
        </w:rPr>
      </w:pPr>
    </w:p>
    <w:p>
      <w:pPr>
        <w:ind w:left="1840" w:right="219"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†3.483</w:t>
        <w:tab/>
        <w:t>Certificate of Incorporation of Evergreen Scavenger Service, Inc. (f/k/a Evergreen Scavenger Services, Inc., f/k/a Workman Services,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†3.484</w:t>
        <w:tab/>
        <w:t>Amended and Restated Bylaws of Evergreen Scavenger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†3.485</w:t>
        <w:tab/>
        <w:t>Certificate of Formation of Evergreen Scavenger Service,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†3.486</w:t>
        <w:tab/>
        <w:t>Amended and Restated Operating Agreement of Evergreen Scavenger Service,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†3.487</w:t>
        <w:tab/>
        <w:t>Articles of Organization of F.P. McNamara Rubbish Removal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†3.488</w:t>
        <w:tab/>
        <w:t>Amended and Restated Bylaws of F.P. McNamara Rubbish Removal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†3.489</w:t>
        <w:tab/>
        <w:t>Articles of Organization of Flint Hill Road,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†3.490</w:t>
        <w:tab/>
        <w:t>Operating Agreement of Flint Hill Road,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†3.491</w:t>
        <w:tab/>
        <w:t>Articles of Incorporation of FLL, Inc. (f/k/a KCL &amp; K — M,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†3.492</w:t>
        <w:tab/>
        <w:t>Amended and Restated Bylaws of FLL,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†3.493</w:t>
        <w:tab/>
        <w:t>Certificate of Formation of Forest View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†3.494</w:t>
        <w:tab/>
        <w:t>Operating Agreement of Forest View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†3.495</w:t>
        <w:tab/>
        <w:t>Certificate of Limited Partnership of Fort Worth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†3.496</w:t>
        <w:tab/>
        <w:t>Agreement of Limited Partnership of Fort Worth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†3.497</w:t>
        <w:tab/>
        <w:t>Articles of Incorporation of Forward,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†3.498</w:t>
        <w:tab/>
        <w:t>Amended and Restated Bylaws of Forward,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†3.499</w:t>
        <w:tab/>
        <w:t>Articles of Incorporation of Fred Barbara Trucking Co.,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†3.500</w:t>
        <w:tab/>
        <w:t>Amended and Restated Bylaws of Fred Barbara Trucking Co.,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†3.501</w:t>
        <w:tab/>
        <w:t>Articles of Organization of Frontier Waste Services (Colorado),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†3.502</w:t>
        <w:tab/>
        <w:t>Operating Agreement of Frontier Waste Services (Colorado),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†3.503</w:t>
        <w:tab/>
        <w:t>Amended and Restated Articles of Organization of Frontier Waste Services (Utah),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†3.504</w:t>
        <w:tab/>
        <w:t>Operating Agreement of Frontier Waste Services (Utah),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†3.505</w:t>
        <w:tab/>
        <w:t>Articles of Organization of Frontier Waste Services of Louisiana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†3.506</w:t>
        <w:tab/>
        <w:t>Operating Agreement of Frontier Waste Services of Louisiana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†3.507</w:t>
        <w:tab/>
        <w:t>Certificate of Limited Partnership of Frontier Waste Services, L.P. (f/k/a Frontier Disposal,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†3.508</w:t>
        <w:tab/>
        <w:t>Amended and Restated Agreement of Limited Partnership of Frontier Waste Services,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†3.509</w:t>
        <w:tab/>
        <w:t>Articles of Incorporation of G. Van Dyken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†3.510</w:t>
        <w:tab/>
        <w:t>Bylaws of G. Van Dyken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†3.511</w:t>
        <w:tab/>
        <w:t>Certificate of Limited Partnership of Galveston County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†3.512</w:t>
        <w:tab/>
        <w:t>Agreement of Limited Partnership of Galveston County Landfill TX, LP,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†3.513</w:t>
        <w:tab/>
        <w:t>Articles of Organization of Gateway Landfill, LLC, as amended.</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†3.514</w:t>
        <w:tab/>
        <w:t>Amended and Restated Operating Agreement of Gateway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†3.515</w:t>
        <w:tab/>
        <w:t>Articles of Incorporation of GEK,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†3.516</w:t>
        <w:tab/>
        <w:t>Amended and Restated Bylaws of GEK,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†3.517</w:t>
        <w:tab/>
        <w:t>Certificate of Incorporation of General Refuse Rolloff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†3.518</w:t>
        <w:tab/>
        <w:t>Amended and Restated Bylaws of General Refuse Rolloff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†3.519</w:t>
        <w:tab/>
        <w:t>Articles of Organization of General Refuse Service of Ohio,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†3.520</w:t>
        <w:tab/>
        <w:t>Amended and Restated Operating Agreement of General Refuse Service of Ohio,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†3.521</w:t>
        <w:tab/>
        <w:t>Certificate of Incorporation of Georgia Recycling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†3.522</w:t>
        <w:tab/>
        <w:t>Amended and Restated Bylaws of Georgia Recycling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†3.523</w:t>
        <w:tab/>
        <w:t>Certificate of Limited Partnership of Giles Road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†3.524</w:t>
        <w:tab/>
        <w:t>Agreement of Limited Partnership of Giles Road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†3.525</w:t>
        <w:tab/>
        <w:t>Articles of Incorporation of Golden Bear Transfer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†3.526</w:t>
        <w:tab/>
        <w:t>Amended and Restated Bylaws of Golden Bear Transfer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†3.527</w:t>
        <w:tab/>
        <w:t>Certificate of Limited Partnership of Golden Triangle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†3.528</w:t>
        <w:tab/>
        <w:t>Agreement of Limited Partnership of Golden Triangle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†3.529</w:t>
        <w:tab/>
        <w:t>Articles of Incorporation of Golden Waste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†3.530</w:t>
        <w:tab/>
        <w:t>Bylaws of Golden Waste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†3.531</w:t>
        <w:tab/>
        <w:t>Articles of Incorporation of Grants Pass Sanitation,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†3.532</w:t>
        <w:tab/>
        <w:t>Amended and Restated Bylaws of Grants Pass Sanitation,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†3.533</w:t>
        <w:tab/>
        <w:t>Certificate of Incorporation of Great Lakes Disposal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†3.534</w:t>
        <w:tab/>
        <w:t>Amended and Restated Bylaws of Great Lakes Disposal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†3.535</w:t>
        <w:tab/>
        <w:t>Certificate of Formation of Great Plains Landfill OK,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†3.536</w:t>
        <w:tab/>
        <w:t>Operating Agreement of Great Plains Landfill OK,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†3.537</w:t>
        <w:tab/>
        <w:t>Partnership Agreement of Green Valley Landfill General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†3.538</w:t>
        <w:tab/>
        <w:t>Certificate of Organization of Greenridge Reclamation,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†3.539</w:t>
        <w:tab/>
        <w:t>Operating Agreement of Greenridge Reclamation,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†3.540</w:t>
        <w:tab/>
        <w:t>Certificate of Organization of Greenridge Waste Services,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†3.541</w:t>
        <w:tab/>
        <w:t>Operating Agreement of Greenridge Waste Services,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†3.542</w:t>
        <w:tab/>
        <w:t>Certificate of Limited Partnership of Greenwood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†3.543</w:t>
        <w:tab/>
        <w:t>Agreement of Limited Partnership of Greenwood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†3.544</w:t>
        <w:tab/>
        <w:t>Certificate of Limited Partnership of Gulf West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†3.545</w:t>
        <w:tab/>
        <w:t>Agreement of Limited Partnership of Gulf West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†3.546</w:t>
        <w:tab/>
        <w:t>Articles of Incorporation of Gulfcoast Waste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†3.547</w:t>
        <w:tab/>
        <w:t>Amended and Restated Bylaws of Gulfcoast Waste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†3.548</w:t>
        <w:tab/>
        <w:t>Certificate of Formation of H Leasing Company,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†3.549</w:t>
        <w:tab/>
        <w:t>Limited Liability Company Agreement of H Leasing Company,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†3.550</w:t>
        <w:tab/>
        <w:t>Certificate of Formation of Hancock County Development Company,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†3.551</w:t>
        <w:tab/>
        <w:t>Operating Agreement of Hancock County Development Company, LLC.</w:t>
      </w:r>
    </w:p>
    <w:p>
      <w:pPr>
        <w:spacing w:after="0" w:line="9" w:lineRule="exact"/>
        <w:rPr>
          <w:sz w:val="20"/>
          <w:szCs w:val="20"/>
          <w:color w:val="auto"/>
        </w:rPr>
      </w:pPr>
    </w:p>
    <w:p>
      <w:pPr>
        <w:ind w:left="1840" w:right="319"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†3.552</w:t>
        <w:tab/>
        <w:t>Articles of Incorporation of Harland’s Sanitary Landfill, Inc. (f/k/a White’s Sanitary Landfill, Inc., f/k/a White’s Trucking &amp; Sanitary Landfill,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†3.553</w:t>
        <w:tab/>
        <w:t>Bylaws of Harland’s Sanitary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†3.554</w:t>
        <w:tab/>
        <w:t>Certificate of Formation of Harrison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†3.555</w:t>
        <w:tab/>
        <w:t>Operating Agreement of Harrison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†3.556</w:t>
        <w:tab/>
        <w:t>Articles of Incorporation of Honeygo Run Reclamation Center, Inc.,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†3.557</w:t>
        <w:tab/>
        <w:t>Amended and Restated Bylaws of Honeygo Run Reclamation Center, Inc.</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†3.558</w:t>
        <w:tab/>
        <w:t>Partnership Agreement of Illiana Disposal Partnership,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†3.559</w:t>
        <w:tab/>
        <w:t>Articles of Incorporation of Illinois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†3.560</w:t>
        <w:tab/>
        <w:t>Bylaws of Illinois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†3.561</w:t>
        <w:tab/>
        <w:t>Articles of Incorporation of Illinois Recycling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†3.562</w:t>
        <w:tab/>
        <w:t>Amended and Restated Bylaws of Illinois Recycling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†3.563</w:t>
        <w:tab/>
        <w:t>Articles of Incorporation of Illinois Valley Recycling,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†3.564</w:t>
        <w:tab/>
        <w:t>Amended and Restated Bylaws of Illinois Valley Recycling,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†3.565</w:t>
        <w:tab/>
        <w:t>Articles of Incorporation of Imperial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†3.566</w:t>
        <w:tab/>
        <w:t>Bylaws of Imperial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†3.567</w:t>
        <w:tab/>
        <w:t>Articles of Incorporation of Independent Trucking Company (f/k/a Independent Trucking),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†3.568</w:t>
        <w:tab/>
        <w:t>Bylaws of Independent Trucking Company.</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†3.569</w:t>
        <w:tab/>
        <w:t>Articles of Incorporation of Ingrum Waste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†3.570</w:t>
        <w:tab/>
        <w:t>Amended and Restated Bylaws of Ingrum Waste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†3.571</w:t>
        <w:tab/>
        <w:t>Articles of Incorporation of International Disposal Corp. of California.</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†3.572</w:t>
        <w:tab/>
        <w:t>Amended and Restated Bylaws of International Disposal Corp. of California.</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†3.573</w:t>
        <w:tab/>
        <w:t>Certificate of Incorporation of Island Waste Services Ltd. (f/k/a Selas Enterprises Ltd.),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†3.574</w:t>
        <w:tab/>
        <w:t>Bylaws of Island Waste Services Ltd. (f/k/a Selas Enterprises Ltd.).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†3.575</w:t>
        <w:tab/>
        <w:t>Certificate of Limited Partnership of Itasca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†3.576</w:t>
        <w:tab/>
        <w:t>Agreement of Limited Partnership of Itasca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†3.577</w:t>
        <w:tab/>
        <w:t>Certificate of Formation of Jackson County Landfill,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†3.578</w:t>
        <w:tab/>
        <w:t>Operating Agreement of Jackson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†3.579</w:t>
        <w:tab/>
        <w:t>Partnership Agreement of Jasper County Development Company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†3.580</w:t>
        <w:tab/>
        <w:t>Certificate of Formation of Jefferson City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†3.581</w:t>
        <w:tab/>
        <w:t>Operating Agreement of Jefferson City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†3.582</w:t>
        <w:tab/>
        <w:t>Articles of Organization of Jefferson Parish Development Company,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†3.583</w:t>
        <w:tab/>
        <w:t>Operating Agreement of Jefferson Parish Development Company,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†3.584</w:t>
        <w:tab/>
        <w:t>Articles of Incorporation of Jetter Disposal,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†3.585</w:t>
        <w:tab/>
        <w:t>Amended and Restated Bylaws of Jetter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†3.586</w:t>
        <w:tab/>
        <w:t>Certificate of Formation of Kandel Enterprises,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†3.587</w:t>
        <w:tab/>
        <w:t>Amended and Restated Operating Agreement of Kandel Enterprises,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†3.588</w:t>
        <w:tab/>
        <w:t>Articles of Incorporation of Kankakee Quarry,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†3.589</w:t>
        <w:tab/>
        <w:t>Bylaws of Kankakee Quarry,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†3.590</w:t>
        <w:tab/>
        <w:t>Articles of Incorporation of Keller Canyon Landfill Company.</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†3.591</w:t>
        <w:tab/>
        <w:t>Amended and Restated Bylaws of Keller Canyon Landfill Company.</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†3.592</w:t>
        <w:tab/>
        <w:t>Articles of Incorporation of Keller Drop Box,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†3.593</w:t>
        <w:tab/>
        <w:t>Amended and Restated Bylaws of Keller Drop Box,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†3.594</w:t>
        <w:tab/>
        <w:t>Certificate of Limited Partnership of Kerrville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†3.595</w:t>
        <w:tab/>
        <w:t>Agreement of Limited Partnership of Kerrville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†3.596</w:t>
        <w:tab/>
        <w:t>Partnership Agreement of Key Waste Indiana Partnership,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7"/>
          <w:szCs w:val="17"/>
          <w:color w:val="auto"/>
        </w:rPr>
        <w:t>†3.597</w:t>
        <w:tab/>
        <w:t>Articles of Incorporation of La Cañada Disposal Company, Inc. (f/k/a La Cañada Disposal, Inc.), as amended.</w:t>
      </w:r>
    </w:p>
    <w:p>
      <w:pPr>
        <w:spacing w:after="0" w:line="2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†3.598</w:t>
        <w:tab/>
        <w:t>Amended and Restated Bylaws of La Cañada Disposal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†3.599</w:t>
        <w:tab/>
        <w:t>Partnership Agreement of Lake County C &amp; D Development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†3.600</w:t>
        <w:tab/>
        <w:t>Articles of Incorporation of Lake Norman Landfill,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†3.601</w:t>
        <w:tab/>
        <w:t>Amended and Restated Bylaws of Lake Norman Landfill, Inc.</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†3.602</w:t>
        <w:tab/>
        <w:t>Articles of Incorporation of LandComp Corporation.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†3.603</w:t>
        <w:tab/>
        <w:t>Amended and Restated Bylaws of LandComp Corporation.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†3.604</w:t>
        <w:tab/>
        <w:t>Articles of Incorporation of Lathrop Sunrise Sanitation Corporation.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†3.605</w:t>
        <w:tab/>
        <w:t>Amended and Restated Bylaws of Lathrop Sunrise Sanitation Corporation.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†3.606</w:t>
        <w:tab/>
        <w:t>Certificate of Formation of Lee County Landfill SC,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†3.607</w:t>
        <w:tab/>
        <w:t>Operating Agreement of Lee County Landfill SC,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†3.608</w:t>
        <w:tab/>
        <w:t>Articles of Incorporation of Lee County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†3.609</w:t>
        <w:tab/>
        <w:t>Bylaws of Lee County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†3.610</w:t>
        <w:tab/>
        <w:t>Certificate of Formation of Lemons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†3.611</w:t>
        <w:tab/>
        <w:t>Operating Agreement of Lemons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†3.612</w:t>
        <w:tab/>
        <w:t>Certificate of Limited Partnership of Lewisville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†3.613</w:t>
        <w:tab/>
        <w:t>Agreement of Limited Partnership of Lewisville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†3.614</w:t>
        <w:tab/>
        <w:t>Certificate of Incorporation of Liberty Waste Holdings,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†3.615</w:t>
        <w:tab/>
        <w:t>Amended and Restated Bylaws of Liberty Waste Holdings,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†3.616</w:t>
        <w:tab/>
        <w:t>Certificate of Formation of Liberty Waste Services Limited,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†3.617</w:t>
        <w:tab/>
        <w:t>Second Amended and Restated Limited Liability Company Agreement of Liberty Waste Services Limited,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†3.618</w:t>
        <w:tab/>
        <w:t>Articles of Organization of Liberty Waste Services of Illinois,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†3.619</w:t>
        <w:tab/>
        <w:t>Amended and Restated Operating Agreement of Liberty Waste Services of Illinois, L.L.C.</w:t>
      </w:r>
    </w:p>
    <w:p>
      <w:pPr>
        <w:spacing w:after="0" w:line="9" w:lineRule="exact"/>
        <w:rPr>
          <w:sz w:val="20"/>
          <w:szCs w:val="20"/>
          <w:color w:val="auto"/>
        </w:rPr>
      </w:pPr>
    </w:p>
    <w:p>
      <w:pPr>
        <w:ind w:left="18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†3.620</w:t>
        <w:tab/>
        <w:t>Certificate of Formation of Liberty Waste Services of McCook, L.L.C. (f/k/a West Suburban Recycling &amp; Energy Center, L.L.C., f/k/a West Suburban Resources &amp; Energy Center, L.L.C.),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†3.621</w:t>
        <w:tab/>
        <w:t>Amended and Restated Operating Agreement of Liberty Waste Services of McCook,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†3.622</w:t>
        <w:tab/>
        <w:t>Certificate of Formation of Little Creek Landing,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†3.623</w:t>
        <w:tab/>
        <w:t>Operating Agreement of Little Creek Landing,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†3.624</w:t>
        <w:tab/>
        <w:t>Certificate of Formation of Local Sanitation of Rowan County,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†3.625</w:t>
        <w:tab/>
        <w:t>Limited Liability Company Agreement of Local Sanitation of Rowan County,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†3.626</w:t>
        <w:tab/>
        <w:t>Articles of Incorporation of Loop Recycling,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†3.627</w:t>
        <w:tab/>
        <w:t>Amended and Restated Bylaws of Loop Recycling,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†3.628</w:t>
        <w:tab/>
        <w:t>Articles of Incorporation of Loop Transfer, Incorporated,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†3.629</w:t>
        <w:tab/>
        <w:t>Amended and Restated Bylaws of Loop Transfer, Incorporated.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†3.630</w:t>
        <w:tab/>
        <w:t>Articles of Organization of Lorain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†3.631</w:t>
        <w:tab/>
        <w:t>Operating Agreement of Lorain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†3.632</w:t>
        <w:tab/>
        <w:t>Certificate of Incorporation of Louis Pinto &amp; Son, Inc., Sanitation Contractors.</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†3.633</w:t>
        <w:tab/>
        <w:t>Amended and Restated Bylaws of Louis Pinto &amp; Son, Inc., Sanitation Contractors.</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†3.634</w:t>
        <w:tab/>
        <w:t>Certificate of Incorporation of Lucas County Land Development, Inc. (f/k/a Macomb Landfill,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†3.635</w:t>
        <w:tab/>
        <w:t>Bylaws of Lucas County Land Development, Inc. (f/k/a Macomb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†3.636</w:t>
        <w:tab/>
        <w:t>Articles of Organization of Lucas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†3.637</w:t>
        <w:tab/>
        <w:t>Operating Agreement of Lucas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†3.638</w:t>
        <w:tab/>
        <w:t>Articles of Organization of Madison County Development, LLC (f/k/a Wilson County Development,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†3.639</w:t>
        <w:tab/>
        <w:t>Operating Agreement of Madison County Development, LLC (f/k/a Wilson County Development,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†3.640</w:t>
        <w:tab/>
        <w:t>Articles of Incorporation of Manumit of Florida,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†3.641</w:t>
        <w:tab/>
        <w:t>Amended and Restated Bylaws of Manumit of Florida,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†3.642</w:t>
        <w:tab/>
        <w:t>Certificate of Limited Partnership of Mars Road TX, LP.</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†3.643</w:t>
        <w:tab/>
        <w:t>Agreement of Limited Partnership of Mars Road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†3.644</w:t>
        <w:tab/>
        <w:t>Certificate of Limited Partnership of McCarty Road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†3.645</w:t>
        <w:tab/>
        <w:t>Agreement of Limited Partnership of McCarty Road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†3.646</w:t>
        <w:tab/>
        <w:t>Articles of Incorporation of McCusker Recycling,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†3.647</w:t>
        <w:tab/>
        <w:t>Second Amended and Restated Bylaws of McCusker Recycling,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†3.648</w:t>
        <w:tab/>
        <w:t>Articles of Incorporation of McInnis Waste Systems,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†3.649</w:t>
        <w:tab/>
        <w:t>Amended and Restated Bylaws of McInnis Waste Systems,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†3.650</w:t>
        <w:tab/>
        <w:t>Articles of Organization of Menands Environmental Solutions,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†3.651</w:t>
        <w:tab/>
        <w:t>Operating Agreement of Menands Environmental Solutions,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†3.652</w:t>
        <w:tab/>
        <w:t>Articles of Incorporation of Mesa Disposal, Inc. (f/k/a Bullhead City Investors,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†3.653</w:t>
        <w:tab/>
        <w:t>Amended and Restated Bylaws of Mesa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†3.654</w:t>
        <w:tab/>
        <w:t>Certificate of Limited Partnership of Mesquite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†3.655</w:t>
        <w:tab/>
        <w:t>Agreement of Limited Partnership of Mesquite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†3.656</w:t>
        <w:tab/>
        <w:t>Certificate of Limited Partnership of Mexia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†3.657</w:t>
        <w:tab/>
        <w:t>Agreement of Limited Partnership of Mexia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†3.658</w:t>
        <w:tab/>
        <w:t>Articles of Incorporation of Midway Development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†3.659</w:t>
        <w:tab/>
        <w:t>Bylaws of Midway Development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†3.660</w:t>
        <w:tab/>
        <w:t>Articles of Incorporation of Mississippi Waste Paper Company.</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†3.661</w:t>
        <w:tab/>
        <w:t>Amended and Restated Bylaws of Mississippi Waste Paper Company.</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†3.662</w:t>
        <w:tab/>
        <w:t>Articles of Organization of Missouri City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†3.663</w:t>
        <w:tab/>
        <w:t>Operating Agreement of Missouri City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†3.664</w:t>
        <w:tab/>
        <w:t>Amended and Restated Partnership Agreement of Morehead Landfill General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7"/>
          <w:szCs w:val="17"/>
          <w:color w:val="auto"/>
        </w:rPr>
        <w:t>†3.665</w:t>
        <w:tab/>
        <w:t>Certificate of Incorporation of Mountain Home Disposal, Inc. (f/k/a Waste Connections of Idaho, Inc.), as amended.</w:t>
      </w:r>
    </w:p>
    <w:p>
      <w:pPr>
        <w:spacing w:after="0" w:line="2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†3.666</w:t>
        <w:tab/>
        <w:t>Amended and Restated Bylaws of Mountain Home Disposal, Inc. (f/k/a Waste Connections of Idaho,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†3.667</w:t>
        <w:tab/>
        <w:t>Certificate of Formation of N Leasing Company,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†3.668</w:t>
        <w:tab/>
        <w:t>Limited Liability Company Agreement of N Leasing Company,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†3.669</w:t>
        <w:tab/>
        <w:t>Articles of Incorporation of NationsWaste Catawba Regional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†3.670</w:t>
        <w:tab/>
        <w:t>Amended and Restated Bylaws of NationsWaste Catawba Regional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†3.671</w:t>
        <w:tab/>
        <w:t>Certificate of Incorporation of NationsWaste,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†3.672</w:t>
        <w:tab/>
        <w:t>Bylaws of NationsWaste,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†3.673</w:t>
        <w:tab/>
        <w:t>Certificate of Incorporation of Ncorp,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†3.674</w:t>
        <w:tab/>
        <w:t>Amended and Restated Bylaws of Ncorp,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†3.675</w:t>
        <w:tab/>
        <w:t>Articles of Incorporation of New Morgan Landfill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†3.676</w:t>
        <w:tab/>
        <w:t>Amended and Restated Bylaws of New Morgan Landfill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†3.677</w:t>
        <w:tab/>
        <w:t>Certificate of Formation of New York Waste Services,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†3.678</w:t>
        <w:tab/>
        <w:t>Operating Agreement of New York Waste Services,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†3.679</w:t>
        <w:tab/>
        <w:t>Certificate of Incorporation of Newco Waste Systems of New Jersey,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†3.680</w:t>
        <w:tab/>
        <w:t>Amended and Restated Bylaws of Newco Waste Systems of New Jersey,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†3.681</w:t>
        <w:tab/>
        <w:t>Partnership Agreement of Newton County Landfill Partnership,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†3.682</w:t>
        <w:tab/>
        <w:t>Articles of Incorporation of Noble Road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†3.683</w:t>
        <w:tab/>
        <w:t>Amended and Restated Bylaws of Noble Road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†3.684</w:t>
        <w:tab/>
        <w:t>Certificate of Formation of Northeast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†3.685</w:t>
        <w:tab/>
        <w:t>Operating Agreement of Northeast Landfill,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†3.686</w:t>
        <w:tab/>
        <w:t>Articles of Incorporation of Northlake Transfer, Inc.</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†3.687</w:t>
        <w:tab/>
        <w:t>Bylaws of Northlake Transfer,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†3.688</w:t>
        <w:tab/>
        <w:t>Charter of Northwest Tennessee Disposal Corporation.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†3.689</w:t>
        <w:tab/>
        <w:t>Second Amended and Restated Bylaws of Tennessee Disposal Corporation.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†3.690</w:t>
        <w:tab/>
        <w:t>Articles of Incorporation of Oakland Heights Development, Inc. (f/k/a Wayne Disposal-Oakland,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†3.691</w:t>
        <w:tab/>
        <w:t>Amended and Restated Bylaws of Oakland Heights Development, Inc. (f/k/a Wayne Disposal-Oakland,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†3.692</w:t>
        <w:tab/>
        <w:t>Articles of Organization of Obscurity Land Development,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†3.693</w:t>
        <w:tab/>
        <w:t>Operating Agreement of Obscurity Land Development,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†3.694</w:t>
        <w:tab/>
        <w:t>Amended and Restated Joint Venture Agreement of Oceanside Waste &amp; Recycling Services.</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†3.695</w:t>
        <w:tab/>
        <w:t>Certificate of Incorporation of Ohio Republic Contracts, II,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†3.696</w:t>
        <w:tab/>
        <w:t>Amended and Restated Bylaws of Ohio Republic Contracts, II,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†3.697</w:t>
        <w:tab/>
        <w:t>Articles of Incorporation of Ohio Republic Contracts,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†3.698</w:t>
        <w:tab/>
        <w:t>Amended and Restated Bylaws of Ohio Republic Contracts,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†3.699</w:t>
        <w:tab/>
        <w:t>Articles of Organization of Oklahoma City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†3.700</w:t>
        <w:tab/>
        <w:t>Operating Agreement of Oklahoma City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†3.701</w:t>
        <w:tab/>
        <w:t>Articles of Incorporation for Oscar’s Collection System of Fremont,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†3.702</w:t>
        <w:tab/>
        <w:t>Bylaws of Oscar’s Collection System of Fremont,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†3.703</w:t>
        <w:tab/>
        <w:t>Articles of Incorporation of Otay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†3.704</w:t>
        <w:tab/>
        <w:t>Amended and Restated Bylaws of Otay Landfill, Inc.</w:t>
      </w:r>
    </w:p>
    <w:p>
      <w:pPr>
        <w:spacing w:after="0" w:line="9" w:lineRule="exact"/>
        <w:rPr>
          <w:sz w:val="20"/>
          <w:szCs w:val="20"/>
          <w:color w:val="auto"/>
        </w:rPr>
      </w:pPr>
    </w:p>
    <w:p>
      <w:pPr>
        <w:ind w:left="18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†3.705</w:t>
        <w:tab/>
        <w:t>Certificate of Incorporation of Ottawa County Landfill, Inc. (f/k/a Laidlaw Waste Systems (Michigan) Inc., f/k/a Laidlaw Waste Systems (Pennsylvania) Inc., f/k/a Epping Sanitary Landfill, Inc.), as amended.</w:t>
      </w:r>
    </w:p>
    <w:p>
      <w:pPr>
        <w:spacing w:after="0" w:line="1" w:lineRule="exact"/>
        <w:rPr>
          <w:sz w:val="20"/>
          <w:szCs w:val="20"/>
          <w:color w:val="auto"/>
        </w:rPr>
      </w:pPr>
    </w:p>
    <w:p>
      <w:pPr>
        <w:ind w:left="1840" w:right="30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†3.706</w:t>
        <w:tab/>
        <w:t>Bylaws of Ottawa County Landfill, Inc. (f/k/a Laidlaw Waste Systems (Michigan) Inc., f/k/a Laidlaw Waste Systems (Pennsylvania) Inc., f/k/a Epping Sanitary Landfill, Inc.).</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†3.707</w:t>
        <w:tab/>
        <w:t>Certificate of Formation of Packerton Land Company,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†3.708</w:t>
        <w:tab/>
        <w:t>Amended and Restated Operating Agreement of Packerton Land Company,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†3.709</w:t>
        <w:tab/>
        <w:t>Articles of Incorporation of Palomar Transfer Station,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†3.710</w:t>
        <w:tab/>
        <w:t>Bylaws of Palomar Transfer Station,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†3.711</w:t>
        <w:tab/>
        <w:t>Certificate of Limited Partnership of Panama Road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†3.712</w:t>
        <w:tab/>
        <w:t>Agreement of Limited Partnership of Panama Road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†3.713</w:t>
        <w:tab/>
        <w:t>Articles of Incorporation of Peltier Real Estate Company,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†3.714</w:t>
        <w:tab/>
        <w:t>Amended and Restated Bylaws of Peltier Real Estate Company.</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†3.715</w:t>
        <w:tab/>
        <w:t>Restated Articles of Incorporation of Perdomo and Son’s,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†3.716</w:t>
        <w:tab/>
        <w:t>Second Amended and Restated Bylaws of Perdomo and Son’s,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†3.717</w:t>
        <w:tab/>
        <w:t>Articles of Incorporation of Pinal County Landfill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†3.718</w:t>
        <w:tab/>
        <w:t>Bylaws of Pinal County Landfill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†3.719</w:t>
        <w:tab/>
        <w:t>Certificate of Limited Partnership of Pine Hill Farms Landfill TX, LP (f/k/a Pinehill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†3.720</w:t>
        <w:tab/>
        <w:t>Agreement of Limited Partnership of Pine Hill Farms Landfill TX, LP (f/k/a Pinehill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†3.721</w:t>
        <w:tab/>
        <w:t>Certificate of Formation of Pinecrest Landfill OK,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†3.722</w:t>
        <w:tab/>
        <w:t>Operating Agreement of Pinecrest Landfill OK,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†3.723</w:t>
        <w:tab/>
        <w:t>Certificate of Incorporation of Pittsburg County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†3.724</w:t>
        <w:tab/>
        <w:t>Amended and Restated Bylaws of Pittsburg County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†3.725</w:t>
        <w:tab/>
        <w:t>Certificate of Limited Partnership of Pleasant Oaks Landfill TX,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†3.726</w:t>
        <w:tab/>
        <w:t>Agreement of Limited Partnership of Pleasant Oaks Landfill TX, LP.</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†3.727</w:t>
        <w:tab/>
        <w:t>Certificate of Formation of Polk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†3.728</w:t>
        <w:tab/>
        <w:t>Operating Agreement of Polk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†3.729</w:t>
        <w:tab/>
        <w:t>Articles of Incorporation of Port Clinton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†3.730</w:t>
        <w:tab/>
        <w:t>Bylaws of Port Clinton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†3.731</w:t>
        <w:tab/>
        <w:t>Articles of Incorporation of Portable Storage Co. (f/k/a United Septic Service,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†3.732</w:t>
        <w:tab/>
        <w:t>Amended and Restated Bylaws of Portable Storage Co.</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†3.733</w:t>
        <w:tab/>
        <w:t>Articles of Incorporation of Preble County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†3.734</w:t>
        <w:tab/>
        <w:t>Bylaws of Preble County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†3.735</w:t>
        <w:tab/>
        <w:t>Articles of Incorporation of Price &amp; Sons Recycling Company,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†3.736</w:t>
        <w:tab/>
        <w:t>Amended and Restated Bylaws of Price &amp; Sons Recycling Company.</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†3.737</w:t>
        <w:tab/>
        <w:t>Articles of Organization of Prince George’s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†3.738</w:t>
        <w:tab/>
        <w:t>Operating Agreement of Prince George’s County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†3.739</w:t>
        <w:tab/>
        <w:t>Articles of Incorporation of R.C. Miller Enterprises,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†3.740</w:t>
        <w:tab/>
        <w:t>Amended and Restated Bylaws of R.C. Miller Enterprises,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†3.741</w:t>
        <w:tab/>
        <w:t>Articles of Incorporation of R.C. Miller Refuse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†3.742</w:t>
        <w:tab/>
        <w:t>Amended and Restated Bylaws of R.C. Miller Refuse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†3.743</w:t>
        <w:tab/>
        <w:t>Partnership Agreement of Rabanco Companies,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†3.744</w:t>
        <w:tab/>
        <w:t>Articles of Incorporation of Rabanco Recycling, Inc. (f/k/a Rabanco Acquisition Company Two),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†3.745</w:t>
        <w:tab/>
        <w:t>Bylaws of Rabanco Recycling, Inc. (f/k/a Rabanco Acquisition Company Two).</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†3.746</w:t>
        <w:tab/>
        <w:t>Articles of Incorporation of Rabanco, Ltd. (f/k/a Rabanco Acquisition Company),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†3.747</w:t>
        <w:tab/>
        <w:t>Bylaws of Rabanco, Ltd. (f/k/a Rabanco Acquisition Company).</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†3.748</w:t>
        <w:tab/>
        <w:t>Articles of Incorporation of Ramona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†3.749</w:t>
        <w:tab/>
        <w:t>Bylaws of Ramona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†3.750</w:t>
        <w:tab/>
        <w:t>Articles of Incorporation of RCS,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†3.751</w:t>
        <w:tab/>
        <w:t>Bylaws of RCS,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†3.752</w:t>
        <w:tab/>
        <w:t>Articles of Incorporation of Reliable Disposal, Inc. (f/k/a Sulo &amp; Company).,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†3.753</w:t>
        <w:tab/>
        <w:t>Amended and Restated Bylaws of Reliable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†3.754</w:t>
        <w:tab/>
        <w:t>Articles of Incorporation of Republic Dumpco,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†3.755</w:t>
        <w:tab/>
        <w:t>Amended and Restated Bylaws of Republic Dumpco,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7"/>
          <w:szCs w:val="17"/>
          <w:color w:val="auto"/>
        </w:rPr>
        <w:t>†3.756</w:t>
        <w:tab/>
        <w:t>Articles of Incorporation of Republic Environmental Technologies, Inc. (f/k/a RI/ETON Acquisition Corp.), as amended.</w:t>
      </w:r>
    </w:p>
    <w:p>
      <w:pPr>
        <w:spacing w:after="0" w:line="2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†3.757</w:t>
        <w:tab/>
        <w:t>Amended and Restated Bylaws of Republic Environmental Technologies,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†3.758</w:t>
        <w:tab/>
        <w:t>Articles of Organization of Republic Ohio Contracts,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†3.759</w:t>
        <w:tab/>
        <w:t>Second Amended and Restated Operating Agreement of Republic Ohio Contracts,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†3.760</w:t>
        <w:tab/>
        <w:t>Articles of Incorporation of Republic Services Aviation,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†3.761</w:t>
        <w:tab/>
        <w:t>Amended and Restated Bylaws of Republic Services Aviation,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†3.762</w:t>
        <w:tab/>
        <w:t>Certificate of Incorporation of Republic Services Financial LP,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†3.763</w:t>
        <w:tab/>
        <w:t>Bylaws of Republic Services Financial LP,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†3.764</w:t>
        <w:tab/>
        <w:t>Certificate of Limited Partnership of Republic Services Financial, Limited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†3.765</w:t>
        <w:tab/>
        <w:t>Limited Partnership Agreement of Republic Services Financial, Limited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†3.766</w:t>
        <w:tab/>
        <w:t>Certificate of Formation of Republic Services Group, LLC (f/k/a RS/WM Holding Company,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†3.767</w:t>
        <w:tab/>
        <w:t>Second Amended and Restated Operating Agreement of Republic Services Group,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†3.768</w:t>
        <w:tab/>
        <w:t>Certificate of Incorporation of Republic Services Holding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†3.769</w:t>
        <w:tab/>
        <w:t>Amended and Restated Bylaws of Republic Services Holding Company, Inc.</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†3.770</w:t>
        <w:tab/>
        <w:t>Articles of Organization of Republic Services of Arizona Hauling,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†3.771</w:t>
        <w:tab/>
        <w:t>Amended and Restated Operating Agreement of Arizona Hauling,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†3.772</w:t>
        <w:tab/>
        <w:t>Certificate of Incorporation of Republic Services of California Holding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†3.773</w:t>
        <w:tab/>
        <w:t>Amended and Restated Bylaws of Republic Services of California Holding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†3.774</w:t>
        <w:tab/>
        <w:t>Certificate of Formation of Republic Services of California II,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†3.775</w:t>
        <w:tab/>
        <w:t>Second Amended and Restated Operating Agreement of Republic Services of California II,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†3.776</w:t>
        <w:tab/>
        <w:t>Articles of Organization of Republic Services of Colorado Hauling,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†3.777</w:t>
        <w:tab/>
        <w:t>Third Amended and Restated Operating Agreement of Republic Services of Colorado Hauling,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†3.778</w:t>
        <w:tab/>
        <w:t>Articles of Organization of Republic Services of Colorado I,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†3.779</w:t>
        <w:tab/>
        <w:t>Third Amended and Restated Operating Agreement of Republic Services of Colorado 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†3.780</w:t>
        <w:tab/>
        <w:t>Certificate of Incorporation of Republic Services of Florida GP,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†3.781</w:t>
        <w:tab/>
        <w:t>Amended and Restated Bylaws of Republic Services of Florida GP,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†3.782</w:t>
        <w:tab/>
        <w:t>Certificate of Incorporation of Republic Services of Florida LP,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†3.783</w:t>
        <w:tab/>
        <w:t>Amended and Restated Bylaws of Republic Services of Florida LP,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†3.784</w:t>
        <w:tab/>
        <w:t>Certificate of Limited Partnership of Republic Services of Florida, Limited Partnership,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†3.785</w:t>
        <w:tab/>
        <w:t>Agreement of Limited Partnership of Republic Services of Florida, Limited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7"/>
          <w:szCs w:val="17"/>
          <w:color w:val="auto"/>
        </w:rPr>
        <w:t>†3.786</w:t>
        <w:tab/>
        <w:t>Certificate of Formation of Republic Services of Georgia GP, LLC (f/k/a Republic Services of Georgia GP, Inc.).</w:t>
      </w:r>
    </w:p>
    <w:p>
      <w:pPr>
        <w:spacing w:after="0" w:line="2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†3.787</w:t>
        <w:tab/>
        <w:t>Operating Agreement of Republic Services of Georgia GP,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7"/>
          <w:szCs w:val="17"/>
          <w:color w:val="auto"/>
        </w:rPr>
        <w:t>†3.788</w:t>
        <w:tab/>
        <w:t>Certificate of Formation of Republic Services of Georgia LP, LLC (f/k/a Republic Services of Georgia LP, Inc.).</w:t>
      </w:r>
    </w:p>
    <w:p>
      <w:pPr>
        <w:spacing w:after="0" w:line="2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†3.789</w:t>
        <w:tab/>
        <w:t>Operating Agreement of Republic Services of Georgia LP,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†3.790</w:t>
        <w:tab/>
        <w:t>Certificate of Limited Partnership of Republic Services of Georgia, Limited Partnership,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7"/>
          <w:szCs w:val="17"/>
          <w:color w:val="auto"/>
        </w:rPr>
        <w:t>†3.791</w:t>
        <w:tab/>
        <w:t>Amended and Restated Agreement of Limited Partnership of Republic Services of Georgia, Limited Partnership.</w:t>
      </w:r>
    </w:p>
    <w:p>
      <w:pPr>
        <w:spacing w:after="0" w:line="2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†3.792</w:t>
        <w:tab/>
        <w:t>Certificate of Incorporation of Republic Services of Indiana LP,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†3.793</w:t>
        <w:tab/>
        <w:t>Amended and Restated Bylaws of Republic Services of Indiana LP,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†3.794</w:t>
        <w:tab/>
        <w:t>Certificate of Formation of Republic Services of Indiana Transportation,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†3.795</w:t>
        <w:tab/>
        <w:t>Operating Agreement of Republic Services of Indiana Transportation,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†3.796</w:t>
        <w:tab/>
        <w:t>Certificate of Limited Partnership of Republic Services of Indiana, Limited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†3.797</w:t>
        <w:tab/>
        <w:t>Agreement of Limited Partnership of Republic Services of Indiana, Limited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†3.798</w:t>
        <w:tab/>
        <w:t>Articles of Organization of Republic Services of Kentucky,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†3.799</w:t>
        <w:tab/>
        <w:t>Operating Agreement of Republic Services of Kentucky,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†3.800</w:t>
        <w:tab/>
        <w:t>Articles of Organization of Republic Services of Michigan Hauling,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†3.801</w:t>
        <w:tab/>
        <w:t>Second Amended and Restated Operating Agreement of Michigan Hauling,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†3.802</w:t>
        <w:tab/>
        <w:t>Certificate of Incorporation of Republic Services of Michigan Holding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†3.803</w:t>
        <w:tab/>
        <w:t>Amended and Restated Bylaws of Republic Services of Michigan Holding Company,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†3.804</w:t>
        <w:tab/>
        <w:t>Articles of Organization of Republic Services of Michigan 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†3.805</w:t>
        <w:tab/>
        <w:t>Second Amended and Restated Operating Agreement of Republic Services of Michigan 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†3.806</w:t>
        <w:tab/>
        <w:t>Articles of Organization of Republic Services of Michigan II,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†3.807</w:t>
        <w:tab/>
        <w:t>Second Amended and Restated Operating Agreement of Republic Services of Michigan II,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†3.808</w:t>
        <w:tab/>
        <w:t>Articles of Organization of Republic Services of Michigan III,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†3.809</w:t>
        <w:tab/>
        <w:t>Second Amended and Restated Operating Agreement of Republic Services of Michigan III,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†3.810</w:t>
        <w:tab/>
        <w:t>Articles of Organization of Republic Services of Michigan IV,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†3.811</w:t>
        <w:tab/>
        <w:t>Second Amended and Restated Operating Agreement of Republic Services of Michigan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†3.812</w:t>
        <w:tab/>
        <w:t>Articles of Organization of Republic Services of Michigan V, LLC.</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†3.813</w:t>
        <w:tab/>
        <w:t>Second Amended and Restated Operating Agreement of Republic Services of Michigan V, LLC.</w:t>
      </w:r>
    </w:p>
    <w:p>
      <w:pPr>
        <w:spacing w:after="0" w:line="9" w:lineRule="exact"/>
        <w:rPr>
          <w:sz w:val="20"/>
          <w:szCs w:val="20"/>
          <w:color w:val="auto"/>
        </w:rPr>
      </w:pPr>
    </w:p>
    <w:p>
      <w:pPr>
        <w:ind w:left="1840" w:right="30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†3.814</w:t>
        <w:tab/>
        <w:t>Certificate of Formation of Republic Services of New Jersey, LLC (f/k/a Republic Services of New Jersey I, LLC),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†3.815</w:t>
        <w:tab/>
        <w:t>Third Amended and Restated Operating Agreement of Republic Services of New Jersey,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†3.816</w:t>
        <w:tab/>
        <w:t>Articles of Organization of Republic Services of North Carolina,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†3.817</w:t>
        <w:tab/>
        <w:t>Operating Agreement of Republic Services of North Carolina,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†3.818</w:t>
        <w:tab/>
        <w:t>Articles of Organization of Republic Services of Ohio Hauling,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†3.819</w:t>
        <w:tab/>
        <w:t>Second Amended and Restated Operating Agreement of Republic Services of Ohio Hauling,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†3.820</w:t>
        <w:tab/>
        <w:t>Articles of Organization of Republic Services of Ohio I,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†3.821</w:t>
        <w:tab/>
        <w:t>Second Amended and Restated Operating Agreement of Republic Services of Ohio 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†3.822</w:t>
        <w:tab/>
        <w:t>Articles of Organization of Republic Services of Ohio II,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†3.823</w:t>
        <w:tab/>
        <w:t>Second Amended and Restated Operating Agreement of Republic Services of Ohio II,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†3.824</w:t>
        <w:tab/>
        <w:t>Articles of Organization of Republic Services of Ohio III,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†3.825</w:t>
        <w:tab/>
        <w:t>Second Amended and Restated Operating Agreement of Republic Services of Ohio III,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†3.826</w:t>
        <w:tab/>
        <w:t>Articles of Organization of Republic Services of Ohio IV,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†3.827</w:t>
        <w:tab/>
        <w:t>Second Amended and Restated Operating Agreement of Republic Services of Ohio IV,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†3.828</w:t>
        <w:tab/>
        <w:t>Certificate of Formation of Republic Services of Pennsylvania,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†3.829</w:t>
        <w:tab/>
        <w:t>Second Amended and Restated Operating Agreement of Republic Services of Pennsylvania,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†3.830</w:t>
        <w:tab/>
        <w:t>Certificate of Formation of Republic Services of South Carolina,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†3.831</w:t>
        <w:tab/>
        <w:t>Second Amended and Restated Operating Agreement of Republic Services of South Carolina,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†3.832</w:t>
        <w:tab/>
        <w:t>Certificate of Formation of Republic Services of Southern California,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†3.833</w:t>
        <w:tab/>
        <w:t>Operating Agreement of Republic Services of Southern California,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†3.834</w:t>
        <w:tab/>
        <w:t>Articles of Organization of Republic Services of Virginia,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†3.835</w:t>
        <w:tab/>
        <w:t>Operating Agreement of Republic Services of Virginia,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†3.836</w:t>
        <w:tab/>
        <w:t>Certificate of Formation of Republic Services of Wisconsin GP, LLC (f/k/a Republic Services of Wisconsin GP,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†3.837</w:t>
        <w:tab/>
        <w:t>Operating Agreement of Republic Services of Wisconsin GP,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†3.838</w:t>
        <w:tab/>
        <w:t>Certificate of Formation of Republic Services of Wisconsin LP, LLC (f/k/a Republic Services of Wisconsin LP,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†3.839</w:t>
        <w:tab/>
        <w:t>Operating Agreement of Republic Services of Wisconsin LP,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†3.840</w:t>
        <w:tab/>
        <w:t>Certificate of Limited Partnership of Republic Services of Wisconsin, Limited Partnership,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†3.841</w:t>
        <w:tab/>
        <w:t>Amended and Restated Agreement of Limited Partnership of Republic Services of Wisconsin, Limited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†3.842</w:t>
        <w:tab/>
        <w:t>Articles of Incorporation of Republic Services Real Estate Holding,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†3.843</w:t>
        <w:tab/>
        <w:t>Amended and Restated Bylaws of Republic Services Real Estate Holding, Inc.</w:t>
      </w:r>
    </w:p>
    <w:p>
      <w:pPr>
        <w:spacing w:after="0" w:line="9" w:lineRule="exact"/>
        <w:rPr>
          <w:sz w:val="20"/>
          <w:szCs w:val="20"/>
          <w:color w:val="auto"/>
        </w:rPr>
      </w:pPr>
    </w:p>
    <w:p>
      <w:pPr>
        <w:ind w:left="1840" w:right="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†3.844</w:t>
        <w:tab/>
        <w:t>Certificate of Formation of Republic Services Vasco Road, LLC (f/k/a Republic Services of California Hauling, LLC),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†3.845</w:t>
        <w:tab/>
        <w:t>Second Amended and Restated Operating Agreement of Republic Services Vasco Road, LLC.</w:t>
      </w:r>
    </w:p>
    <w:p>
      <w:pPr>
        <w:spacing w:after="0" w:line="9" w:lineRule="exact"/>
        <w:rPr>
          <w:sz w:val="20"/>
          <w:szCs w:val="20"/>
          <w:color w:val="auto"/>
        </w:rPr>
      </w:pPr>
    </w:p>
    <w:p>
      <w:pPr>
        <w:ind w:left="18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†3.846</w:t>
        <w:tab/>
        <w:t>Articles of Incorporation of Republic Silver State Disposal, Inc. (f/k/a RI/SSDS Acquisition Corp., f/k/a RI/SSDS Merger Corp.),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†3.847</w:t>
        <w:tab/>
        <w:t>Amended and Restated Bylaws of Republic Silver State Disposal, Inc.</w:t>
      </w:r>
    </w:p>
    <w:p>
      <w:pPr>
        <w:spacing w:after="0" w:line="9" w:lineRule="exact"/>
        <w:rPr>
          <w:sz w:val="20"/>
          <w:szCs w:val="20"/>
          <w:color w:val="auto"/>
        </w:rPr>
      </w:pPr>
    </w:p>
    <w:p>
      <w:pPr>
        <w:ind w:left="1840" w:right="26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†3.848</w:t>
        <w:tab/>
        <w:t>Certificate of Formation of Republic Waste Services of Southern California, LLC (f/k/a Taormina Industries, LLC), as amended.</w:t>
      </w:r>
    </w:p>
    <w:p>
      <w:pPr>
        <w:spacing w:after="0" w:line="1" w:lineRule="exact"/>
        <w:rPr>
          <w:sz w:val="20"/>
          <w:szCs w:val="20"/>
          <w:color w:val="auto"/>
        </w:rPr>
      </w:pPr>
    </w:p>
    <w:p>
      <w:pPr>
        <w:ind w:left="1840" w:right="36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†3.849</w:t>
        <w:tab/>
        <w:t>Fourth Amended and Restated Operating Agreement for Republic Waste Services of Southern California, LLC (f/k/a Taorima Industries, LLC).</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†3.850</w:t>
        <w:tab/>
        <w:t>Certificate of Incorporation of Republic Waste Services of Texas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†3.851</w:t>
        <w:tab/>
        <w:t>Amended and Restated Bylaws of Republic Waste Services of Texas GP, Inc.</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†3.852</w:t>
        <w:tab/>
        <w:t>Certificate of Incorporation of Republic Waste Services of Texas LP,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†3.853</w:t>
        <w:tab/>
        <w:t>Amended and Restated Bylaws of Republic Waste Services of Texas LP, Inc.</w:t>
      </w:r>
    </w:p>
    <w:p>
      <w:pPr>
        <w:spacing w:after="0" w:line="9" w:lineRule="exact"/>
        <w:rPr>
          <w:sz w:val="20"/>
          <w:szCs w:val="20"/>
          <w:color w:val="auto"/>
        </w:rPr>
      </w:pPr>
    </w:p>
    <w:p>
      <w:pPr>
        <w:ind w:left="1840" w:right="16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†3.854</w:t>
        <w:tab/>
        <w:t>Certificate of Limited Partnership of Republic Waste Services of Texas, Ltd. (f/k/a Republic Waste Services of Texas,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†3.855</w:t>
        <w:tab/>
        <w:t>Amended and Restated Texas Limited Partnership Agreement of Republic Waste Services of Texas, Ltd.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†3.856</w:t>
        <w:tab/>
        <w:t>Articles of Incorporation of Resource Recovery,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†3.857</w:t>
        <w:tab/>
        <w:t>Amended and Restated Bylaws of Resource Recovery,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†3.858</w:t>
        <w:tab/>
        <w:t>Articles of Incorporation of RI/Alameda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†3.859</w:t>
        <w:tab/>
        <w:t>Amended and Restated Bylaws of RI/Alameda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†3.860</w:t>
        <w:tab/>
        <w:t>Articles of Incorporation of Richmond Sanitary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†3.861</w:t>
        <w:tab/>
        <w:t>Second Amended and Restated Bylaws of Richmond Sanitary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†3.862</w:t>
        <w:tab/>
        <w:t>Certificate of Limited Partnership of Rio Grande Valley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†3.863</w:t>
        <w:tab/>
        <w:t>Agreement of Limited Partnership of Rio Grande Valley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†3.864</w:t>
        <w:tab/>
        <w:t>Certificate of Incorporation of Risk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†3.865</w:t>
        <w:tab/>
        <w:t>Amended and Restated Bylaws of Risk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†3.866</w:t>
        <w:tab/>
        <w:t>Certificate of Formation of RITM, LLC (f/k/a Letco,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†3.867</w:t>
        <w:tab/>
        <w:t>Second Amended and Restated Operating Agreement of RITM,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†3.868</w:t>
        <w:tab/>
        <w:t>Articles of Incorporation of Rock Road Industries,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†3.869</w:t>
        <w:tab/>
        <w:t>Amended and Restated Bylaws of Rock Road Industries,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†3.870</w:t>
        <w:tab/>
        <w:t>Articles of Incorporation of Ross Bros. Waste &amp; Recycling Co.</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†3.871</w:t>
        <w:tab/>
        <w:t>Amended and Restated Bylaws of Ross Bros. Waste &amp; Recycling Co.</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†3.872</w:t>
        <w:tab/>
        <w:t>Articles of Incorporation of Rossman Sanitary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†3.873</w:t>
        <w:tab/>
        <w:t>Amended and Restated Bylaws of Rossman Sanitary Service, Inc.</w:t>
      </w:r>
    </w:p>
    <w:p>
      <w:pPr>
        <w:spacing w:after="0" w:line="9" w:lineRule="exact"/>
        <w:rPr>
          <w:sz w:val="20"/>
          <w:szCs w:val="20"/>
          <w:color w:val="auto"/>
        </w:rPr>
      </w:pPr>
    </w:p>
    <w:p>
      <w:pPr>
        <w:ind w:left="184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†3.874</w:t>
        <w:tab/>
        <w:t>Articles of Incorporation of Roxana Landfill, Inc. (f/k/a Laidlaw Waste Systems (Madison) Inc., f/k/a GSX Corporation of Illinois),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†3.875</w:t>
        <w:tab/>
        <w:t>Amended and Restated Bylaws of Roxana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†3.876</w:t>
        <w:tab/>
        <w:t>Articles of Incorporation of Royal Holdings,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†3.877</w:t>
        <w:tab/>
        <w:t>Bylaws of Royal Holdings,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†3.878</w:t>
        <w:tab/>
        <w:t>Certificate of Limited Partnership of Royal Oaks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†3.879</w:t>
        <w:tab/>
        <w:t>Agreement of Limited Partnership of Royal Oaks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†3.880</w:t>
        <w:tab/>
        <w:t>Certificate of Formation of Rubbish Control, L.L.C. (f/k/a Ventura County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†3.881</w:t>
        <w:tab/>
        <w:t>Second Amended and Restated Operating Agreement of Rubbish Control,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†3.882</w:t>
        <w:tab/>
        <w:t>Certificate of Limited Partnership of RWS Transport,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†3.883</w:t>
        <w:tab/>
        <w:t>Agreement of Limited Partnership of RWS Transport,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†3.884</w:t>
        <w:tab/>
        <w:t>Articles of Incorporation of S &amp; S Recycling,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†3.885</w:t>
        <w:tab/>
        <w:t>Amended and Restated Bylaws of S &amp; S Recycling,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†3.886</w:t>
        <w:tab/>
        <w:t>Certificate of Formation of S Leasing Company,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†3.887</w:t>
        <w:tab/>
        <w:t>Limited Liability Company Agreement of S Leasing Company, LLC,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†3.888</w:t>
        <w:tab/>
        <w:t>Articles of Incorporation of Saline County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†3.889</w:t>
        <w:tab/>
        <w:t>Amended and Restated Bylaws of Saline County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†3.890</w:t>
        <w:tab/>
        <w:t>Articles of Organization of San Diego Landfill Systems,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†3.891</w:t>
        <w:tab/>
        <w:t>Operating Agreement of San Diego Landfill Systems,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†3.892</w:t>
        <w:tab/>
        <w:t>Articles of Incorporation of San Marcos NCRRF,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415" w:right="119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†3.893</w:t>
        <w:tab/>
        <w:t>Bylaws of San Marcos NCRRF, Inc.</w:t>
      </w:r>
    </w:p>
    <w:p>
      <w:pPr>
        <w:spacing w:after="0" w:line="27" w:lineRule="exact"/>
        <w:rPr>
          <w:sz w:val="20"/>
          <w:szCs w:val="20"/>
          <w:color w:val="auto"/>
        </w:rPr>
      </w:pPr>
    </w:p>
    <w:p>
      <w:pPr>
        <w:jc w:val="both"/>
        <w:ind w:left="1080" w:right="120"/>
        <w:spacing w:after="0" w:line="250" w:lineRule="auto"/>
        <w:rPr>
          <w:sz w:val="20"/>
          <w:szCs w:val="20"/>
          <w:color w:val="auto"/>
        </w:rPr>
      </w:pPr>
      <w:r>
        <w:rPr>
          <w:rFonts w:ascii="Times New Roman" w:cs="Times New Roman" w:eastAsia="Times New Roman" w:hAnsi="Times New Roman"/>
          <w:sz w:val="18"/>
          <w:szCs w:val="18"/>
          <w:color w:val="auto"/>
        </w:rPr>
        <w:t>†3.894 Certificate of Formation of Sand Valley Holdings, L.L.C. (f/k/a Liberty Waste Services Holdings, L.L.C.), as amended. †3.895 Amended and Restated Operating Agreement of Sand Valley Holdings, L.L.C. (f/k/a Liberty Waste Services Holdings,</w:t>
      </w:r>
    </w:p>
    <w:p>
      <w:pPr>
        <w:spacing w:after="0" w:line="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†3.896</w:t>
        <w:tab/>
        <w:t>Articles of Incorporation of Sandy Hollow Landfill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†3.897</w:t>
        <w:tab/>
        <w:t>Amended and Restated Bylaws of Sandy Hollow Landfill Corp.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7"/>
          <w:szCs w:val="17"/>
          <w:color w:val="auto"/>
        </w:rPr>
        <w:t>†3.898</w:t>
        <w:tab/>
        <w:t>Certificate of Incorporation of Sangamon Valley Landfill, Inc. (f/k/a Draw Acquisition Company Eighteen), as amended.</w:t>
      </w:r>
    </w:p>
    <w:p>
      <w:pPr>
        <w:spacing w:after="0" w:line="2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†3.899</w:t>
        <w:tab/>
        <w:t>Bylaws of Sangamon Valley Landfill, Inc. (f/k/a Draw Acquisition Company Eighteen).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†3.900</w:t>
        <w:tab/>
        <w:t>Articles of Incorporation of Sanitary Disposal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†3.901</w:t>
        <w:tab/>
        <w:t>Bylaws of Sanitary Disposal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†3.902</w:t>
        <w:tab/>
        <w:t>Articles of Incorporation of Sauk Trail Development, Inc. (f/k/a Wayne Disposal-Canton,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†3.903</w:t>
        <w:tab/>
        <w:t>Amended and Restated Bylaws of Sauk Trail Development,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†3.904</w:t>
        <w:tab/>
        <w:t>Articles of Incorporation of Schofield Corporation of Orlando,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†3.905</w:t>
        <w:tab/>
        <w:t>Second Amended and Restated Bylaws of Schofield Corporation of Orlando.</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†3.906</w:t>
        <w:tab/>
        <w:t>Certificate of Formation of Show-Me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†3.907</w:t>
        <w:tab/>
        <w:t>Operating Agreement of Show- Me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†3.908</w:t>
        <w:tab/>
        <w:t>Articles of Incorporation of Shred — All Recycling Systems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†3.909</w:t>
        <w:tab/>
        <w:t>Amended and Restated Bylaws of Shred — All Recycling Systems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†3.910</w:t>
        <w:tab/>
        <w:t>Articles of Incorporation of Solano Garbage Company (f/k/a Richella Corporation),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†3.911</w:t>
        <w:tab/>
        <w:t>Second Amended and Restated Bylaws of Solano Garbage Company.</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†3.912</w:t>
        <w:tab/>
        <w:t>Articles of Incorporation of Source Recycling,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†3.913</w:t>
        <w:tab/>
        <w:t>Amended and Restated Bylaws of Source Recycling,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†3.914</w:t>
        <w:tab/>
        <w:t>Certificate of Limited Partnership of South Central Texas Land Co.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†3.915</w:t>
        <w:tab/>
        <w:t>Agreement of Limited Partnership of South Central Texas Land Co.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†3.916</w:t>
        <w:tab/>
        <w:t>Certificate of Formation of Southeast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†3.917</w:t>
        <w:tab/>
        <w:t>Operating Agreement of Southeast Landfill, LLC.</w:t>
      </w:r>
    </w:p>
    <w:p>
      <w:pPr>
        <w:spacing w:after="0" w:line="9" w:lineRule="exact"/>
        <w:rPr>
          <w:sz w:val="20"/>
          <w:szCs w:val="20"/>
          <w:color w:val="auto"/>
        </w:rPr>
      </w:pPr>
    </w:p>
    <w:p>
      <w:pPr>
        <w:ind w:left="1840" w:right="58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†3.918</w:t>
        <w:tab/>
        <w:t>Articles of Incorporation of Southern Illinois Regional Landfill, Inc. (f/k/a Metropolitan Waste Systems,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†3.919</w:t>
        <w:tab/>
        <w:t>Amended and Restated Bylaws of Southern Illinois Regional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†3.920</w:t>
        <w:tab/>
        <w:t>Certificate of Limited Partnership of Southwest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†3.921</w:t>
        <w:tab/>
        <w:t>Agreement of Limited Partnership of Southwest Landfill TX, LP,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†3.922</w:t>
        <w:tab/>
        <w:t>Partnership Agreement of Springfield Environmental General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†3.923</w:t>
        <w:tab/>
        <w:t>Articles of Organization of St. Bernard Parish Development Company,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†3.924</w:t>
        <w:tab/>
        <w:t>Operating Agreement of St. Bernard Parish Development Company,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†3.925</w:t>
        <w:tab/>
        <w:t>Articles of Organization of St. Joseph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†3.926</w:t>
        <w:tab/>
        <w:t>Operating Agreement of St. Joseph Landfill,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†3.927</w:t>
        <w:tab/>
        <w:t>Articles of Incorporation of Standard Disposal Services, Inc. (f/k/a Manumit, Inc.),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†3.928</w:t>
        <w:tab/>
        <w:t>Amended and Restated Bylaws of Standard Disposal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†3.929</w:t>
        <w:tab/>
        <w:t>Articles of Incorporation of Standard Environmental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†3.930</w:t>
        <w:tab/>
        <w:t>Amended and Restated Bylaws of Standard Environmental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†3.931</w:t>
        <w:tab/>
        <w:t>Certificate of Incorporation of Standard Waste,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†3.932</w:t>
        <w:tab/>
        <w:t>Amended and Restated Bylaws of Standard Waste,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†3.933</w:t>
        <w:tab/>
        <w:t>Articles of Incorporation of Streator Area Landfill,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5" w:right="111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tc>
        <w:tc>
          <w:tcPr>
            <w:tcW w:w="0" w:type="dxa"/>
            <w:vAlign w:val="bottom"/>
          </w:tcPr>
          <w:p>
            <w:pPr>
              <w:spacing w:after="0"/>
              <w:rPr>
                <w:sz w:val="1"/>
                <w:szCs w:val="1"/>
                <w:color w:val="auto"/>
              </w:rPr>
            </w:pPr>
          </w:p>
        </w:tc>
      </w:tr>
      <w:tr>
        <w:trPr>
          <w:trHeight w:val="190"/>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†3.934</w:t>
        <w:tab/>
        <w:t>Bylaws of Streator Area Landfill, Inc.</w:t>
      </w:r>
    </w:p>
    <w:p>
      <w:pPr>
        <w:spacing w:after="0" w:line="27"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†3.935</w:t>
        <w:tab/>
        <w:t>Articles of Incorporation of Suburban Transfer,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†3.936</w:t>
        <w:tab/>
        <w:t>Amended and Restated Bylaws of Suburban Transfer,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†3.937</w:t>
        <w:tab/>
        <w:t>Articles of Incorporation of Suburban Warehouse,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†3.938</w:t>
        <w:tab/>
        <w:t>Amended and Restated Bylaws of Suburban Warehouse,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†3.939</w:t>
        <w:tab/>
        <w:t>Articles of Incorporation of Summit Waste Systems,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†3.940</w:t>
        <w:tab/>
        <w:t>Amended and Restated Bylaws of Summit Waste Systems,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†3.941</w:t>
        <w:tab/>
        <w:t>Articles of Incorporation of Sunrise Sanitation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†3.942</w:t>
        <w:tab/>
        <w:t>Bylaws of Sunrise Sanitation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†3.943</w:t>
        <w:tab/>
        <w:t>Articles of Incorporation of Sunset Disposal Service, Inc. (f/k/a Pacific Paper Transport Company),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†3.944</w:t>
        <w:tab/>
        <w:t>Bylaws of Sunset Disposal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†3.945</w:t>
        <w:tab/>
        <w:t>Articles of Incorporation of Sunset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†3.946</w:t>
        <w:tab/>
        <w:t>Amended and Restated Bylaws of Sunset Disposal,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†3.947</w:t>
        <w:tab/>
        <w:t>Articles of Incorporation of Sycamore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†3.948</w:t>
        <w:tab/>
        <w:t>Amended and Restated Bylaws of Sycamore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†3.949</w:t>
        <w:tab/>
        <w:t>Articles of Incorporation of Tate’s Transfer Systems,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†3.950</w:t>
        <w:tab/>
        <w:t>Amended and Restated Bylaws of Tate’s Transfer Systems,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†3.951</w:t>
        <w:tab/>
        <w:t>Articles of Incorporation of Tay-Ban Corporation,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†3.952</w:t>
        <w:tab/>
        <w:t>Amended and Restated Bylaws of Tay-Ban Corporation.</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†3.953</w:t>
        <w:tab/>
        <w:t>Certificate of Incorporation of Taylor Ridge Landfill, Inc. (f/k/a Draw Acquisition Company Twenty-Two),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†3.954</w:t>
        <w:tab/>
        <w:t>Bylaws of Taylor Ridge Landfill, Inc. (f/k/a Draw Acquisition Company Twenty-Two).</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†3.955</w:t>
        <w:tab/>
        <w:t>Certificate of Incorporation of Tennessee Union County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†3.956</w:t>
        <w:tab/>
        <w:t>Bylaws of Tennessee Union County Landfill,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†3.957</w:t>
        <w:tab/>
        <w:t>Certificate of Limited Partnership of Tessman Road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†3.958</w:t>
        <w:tab/>
        <w:t>Agreement of Limited Partnership of Tessman Road Landfill TX, LP.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†3.959</w:t>
        <w:tab/>
        <w:t>Articles of Incorporation of The Ecology Group, Inc. (f/k/a Ecology Group, Incorporated), as amended.</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†3.960</w:t>
        <w:tab/>
        <w:t>Amended and Restated Bylaws of The Ecology Group,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†3.961</w:t>
        <w:tab/>
        <w:t>Articles of Incorporation of Thomas Disposal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†3.962</w:t>
        <w:tab/>
        <w:t>Bylaws of Thomas Disposal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†3.963</w:t>
        <w:tab/>
        <w:t>Partnership Agreement of Tippecanoe County Waste Services Partnership.</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†3.964</w:t>
        <w:tab/>
        <w:t>Certificate of Incorporation of Tom Luciano’s Disposal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†3.965</w:t>
        <w:tab/>
        <w:t>Amended and Restated Bylaws of Tom Luciano’s Disposal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†3.966</w:t>
        <w:tab/>
        <w:t>Articles of Organization of Total Roll-Offs,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†3.967</w:t>
        <w:tab/>
        <w:t>Operating Agreement of Total Roll-Offs, L.L.C.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7"/>
          <w:szCs w:val="17"/>
          <w:color w:val="auto"/>
        </w:rPr>
        <w:t>†3.968</w:t>
        <w:tab/>
        <w:t>Certificate of Incorporation of Total Solid Waste Recyclers, Inc. (f/k/a Total Solid Waste Coordinators, Inc.), as amended.</w:t>
      </w:r>
    </w:p>
    <w:p>
      <w:pPr>
        <w:spacing w:after="0" w:line="2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†3.969</w:t>
        <w:tab/>
        <w:t>Amended and Restated Bylaws of Total Solid Waste Recyclers, Inc.</w:t>
      </w:r>
    </w:p>
    <w:p>
      <w:pPr>
        <w:spacing w:after="0" w:line="9" w:lineRule="exact"/>
        <w:rPr>
          <w:sz w:val="20"/>
          <w:szCs w:val="20"/>
          <w:color w:val="auto"/>
        </w:rPr>
      </w:pPr>
    </w:p>
    <w:p>
      <w:pPr>
        <w:ind w:left="1840" w:right="300" w:hanging="759"/>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†3.970</w:t>
        <w:tab/>
        <w:t>Certificate of Incorporation of Tricil (N.Y.), Inc. (f/k/a Tricil (U.S.) Inc., f/k/a Tricil U.S., Ltd., f/k/a Seaway Disposal Systems, Inc., f/k/a Wilbur F. Hunt, Inc.), as amended.</w:t>
      </w:r>
    </w:p>
    <w:p>
      <w:pPr>
        <w:spacing w:after="0" w:line="1"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†3.971</w:t>
        <w:tab/>
        <w:t>Bylaws of Tricil (N.Y.),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†3.972</w:t>
        <w:tab/>
        <w:t>Articles of Incorporation of Tri-County Refuse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†3.973</w:t>
        <w:tab/>
        <w:t>Amended and Restated Bylaws of Tri-County Refuse Service,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†3.974</w:t>
        <w:tab/>
        <w:t>Articles of Incorporation of Tri-State Recycling Services, Inc.</w:t>
      </w:r>
    </w:p>
    <w:p>
      <w:pPr>
        <w:spacing w:after="0" w:line="9" w:lineRule="exact"/>
        <w:rPr>
          <w:sz w:val="20"/>
          <w:szCs w:val="20"/>
          <w:color w:val="auto"/>
        </w:rPr>
      </w:pPr>
    </w:p>
    <w:p>
      <w:pPr>
        <w:ind w:left="1080"/>
        <w:spacing w:after="0"/>
        <w:tabs>
          <w:tab w:leader="none" w:pos="1820" w:val="left"/>
        </w:tabs>
        <w:rPr>
          <w:sz w:val="20"/>
          <w:szCs w:val="20"/>
          <w:color w:val="auto"/>
        </w:rPr>
      </w:pPr>
      <w:r>
        <w:rPr>
          <w:rFonts w:ascii="Times New Roman" w:cs="Times New Roman" w:eastAsia="Times New Roman" w:hAnsi="Times New Roman"/>
          <w:sz w:val="18"/>
          <w:szCs w:val="18"/>
          <w:color w:val="auto"/>
        </w:rPr>
        <w:t>†3.975</w:t>
        <w:tab/>
        <w:t>Amended and Restated Bylaws of Tri-State Recycling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20" w:type="dxa"/>
            <w:vAlign w:val="bottom"/>
          </w:tcPr>
          <w:p>
            <w:pPr>
              <w:spacing w:after="0"/>
              <w:rPr>
                <w:sz w:val="13"/>
                <w:szCs w:val="13"/>
                <w:color w:val="auto"/>
              </w:rPr>
            </w:pPr>
          </w:p>
        </w:tc>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78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20" w:type="dxa"/>
            <w:vAlign w:val="bottom"/>
          </w:tcPr>
          <w:p>
            <w:pPr>
              <w:spacing w:after="0"/>
              <w:rPr>
                <w:sz w:val="16"/>
                <w:szCs w:val="16"/>
                <w:color w:val="auto"/>
              </w:rPr>
            </w:pPr>
          </w:p>
        </w:tc>
        <w:tc>
          <w:tcPr>
            <w:tcW w:w="5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†3.976</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Tri-State Refuse Corporation, as 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†3.977</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Tri-State Refuse Corporation.</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†3.978</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Limited Partnership of Turkey Creek Landfill TX, LP, as 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†3.979</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Agreement of Limited Partnership of Turkey Creek Landfill TX, LP.</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†3.980</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United Disposal Service, Inc. (f/k/a HDS, Incorporated), as 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†3.981</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United Disposal Service,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†3.982</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Upper Rock Island County Landfill,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†3.983</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Upper Rock Island County Landfill,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†3.984</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Valley Landfills,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†3.985</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Valley Landfills,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†3.986</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Limited Partnership of Victoria Landfill TX, LP, as 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†3.987</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Agreement of Limited Partnership of Victoria Landfill TX, LP, as 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†3.988</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Organization of Vining Disposal Service, Inc., as 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†3.989</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Vining Disposal Service, Inc., as 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†3.990</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Partnership Agreement of Warrick County Development Company.</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†3.991</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Wasatch Regional Landfill,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†3.992</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Wasatch Regional Landfill,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†3.993</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Waste Control Systems, Inc. (f/k/a Peltier Enterprises, Inc.), as 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†3.994</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Waste Control Systems,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†3.995</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Waste Services of New York, Inc. (f/k/a Allied Waste Industries of New York), as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†3.996</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Waste Services of New York,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†3.997</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Wastehaul,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†3.998</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Wastehaul,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†3.999</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Organization of Wayne County Land Development, LLC.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†3.1000</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Wayne County Land Development, LLC.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†3.1001</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Wayne County Landfill IL,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†3.1002</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Wayne County Landfill IL,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†3.1003</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Organization of Wayne Developers, LLC.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†3.1004</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Wayne Developers, LLC.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†3.1005</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WDTR, Inc. (f/k/a Woodburn Trucking Inc.), as 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†3.1006</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WDTR,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†3.1007</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Formation of Webster Parish Landfill, L.L.C.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†3.1008</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Limited Liability Company Agreement of Webster Parish Landfill, L.L.C.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†3.1009</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West Contra Costa Energy Recovery Company.</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†3.1010</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Second Amended and Restated Bylaws of West Contra Costa Energy Recovery Company.</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†3.1011</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West Contra Costa Sanitary Landfill,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†3.1012</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Second Amended and Restated Bylaws of West Contra Costa Sanitary Landfill,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†3.1013</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West County Landfill,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†3.1014</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Second Amended and Restated Bylaws of West County Landfill,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†3.1015</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West County Resource Recovery,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†3.1016</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Second Amended and Restated Bylaws of West County Resource Recovery,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†3.1017</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Limited Partnership of Whispering Pines Landfill TX, LP, as 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†3.1018</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Agreement of Limited Partnership of Whispering Pines Landfill TX, LP, as 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†3.1019</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Willamette Resources, Inc. (f/k/a Sanitation Equipment Leasing, Inc., f/k/a Peltier Equipment</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Leasing Corp.), as amended.</w:t>
            </w:r>
          </w:p>
        </w:tc>
        <w:tc>
          <w:tcPr>
            <w:tcW w:w="0" w:type="dxa"/>
            <w:vAlign w:val="bottom"/>
          </w:tcPr>
          <w:p>
            <w:pPr>
              <w:spacing w:after="0"/>
              <w:rPr>
                <w:sz w:val="1"/>
                <w:szCs w:val="1"/>
                <w:color w:val="auto"/>
              </w:rPr>
            </w:pPr>
          </w:p>
        </w:tc>
      </w:tr>
      <w:tr>
        <w:trPr>
          <w:trHeight w:val="226"/>
        </w:trPr>
        <w:tc>
          <w:tcPr>
            <w:tcW w:w="178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-6510655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20" w:type="dxa"/>
            <w:vAlign w:val="bottom"/>
          </w:tcPr>
          <w:p>
            <w:pPr>
              <w:spacing w:after="0"/>
              <w:rPr>
                <w:sz w:val="13"/>
                <w:szCs w:val="13"/>
                <w:color w:val="auto"/>
              </w:rPr>
            </w:pPr>
          </w:p>
        </w:tc>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78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20" w:type="dxa"/>
            <w:vAlign w:val="bottom"/>
          </w:tcPr>
          <w:p>
            <w:pPr>
              <w:spacing w:after="0"/>
              <w:rPr>
                <w:sz w:val="16"/>
                <w:szCs w:val="16"/>
                <w:color w:val="auto"/>
              </w:rPr>
            </w:pPr>
          </w:p>
        </w:tc>
        <w:tc>
          <w:tcPr>
            <w:tcW w:w="5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†3.1020</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Willamette Resources,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†3.1021</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Williams County Landfill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†3.1022</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Williams County Landfill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†3.1023</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 of Formation of Willow Ridge Landfill, LLC (f/k/a Peerless Landfill, LLC), as 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†3.1024</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Agreement of Willow Ridge Landfill, LLC (f/k/a Peerless Landfill, LLC).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†3.1025</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WJR Environmental,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†3.1026</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Bylaws of WJR Environmental, Inc. (f/k/a Rabanco Acquisition Company Five).</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†3.1027</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Woodlake Sanitary Service,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†3.1028</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Woodlake Sanitary Service, Inc.</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†3.1029</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Articles of Incorporation of Zakaroff Services (f/k/a Western Rubbish Service, Inc., f/k/a Kandilian Enterprises, Inc.), as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216"/>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†3.1030</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Second Amended and Restated Bylaws of Zakaroff Services.</w:t>
            </w:r>
          </w:p>
        </w:tc>
        <w:tc>
          <w:tcPr>
            <w:tcW w:w="0" w:type="dxa"/>
            <w:vAlign w:val="bottom"/>
          </w:tcPr>
          <w:p>
            <w:pPr>
              <w:spacing w:after="0"/>
              <w:rPr>
                <w:sz w:val="1"/>
                <w:szCs w:val="1"/>
                <w:color w:val="auto"/>
              </w:rPr>
            </w:pPr>
          </w:p>
        </w:tc>
      </w:tr>
      <w:tr>
        <w:trPr>
          <w:trHeight w:val="216"/>
        </w:trPr>
        <w:tc>
          <w:tcPr>
            <w:tcW w:w="17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4.1</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Indenture, dated as of September 8, 2009, by and between Republic Services, Inc. and The Bank of New York Mellon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Trust Company, N.A., as trustee, including form of Debt Security (incorporated by reference to Exhibit 4.1 to Republic’s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Current Report on Form 8-K filed on September 9, 2009).</w:t>
            </w:r>
          </w:p>
        </w:tc>
        <w:tc>
          <w:tcPr>
            <w:tcW w:w="0" w:type="dxa"/>
            <w:vAlign w:val="bottom"/>
          </w:tcPr>
          <w:p>
            <w:pPr>
              <w:spacing w:after="0"/>
              <w:rPr>
                <w:sz w:val="1"/>
                <w:szCs w:val="1"/>
                <w:color w:val="auto"/>
              </w:rPr>
            </w:pPr>
          </w:p>
        </w:tc>
      </w:tr>
      <w:tr>
        <w:trPr>
          <w:trHeight w:val="216"/>
        </w:trPr>
        <w:tc>
          <w:tcPr>
            <w:tcW w:w="17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4.2</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First Supplemental Indenture, dated as of September 8, 2009, to the Indenture dated as of September 8, 2009, by and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among Republic Services, Inc., the guarantors named therein and The Bank of New York Mellon Trust Company, N.A.,</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 trustee, including the form of 5.500% Notes due 2019 (incorporated by reference to Exhibit 4.2 to Republic’s Current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Report on Form 8-K dated September 9, 2009).</w:t>
            </w:r>
          </w:p>
        </w:tc>
        <w:tc>
          <w:tcPr>
            <w:tcW w:w="0" w:type="dxa"/>
            <w:vAlign w:val="bottom"/>
          </w:tcPr>
          <w:p>
            <w:pPr>
              <w:spacing w:after="0"/>
              <w:rPr>
                <w:sz w:val="1"/>
                <w:szCs w:val="1"/>
                <w:color w:val="auto"/>
              </w:rPr>
            </w:pPr>
          </w:p>
        </w:tc>
      </w:tr>
      <w:tr>
        <w:trPr>
          <w:trHeight w:val="216"/>
        </w:trPr>
        <w:tc>
          <w:tcPr>
            <w:tcW w:w="17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4.3</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Indenture, dated as of November 25, 2009, by and between Republic Services, Inc. and U.S. Bank National Association,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 trustee, including form of Debt Security (incorporated by reference to Exhibit 4.1 to Republic’s Current Report 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Form 8-K filed on November 25, 2009).</w:t>
            </w:r>
          </w:p>
        </w:tc>
        <w:tc>
          <w:tcPr>
            <w:tcW w:w="0" w:type="dxa"/>
            <w:vAlign w:val="bottom"/>
          </w:tcPr>
          <w:p>
            <w:pPr>
              <w:spacing w:after="0"/>
              <w:rPr>
                <w:sz w:val="1"/>
                <w:szCs w:val="1"/>
                <w:color w:val="auto"/>
              </w:rPr>
            </w:pPr>
          </w:p>
        </w:tc>
      </w:tr>
      <w:tr>
        <w:trPr>
          <w:trHeight w:val="216"/>
        </w:trPr>
        <w:tc>
          <w:tcPr>
            <w:tcW w:w="17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4.4</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First Supplemental Indenture, dated as of November 25, 2009, to the Indenture dated as of November 25, 2009, by and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among Republic Services, Inc., the guarantors named therein and U.S. Bank National Association, as trustee, including</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form of 5.25% Notes due 2021 (incorporated by reference to Exhibit 4.2 to Republic’s Current Report on Form 8-K</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dated November 25, 2009).</w:t>
            </w:r>
          </w:p>
        </w:tc>
        <w:tc>
          <w:tcPr>
            <w:tcW w:w="0" w:type="dxa"/>
            <w:vAlign w:val="bottom"/>
          </w:tcPr>
          <w:p>
            <w:pPr>
              <w:spacing w:after="0"/>
              <w:rPr>
                <w:sz w:val="1"/>
                <w:szCs w:val="1"/>
                <w:color w:val="auto"/>
              </w:rPr>
            </w:pPr>
          </w:p>
        </w:tc>
      </w:tr>
      <w:tr>
        <w:trPr>
          <w:trHeight w:val="216"/>
        </w:trPr>
        <w:tc>
          <w:tcPr>
            <w:tcW w:w="17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4.5</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Second Supplemental Indenture, dated as of March 4, 2010, to the Indenture dated as of November 25, 2009, by and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among Republic Services, Inc., the guarantors named therein and U.S. Bank National Association, as trustee, including</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form of 5.00% Notes due 2020 (incorporated by reference to Exhibit 4.1 to Republic’s Current Report on Form 8-K</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dated March 4, 2010).</w:t>
            </w:r>
          </w:p>
        </w:tc>
        <w:tc>
          <w:tcPr>
            <w:tcW w:w="0" w:type="dxa"/>
            <w:vAlign w:val="bottom"/>
          </w:tcPr>
          <w:p>
            <w:pPr>
              <w:spacing w:after="0"/>
              <w:rPr>
                <w:sz w:val="1"/>
                <w:szCs w:val="1"/>
                <w:color w:val="auto"/>
              </w:rPr>
            </w:pPr>
          </w:p>
        </w:tc>
      </w:tr>
      <w:tr>
        <w:trPr>
          <w:trHeight w:val="216"/>
        </w:trPr>
        <w:tc>
          <w:tcPr>
            <w:tcW w:w="17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4.6</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Third Supplemental Indenture, dated as of March 4, 2010, to the Indenture dated as of November 25, 2009, by and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among Republic Services, Inc., the guarantors named therein and U.S. Bank National Association, as trustee, including</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form of 6.20% Notes due 2020 (incorporated by reference to Exhibit 4.1 to Republic’s Current Report on Form 8-K</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dated March 4, 2010).</w:t>
            </w:r>
          </w:p>
        </w:tc>
        <w:tc>
          <w:tcPr>
            <w:tcW w:w="0" w:type="dxa"/>
            <w:vAlign w:val="bottom"/>
          </w:tcPr>
          <w:p>
            <w:pPr>
              <w:spacing w:after="0"/>
              <w:rPr>
                <w:sz w:val="1"/>
                <w:szCs w:val="1"/>
                <w:color w:val="auto"/>
              </w:rPr>
            </w:pPr>
          </w:p>
        </w:tc>
      </w:tr>
      <w:tr>
        <w:trPr>
          <w:trHeight w:val="216"/>
        </w:trPr>
        <w:tc>
          <w:tcPr>
            <w:tcW w:w="17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4.7</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Registration Rights Agreement, dated as of September 8, 2009, by and among Republic Services, Inc., the guarantors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party thereto and Banc of America Securities LLC, Barclays Capital Inc. and J.P. Morgan Securities Inc., as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representatives of the several initial purchasers named therein, relating to $650.0 million aggregate principal amount of</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5.500% Notes due 2019 (incorporated by reference to Exhibit 4.3 to Republic’s Current Report on Form 8-K dated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9, 2009).</w:t>
            </w:r>
          </w:p>
        </w:tc>
        <w:tc>
          <w:tcPr>
            <w:tcW w:w="0" w:type="dxa"/>
            <w:vAlign w:val="bottom"/>
          </w:tcPr>
          <w:p>
            <w:pPr>
              <w:spacing w:after="0"/>
              <w:rPr>
                <w:sz w:val="1"/>
                <w:szCs w:val="1"/>
                <w:color w:val="auto"/>
              </w:rPr>
            </w:pPr>
          </w:p>
        </w:tc>
      </w:tr>
      <w:tr>
        <w:trPr>
          <w:trHeight w:val="216"/>
        </w:trPr>
        <w:tc>
          <w:tcPr>
            <w:tcW w:w="17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4.8</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Registration Rights Agreement, dated as of November 25, 2009, by and among Republic Services, Inc., the guarantors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party thereto and Banc of America Securities LLC, RBS Securities Inc., BNP Paribas Securities Corp. and Wells Fargo</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Securities, LLC, as representatives of the several initial purchasers named therein, relating to $600.0 million aggregate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principal amount of 5.25% Notes due 2021 (incorporated by reference to Exhibit 4.3 to Republic’s Current Report 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Form 8-K dated November 25, 2009).</w:t>
            </w:r>
          </w:p>
        </w:tc>
        <w:tc>
          <w:tcPr>
            <w:tcW w:w="0" w:type="dxa"/>
            <w:vAlign w:val="bottom"/>
          </w:tcPr>
          <w:p>
            <w:pPr>
              <w:spacing w:after="0"/>
              <w:rPr>
                <w:sz w:val="1"/>
                <w:szCs w:val="1"/>
                <w:color w:val="auto"/>
              </w:rPr>
            </w:pPr>
          </w:p>
        </w:tc>
      </w:tr>
      <w:tr>
        <w:trPr>
          <w:trHeight w:val="216"/>
        </w:trPr>
        <w:tc>
          <w:tcPr>
            <w:tcW w:w="17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4.9</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Registration Rights Agreement, dated as of March 4, 2010, by and among Republic Services, Inc., the guarantors party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thereto and Banc of America Securities LLC, Barclays Capital Inc., J.P. Morgan Securities Inc. and UBS Securities LLC,</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 representatives of the several initial purchasers named therein, relating to $850.0 million aggregate principal amount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5.00% Notes due 2020 and $650.0 million aggregate principal amount of 6.20% Notes due 2040 (incorporated by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reference to Exhibit 4.3 to Republic’s Current Report on Form 8-K dated March 4, 2010).</w:t>
            </w:r>
          </w:p>
        </w:tc>
        <w:tc>
          <w:tcPr>
            <w:tcW w:w="0" w:type="dxa"/>
            <w:vAlign w:val="bottom"/>
          </w:tcPr>
          <w:p>
            <w:pPr>
              <w:spacing w:after="0"/>
              <w:rPr>
                <w:sz w:val="1"/>
                <w:szCs w:val="1"/>
                <w:color w:val="auto"/>
              </w:rPr>
            </w:pPr>
          </w:p>
        </w:tc>
      </w:tr>
      <w:tr>
        <w:trPr>
          <w:trHeight w:val="234"/>
        </w:trPr>
        <w:tc>
          <w:tcPr>
            <w:tcW w:w="1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†5.1</w:t>
            </w:r>
          </w:p>
        </w:tc>
        <w:tc>
          <w:tcPr>
            <w:tcW w:w="9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Opinion of Mayer Brown LLP with respect to the exchange notes.</w:t>
            </w:r>
          </w:p>
        </w:tc>
        <w:tc>
          <w:tcPr>
            <w:tcW w:w="0" w:type="dxa"/>
            <w:vAlign w:val="bottom"/>
          </w:tcPr>
          <w:p>
            <w:pPr>
              <w:spacing w:after="0"/>
              <w:rPr>
                <w:sz w:val="1"/>
                <w:szCs w:val="1"/>
                <w:color w:val="auto"/>
              </w:rPr>
            </w:pPr>
          </w:p>
        </w:tc>
      </w:tr>
      <w:tr>
        <w:trPr>
          <w:trHeight w:val="226"/>
        </w:trPr>
        <w:tc>
          <w:tcPr>
            <w:tcW w:w="178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-7059295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hyperlink w:anchor="page1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8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400" w:type="dxa"/>
            <w:vAlign w:val="bottom"/>
          </w:tcPr>
          <w:p>
            <w:pPr>
              <w:spacing w:after="0"/>
              <w:rPr>
                <w:sz w:val="13"/>
                <w:szCs w:val="13"/>
                <w:color w:val="auto"/>
              </w:rPr>
            </w:pPr>
          </w:p>
        </w:tc>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0" w:type="dxa"/>
            <w:vAlign w:val="bottom"/>
          </w:tcPr>
          <w:p>
            <w:pPr>
              <w:spacing w:after="0"/>
              <w:rPr>
                <w:sz w:val="16"/>
                <w:szCs w:val="16"/>
                <w:color w:val="auto"/>
              </w:rPr>
            </w:pPr>
          </w:p>
        </w:tc>
        <w:tc>
          <w:tcPr>
            <w:tcW w:w="3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†12.1</w:t>
            </w:r>
          </w:p>
        </w:tc>
        <w:tc>
          <w:tcPr>
            <w:tcW w:w="7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Statement of computation of ratios of earnings to fixed charges.</w:t>
            </w:r>
          </w:p>
        </w:tc>
        <w:tc>
          <w:tcPr>
            <w:tcW w:w="0" w:type="dxa"/>
            <w:vAlign w:val="bottom"/>
          </w:tcPr>
          <w:p>
            <w:pPr>
              <w:spacing w:after="0"/>
              <w:rPr>
                <w:sz w:val="1"/>
                <w:szCs w:val="1"/>
                <w:color w:val="auto"/>
              </w:rPr>
            </w:pPr>
          </w:p>
        </w:tc>
      </w:tr>
      <w:tr>
        <w:trPr>
          <w:trHeight w:val="216"/>
        </w:trPr>
        <w:tc>
          <w:tcPr>
            <w:tcW w:w="8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23.1</w:t>
            </w:r>
          </w:p>
        </w:tc>
        <w:tc>
          <w:tcPr>
            <w:tcW w:w="7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Consent of Ernst &amp; Young LLP.</w:t>
            </w:r>
          </w:p>
        </w:tc>
        <w:tc>
          <w:tcPr>
            <w:tcW w:w="0" w:type="dxa"/>
            <w:vAlign w:val="bottom"/>
          </w:tcPr>
          <w:p>
            <w:pPr>
              <w:spacing w:after="0"/>
              <w:rPr>
                <w:sz w:val="1"/>
                <w:szCs w:val="1"/>
                <w:color w:val="auto"/>
              </w:rPr>
            </w:pPr>
          </w:p>
        </w:tc>
      </w:tr>
      <w:tr>
        <w:trPr>
          <w:trHeight w:val="216"/>
        </w:trPr>
        <w:tc>
          <w:tcPr>
            <w:tcW w:w="8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†23.2</w:t>
            </w:r>
          </w:p>
        </w:tc>
        <w:tc>
          <w:tcPr>
            <w:tcW w:w="7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Consent of Mayer Brown LLP (contained in Exhibit 5.1).</w:t>
            </w:r>
          </w:p>
        </w:tc>
        <w:tc>
          <w:tcPr>
            <w:tcW w:w="0" w:type="dxa"/>
            <w:vAlign w:val="bottom"/>
          </w:tcPr>
          <w:p>
            <w:pPr>
              <w:spacing w:after="0"/>
              <w:rPr>
                <w:sz w:val="1"/>
                <w:szCs w:val="1"/>
                <w:color w:val="auto"/>
              </w:rPr>
            </w:pPr>
          </w:p>
        </w:tc>
      </w:tr>
      <w:tr>
        <w:trPr>
          <w:trHeight w:val="216"/>
        </w:trPr>
        <w:tc>
          <w:tcPr>
            <w:tcW w:w="8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†24.1</w:t>
            </w:r>
          </w:p>
        </w:tc>
        <w:tc>
          <w:tcPr>
            <w:tcW w:w="7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Powers of attorney (included in signature pages of the Registration Statement).</w:t>
            </w:r>
          </w:p>
        </w:tc>
        <w:tc>
          <w:tcPr>
            <w:tcW w:w="0" w:type="dxa"/>
            <w:vAlign w:val="bottom"/>
          </w:tcPr>
          <w:p>
            <w:pPr>
              <w:spacing w:after="0"/>
              <w:rPr>
                <w:sz w:val="1"/>
                <w:szCs w:val="1"/>
                <w:color w:val="auto"/>
              </w:rPr>
            </w:pPr>
          </w:p>
        </w:tc>
      </w:tr>
      <w:tr>
        <w:trPr>
          <w:trHeight w:val="216"/>
        </w:trPr>
        <w:tc>
          <w:tcPr>
            <w:tcW w:w="8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†25.1</w:t>
            </w:r>
          </w:p>
        </w:tc>
        <w:tc>
          <w:tcPr>
            <w:tcW w:w="7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T-1 Statement of Eligibility under the Trust Indenture Act of 1939 of The Bank of New York Mellon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Trust Company, N.A.</w:t>
            </w:r>
          </w:p>
        </w:tc>
        <w:tc>
          <w:tcPr>
            <w:tcW w:w="0" w:type="dxa"/>
            <w:vAlign w:val="bottom"/>
          </w:tcPr>
          <w:p>
            <w:pPr>
              <w:spacing w:after="0"/>
              <w:rPr>
                <w:sz w:val="1"/>
                <w:szCs w:val="1"/>
                <w:color w:val="auto"/>
              </w:rPr>
            </w:pPr>
          </w:p>
        </w:tc>
      </w:tr>
      <w:tr>
        <w:trPr>
          <w:trHeight w:val="216"/>
        </w:trPr>
        <w:tc>
          <w:tcPr>
            <w:tcW w:w="8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†25.2</w:t>
            </w:r>
          </w:p>
        </w:tc>
        <w:tc>
          <w:tcPr>
            <w:tcW w:w="7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Form T-1 Statement of Eligibility under the Trust Indenture Act of 1939 of U.S. Bank National Association.</w:t>
            </w:r>
          </w:p>
        </w:tc>
        <w:tc>
          <w:tcPr>
            <w:tcW w:w="0" w:type="dxa"/>
            <w:vAlign w:val="bottom"/>
          </w:tcPr>
          <w:p>
            <w:pPr>
              <w:spacing w:after="0"/>
              <w:rPr>
                <w:sz w:val="1"/>
                <w:szCs w:val="1"/>
                <w:color w:val="auto"/>
              </w:rPr>
            </w:pPr>
          </w:p>
        </w:tc>
      </w:tr>
      <w:tr>
        <w:trPr>
          <w:trHeight w:val="234"/>
        </w:trPr>
        <w:tc>
          <w:tcPr>
            <w:tcW w:w="8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99.1</w:t>
            </w:r>
          </w:p>
        </w:tc>
        <w:tc>
          <w:tcPr>
            <w:tcW w:w="7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Letter of Transmittal.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-1139825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Filed Previously.</w:t>
      </w:r>
    </w:p>
    <w:p>
      <w:pPr>
        <w:sectPr>
          <w:pgSz w:w="11900" w:h="16838" w:orient="portrait"/>
          <w:cols w:equalWidth="0" w:num="1">
            <w:col w:w="10219"/>
          </w:cols>
          <w:pgMar w:left="240" w:top="415" w:right="1440"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Amendment No. 6 to the Registration Statement (Form S-4 No. 333-166567) and related Prospectus of Republic Services, Inc. for the registration of its 5.00% Notes due 2020, 5.25% Notes due 2021, 5.50% notes due 2019, and 6.20% Notes due 2040 and to the incorporation by reference therein of our reports dated February 24, 2010, with respect to the consolidated financial statements of Republic Services, Inc., and the effectiveness of internal control over financial reporting of Republic Services, Inc., included in its Annual Report (Form 10-</w:t>
      </w:r>
    </w:p>
    <w:p>
      <w:pPr>
        <w:spacing w:after="0" w:line="3" w:lineRule="exact"/>
        <w:rPr>
          <w:sz w:val="20"/>
          <w:szCs w:val="20"/>
          <w:color w:val="auto"/>
        </w:rPr>
      </w:pPr>
    </w:p>
    <w:p>
      <w:pPr>
        <w:ind w:right="4540" w:firstLine="8"/>
        <w:spacing w:after="0" w:line="365" w:lineRule="auto"/>
        <w:tabs>
          <w:tab w:leader="none" w:pos="23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2009, filed with the Securities and Exchange Commission. /s/ ERNST &amp; YOUNG LLP</w:t>
      </w: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2010</w:t>
      </w:r>
    </w:p>
    <w:p>
      <w:pPr>
        <w:sectPr>
          <w:pgSz w:w="11900" w:h="16838" w:orient="portrait"/>
          <w:cols w:equalWidth="0" w:num="1">
            <w:col w:w="11420"/>
          </w:cols>
          <w:pgMar w:left="240" w:top="117" w:right="2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Republic Services, Inc.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LETTER OF TRANSMITTAL FOR THE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OFFERS TO EXCHANGE</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all outstanding unregistered 5.00% Notes due 2020</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($850,000,000 aggregate principal amount)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5.00% Notes due 2020</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that have been registered under the Securities Act of 1933</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and</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all outstanding unregistered 5.25% Notes due 2021</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($600,000,000 aggregate principal amount)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5.25% Notes due 2021</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that have been registered under the Securities Act of 1933</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and</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all outstanding unregistered 5.50% Notes due 2019</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($650,000,000 aggregate principal amount)</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5.50% Notes due 2019</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that have been registered under the Securities Act of 1933</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and</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all outstanding unregistered 6.20% Notes due 2040</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($650,000,000 aggregate principal amount)</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6.20% Notes due 2040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that have been registered under the Securities Act of 1933</w:t>
      </w:r>
    </w:p>
    <w:p>
      <w:pPr>
        <w:spacing w:after="0" w:line="97" w:lineRule="exact"/>
        <w:rPr>
          <w:sz w:val="20"/>
          <w:szCs w:val="20"/>
          <w:color w:val="auto"/>
        </w:rPr>
      </w:pPr>
    </w:p>
    <w:p>
      <w:pPr>
        <w:ind w:right="120" w:firstLine="312"/>
        <w:spacing w:after="0" w:line="261" w:lineRule="auto"/>
        <w:rPr>
          <w:sz w:val="20"/>
          <w:szCs w:val="20"/>
          <w:color w:val="auto"/>
        </w:rPr>
      </w:pPr>
      <w:r>
        <w:rPr>
          <w:rFonts w:ascii="Times New Roman" w:cs="Times New Roman" w:eastAsia="Times New Roman" w:hAnsi="Times New Roman"/>
          <w:sz w:val="18"/>
          <w:szCs w:val="18"/>
          <w:color w:val="auto"/>
        </w:rPr>
        <w:t>The unregistered notes are, and the exchange notes will be, fully and unconditionally and jointly and severally guaranteed by substantially all of our direct and indirect subsidiaries. All references to the unregistered notes and the exchange notes include references to the related guarantees. The exchange offers will expire at 5:00 p.m., New York City time, on August 2, 2010 unless any exchange offer is extended by Republic Services, Inc.,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123825</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131" w:right="819" w:bottom="1440" w:gutter="0" w:footer="0" w:header="0"/>
        </w:sectPr>
      </w:pPr>
    </w:p>
    <w:bookmarkStart w:id="256" w:name="page257"/>
    <w:bookmarkEnd w:id="256"/>
    <w:p>
      <w:pPr>
        <w:ind w:firstLine="312"/>
        <w:spacing w:after="0" w:line="282" w:lineRule="auto"/>
        <w:rPr>
          <w:sz w:val="20"/>
          <w:szCs w:val="20"/>
          <w:color w:val="auto"/>
        </w:rPr>
      </w:pPr>
      <w:r>
        <w:rPr>
          <w:rFonts w:ascii="Times New Roman" w:cs="Times New Roman" w:eastAsia="Times New Roman" w:hAnsi="Times New Roman"/>
          <w:sz w:val="18"/>
          <w:szCs w:val="18"/>
          <w:color w:val="auto"/>
        </w:rPr>
        <w:t>Tenders of unregistered notes may be withdrawn at any time prior to 5:00 p.m., New York City time, on the Expiration Date (as defined below).</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the case of the 5.00% Notes due 2020, 5.25% Notes due 2021 and In the case of the 5.50% Notes due 2019:</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6.20% Notes due 2040:</w:t>
      </w:r>
    </w:p>
    <w:p>
      <w:pPr>
        <w:sectPr>
          <w:pgSz w:w="11900" w:h="16838" w:orient="portrait"/>
          <w:cols w:equalWidth="0" w:num="1">
            <w:col w:w="10080"/>
          </w:cols>
          <w:pgMar w:left="700" w:top="932" w:right="1119" w:bottom="1440" w:gutter="0" w:footer="0" w:header="0"/>
        </w:sect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Deliver To:</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West Side Flats Operations Center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Attn: Rachel Muehlbauer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60 Livingston Avenue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 Paul, MN 55107</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By Overnight Mail or Courier:</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West Side Flats Operations Center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Attn: Rachel Muehlbauer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60 Livingston Avenue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 Paul, MN 55107</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By Facsimile (for Eligible Institutions Only):</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(651) 495-8158</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For Information or Confirmation by Telephone:</w:t>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(651) 495-3511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Trust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Reorganization 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Barclay Street — 7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Ms. Diane Amoroso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Overnight Mail or Courier: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Trust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Reorganization 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Barclay Street — 7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Ms. Diane Amoroso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Facsimile (for Eligible Institutions Only):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298-1915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 Information or Confirmation by Telephone: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815-2742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152400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580" w:space="720"/>
            <w:col w:w="4780"/>
          </w:cols>
          <w:pgMar w:left="700" w:top="932" w:right="1119" w:bottom="1440" w:gutter="0" w:footer="0" w:header="0"/>
          <w:type w:val="continuous"/>
        </w:sectPr>
      </w:pPr>
    </w:p>
    <w:bookmarkStart w:id="257" w:name="page258"/>
    <w:bookmarkEnd w:id="257"/>
    <w:p>
      <w:pPr>
        <w:ind w:right="100" w:firstLine="312"/>
        <w:spacing w:after="0" w:line="259" w:lineRule="auto"/>
        <w:rPr>
          <w:sz w:val="20"/>
          <w:szCs w:val="20"/>
          <w:color w:val="auto"/>
        </w:rPr>
      </w:pPr>
      <w:r>
        <w:rPr>
          <w:rFonts w:ascii="Times New Roman" w:cs="Times New Roman" w:eastAsia="Times New Roman" w:hAnsi="Times New Roman"/>
          <w:sz w:val="18"/>
          <w:szCs w:val="18"/>
          <w:b w:val="1"/>
          <w:bCs w:val="1"/>
          <w:color w:val="auto"/>
        </w:rPr>
        <w:t>Delivery of this letter of transmittal to an address, or transmission via facsimile, other than to the applicable exchange agent as set forth above, will not constitute a valid delivery. The method of delivery of all documents, including certificates, is at the risk of the holder. Instead of delivery by mail, we recommend that holders use an overnight or hand delivery service. In all cases, sufficient time should be allowed to assure timely delivery prior to the expiration of the applicable exchange offer. You should read the instructions accompanying this letter of transmittal carefully before you complete this letter of transmittal.</w:t>
      </w:r>
    </w:p>
    <w:p>
      <w:pPr>
        <w:spacing w:after="0" w:line="89" w:lineRule="exact"/>
        <w:rPr>
          <w:sz w:val="20"/>
          <w:szCs w:val="20"/>
          <w:color w:val="auto"/>
        </w:rPr>
      </w:pPr>
    </w:p>
    <w:p>
      <w:pPr>
        <w:ind w:right="260" w:firstLine="312"/>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he or she has received the prospectus dated , 2010 of Republic Services, Inc., and this letter of transmittal and the instructions hereto, which together constitute Republic Services, Inc.’s offers to exchange:</w:t>
      </w:r>
    </w:p>
    <w:p>
      <w:pPr>
        <w:spacing w:after="0" w:line="67" w:lineRule="exact"/>
        <w:rPr>
          <w:sz w:val="20"/>
          <w:szCs w:val="20"/>
          <w:color w:val="auto"/>
        </w:rPr>
      </w:pPr>
    </w:p>
    <w:p>
      <w:pPr>
        <w:ind w:left="540" w:right="120" w:hanging="211"/>
        <w:spacing w:after="0" w:line="282"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$850,000,000 aggregate principal amount of unregistered 5.00% notes due 2020 for 5.00% notes due 2020, which have been registered under the Securities Act of 1933, as amended;</w:t>
      </w:r>
    </w:p>
    <w:p>
      <w:pPr>
        <w:spacing w:after="0" w:line="53" w:lineRule="exact"/>
        <w:rPr>
          <w:rFonts w:ascii="Times New Roman" w:cs="Times New Roman" w:eastAsia="Times New Roman" w:hAnsi="Times New Roman"/>
          <w:sz w:val="18"/>
          <w:szCs w:val="18"/>
          <w:color w:val="auto"/>
        </w:rPr>
      </w:pPr>
    </w:p>
    <w:p>
      <w:pPr>
        <w:ind w:left="540" w:right="120" w:hanging="211"/>
        <w:spacing w:after="0" w:line="282"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$600,000,000 aggregate principal amount of unregistered 5.25% notes due 2021 for 5.25% notes due 2021, which have been registered under the Securities Act of 1933, as amended;</w:t>
      </w:r>
    </w:p>
    <w:p>
      <w:pPr>
        <w:spacing w:after="0" w:line="53" w:lineRule="exact"/>
        <w:rPr>
          <w:rFonts w:ascii="Times New Roman" w:cs="Times New Roman" w:eastAsia="Times New Roman" w:hAnsi="Times New Roman"/>
          <w:sz w:val="18"/>
          <w:szCs w:val="18"/>
          <w:color w:val="auto"/>
        </w:rPr>
      </w:pPr>
    </w:p>
    <w:p>
      <w:pPr>
        <w:ind w:left="540" w:right="120" w:hanging="211"/>
        <w:spacing w:after="0" w:line="282"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$650,000,000 aggregate principal amount of unregistered 5.50% notes due 2019 for 5.50% notes due 2019, which have been registered under the Securities Act of 1933, as amended; and</w:t>
      </w:r>
    </w:p>
    <w:p>
      <w:pPr>
        <w:spacing w:after="0" w:line="53" w:lineRule="exact"/>
        <w:rPr>
          <w:rFonts w:ascii="Times New Roman" w:cs="Times New Roman" w:eastAsia="Times New Roman" w:hAnsi="Times New Roman"/>
          <w:sz w:val="18"/>
          <w:szCs w:val="18"/>
          <w:color w:val="auto"/>
        </w:rPr>
      </w:pPr>
    </w:p>
    <w:p>
      <w:pPr>
        <w:ind w:left="540" w:right="120" w:hanging="211"/>
        <w:spacing w:after="0" w:line="282"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$650,000,000 aggregate principal amount of unregistered 6.20% notes due 2040 for 6.20% notes due 2040, which have been registered under the Securities Act of 1933, as amended.</w:t>
      </w:r>
    </w:p>
    <w:p>
      <w:pPr>
        <w:spacing w:after="0" w:line="67" w:lineRule="exact"/>
        <w:rPr>
          <w:sz w:val="20"/>
          <w:szCs w:val="20"/>
          <w:color w:val="auto"/>
        </w:rPr>
      </w:pPr>
    </w:p>
    <w:p>
      <w:pPr>
        <w:ind w:right="20" w:firstLine="312"/>
        <w:spacing w:after="0" w:line="255" w:lineRule="auto"/>
        <w:rPr>
          <w:sz w:val="20"/>
          <w:szCs w:val="20"/>
          <w:color w:val="auto"/>
        </w:rPr>
      </w:pPr>
      <w:r>
        <w:rPr>
          <w:rFonts w:ascii="Times New Roman" w:cs="Times New Roman" w:eastAsia="Times New Roman" w:hAnsi="Times New Roman"/>
          <w:sz w:val="18"/>
          <w:szCs w:val="18"/>
          <w:color w:val="auto"/>
        </w:rPr>
        <w:t>The term “Expiration Date” shall mean 5:00 p.m., New York City time, on August 2, 2010, unless Republic Services, Inc., in its sole discretion, extends the applicable exchange offer, in which case the term shall mean the latest date and time to which the applicable exchange offer is extended. Whenever we refer to the unregistered 5.00% notes due 2020, the unregistered 5.25% notes due 2021, the unregistered 5.50% notes due 2019 and the unregistered 6.20% notes due 2040, we will refer to them as the “unregistered notes.” Whenever we refer to the 5.00% notes due 2020, the 5.25% notes due 2021, the 5.50% notes due 2019 and the 6.20% notes due 2040, the offer of which has been registered under the Securities Act, we will refer to them as the “exchange notes.” All other terms used but not defined herein have the meaning given to them in the prospectus.</w:t>
      </w:r>
    </w:p>
    <w:p>
      <w:pPr>
        <w:spacing w:after="0" w:line="95" w:lineRule="exact"/>
        <w:rPr>
          <w:sz w:val="20"/>
          <w:szCs w:val="20"/>
          <w:color w:val="auto"/>
        </w:rPr>
      </w:pPr>
    </w:p>
    <w:p>
      <w:pPr>
        <w:ind w:right="380" w:firstLine="312"/>
        <w:spacing w:after="0" w:line="261" w:lineRule="auto"/>
        <w:rPr>
          <w:sz w:val="20"/>
          <w:szCs w:val="20"/>
          <w:color w:val="auto"/>
        </w:rPr>
      </w:pPr>
      <w:r>
        <w:rPr>
          <w:rFonts w:ascii="Times New Roman" w:cs="Times New Roman" w:eastAsia="Times New Roman" w:hAnsi="Times New Roman"/>
          <w:sz w:val="18"/>
          <w:szCs w:val="18"/>
          <w:color w:val="auto"/>
        </w:rPr>
        <w:t>This letter of transmittal is to be used if certificates representing unregistered notes are to be physically delivered to the applicable exchange agent by Holders (as defined below). Delivery of this letter of transmittal and any other required documents must be made to the applicable exchange agent. Delivery of documents to The Depository Trust Company (“DTC”) does not constitute delivery to an exchange agent.</w:t>
      </w:r>
    </w:p>
    <w:p>
      <w:pPr>
        <w:spacing w:after="0" w:line="86" w:lineRule="exact"/>
        <w:rPr>
          <w:sz w:val="20"/>
          <w:szCs w:val="20"/>
          <w:color w:val="auto"/>
        </w:rPr>
      </w:pPr>
    </w:p>
    <w:p>
      <w:pPr>
        <w:ind w:firstLine="312"/>
        <w:spacing w:after="0" w:line="266" w:lineRule="auto"/>
        <w:rPr>
          <w:sz w:val="20"/>
          <w:szCs w:val="20"/>
          <w:color w:val="auto"/>
        </w:rPr>
      </w:pPr>
      <w:r>
        <w:rPr>
          <w:rFonts w:ascii="Times New Roman" w:cs="Times New Roman" w:eastAsia="Times New Roman" w:hAnsi="Times New Roman"/>
          <w:sz w:val="18"/>
          <w:szCs w:val="18"/>
          <w:color w:val="auto"/>
        </w:rPr>
        <w:t>The term “Holder” as used herein means any person in whose name unregistered notes are registered on the books of Republic Services, Inc., or any other person who has obtained a properly completed bond power from the registered holder, or any person whose unregistered notes are held of record by DTC who desires to deliver such unregistered notes by book-entry transfer at DTC.</w:t>
      </w:r>
    </w:p>
    <w:p>
      <w:pPr>
        <w:spacing w:after="0" w:line="82" w:lineRule="exact"/>
        <w:rPr>
          <w:sz w:val="20"/>
          <w:szCs w:val="20"/>
          <w:color w:val="auto"/>
        </w:rPr>
      </w:pPr>
    </w:p>
    <w:p>
      <w:pPr>
        <w:ind w:firstLine="312"/>
        <w:spacing w:after="0" w:line="256" w:lineRule="auto"/>
        <w:rPr>
          <w:sz w:val="20"/>
          <w:szCs w:val="20"/>
          <w:color w:val="auto"/>
        </w:rPr>
      </w:pPr>
      <w:r>
        <w:rPr>
          <w:rFonts w:ascii="Times New Roman" w:cs="Times New Roman" w:eastAsia="Times New Roman" w:hAnsi="Times New Roman"/>
          <w:sz w:val="18"/>
          <w:szCs w:val="18"/>
          <w:color w:val="auto"/>
        </w:rPr>
        <w:t>Any Holder of unregistered notes who wishes to tender such unregistered notes must, prior to the Expiration Date, either: (1) complete, sign and deliver this letter of transmittal, or a facsimile thereof, to the applicable exchange agent in person or to the address or facsimile number set forth above and tender (and not withdraw) such unregistered notes, or (2) if a tender of unregistered notes is to be made by book-entry transfer to the account maintained by the applicable exchange agent at DTC, confirm such book-entry transfer, including the delivery of an agent’s message (a “Book-Entry Confirmation”), in each case in accordance with the procedures for tendering described under the caption “Instructions” in this letter of transmittal.</w:t>
      </w:r>
    </w:p>
    <w:p>
      <w:pPr>
        <w:spacing w:after="0" w:line="93" w:lineRule="exact"/>
        <w:rPr>
          <w:sz w:val="20"/>
          <w:szCs w:val="20"/>
          <w:color w:val="auto"/>
        </w:rPr>
      </w:pPr>
    </w:p>
    <w:p>
      <w:pPr>
        <w:ind w:firstLine="312"/>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of the applicable exchange offer, the acceptance for exchange of the unregistered notes validly tendered and not withdrawn and the issuance of the exchange notes will be made promptly following the Expiration Date. For the purposes of the exchange offer, Republic Services, Inc., shall be deemed to have accepted for exchange validly tendered unregistered notes when, as and if Republic Services, Inc., has given written notice thereof to the applicable exchange agent.</w:t>
      </w:r>
    </w:p>
    <w:p>
      <w:pPr>
        <w:spacing w:after="0" w:line="86" w:lineRule="exact"/>
        <w:rPr>
          <w:sz w:val="20"/>
          <w:szCs w:val="20"/>
          <w:color w:val="auto"/>
        </w:rPr>
      </w:pPr>
    </w:p>
    <w:p>
      <w:pPr>
        <w:ind w:right="120" w:firstLine="312"/>
        <w:spacing w:after="0" w:line="282" w:lineRule="auto"/>
        <w:rPr>
          <w:sz w:val="20"/>
          <w:szCs w:val="20"/>
          <w:color w:val="auto"/>
        </w:rPr>
      </w:pPr>
      <w:r>
        <w:rPr>
          <w:rFonts w:ascii="Times New Roman" w:cs="Times New Roman" w:eastAsia="Times New Roman" w:hAnsi="Times New Roman"/>
          <w:sz w:val="18"/>
          <w:szCs w:val="18"/>
          <w:color w:val="auto"/>
        </w:rPr>
        <w:t>The undersigned has completed, executed and delivered this letter of transmittal to indicate the action the undersigned desires to take with respect to the applicable exchange offer.</w:t>
      </w:r>
    </w:p>
    <w:p>
      <w:pPr>
        <w:spacing w:after="0" w:line="63" w:lineRule="exact"/>
        <w:rPr>
          <w:sz w:val="20"/>
          <w:szCs w:val="20"/>
          <w:color w:val="auto"/>
        </w:rPr>
      </w:pPr>
    </w:p>
    <w:p>
      <w:pPr>
        <w:ind w:right="140" w:firstLine="312"/>
        <w:spacing w:after="0" w:line="286" w:lineRule="auto"/>
        <w:rPr>
          <w:sz w:val="20"/>
          <w:szCs w:val="20"/>
          <w:color w:val="auto"/>
        </w:rPr>
      </w:pPr>
      <w:r>
        <w:rPr>
          <w:rFonts w:ascii="Times New Roman" w:cs="Times New Roman" w:eastAsia="Times New Roman" w:hAnsi="Times New Roman"/>
          <w:sz w:val="18"/>
          <w:szCs w:val="18"/>
          <w:b w:val="1"/>
          <w:bCs w:val="1"/>
          <w:color w:val="auto"/>
        </w:rPr>
        <w:t>PLEASE READ THE ENTIRE LETTER OF TRANSMITTAL AND THE PROSPECTUS CAREFULLY BEFORE CHECKING ANY BOX BELOW. YOUR BANK OR BROKER CAN ASSIST YOU IN COMPLETING</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28" w:right="819" w:bottom="1440" w:gutter="0" w:footer="0" w:header="0"/>
        </w:sectPr>
      </w:pPr>
    </w:p>
    <w:bookmarkStart w:id="258" w:name="page259"/>
    <w:bookmarkEnd w:id="258"/>
    <w:p>
      <w:pPr>
        <w:ind w:right="760"/>
        <w:spacing w:after="0" w:line="268" w:lineRule="auto"/>
        <w:rPr>
          <w:sz w:val="20"/>
          <w:szCs w:val="20"/>
          <w:color w:val="auto"/>
        </w:rPr>
      </w:pPr>
      <w:r>
        <w:rPr>
          <w:rFonts w:ascii="Times New Roman" w:cs="Times New Roman" w:eastAsia="Times New Roman" w:hAnsi="Times New Roman"/>
          <w:sz w:val="18"/>
          <w:szCs w:val="18"/>
          <w:b w:val="1"/>
          <w:bCs w:val="1"/>
          <w:color w:val="auto"/>
        </w:rPr>
        <w:t>THIS FORM. THE INSTRUCTIONS INCLUDED WITH THIS LETTER OF TRANSMITTAL MUST BE FOLLOWED. QUESTIONS AND REQUESTS FOR ASSISTANCE OR FOR ADDITIONAL COPIES OF THE PROSPECTUS AND THIS LETTER OF TRANSMITTAL MAY BE DIRECTED TO THE APPLICABLE EXCHANGE AGENT.</w:t>
      </w:r>
    </w:p>
    <w:p>
      <w:pPr>
        <w:spacing w:after="0" w:line="80" w:lineRule="exact"/>
        <w:rPr>
          <w:sz w:val="20"/>
          <w:szCs w:val="20"/>
          <w:color w:val="auto"/>
        </w:rPr>
      </w:pPr>
    </w:p>
    <w:p>
      <w:pPr>
        <w:ind w:right="40" w:firstLine="312"/>
        <w:spacing w:after="0" w:line="266" w:lineRule="auto"/>
        <w:rPr>
          <w:sz w:val="20"/>
          <w:szCs w:val="20"/>
          <w:color w:val="auto"/>
        </w:rPr>
      </w:pPr>
      <w:r>
        <w:rPr>
          <w:rFonts w:ascii="Times New Roman" w:cs="Times New Roman" w:eastAsia="Times New Roman" w:hAnsi="Times New Roman"/>
          <w:sz w:val="18"/>
          <w:szCs w:val="18"/>
          <w:color w:val="auto"/>
        </w:rPr>
        <w:t>Please list below the unregistered notes to which this letter of transmittal relates. If the space provided below is inadequate, the certificate numbers and principal amounts should be listed on a separate signed schedule, attached hereto. All tenders must be in minimum denominations of $2,000 and larger integral multiples of $1,000.</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UNREGISTERED 5.00%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6586220" cy="18097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586220" cy="18097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7"/>
        </w:trPr>
        <w:tc>
          <w:tcPr>
            <w:tcW w:w="492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Certificate</w:t>
            </w:r>
          </w:p>
        </w:tc>
        <w:tc>
          <w:tcPr>
            <w:tcW w:w="1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20" w:type="dxa"/>
            <w:vAlign w:val="bottom"/>
            <w:vMerge w:val="restart"/>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Name(s) and Address(es) of Holder(s)</w:t>
            </w:r>
          </w:p>
        </w:tc>
        <w:tc>
          <w:tcPr>
            <w:tcW w:w="2260" w:type="dxa"/>
            <w:vAlign w:val="bottom"/>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Type of Security</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Number(s) (Attach</w:t>
            </w:r>
          </w:p>
        </w:tc>
        <w:tc>
          <w:tcPr>
            <w:tcW w:w="15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0" w:type="dxa"/>
            <w:vAlign w:val="bottom"/>
          </w:tcPr>
          <w:p>
            <w:pPr>
              <w:spacing w:after="0"/>
              <w:rPr>
                <w:sz w:val="1"/>
                <w:szCs w:val="1"/>
                <w:color w:val="auto"/>
              </w:rPr>
            </w:pPr>
          </w:p>
        </w:tc>
      </w:tr>
      <w:tr>
        <w:trPr>
          <w:trHeight w:val="149"/>
        </w:trPr>
        <w:tc>
          <w:tcPr>
            <w:tcW w:w="492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Signed List,</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92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(Please fill in, if Blank)</w:t>
            </w:r>
          </w:p>
        </w:tc>
        <w:tc>
          <w:tcPr>
            <w:tcW w:w="226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Tendered</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if Necessary)</w:t>
            </w:r>
          </w:p>
        </w:tc>
        <w:tc>
          <w:tcPr>
            <w:tcW w:w="15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Amount Tendered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principal amount of unregistered notes tendered:</w:t>
      </w:r>
    </w:p>
    <w:p>
      <w:pPr>
        <w:spacing w:after="0" w:line="162" w:lineRule="exact"/>
        <w:rPr>
          <w:sz w:val="20"/>
          <w:szCs w:val="20"/>
          <w:color w:val="auto"/>
        </w:rPr>
      </w:pPr>
    </w:p>
    <w:p>
      <w:pPr>
        <w:ind w:left="320" w:right="940" w:hanging="316"/>
        <w:spacing w:after="0" w:line="282" w:lineRule="auto"/>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HERE IF TENDERED UNREGISTERED 5.00% NOTES DUE 2020 ARE BEING DELIVERED BY DTC TO THE APPLICABLE EXCHANGE AGENT’S ACCOUNT AT DTC AND COMPLETE THE FOLLOWING:</w:t>
      </w:r>
    </w:p>
    <w:p>
      <w:pPr>
        <w:spacing w:after="0" w:line="175" w:lineRule="exact"/>
        <w:rPr>
          <w:rFonts w:ascii="Times New Roman" w:cs="Times New Roman" w:eastAsia="Times New Roman" w:hAnsi="Times New Roman"/>
          <w:sz w:val="18"/>
          <w:szCs w:val="18"/>
          <w:color w:val="auto"/>
        </w:rPr>
      </w:pPr>
    </w:p>
    <w:p>
      <w:pPr>
        <w:ind w:left="320" w:right="7880"/>
        <w:spacing w:after="0" w:line="4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tendering institution: DTC book-entry account: Transaction code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-642620</wp:posOffset>
            </wp:positionV>
            <wp:extent cx="473392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-359410</wp:posOffset>
            </wp:positionV>
            <wp:extent cx="49999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-76200</wp:posOffset>
            </wp:positionV>
            <wp:extent cx="519684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UNREGISTERED 5.25%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6586220" cy="18097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586220" cy="18097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7"/>
        </w:trPr>
        <w:tc>
          <w:tcPr>
            <w:tcW w:w="492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Certificate</w:t>
            </w:r>
          </w:p>
        </w:tc>
        <w:tc>
          <w:tcPr>
            <w:tcW w:w="1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20" w:type="dxa"/>
            <w:vAlign w:val="bottom"/>
            <w:vMerge w:val="restart"/>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Name(s) and Address(es) of Holder(s)</w:t>
            </w:r>
          </w:p>
        </w:tc>
        <w:tc>
          <w:tcPr>
            <w:tcW w:w="2260" w:type="dxa"/>
            <w:vAlign w:val="bottom"/>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Type of Security</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Number(s) (Attach</w:t>
            </w:r>
          </w:p>
        </w:tc>
        <w:tc>
          <w:tcPr>
            <w:tcW w:w="15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0" w:type="dxa"/>
            <w:vAlign w:val="bottom"/>
          </w:tcPr>
          <w:p>
            <w:pPr>
              <w:spacing w:after="0"/>
              <w:rPr>
                <w:sz w:val="1"/>
                <w:szCs w:val="1"/>
                <w:color w:val="auto"/>
              </w:rPr>
            </w:pPr>
          </w:p>
        </w:tc>
      </w:tr>
      <w:tr>
        <w:trPr>
          <w:trHeight w:val="149"/>
        </w:trPr>
        <w:tc>
          <w:tcPr>
            <w:tcW w:w="492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Signed List,</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92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(Please fill in, if Blank)</w:t>
            </w:r>
          </w:p>
        </w:tc>
        <w:tc>
          <w:tcPr>
            <w:tcW w:w="226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Tendered</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if Necessary)</w:t>
            </w:r>
          </w:p>
        </w:tc>
        <w:tc>
          <w:tcPr>
            <w:tcW w:w="15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Amount Tendered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principal amount of unregistered notes tendered:</w:t>
      </w:r>
    </w:p>
    <w:p>
      <w:pPr>
        <w:spacing w:after="0" w:line="162" w:lineRule="exact"/>
        <w:rPr>
          <w:sz w:val="20"/>
          <w:szCs w:val="20"/>
          <w:color w:val="auto"/>
        </w:rPr>
      </w:pPr>
    </w:p>
    <w:p>
      <w:pPr>
        <w:ind w:left="320" w:right="940" w:hanging="316"/>
        <w:spacing w:after="0" w:line="282" w:lineRule="auto"/>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HERE IF TENDERED UNREGISTERED 5.25% NOTES DUE 2021 ARE BEING DELIVERED BY DTC TO THE APPLICABLE EXCHANGE AGENT’S ACCOUNT AT DTC AND COMPLETE THE FOLLOWING:</w:t>
      </w:r>
    </w:p>
    <w:p>
      <w:pPr>
        <w:spacing w:after="0" w:line="17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wp:posOffset>
            </wp:positionV>
            <wp:extent cx="473392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28" w:right="819" w:bottom="1440" w:gutter="0" w:footer="0" w:header="0"/>
        </w:sectPr>
      </w:pPr>
    </w:p>
    <w:bookmarkStart w:id="259" w:name="page260"/>
    <w:bookmarkEnd w:id="259"/>
    <w:p>
      <w:pPr>
        <w:ind w:left="320"/>
        <w:spacing w:after="0"/>
        <w:rPr>
          <w:sz w:val="20"/>
          <w:szCs w:val="20"/>
          <w:color w:val="auto"/>
        </w:rPr>
      </w:pPr>
      <w:r>
        <w:rPr>
          <w:rFonts w:ascii="Times New Roman" w:cs="Times New Roman" w:eastAsia="Times New Roman" w:hAnsi="Times New Roman"/>
          <w:sz w:val="18"/>
          <w:szCs w:val="18"/>
          <w:color w:val="auto"/>
        </w:rPr>
        <w:t>DTC book-entry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wp:posOffset>
            </wp:positionV>
            <wp:extent cx="473392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Transaction code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17145</wp:posOffset>
            </wp:positionV>
            <wp:extent cx="519684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UNREGISTERED 5.50% NOTES DUE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6586220" cy="18097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586220" cy="18097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7"/>
        </w:trPr>
        <w:tc>
          <w:tcPr>
            <w:tcW w:w="492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Certificate</w:t>
            </w:r>
          </w:p>
        </w:tc>
        <w:tc>
          <w:tcPr>
            <w:tcW w:w="1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20" w:type="dxa"/>
            <w:vAlign w:val="bottom"/>
            <w:vMerge w:val="restart"/>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Name(s) and Address(es) of Holder(s)</w:t>
            </w:r>
          </w:p>
        </w:tc>
        <w:tc>
          <w:tcPr>
            <w:tcW w:w="2260" w:type="dxa"/>
            <w:vAlign w:val="bottom"/>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Type of Security</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Number(s) (Attach</w:t>
            </w:r>
          </w:p>
        </w:tc>
        <w:tc>
          <w:tcPr>
            <w:tcW w:w="15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0" w:type="dxa"/>
            <w:vAlign w:val="bottom"/>
          </w:tcPr>
          <w:p>
            <w:pPr>
              <w:spacing w:after="0"/>
              <w:rPr>
                <w:sz w:val="1"/>
                <w:szCs w:val="1"/>
                <w:color w:val="auto"/>
              </w:rPr>
            </w:pPr>
          </w:p>
        </w:tc>
      </w:tr>
      <w:tr>
        <w:trPr>
          <w:trHeight w:val="149"/>
        </w:trPr>
        <w:tc>
          <w:tcPr>
            <w:tcW w:w="492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Signed List,</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92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(Please fill in, if Blank)</w:t>
            </w:r>
          </w:p>
        </w:tc>
        <w:tc>
          <w:tcPr>
            <w:tcW w:w="226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Tendered</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if Necessary)</w:t>
            </w:r>
          </w:p>
        </w:tc>
        <w:tc>
          <w:tcPr>
            <w:tcW w:w="15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Amount Tendered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principal amount of unregistered notes tendered:</w:t>
      </w:r>
    </w:p>
    <w:p>
      <w:pPr>
        <w:spacing w:after="0" w:line="162" w:lineRule="exact"/>
        <w:rPr>
          <w:sz w:val="20"/>
          <w:szCs w:val="20"/>
          <w:color w:val="auto"/>
        </w:rPr>
      </w:pPr>
    </w:p>
    <w:p>
      <w:pPr>
        <w:ind w:left="320" w:right="940" w:hanging="316"/>
        <w:spacing w:after="0" w:line="282" w:lineRule="auto"/>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HERE IF TENDERED UNREGISTERED 5.50% NOTES DUE 2019 ARE BEING DELIVERED BY DTC TO THE APPLICABLE EXCHANGE AGENT’S ACCOUNT AT DTC AND COMPLETE THE FOLLOWING:</w:t>
      </w:r>
    </w:p>
    <w:p>
      <w:pPr>
        <w:spacing w:after="0" w:line="175" w:lineRule="exact"/>
        <w:rPr>
          <w:rFonts w:ascii="Times New Roman" w:cs="Times New Roman" w:eastAsia="Times New Roman" w:hAnsi="Times New Roman"/>
          <w:sz w:val="18"/>
          <w:szCs w:val="18"/>
          <w:color w:val="auto"/>
        </w:rPr>
      </w:pPr>
    </w:p>
    <w:p>
      <w:pPr>
        <w:ind w:left="320" w:right="7880"/>
        <w:spacing w:after="0" w:line="4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tendering institution: DTC book-entry account: Transaction code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-642620</wp:posOffset>
            </wp:positionV>
            <wp:extent cx="473392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-359410</wp:posOffset>
            </wp:positionV>
            <wp:extent cx="49999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-76200</wp:posOffset>
            </wp:positionV>
            <wp:extent cx="519684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UNREGISTERED 6.20% NOTES DUE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6586220" cy="18097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586220" cy="18097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7"/>
        </w:trPr>
        <w:tc>
          <w:tcPr>
            <w:tcW w:w="492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Certificate</w:t>
            </w:r>
          </w:p>
        </w:tc>
        <w:tc>
          <w:tcPr>
            <w:tcW w:w="1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20" w:type="dxa"/>
            <w:vAlign w:val="bottom"/>
            <w:vMerge w:val="restart"/>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Name(s) and Address(es) of Holder(s)</w:t>
            </w:r>
          </w:p>
        </w:tc>
        <w:tc>
          <w:tcPr>
            <w:tcW w:w="2260" w:type="dxa"/>
            <w:vAlign w:val="bottom"/>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Type of Security</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Number(s) (Attach</w:t>
            </w:r>
          </w:p>
        </w:tc>
        <w:tc>
          <w:tcPr>
            <w:tcW w:w="15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0" w:type="dxa"/>
            <w:vAlign w:val="bottom"/>
          </w:tcPr>
          <w:p>
            <w:pPr>
              <w:spacing w:after="0"/>
              <w:rPr>
                <w:sz w:val="1"/>
                <w:szCs w:val="1"/>
                <w:color w:val="auto"/>
              </w:rPr>
            </w:pPr>
          </w:p>
        </w:tc>
      </w:tr>
      <w:tr>
        <w:trPr>
          <w:trHeight w:val="149"/>
        </w:trPr>
        <w:tc>
          <w:tcPr>
            <w:tcW w:w="492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Signed List,</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92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(Please fill in, if Blank)</w:t>
            </w:r>
          </w:p>
        </w:tc>
        <w:tc>
          <w:tcPr>
            <w:tcW w:w="226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Tendered</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if Necessary)</w:t>
            </w:r>
          </w:p>
        </w:tc>
        <w:tc>
          <w:tcPr>
            <w:tcW w:w="15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Amount Tendered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principal amount of unregistered notes tendered:</w:t>
      </w:r>
    </w:p>
    <w:p>
      <w:pPr>
        <w:spacing w:after="0" w:line="162" w:lineRule="exact"/>
        <w:rPr>
          <w:sz w:val="20"/>
          <w:szCs w:val="20"/>
          <w:color w:val="auto"/>
        </w:rPr>
      </w:pPr>
    </w:p>
    <w:p>
      <w:pPr>
        <w:ind w:left="320" w:right="940" w:hanging="316"/>
        <w:spacing w:after="0" w:line="282" w:lineRule="auto"/>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HERE IF TENDERED UNREGISTERED 6.20% NOTES DUE 2040 ARE BEING DELIVERED BY DTC TO THE APPLICABLE EXCHANGE AGENT’S ACCOUNT AT DTC AND COMPLETE THE FOLLOWING:</w:t>
      </w:r>
    </w:p>
    <w:p>
      <w:pPr>
        <w:spacing w:after="0" w:line="175" w:lineRule="exact"/>
        <w:rPr>
          <w:rFonts w:ascii="Times New Roman" w:cs="Times New Roman" w:eastAsia="Times New Roman" w:hAnsi="Times New Roman"/>
          <w:sz w:val="18"/>
          <w:szCs w:val="18"/>
          <w:color w:val="auto"/>
        </w:rPr>
      </w:pPr>
    </w:p>
    <w:p>
      <w:pPr>
        <w:ind w:left="320" w:right="78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tendering institution: DTC book-entry account: Transaction code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-724535</wp:posOffset>
            </wp:positionV>
            <wp:extent cx="473392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-441325</wp:posOffset>
            </wp:positionV>
            <wp:extent cx="49999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-158750</wp:posOffset>
            </wp:positionV>
            <wp:extent cx="519684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45" w:right="81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04" w:lineRule="exact"/>
        <w:rPr>
          <w:sz w:val="20"/>
          <w:szCs w:val="20"/>
          <w:color w:val="auto"/>
        </w:rPr>
      </w:pPr>
    </w:p>
    <w:p>
      <w:pPr>
        <w:ind w:firstLine="312"/>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exchange offers, the undersigned hereby tenders to Republic Services, Inc., the principal amount of unregistered notes indicated above. Subject to and effective upon the acceptance for exchange of the principal amount of unregistered notes tendered hereby in accordance with this letter of transmittal and the accompanying instructions, the undersigned sells, assigns and transfers to, or upon the order of, Republic Services, Inc., all right, title and interest in and to the unregistered notes tendered hereby. The undersigned hereby irrevocably constitutes and appoints the applicable exchange agent its agent and attorney-in-fact (with full knowledge that the applicable exchange agent also acts as agent of Republic Services, Inc., and as trustee under the indenture for the unregistered notes and the exchange notes) with respect to the tendered unregistered notes with full power of substitution to (1) deliver certificates for such unregistered notes to Republic Services, Inc., or transfer ownership of such unregistered notes on the account books maintained by DTC, together with all accompanying evidences of transfer and authenticity to, or upon the order of, Republic Services, Inc., and (2) present such unregistered notes for transfer on the books of Republic Services, Inc., and receive all benefits and otherwise exercise all rights of beneficial ownership of such unregistered notes, all in accordance with the terms of the applicable exchange offer. The power of attorney granted in this paragraph shall be deemed irrevocable and coupled with an interest.</w:t>
      </w:r>
    </w:p>
    <w:p>
      <w:pPr>
        <w:spacing w:after="0" w:line="56" w:lineRule="exact"/>
        <w:rPr>
          <w:sz w:val="20"/>
          <w:szCs w:val="20"/>
          <w:color w:val="auto"/>
        </w:rPr>
      </w:pPr>
    </w:p>
    <w:p>
      <w:pPr>
        <w:ind w:firstLine="312"/>
        <w:spacing w:after="0" w:line="253" w:lineRule="auto"/>
        <w:rPr>
          <w:sz w:val="20"/>
          <w:szCs w:val="20"/>
          <w:color w:val="auto"/>
        </w:rPr>
      </w:pPr>
      <w:r>
        <w:rPr>
          <w:rFonts w:ascii="Times New Roman" w:cs="Times New Roman" w:eastAsia="Times New Roman" w:hAnsi="Times New Roman"/>
          <w:sz w:val="18"/>
          <w:szCs w:val="18"/>
          <w:color w:val="auto"/>
        </w:rPr>
        <w:t xml:space="preserve">The undersigned hereby represents and warrants that he or she has full power and authority to tender, exchange, sell, assign and transfer the unregistered notes tendered hereby and to acquire the exchange notes issuable upon the exchange of the unregistered notes, and that Republic Services, Inc., will acquire good and unencumbered title thereto, free and clear of all liens, restrictions, charges and encumbrances and not subject to any adverse claim, when the same are acquired by Republic Services, Inc. The undersigned also acknowledges that the applicable exchange offer is being made in reliance upon an interpretation by the staff of the Securities and Exchange Commission that the exchange notes issued in exchange for the unregistered notes pursuant to the applicable exchange offer may be offered for sale, resold and otherwise transferred by holders thereof (other than a broker-dealer who purchased such unregistered notes directly from Republic Services, Inc., for resale pursuant to Rule 144A or any other available exemption under the Securities Act or a holder that is an “affiliate” of Republic Services, Inc., as defined in Rule 405 under the Securities Act) without compliance with the registration and prospectus delivery provisions of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exchange notes are acquired by a non-affiliate of Republic Services, Inc., in the ordinary course of such holder’s business and such holders have no arrangement or understanding with any person to participate in the distribution of such exchange notes.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undersigned Holder represents and warrants that</w:t>
      </w:r>
    </w:p>
    <w:p>
      <w:pPr>
        <w:spacing w:after="0" w:line="104" w:lineRule="exact"/>
        <w:rPr>
          <w:sz w:val="20"/>
          <w:szCs w:val="20"/>
          <w:color w:val="auto"/>
        </w:rPr>
      </w:pPr>
    </w:p>
    <w:p>
      <w:pPr>
        <w:ind w:left="860" w:hanging="242"/>
        <w:spacing w:after="0"/>
        <w:tabs>
          <w:tab w:leader="none" w:pos="8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notes to be received by it will be acquired in the ordinary course of business,</w:t>
      </w:r>
    </w:p>
    <w:p>
      <w:pPr>
        <w:spacing w:after="0" w:line="90" w:lineRule="exact"/>
        <w:rPr>
          <w:rFonts w:ascii="Times New Roman" w:cs="Times New Roman" w:eastAsia="Times New Roman" w:hAnsi="Times New Roman"/>
          <w:sz w:val="18"/>
          <w:szCs w:val="18"/>
          <w:color w:val="auto"/>
        </w:rPr>
      </w:pPr>
    </w:p>
    <w:p>
      <w:pPr>
        <w:ind w:left="320" w:right="100" w:firstLine="298"/>
        <w:spacing w:after="0" w:line="282" w:lineRule="auto"/>
        <w:tabs>
          <w:tab w:leader="none" w:pos="87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arrangement or understanding with any person to participate in the distribution (within the meaning of the Securities Act) of the exchange notes,</w:t>
      </w:r>
    </w:p>
    <w:p>
      <w:pPr>
        <w:spacing w:after="0" w:line="26" w:lineRule="exact"/>
        <w:rPr>
          <w:rFonts w:ascii="Times New Roman" w:cs="Times New Roman" w:eastAsia="Times New Roman" w:hAnsi="Times New Roman"/>
          <w:sz w:val="18"/>
          <w:szCs w:val="18"/>
          <w:color w:val="auto"/>
        </w:rPr>
      </w:pPr>
    </w:p>
    <w:p>
      <w:pPr>
        <w:ind w:left="860" w:hanging="242"/>
        <w:spacing w:after="0"/>
        <w:tabs>
          <w:tab w:leader="none" w:pos="8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“affiliate” (as defined in Rule 405 under the Securities Act) of Republic Services, Inc., or any guarantor,</w:t>
      </w:r>
    </w:p>
    <w:p>
      <w:pPr>
        <w:spacing w:after="0" w:line="103" w:lineRule="exact"/>
        <w:rPr>
          <w:rFonts w:ascii="Times New Roman" w:cs="Times New Roman" w:eastAsia="Times New Roman" w:hAnsi="Times New Roman"/>
          <w:sz w:val="18"/>
          <w:szCs w:val="18"/>
          <w:color w:val="auto"/>
        </w:rPr>
      </w:pPr>
    </w:p>
    <w:p>
      <w:pPr>
        <w:ind w:left="320" w:right="140" w:firstLine="298"/>
        <w:spacing w:after="0" w:line="282" w:lineRule="auto"/>
        <w:tabs>
          <w:tab w:leader="none" w:pos="87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broker-dealer, it has not entered into any arrangement or understanding with Republic Services, Inc., or any “affiliate” of Republic Services, Inc., as defined in Rule 405 promulgated under the Securities Act to distribute the exchange notes,</w:t>
      </w:r>
    </w:p>
    <w:p>
      <w:pPr>
        <w:spacing w:after="0" w:line="26" w:lineRule="exact"/>
        <w:rPr>
          <w:rFonts w:ascii="Times New Roman" w:cs="Times New Roman" w:eastAsia="Times New Roman" w:hAnsi="Times New Roman"/>
          <w:sz w:val="18"/>
          <w:szCs w:val="18"/>
          <w:color w:val="auto"/>
        </w:rPr>
      </w:pPr>
    </w:p>
    <w:p>
      <w:pPr>
        <w:ind w:left="320" w:right="40" w:firstLine="298"/>
        <w:spacing w:after="0" w:line="258" w:lineRule="auto"/>
        <w:tabs>
          <w:tab w:leader="none" w:pos="86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broker-dealer, the undersigned further represents and warrants that, if it will receive exchange notes for its own account in exchange for unregistered notes that were acquired as a result of market-making activities or other trading activities, the undersigned will deliver a prospectus meeting the requirements of the Securities Act (for which purposes, the delivery of the prospectus, as the same may be hereafter supplemented or amended, shall be sufficient) in connection with any resale of exchange notes received in the exchange offer, and</w:t>
      </w:r>
    </w:p>
    <w:p>
      <w:pPr>
        <w:spacing w:after="0" w:line="48" w:lineRule="exact"/>
        <w:rPr>
          <w:rFonts w:ascii="Times New Roman" w:cs="Times New Roman" w:eastAsia="Times New Roman" w:hAnsi="Times New Roman"/>
          <w:sz w:val="18"/>
          <w:szCs w:val="18"/>
          <w:color w:val="auto"/>
        </w:rPr>
      </w:pPr>
    </w:p>
    <w:p>
      <w:pPr>
        <w:ind w:left="840" w:hanging="222"/>
        <w:spacing w:after="0"/>
        <w:tabs>
          <w:tab w:leader="none" w:pos="8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is not acting on behalf of any person or entity that could not truthfully make these representations.</w:t>
      </w:r>
    </w:p>
    <w:p>
      <w:pPr>
        <w:spacing w:after="0" w:line="104" w:lineRule="exact"/>
        <w:rPr>
          <w:sz w:val="20"/>
          <w:szCs w:val="20"/>
          <w:color w:val="auto"/>
        </w:rPr>
      </w:pPr>
    </w:p>
    <w:p>
      <w:pPr>
        <w:ind w:right="120" w:firstLine="312"/>
        <w:spacing w:after="0" w:line="282" w:lineRule="auto"/>
        <w:rPr>
          <w:sz w:val="20"/>
          <w:szCs w:val="20"/>
          <w:color w:val="auto"/>
        </w:rPr>
      </w:pPr>
      <w:r>
        <w:rPr>
          <w:rFonts w:ascii="Times New Roman" w:cs="Times New Roman" w:eastAsia="Times New Roman" w:hAnsi="Times New Roman"/>
          <w:sz w:val="18"/>
          <w:szCs w:val="18"/>
          <w:color w:val="auto"/>
        </w:rPr>
        <w:t>Any broker-dealer acknowledging that it will deliver, and by delivering, a prospectus meeting the requirements of the Securities Act in connection with any resale of exchange notes, will not be deemed to admit that it is an “underwriter” within the meaning of the Securities Act.</w:t>
      </w:r>
    </w:p>
    <w:p>
      <w:pPr>
        <w:spacing w:after="0" w:line="27" w:lineRule="exact"/>
        <w:rPr>
          <w:sz w:val="20"/>
          <w:szCs w:val="20"/>
          <w:color w:val="auto"/>
        </w:rPr>
      </w:pPr>
    </w:p>
    <w:p>
      <w:pPr>
        <w:ind w:right="200" w:firstLine="312"/>
        <w:spacing w:after="0" w:line="282" w:lineRule="auto"/>
        <w:rPr>
          <w:sz w:val="20"/>
          <w:szCs w:val="20"/>
          <w:color w:val="auto"/>
        </w:rPr>
      </w:pPr>
      <w:r>
        <w:rPr>
          <w:rFonts w:ascii="Times New Roman" w:cs="Times New Roman" w:eastAsia="Times New Roman" w:hAnsi="Times New Roman"/>
          <w:sz w:val="18"/>
          <w:szCs w:val="18"/>
          <w:color w:val="auto"/>
        </w:rPr>
        <w:t>The undersigned will, upon request, execute and deliver any additional documents deemed by the applicable exchange agent or Republic Services, Inc., to be necessary or desirable to complete the exchange, assignment and transfer of the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1" w:right="819" w:bottom="1440" w:gutter="0" w:footer="0" w:header="0"/>
        </w:sectPr>
      </w:pPr>
    </w:p>
    <w:bookmarkStart w:id="261" w:name="page262"/>
    <w:bookmarkEnd w:id="261"/>
    <w:p>
      <w:pPr>
        <w:ind w:right="560"/>
        <w:spacing w:after="0" w:line="282" w:lineRule="auto"/>
        <w:rPr>
          <w:sz w:val="20"/>
          <w:szCs w:val="20"/>
          <w:color w:val="auto"/>
        </w:rPr>
      </w:pPr>
      <w:r>
        <w:rPr>
          <w:rFonts w:ascii="Times New Roman" w:cs="Times New Roman" w:eastAsia="Times New Roman" w:hAnsi="Times New Roman"/>
          <w:sz w:val="18"/>
          <w:szCs w:val="18"/>
          <w:color w:val="auto"/>
        </w:rPr>
        <w:t>unregistered notes tendered hereby or transfer of ownership of such unregistered notes on the account books maintained by a book-entry transfer facility.</w:t>
      </w:r>
    </w:p>
    <w:p>
      <w:pPr>
        <w:spacing w:after="0" w:line="40" w:lineRule="exact"/>
        <w:rPr>
          <w:sz w:val="20"/>
          <w:szCs w:val="20"/>
          <w:color w:val="auto"/>
        </w:rPr>
      </w:pPr>
    </w:p>
    <w:p>
      <w:pPr>
        <w:ind w:right="100" w:firstLine="312"/>
        <w:spacing w:after="0" w:line="261" w:lineRule="auto"/>
        <w:rPr>
          <w:sz w:val="20"/>
          <w:szCs w:val="20"/>
          <w:color w:val="auto"/>
        </w:rPr>
      </w:pPr>
      <w:r>
        <w:rPr>
          <w:rFonts w:ascii="Times New Roman" w:cs="Times New Roman" w:eastAsia="Times New Roman" w:hAnsi="Times New Roman"/>
          <w:sz w:val="18"/>
          <w:szCs w:val="18"/>
          <w:color w:val="auto"/>
        </w:rPr>
        <w:t>The undersigned understands and agrees that Republic Services, Inc., reserves the right not to accept tendered unregistered notes from any tendering Holder if Republic Services, Inc., determines, in its sole and absolute discretion, that its ability to proceed with the applicable exchange offer would be impaired by a pending or threatened action or proceeding with respect to the applicable exchange offer or that such acceptance could result in a violation of applicable securities laws.</w:t>
      </w:r>
    </w:p>
    <w:p>
      <w:pPr>
        <w:spacing w:after="0" w:line="45" w:lineRule="exact"/>
        <w:rPr>
          <w:sz w:val="20"/>
          <w:szCs w:val="20"/>
          <w:color w:val="auto"/>
        </w:rPr>
      </w:pPr>
    </w:p>
    <w:p>
      <w:pPr>
        <w:ind w:right="80" w:firstLine="312"/>
        <w:spacing w:after="0" w:line="255" w:lineRule="auto"/>
        <w:rPr>
          <w:sz w:val="20"/>
          <w:szCs w:val="20"/>
          <w:color w:val="auto"/>
        </w:rPr>
      </w:pPr>
      <w:r>
        <w:rPr>
          <w:rFonts w:ascii="Times New Roman" w:cs="Times New Roman" w:eastAsia="Times New Roman" w:hAnsi="Times New Roman"/>
          <w:sz w:val="18"/>
          <w:szCs w:val="18"/>
          <w:color w:val="auto"/>
        </w:rPr>
        <w:t>For purposes of the exchange offers, Republic Services, Inc., shall be deemed to have accepted validly tendered unregistered notes when, as and if Republic Services, Inc., has given oral or written notice thereof to the applicable exchange agent. If any tendered unregistered notes are not accepted for exchange pursuant to the applicable exchange offer for any reason, such unaccepted or non-exchanged unregistered notes will be returned to the address shown below or to a different address as may be indicated herein under “Special Delivery Instructions,” without expense to the tendering Holder thereof, (or, in the case of tender by book-entry transfer into the applicable exchange agent’s account at the book-entry transfer facility pursuant to the book-entry transfer procedures described in the prospectus under the caption “The Exchange Offers — Book-Entry Transfer,” such non-exchanged notes will be credited to an account maintained with such book-entry transfer facility) promptly after the expiration or termination of the exchange offer.</w:t>
      </w:r>
    </w:p>
    <w:p>
      <w:pPr>
        <w:spacing w:after="0" w:line="50" w:lineRule="exact"/>
        <w:rPr>
          <w:sz w:val="20"/>
          <w:szCs w:val="20"/>
          <w:color w:val="auto"/>
        </w:rPr>
      </w:pPr>
    </w:p>
    <w:p>
      <w:pPr>
        <w:ind w:firstLine="312"/>
        <w:spacing w:after="0" w:line="258" w:lineRule="auto"/>
        <w:rPr>
          <w:sz w:val="20"/>
          <w:szCs w:val="20"/>
          <w:color w:val="auto"/>
        </w:rPr>
      </w:pPr>
      <w:r>
        <w:rPr>
          <w:rFonts w:ascii="Times New Roman" w:cs="Times New Roman" w:eastAsia="Times New Roman" w:hAnsi="Times New Roman"/>
          <w:sz w:val="18"/>
          <w:szCs w:val="18"/>
          <w:color w:val="auto"/>
        </w:rPr>
        <w:t>The undersigned understands and acknowledges that Republic Services, Inc., reserves the right in its sole discretion to purchase or make offers for any unregistered notes that remain outstanding subsequent to the Expiration Date or, as set forth in the prospectus under the caption “The Exchange Offers — Expiration Date; Extensions; Amendment; Termination,” to terminate the exchange offers and, to the extent permitted by applicable law, purchase unregistered notes in the open market, in privately negotiated transactions or otherwise. The terms of any such purchases or offers could differ from the terms of the exchange offers.</w:t>
      </w:r>
    </w:p>
    <w:p>
      <w:pPr>
        <w:spacing w:after="0" w:line="62" w:lineRule="exact"/>
        <w:rPr>
          <w:sz w:val="20"/>
          <w:szCs w:val="20"/>
          <w:color w:val="auto"/>
        </w:rPr>
      </w:pPr>
    </w:p>
    <w:p>
      <w:pPr>
        <w:ind w:right="160" w:firstLine="312"/>
        <w:spacing w:after="0" w:line="255" w:lineRule="auto"/>
        <w:rPr>
          <w:sz w:val="20"/>
          <w:szCs w:val="20"/>
          <w:color w:val="auto"/>
        </w:rPr>
      </w:pPr>
      <w:r>
        <w:rPr>
          <w:rFonts w:ascii="Times New Roman" w:cs="Times New Roman" w:eastAsia="Times New Roman" w:hAnsi="Times New Roman"/>
          <w:sz w:val="18"/>
          <w:szCs w:val="18"/>
          <w:color w:val="auto"/>
        </w:rPr>
        <w:t>The undersigned understands that tenders of unregistered notes pursuant to the procedures described under the caption “The Exchange Offers — Procedures for Tendering” in the prospectus and in the instructions hereto will constitute a binding agreement between the undersigned and Republic Services, Inc., upon the terms and subject to the conditions of the applicable exchange offer. The undersigned also agrees that acceptance of any tendered unregistered notes by Republic Services, Inc., and the issuance of exchange notes in exchange therefor shall constitute performance in full by Republic Services, Inc., of its obligations under the applicable exchange offer and applicable Registration Rights Agreement and that, upon the issuance of the exchange notes, Republic Services, Inc., will have no further obligations or liabilities thereunder (except in certain limited circumstances).</w:t>
      </w:r>
    </w:p>
    <w:p>
      <w:pPr>
        <w:spacing w:after="0" w:line="54" w:lineRule="exact"/>
        <w:rPr>
          <w:sz w:val="20"/>
          <w:szCs w:val="20"/>
          <w:color w:val="auto"/>
        </w:rPr>
      </w:pPr>
    </w:p>
    <w:p>
      <w:pPr>
        <w:ind w:right="280" w:firstLine="312"/>
        <w:spacing w:after="0" w:line="261" w:lineRule="auto"/>
        <w:rPr>
          <w:sz w:val="20"/>
          <w:szCs w:val="20"/>
          <w:color w:val="auto"/>
        </w:rPr>
      </w:pPr>
      <w:r>
        <w:rPr>
          <w:rFonts w:ascii="Times New Roman" w:cs="Times New Roman" w:eastAsia="Times New Roman" w:hAnsi="Times New Roman"/>
          <w:sz w:val="18"/>
          <w:szCs w:val="18"/>
          <w:color w:val="auto"/>
        </w:rPr>
        <w:t>All authority conferred or agreed to be conferred by this letter of transmittal shall survive the death, incapacity or dissolution of the undersigned and every obligation under this letter of transmittal shall be binding upon the undersigned’s heirs, personal representatives, successors and assigns. This tender may be withdrawn only in accordance with the procedures set forth in the prospectus and in this letter of transmittal.</w:t>
      </w:r>
    </w:p>
    <w:p>
      <w:pPr>
        <w:spacing w:after="0" w:line="45" w:lineRule="exact"/>
        <w:rPr>
          <w:sz w:val="20"/>
          <w:szCs w:val="20"/>
          <w:color w:val="auto"/>
        </w:rPr>
      </w:pPr>
    </w:p>
    <w:p>
      <w:pPr>
        <w:ind w:right="120" w:firstLine="312"/>
        <w:spacing w:after="0" w:line="256" w:lineRule="auto"/>
        <w:rPr>
          <w:sz w:val="20"/>
          <w:szCs w:val="20"/>
          <w:color w:val="auto"/>
        </w:rPr>
      </w:pPr>
      <w:r>
        <w:rPr>
          <w:rFonts w:ascii="Times New Roman" w:cs="Times New Roman" w:eastAsia="Times New Roman" w:hAnsi="Times New Roman"/>
          <w:sz w:val="18"/>
          <w:szCs w:val="18"/>
          <w:color w:val="auto"/>
        </w:rPr>
        <w:t>By acceptance of the applicable exchange offer, each broker-dealer that receives exchange notes pursuant to the applicable exchange offer hereby acknowledges and agrees that, upon the receipt of notice by Republic Services, Inc., of the happening of any event that makes any statement in the prospectus untrue in any material respect or that requires the making of any changes in the prospectus in order to make the statements therein not misleading (which notice Republic Services, Inc., agrees to deliver promptly to such broker-dealer), such broker-dealer will suspend use of the prospectus until Republic Services, Inc., has amended or supplemented the prospectus to correct such misstatement or omission and has furnished copies of the amended or supplemented prospectus to such broker-dealer.</w:t>
      </w:r>
    </w:p>
    <w:p>
      <w:pPr>
        <w:spacing w:after="0" w:line="66" w:lineRule="exact"/>
        <w:rPr>
          <w:sz w:val="20"/>
          <w:szCs w:val="20"/>
          <w:color w:val="auto"/>
        </w:rPr>
      </w:pPr>
    </w:p>
    <w:p>
      <w:pPr>
        <w:ind w:right="60" w:firstLine="312"/>
        <w:spacing w:after="0" w:line="253" w:lineRule="auto"/>
        <w:rPr>
          <w:sz w:val="20"/>
          <w:szCs w:val="20"/>
          <w:color w:val="auto"/>
        </w:rPr>
      </w:pPr>
      <w:r>
        <w:rPr>
          <w:rFonts w:ascii="Times New Roman" w:cs="Times New Roman" w:eastAsia="Times New Roman" w:hAnsi="Times New Roman"/>
          <w:sz w:val="18"/>
          <w:szCs w:val="18"/>
          <w:color w:val="auto"/>
        </w:rPr>
        <w:t>The undersigned understands and agrees that unless he or she otherwise indicates under “Special Registration Instructions,” the certificates representing the exchange notes issued in exchange for the unregistered notes will be issued and any unregistered notes not tendered or not exchanged will be returned in the name(s) of the undersigned (or in either such event in the case of unregistered notes tendered by DTC, by credit to the respective account at DTC). Similarly, unless otherwise indicated under “Special Delivery Instructions,” the certificates representing the exchange notes issued in exchange for the unregistered notes will be sent and any unregistered notes not tendered or not exchanged (and accompanying documents, as appropriate) will be returned to the undersigned at the address shown below the undersigned’s signatures, unless, in either event, tender is being made through DTC. In the event that both “Special Registration Instructions” and “Special Delivery Instructions” are completed, the certificates representing the exchange notes issued in exchange for the unregistered notes will be issued and any unregistered notes not tendered or not exchanged will be returned in the name(s) of, and said certificates will be sent to, the person(s) so indicated. The undersigned recognizes that Republic Services, Inc., has no obligations pursuant to the “Special Registration Instructions” and “Special Delivery Instructions” to transfer any unregistered notes from the name of the registered holder(s) thereof if Republic Services, Inc., does not accept for exchange any of the unregistered notes so tendered.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2" w:right="819" w:bottom="1440" w:gutter="0" w:footer="0" w:header="0"/>
        </w:sectPr>
      </w:pPr>
    </w:p>
    <w:bookmarkStart w:id="262" w:name="page263"/>
    <w:bookmarkEnd w:id="26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PLEASE SIGN HERE</w:t>
      </w:r>
    </w:p>
    <w:p>
      <w:pPr>
        <w:spacing w:after="0" w:line="135" w:lineRule="exact"/>
        <w:rPr>
          <w:sz w:val="20"/>
          <w:szCs w:val="20"/>
          <w:color w:val="auto"/>
        </w:rPr>
      </w:pPr>
    </w:p>
    <w:p>
      <w:pPr>
        <w:ind w:firstLine="312"/>
        <w:spacing w:after="0" w:line="254" w:lineRule="auto"/>
        <w:rPr>
          <w:sz w:val="20"/>
          <w:szCs w:val="20"/>
          <w:color w:val="auto"/>
        </w:rPr>
      </w:pPr>
      <w:r>
        <w:rPr>
          <w:rFonts w:ascii="Times New Roman" w:cs="Times New Roman" w:eastAsia="Times New Roman" w:hAnsi="Times New Roman"/>
          <w:sz w:val="18"/>
          <w:szCs w:val="18"/>
          <w:color w:val="auto"/>
        </w:rPr>
        <w:t>This letter of transmittal must be signed by the registered Holder(s) of unregistered notes exactly as its (their) name(s) appear(s) on certificate(s) of unregistered notes or, if tendered by a participant in DTC, exactly as such participant’s name appears on its security position listing it as the owner of unregistered notes, or by the person(s) authorized to become the registered Holder(s) by endorsements and documents transmitted with this letter of transmittal. If the unregistered notes to which this letter of transmittal relates are held of record by two or more joint Holders, then all such Holders must sign this letter of transmittal. If signature is by a trustee, executor, administrator, guardian, attorney-in-fact, officer of a corporation or other person acting in a fiduciary or representative capacity, then such person must set forth his or her full title below under “Capacity(ies)” and submit evidence satisfactory to Republic Services, Inc., of such person’s authority to so act. (See Instruction 6.) If the signature appearing below is not that of the registered Holder(s) of the unregistered notes, then the registered Holder(s) must sign a valid proxy.</w:t>
      </w:r>
    </w:p>
    <w:p>
      <w:pPr>
        <w:spacing w:after="0" w:line="1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-7620</wp:posOffset>
            </wp:positionV>
            <wp:extent cx="4763"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-7620</wp:posOffset>
            </wp:positionV>
            <wp:extent cx="4763"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-7620</wp:posOffset>
            </wp:positionV>
            <wp:extent cx="4763"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Signature(s) of Holder(s) or Authorized Signatory</w:t>
      </w:r>
    </w:p>
    <w:p>
      <w:pPr>
        <w:spacing w:after="0" w:line="260" w:lineRule="exact"/>
        <w:rPr>
          <w:sz w:val="20"/>
          <w:szCs w:val="20"/>
          <w:color w:val="auto"/>
        </w:rPr>
      </w:pPr>
    </w:p>
    <w:p>
      <w:pPr>
        <w:ind w:left="20"/>
        <w:spacing w:after="0"/>
        <w:tabs>
          <w:tab w:leader="none" w:pos="5280" w:val="left"/>
        </w:tabs>
        <w:rPr>
          <w:sz w:val="20"/>
          <w:szCs w:val="20"/>
          <w:color w:val="auto"/>
        </w:rPr>
      </w:pPr>
      <w:r>
        <w:rPr>
          <w:rFonts w:ascii="Times New Roman" w:cs="Times New Roman" w:eastAsia="Times New Roman" w:hAnsi="Times New Roman"/>
          <w:sz w:val="18"/>
          <w:szCs w:val="18"/>
          <w:color w:val="auto"/>
        </w:rPr>
        <w:t>Name(s):</w:t>
      </w:r>
      <w:r>
        <w:rPr>
          <w:sz w:val="20"/>
          <w:szCs w:val="20"/>
          <w:color w:val="auto"/>
        </w:rPr>
        <w:tab/>
      </w: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-7620</wp:posOffset>
            </wp:positionV>
            <wp:extent cx="4763"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266065</wp:posOffset>
            </wp:positionV>
            <wp:extent cx="4763"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266065</wp:posOffset>
            </wp:positionV>
            <wp:extent cx="4763"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540385</wp:posOffset>
            </wp:positionV>
            <wp:extent cx="4763"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(Please Print)</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Capacity(ies):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128905</wp:posOffset>
            </wp:positionV>
            <wp:extent cx="4763"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128905</wp:posOffset>
            </wp:positionV>
            <wp:extent cx="4763"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19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(Including Zip Code)</w:t>
      </w:r>
    </w:p>
    <w:p>
      <w:pPr>
        <w:spacing w:after="0" w:line="6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Area code and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-7620</wp:posOffset>
            </wp:positionV>
            <wp:extent cx="4763"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266065</wp:posOffset>
            </wp:positionV>
            <wp:extent cx="4763"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266065</wp:posOffset>
            </wp:positionV>
            <wp:extent cx="4763"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Employer Identification or Social Security Number(s):</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0"/>
          </w:cols>
          <w:pgMar w:left="700" w:top="928" w:right="899" w:bottom="1440" w:gutter="0" w:footer="0" w:header="0"/>
        </w:sectPr>
      </w:pPr>
    </w:p>
    <w:bookmarkStart w:id="263" w:name="page264"/>
    <w:bookmarkEnd w:id="263"/>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744970" cy="31769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744970" cy="3176905"/>
                    </a:xfrm>
                    <a:prstGeom prst="rect">
                      <a:avLst/>
                    </a:prstGeom>
                    <a:noFill/>
                  </pic:spPr>
                </pic:pic>
              </a:graphicData>
            </a:graphic>
          </wp:anchor>
        </w:drawing>
        <w:t>SIGNATURE GUARANTEE</w:t>
      </w:r>
    </w:p>
    <w:p>
      <w:pPr>
        <w:spacing w:after="0" w:line="3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(SEE INSTRUCTION 1 HEREIN)</w:t>
      </w:r>
    </w:p>
    <w:p>
      <w:pPr>
        <w:spacing w:after="0" w:line="200" w:lineRule="exact"/>
        <w:rPr>
          <w:sz w:val="20"/>
          <w:szCs w:val="20"/>
          <w:color w:val="auto"/>
        </w:rPr>
      </w:pPr>
    </w:p>
    <w:p>
      <w:pPr>
        <w:spacing w:after="0" w:line="25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(Name of Eligible Institution Guaranteeing Signatures)</w:t>
      </w:r>
    </w:p>
    <w:p>
      <w:pPr>
        <w:spacing w:after="0" w:line="200" w:lineRule="exact"/>
        <w:rPr>
          <w:sz w:val="20"/>
          <w:szCs w:val="20"/>
          <w:color w:val="auto"/>
        </w:rPr>
      </w:pPr>
    </w:p>
    <w:p>
      <w:pPr>
        <w:spacing w:after="0" w:line="247"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Eligible Institution)</w:t>
      </w:r>
    </w:p>
    <w:p>
      <w:pPr>
        <w:spacing w:after="0" w:line="200" w:lineRule="exact"/>
        <w:rPr>
          <w:sz w:val="20"/>
          <w:szCs w:val="20"/>
          <w:color w:val="auto"/>
        </w:rPr>
      </w:pPr>
    </w:p>
    <w:p>
      <w:pPr>
        <w:spacing w:after="0" w:line="24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(Authorized Signatures)</w:t>
      </w:r>
    </w:p>
    <w:p>
      <w:pPr>
        <w:spacing w:after="0" w:line="200" w:lineRule="exact"/>
        <w:rPr>
          <w:sz w:val="20"/>
          <w:szCs w:val="20"/>
          <w:color w:val="auto"/>
        </w:rPr>
      </w:pPr>
    </w:p>
    <w:p>
      <w:pPr>
        <w:spacing w:after="0" w:line="26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(Printed Names)</w:t>
      </w:r>
    </w:p>
    <w:p>
      <w:pPr>
        <w:spacing w:after="0" w:line="200" w:lineRule="exact"/>
        <w:rPr>
          <w:sz w:val="20"/>
          <w:szCs w:val="20"/>
          <w:color w:val="auto"/>
        </w:rPr>
      </w:pPr>
    </w:p>
    <w:p>
      <w:pPr>
        <w:spacing w:after="0" w:line="24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(Titles)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152400</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19"/>
          </w:cols>
          <w:pgMar w:left="1040" w:top="1360" w:right="1440"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447040</wp:posOffset>
            </wp:positionH>
            <wp:positionV relativeFrom="page">
              <wp:posOffset>610235</wp:posOffset>
            </wp:positionV>
            <wp:extent cx="6890385" cy="33229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90385" cy="3322955"/>
                    </a:xfrm>
                    <a:prstGeom prst="rect">
                      <a:avLst/>
                    </a:prstGeom>
                    <a:noFill/>
                  </pic:spPr>
                </pic:pic>
              </a:graphicData>
            </a:graphic>
          </wp:anchor>
        </w:drawing>
        <w:t>SPECIAL REGISTRATION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Instruction 7 herein)</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be completed ONLY if certificates for unregistered notes in a principal amount not tendered or not accepted for exchange are to be issued in the name of, or the exchange notes issued pursuant to the applicable exchange offer are to be issued to the order of, someone other than the person or persons whose signature(s) appear(s) within this letter of transmittal or issued to an address different from that shown in the box(es) entitled “Description of Unregistered 5.00% Notes Due 2020,” “Description of Unregistered 5.25% Notes Due 2021,” “Description of Unregistered 5.50% Notes Due 2019” or “Description of Unregistered 6.20% Notes Due 2040,” as appropriate, within this letter of transmittal, or if exchange notes tendered by book-entry transfer that are not accepted for purchase are to be credited to an account maintained at DTC other than the account indicated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(Please Print)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(Please Print)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Employer Identification of Social Security Number</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 Substitute Form W-9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297180</wp:posOffset>
            </wp:positionV>
            <wp:extent cx="6890385" cy="32283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90385" cy="3228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DELIVERY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Instruction 7 herein)</w:t>
      </w:r>
    </w:p>
    <w:p>
      <w:pPr>
        <w:spacing w:after="0" w:line="11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 be completed ONLY if certificates for unregistered notes in a principal amount not tendered or not accepted for exchange are to be sent to, or the exchange notes issued pursuant to the applicable exchange offer are to be sent to someone other than, the person or persons whose signature(s) appear(s) within this letter of transmittal, or to an address different from that shown in the box(es) entitled “Description of Unregistered 5.00% Notes Due 2020,” “Description of Unregistered 5.25% Notes Due 2021,” “Description of Unregistered 5.50% Notes Due 2019” or “Description of Unregistered 6.20% Notes Due 2040,” as appropriate, within this letter of transmittal, or to be credited to an account maintained at DTC, other than the account indicated above.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(Please Print)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(Please Print)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Employer Identification of Social Security Number</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 Substitute Form W-9 below)</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152400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940" w:top="1171" w:right="599" w:bottom="1440" w:gutter="0" w:footer="0" w:header="0"/>
        </w:sectPr>
      </w:pPr>
    </w:p>
    <w:bookmarkStart w:id="265" w:name="page266"/>
    <w:bookmarkEnd w:id="2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exchange offers</w:t>
      </w:r>
    </w:p>
    <w:p>
      <w:pPr>
        <w:spacing w:after="0" w:line="112" w:lineRule="exact"/>
        <w:rPr>
          <w:sz w:val="20"/>
          <w:szCs w:val="20"/>
          <w:color w:val="auto"/>
        </w:rPr>
      </w:pPr>
    </w:p>
    <w:p>
      <w:pPr>
        <w:ind w:right="100" w:firstLine="312"/>
        <w:spacing w:after="0" w:line="256" w:lineRule="auto"/>
        <w:rPr>
          <w:sz w:val="20"/>
          <w:szCs w:val="20"/>
          <w:color w:val="auto"/>
        </w:rPr>
      </w:pPr>
      <w:r>
        <w:rPr>
          <w:rFonts w:ascii="Times New Roman" w:cs="Times New Roman" w:eastAsia="Times New Roman" w:hAnsi="Times New Roman"/>
          <w:sz w:val="18"/>
          <w:szCs w:val="18"/>
          <w:color w:val="auto"/>
        </w:rPr>
        <w:t>To be completed ONLY if certificates for unregistered notes in a principal amount not tendered or not accepted for exchange are to be sent to, or the exchange notes issued pursuant to the applicable exchange offer are to be sent to someone other than, the person or persons whose signature(s) appear(s) within this letter of transmittal, or to an address different from that shown in the box(es) entitled “Description of Unregistered 5.00% Notes Due 2020,” “Description of Unregistered 5.25% Notes Due 2021,” “Description of Unregistered 5.50% Notes Due 2019” or “Description of Unregistered 6.20% Notes Due 2040,” as appropriate, within this letter of transmittal, or to be credited to an account maintained at DTC, other than the account indicated above.</w:t>
      </w:r>
    </w:p>
    <w:p>
      <w:pPr>
        <w:spacing w:after="0" w:line="91" w:lineRule="exact"/>
        <w:rPr>
          <w:sz w:val="20"/>
          <w:szCs w:val="20"/>
          <w:color w:val="auto"/>
        </w:rPr>
      </w:pPr>
    </w:p>
    <w:p>
      <w:pPr>
        <w:ind w:right="80" w:firstLine="316"/>
        <w:spacing w:after="0" w:line="256" w:lineRule="auto"/>
        <w:tabs>
          <w:tab w:leader="none" w:pos="4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Guarantee of Signatures. </w:t>
      </w:r>
      <w:r>
        <w:rPr>
          <w:rFonts w:ascii="Times New Roman" w:cs="Times New Roman" w:eastAsia="Times New Roman" w:hAnsi="Times New Roman"/>
          <w:sz w:val="18"/>
          <w:szCs w:val="18"/>
          <w:color w:val="auto"/>
        </w:rPr>
        <w:t>Signatures on this letter of transmittal (or copy hereof) or a notice of withdrawal, as the case may be,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guaranteed by a member firm of a registered national securities exchange or of the Financial Industry Regulatory Authority, Inc., a commercial bank or trust company having an office or correspondent in the United States or an “eligible guarantor institution” within the meaning of Rule 17Ad-15 under the Exchange Act (an “Eligible Institution”) unless the unregistered notes tendered pursuant thereto are tendered (1) by a registered Holder (including any participant in DTC whose name appears on a security position listing as the owner of unregistered notes) who has not completed the box set forth herein entitled “Special Registration Instructions” or “Special Delivery Instructions” of this letter of transmittal or (2) for the account of an Eligible Institution.</w:t>
      </w:r>
    </w:p>
    <w:p>
      <w:pPr>
        <w:spacing w:after="0" w:line="88" w:lineRule="exact"/>
        <w:rPr>
          <w:rFonts w:ascii="Times New Roman" w:cs="Times New Roman" w:eastAsia="Times New Roman" w:hAnsi="Times New Roman"/>
          <w:sz w:val="18"/>
          <w:szCs w:val="18"/>
          <w:color w:val="auto"/>
        </w:rPr>
      </w:pPr>
    </w:p>
    <w:p>
      <w:pPr>
        <w:ind w:right="80" w:firstLine="316"/>
        <w:spacing w:after="0" w:line="254" w:lineRule="auto"/>
        <w:tabs>
          <w:tab w:leader="none" w:pos="4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this Letter of Transmittal and Unregistered Notes. </w:t>
      </w:r>
      <w:r>
        <w:rPr>
          <w:rFonts w:ascii="Times New Roman" w:cs="Times New Roman" w:eastAsia="Times New Roman" w:hAnsi="Times New Roman"/>
          <w:sz w:val="18"/>
          <w:szCs w:val="18"/>
          <w:color w:val="auto"/>
        </w:rPr>
        <w:t>Certificates for the physically tendered unregistered notes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confirmation of a book-entry transfer to the exchange agent at DTC of all unregistered notes tendered electronically), as well as, in the case of physical delivery of unregistered notes, a properly completed and duly executed copy of this letter of transmittal or facsimile hereof and any other documents required by this letter of transmittal must be received by the applicable exchange agent at its address set forth herein prior to 5:00 p.m., New York City time, on the Expiration Date. The method of delivery of the tendered unregistered notes, this letter of transmittal and all other required documents, or book-entry transfer and transmission of an Agent’s Message by a DTC participant, to the applicable exchange agent are at the election and risk of the Holder and, except as otherwise provided below, the delivery will be deemed made only when actually received by the applicable exchange agent. Instead of delivery by mail, it is recommended that the Holder use an overnight or hand delivery service. In all cases, sufficient time should be allowed to assure timely delivery. No letter of transmittal or unregistered notes should be sent to Republic Services, Inc., or DTC.</w:t>
      </w:r>
    </w:p>
    <w:p>
      <w:pPr>
        <w:spacing w:after="0" w:line="94" w:lineRule="exact"/>
        <w:rPr>
          <w:sz w:val="20"/>
          <w:szCs w:val="20"/>
          <w:color w:val="auto"/>
        </w:rPr>
      </w:pPr>
    </w:p>
    <w:p>
      <w:pPr>
        <w:ind w:firstLine="312"/>
        <w:spacing w:after="0" w:line="255" w:lineRule="auto"/>
        <w:rPr>
          <w:sz w:val="20"/>
          <w:szCs w:val="20"/>
          <w:color w:val="auto"/>
        </w:rPr>
      </w:pPr>
      <w:r>
        <w:rPr>
          <w:rFonts w:ascii="Times New Roman" w:cs="Times New Roman" w:eastAsia="Times New Roman" w:hAnsi="Times New Roman"/>
          <w:sz w:val="18"/>
          <w:szCs w:val="18"/>
          <w:color w:val="auto"/>
        </w:rPr>
        <w:t>The applicable exchange agent will make a request to establish an account with respect to the unregistered notes at DTC for purposes of the exchange offer promptly after receipt of the prospectus, and any financial institution that is a participant in DTC may make book-entry delivery of unregistered notes by causing DTC to transfer such unregistered notes into the applicable exchange agent’s account at DTC in accordance with the relevant entity’s procedures for transfer. However, although delivery of unregistered notes may be effected through book-entry transfer at DTC, an Agent’s Message (as defined in the next paragraph) in connection with a book-entry transfer and any other required documents must, in any case, be transmitted to and received by the applicable exchange agent at the address specified on the cover page of the letter of transmittal on or prior to the Expiration Date.</w:t>
      </w:r>
    </w:p>
    <w:p>
      <w:pPr>
        <w:spacing w:after="0" w:line="95" w:lineRule="exact"/>
        <w:rPr>
          <w:sz w:val="20"/>
          <w:szCs w:val="20"/>
          <w:color w:val="auto"/>
        </w:rPr>
      </w:pPr>
    </w:p>
    <w:p>
      <w:pPr>
        <w:ind w:right="60" w:firstLine="312"/>
        <w:spacing w:after="0" w:line="255" w:lineRule="auto"/>
        <w:rPr>
          <w:sz w:val="20"/>
          <w:szCs w:val="20"/>
          <w:color w:val="auto"/>
        </w:rPr>
      </w:pPr>
      <w:r>
        <w:rPr>
          <w:rFonts w:ascii="Times New Roman" w:cs="Times New Roman" w:eastAsia="Times New Roman" w:hAnsi="Times New Roman"/>
          <w:sz w:val="18"/>
          <w:szCs w:val="18"/>
          <w:color w:val="auto"/>
        </w:rPr>
        <w:t>A Holder may tender unregistered notes that are held through DTC by transmitting its acceptance through DTC’s Automatic Tender Offer Program, for which the transaction will be eligible, and DTC will then edit and verify the acceptance and send an Agent’s Message to the applicable exchange agent for its acceptance. The term “Agent’s Message” means a message transmitted by DTC to, and received by, the applicable exchange agent and forming part of the Book-Entry Confirmation, which states that DTC has received an express acknowledgment from each participant in DTC tendering the unregistered notes and that such participant has received the letter of transmittal and agrees to be bound by the terms of the letter of transmittal and Republic Services, Inc., may enforce such agreement against such participant. Delivery of an Agent’s Message will also constitute an acknowledgment from the tendering DTC participant that the representations and warranties set forth on page 5 of this letter of transmittal are true and correct.</w:t>
      </w:r>
    </w:p>
    <w:p>
      <w:pPr>
        <w:spacing w:after="0" w:line="91" w:lineRule="exact"/>
        <w:rPr>
          <w:sz w:val="20"/>
          <w:szCs w:val="20"/>
          <w:color w:val="auto"/>
        </w:rPr>
      </w:pPr>
    </w:p>
    <w:p>
      <w:pPr>
        <w:ind w:right="120" w:firstLine="312"/>
        <w:spacing w:after="0" w:line="258" w:lineRule="auto"/>
        <w:rPr>
          <w:sz w:val="20"/>
          <w:szCs w:val="20"/>
          <w:color w:val="auto"/>
        </w:rPr>
      </w:pPr>
      <w:r>
        <w:rPr>
          <w:rFonts w:ascii="Times New Roman" w:cs="Times New Roman" w:eastAsia="Times New Roman" w:hAnsi="Times New Roman"/>
          <w:sz w:val="18"/>
          <w:szCs w:val="18"/>
          <w:color w:val="auto"/>
        </w:rPr>
        <w:t>All questions as to the validity, form, eligibility (including time of receipt), acceptance and withdrawal of tendered unregistered notes or this letter of transmittal will be determined by Republic Services, Inc., in its sole discretion, which determination will be final and binding. All tendering Holders, by execution of this letter of transmittal (or copy hereof), shall waive any right to receive notice of the acceptance of the unregistered notes for exchange. Republic Services, Inc., reserves the absolute right to reject any and all unregistered notes or letter of transmittal not properly tendered, or any tenders Republic</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28" w:right="819" w:bottom="1440" w:gutter="0" w:footer="0" w:header="0"/>
        </w:sectPr>
      </w:pPr>
    </w:p>
    <w:bookmarkStart w:id="266" w:name="page267"/>
    <w:bookmarkEnd w:id="266"/>
    <w:p>
      <w:pPr>
        <w:ind w:right="40"/>
        <w:spacing w:after="0" w:line="253" w:lineRule="auto"/>
        <w:rPr>
          <w:sz w:val="20"/>
          <w:szCs w:val="20"/>
          <w:color w:val="auto"/>
        </w:rPr>
      </w:pPr>
      <w:r>
        <w:rPr>
          <w:rFonts w:ascii="Times New Roman" w:cs="Times New Roman" w:eastAsia="Times New Roman" w:hAnsi="Times New Roman"/>
          <w:sz w:val="18"/>
          <w:szCs w:val="18"/>
          <w:color w:val="auto"/>
        </w:rPr>
        <w:t>Services, Inc.’s acceptance of which would, in the opinion of counsel for Republic Services, Inc., be unlawful. Republic Services, Inc., also reserves the absolute right to waive any defects, irregularities or conditions of tender as to particular unregistered notes; provided that any waiver of a condition of tender will apply to all unregistered notes and not only to particular unregistered notes. Republic Services, Inc.’s interpretation of the terms and conditions of the exchange offers (including the instructions in this letter of transmittal) will be final and binding on all parties. Unless waived, any defects or irregularities in connection with tenders of unregistered notes must be cured within such time as Republic Services, Inc., shall determine. However, all conditions must be satisfied or waived prior to the expiration of the exchange offer (as extended, if applicable). Although Republic Services, Inc., intends to notify Holders of defects or irregularities with respect to tenders of unregistered notes, none of Republic Services, Inc., the applicable exchange agent or any other person shall be under any duty to give notification of defects or irregularities with respect to tenders of unregistered notes, nor shall any of them incur any liability for failure to give such notification. Tenders of unregistered notes will not be deemed to have been made until such defects or irregularities have been cured or waived. Any unregistered notes received by the applicable exchange agent that are not properly tendered and as to which the defects or irregularities have not been cured or waived will be returned by the applicable exchange agent to the tendering Holders of unregistered notes, unless otherwise provided in this letter of transmittal, promptly following the Expiration Date.</w:t>
      </w:r>
    </w:p>
    <w:p>
      <w:pPr>
        <w:spacing w:after="0" w:line="92" w:lineRule="exact"/>
        <w:rPr>
          <w:sz w:val="20"/>
          <w:szCs w:val="20"/>
          <w:color w:val="auto"/>
        </w:rPr>
      </w:pPr>
    </w:p>
    <w:p>
      <w:pPr>
        <w:ind w:right="120" w:firstLine="316"/>
        <w:spacing w:after="0" w:line="284" w:lineRule="auto"/>
        <w:tabs>
          <w:tab w:leader="none" w:pos="49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Inadequate Space. </w:t>
      </w:r>
      <w:r>
        <w:rPr>
          <w:rFonts w:ascii="Times New Roman" w:cs="Times New Roman" w:eastAsia="Times New Roman" w:hAnsi="Times New Roman"/>
          <w:sz w:val="18"/>
          <w:szCs w:val="18"/>
          <w:color w:val="auto"/>
        </w:rPr>
        <w:t>If the space provided is inadequate, the certificate number(s) of the unregistered notes should be listed on a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signed schedule attached hereto.</w:t>
      </w:r>
    </w:p>
    <w:p>
      <w:pPr>
        <w:spacing w:after="0" w:line="63" w:lineRule="exact"/>
        <w:rPr>
          <w:rFonts w:ascii="Times New Roman" w:cs="Times New Roman" w:eastAsia="Times New Roman" w:hAnsi="Times New Roman"/>
          <w:sz w:val="18"/>
          <w:szCs w:val="18"/>
          <w:color w:val="auto"/>
        </w:rPr>
      </w:pPr>
    </w:p>
    <w:p>
      <w:pPr>
        <w:ind w:right="100" w:firstLine="316"/>
        <w:spacing w:after="0" w:line="256" w:lineRule="auto"/>
        <w:tabs>
          <w:tab w:leader="none" w:pos="49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Tender by Holder. </w:t>
      </w:r>
      <w:r>
        <w:rPr>
          <w:rFonts w:ascii="Times New Roman" w:cs="Times New Roman" w:eastAsia="Times New Roman" w:hAnsi="Times New Roman"/>
          <w:sz w:val="18"/>
          <w:szCs w:val="18"/>
          <w:color w:val="auto"/>
        </w:rPr>
        <w:t>Except in limited circumstances, only a registered Holder of unregistered notes or a DTC participant listed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position listing furnished by DTC with respect to the unregistered notes may tender its unregistered notes in the applicable exchange offer. Any beneficial owner of unregistered notes who is not the registered Holder and is not a DTC participant and who wishes to tender should arrange with such registered holder to execute and deliver this letter of transmittal on such beneficial owner’s behalf or must, prior to completing and executing this letter of transmittal and delivering such unregistered notes, either make appropriate arrangements to register ownership of the unregistered notes in such beneficial owner’s name or obtain a properly completed bond power from the registered holder or properly endorsed certificates representing such unregistered notes.</w:t>
      </w:r>
    </w:p>
    <w:p>
      <w:pPr>
        <w:spacing w:after="0" w:line="88" w:lineRule="exact"/>
        <w:rPr>
          <w:rFonts w:ascii="Times New Roman" w:cs="Times New Roman" w:eastAsia="Times New Roman" w:hAnsi="Times New Roman"/>
          <w:sz w:val="18"/>
          <w:szCs w:val="18"/>
          <w:color w:val="auto"/>
        </w:rPr>
      </w:pPr>
    </w:p>
    <w:p>
      <w:pPr>
        <w:ind w:firstLine="316"/>
        <w:spacing w:after="0" w:line="254" w:lineRule="auto"/>
        <w:tabs>
          <w:tab w:leader="none" w:pos="49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Partial Tenders; Withdrawals. </w:t>
      </w:r>
      <w:r>
        <w:rPr>
          <w:rFonts w:ascii="Times New Roman" w:cs="Times New Roman" w:eastAsia="Times New Roman" w:hAnsi="Times New Roman"/>
          <w:sz w:val="18"/>
          <w:szCs w:val="18"/>
          <w:color w:val="auto"/>
        </w:rPr>
        <w:t>Tenders of unregistered notes will be accepted only in minimum denominations of $2,000 and larger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integral multiples of $1,000. If less than the entire principal amount of any unregistered notes is tendered, the tendering Holder should fill in the principal amount tendered in the fourth column of the box(es) entitled “Description of Unregistered 5.00% Notes Due 2020,” “Description of Unregistered 5.25% Notes Due 2021,” “Description of Unregistered 5.50% Notes Due 2019” or “Description of Unregistered 6.20% Notes Due 2019,” as appropriate. The entire principal amount of unregistered notes delivered to the applicable exchange agent will be deemed to have been tendered unless otherwise indicated. If the entire principal amount of all unregistered notes is not tendered, unregistered notes for the principal amount of unregistered notes not tendered and a certificate or certificates representing exchange notes issued in exchange of any unregistered notes accepted will be sent to the Holder at his or her registered address, unless a different address is provided in the appropriate box on this letter of transmittal, promptly after the unregistered notes are accepted for exchange.</w:t>
      </w:r>
    </w:p>
    <w:p>
      <w:pPr>
        <w:spacing w:after="0" w:line="97" w:lineRule="exact"/>
        <w:rPr>
          <w:sz w:val="20"/>
          <w:szCs w:val="20"/>
          <w:color w:val="auto"/>
        </w:rPr>
      </w:pPr>
    </w:p>
    <w:p>
      <w:pPr>
        <w:ind w:right="80" w:firstLine="312"/>
        <w:spacing w:after="0" w:line="252" w:lineRule="auto"/>
        <w:rPr>
          <w:sz w:val="20"/>
          <w:szCs w:val="20"/>
          <w:color w:val="auto"/>
        </w:rPr>
      </w:pPr>
      <w:r>
        <w:rPr>
          <w:rFonts w:ascii="Times New Roman" w:cs="Times New Roman" w:eastAsia="Times New Roman" w:hAnsi="Times New Roman"/>
          <w:sz w:val="18"/>
          <w:szCs w:val="18"/>
          <w:color w:val="auto"/>
        </w:rPr>
        <w:t>Except as otherwise provided herein, tenders of unregistered notes may be withdrawn at any time prior to 5:00 p.m., New York City time, on the Expiration Date. To withdraw a tender of unregistered notes in the applicable exchange offer, a written or facsimile transmission notice of withdrawal must be received by the applicable exchange agent at its address set forth herein prior to the Expiration Date. Any such notice of withdrawal must (1) specify the name of the person having deposited the unregistered notes to be withdrawn (the “Depositor”), (2) identify the unregistered notes to be withdrawn (including the certificate number(s) and principal amount of such unregistered notes, or, in the case of unregistered notes transferred by book-entry transfer, the name and number of the account at DTC to be credited), (3) be signed by the Depositor in the same manner as the original signature on the letter of transmittal by which such unregistered notes were tendered (including any required signature guarantees) or be accompanied by documents of transfer sufficient to have the registrar with respect to the unregistered notes register the transfer of such unregistered notes into the name of the person withdrawing the tender and (4) specify the name in which any such unregistered notes are to be registered, if different from that of the Depositor. All questions as to the validity, form and eligibility (including time of receipt) of such notices will be determined by Republic Services, Inc., whose determination shall be final and binding on all parties. Any unregistered notes so withdrawn will be deemed not to have been validly tendered for purposes of the exchange offers and no exchange notes will be issued with respect thereto unless the unregistered notes so withdrawn are validly re-tendered. Any unregistered notes which have been tendered but which are not accepted for exchange by Republic Services, Inc., will be returned to the Holder thereof without cost to such</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2" w:right="819" w:bottom="1440" w:gutter="0" w:footer="0" w:header="0"/>
        </w:sectPr>
      </w:pPr>
    </w:p>
    <w:bookmarkStart w:id="267" w:name="page268"/>
    <w:bookmarkEnd w:id="267"/>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Holder promptly after withdrawal, rejection of tender or termination of the applicable exchange offer. Properly withdrawn unregistered notes may be re-tendered by following one of the procedures described in the prospectus under the caption “The Exchange Offers — Procedures for Tendering” at any time prior to the Expiration Date.</w:t>
      </w:r>
    </w:p>
    <w:p>
      <w:pPr>
        <w:spacing w:after="0" w:line="80" w:lineRule="exact"/>
        <w:rPr>
          <w:sz w:val="20"/>
          <w:szCs w:val="20"/>
          <w:color w:val="auto"/>
        </w:rPr>
      </w:pPr>
    </w:p>
    <w:p>
      <w:pPr>
        <w:ind w:right="160" w:firstLine="316"/>
        <w:spacing w:after="0" w:line="267" w:lineRule="auto"/>
        <w:tabs>
          <w:tab w:leader="none" w:pos="49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Signatures on the Letter of Transmittal; Bond Powers and Endorsements. </w:t>
      </w:r>
      <w:r>
        <w:rPr>
          <w:rFonts w:ascii="Times New Roman" w:cs="Times New Roman" w:eastAsia="Times New Roman" w:hAnsi="Times New Roman"/>
          <w:sz w:val="18"/>
          <w:szCs w:val="18"/>
          <w:color w:val="auto"/>
        </w:rPr>
        <w:t>If this letter of transmittal (or a copy hereof) is signed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Holder(s) of the unregistered notes tendered hereby, the signature must correspond with the name(s) as written on the face of the unregistered notes without alteration or any change whatsoever.</w:t>
      </w:r>
    </w:p>
    <w:p>
      <w:pPr>
        <w:spacing w:after="0" w:line="81" w:lineRule="exact"/>
        <w:rPr>
          <w:sz w:val="20"/>
          <w:szCs w:val="20"/>
          <w:color w:val="auto"/>
        </w:rPr>
      </w:pPr>
    </w:p>
    <w:p>
      <w:pPr>
        <w:ind w:right="180" w:firstLine="312"/>
        <w:spacing w:after="0" w:line="282" w:lineRule="auto"/>
        <w:rPr>
          <w:sz w:val="20"/>
          <w:szCs w:val="20"/>
          <w:color w:val="auto"/>
        </w:rPr>
      </w:pPr>
      <w:r>
        <w:rPr>
          <w:rFonts w:ascii="Times New Roman" w:cs="Times New Roman" w:eastAsia="Times New Roman" w:hAnsi="Times New Roman"/>
          <w:sz w:val="18"/>
          <w:szCs w:val="18"/>
          <w:color w:val="auto"/>
        </w:rPr>
        <w:t>If any of the unregistered notes tendered hereby are owned of record by two or more joint owners, all such owners must sign this letter of transmittal.</w:t>
      </w:r>
    </w:p>
    <w:p>
      <w:pPr>
        <w:spacing w:after="0" w:line="67" w:lineRule="exact"/>
        <w:rPr>
          <w:sz w:val="20"/>
          <w:szCs w:val="20"/>
          <w:color w:val="auto"/>
        </w:rPr>
      </w:pPr>
    </w:p>
    <w:p>
      <w:pPr>
        <w:ind w:right="400" w:firstLine="312"/>
        <w:spacing w:after="0" w:line="282" w:lineRule="auto"/>
        <w:rPr>
          <w:sz w:val="20"/>
          <w:szCs w:val="20"/>
          <w:color w:val="auto"/>
        </w:rPr>
      </w:pPr>
      <w:r>
        <w:rPr>
          <w:rFonts w:ascii="Times New Roman" w:cs="Times New Roman" w:eastAsia="Times New Roman" w:hAnsi="Times New Roman"/>
          <w:sz w:val="18"/>
          <w:szCs w:val="18"/>
          <w:color w:val="auto"/>
        </w:rPr>
        <w:t>If a number of unregistered notes registered in different names are tendered, it will be necessary to complete, sign and submit as many copies of this letter of transmittal as there are different registrations of unregistered notes.</w:t>
      </w:r>
    </w:p>
    <w:p>
      <w:pPr>
        <w:spacing w:after="0" w:line="67" w:lineRule="exact"/>
        <w:rPr>
          <w:sz w:val="20"/>
          <w:szCs w:val="20"/>
          <w:color w:val="auto"/>
        </w:rPr>
      </w:pPr>
    </w:p>
    <w:p>
      <w:pPr>
        <w:ind w:right="140" w:firstLine="312"/>
        <w:spacing w:after="0" w:line="261" w:lineRule="auto"/>
        <w:rPr>
          <w:sz w:val="20"/>
          <w:szCs w:val="20"/>
          <w:color w:val="auto"/>
        </w:rPr>
      </w:pPr>
      <w:r>
        <w:rPr>
          <w:rFonts w:ascii="Times New Roman" w:cs="Times New Roman" w:eastAsia="Times New Roman" w:hAnsi="Times New Roman"/>
          <w:sz w:val="18"/>
          <w:szCs w:val="18"/>
          <w:color w:val="auto"/>
        </w:rPr>
        <w:t>If this letter of transmittal (or a copy hereof) is signed by the registered Holder(s) (which term, for the purposes described herein, shall include a book-entry transfer facility whose name appears on the security listing as the owner of the unregistered notes) of notes tendered and the certificate(s) for exchange notes issued in exchange therefor is to be issued (or any untendered principal amount of unregistered notes is to be reissued) to the registered Holder, such Holder need not and should not endorse any tendered note, nor provide a separate bond power.</w:t>
      </w:r>
    </w:p>
    <w:p>
      <w:pPr>
        <w:spacing w:after="0" w:line="86" w:lineRule="exact"/>
        <w:rPr>
          <w:sz w:val="20"/>
          <w:szCs w:val="20"/>
          <w:color w:val="auto"/>
        </w:rPr>
      </w:pPr>
    </w:p>
    <w:p>
      <w:pPr>
        <w:ind w:right="40" w:firstLine="312"/>
        <w:spacing w:after="0" w:line="261" w:lineRule="auto"/>
        <w:rPr>
          <w:sz w:val="20"/>
          <w:szCs w:val="20"/>
          <w:color w:val="auto"/>
        </w:rPr>
      </w:pPr>
      <w:r>
        <w:rPr>
          <w:rFonts w:ascii="Times New Roman" w:cs="Times New Roman" w:eastAsia="Times New Roman" w:hAnsi="Times New Roman"/>
          <w:sz w:val="18"/>
          <w:szCs w:val="18"/>
          <w:color w:val="auto"/>
        </w:rPr>
        <w:t>If this letter of transmittal (or a copy hereof) is signed by a person other than the registered Holder(s) of notes listed therein, such notes must be endorsed or accompanied by properly completed bond powers which authorize such person to tender the notes on behalf of the registered Holder, in either case signed as the name of the registered Holder(s) appears on the unregistered notes, and with the signatures on the endorsement or bond power guaranteed by an Eligible Institution.</w:t>
      </w:r>
    </w:p>
    <w:p>
      <w:pPr>
        <w:spacing w:after="0" w:line="86" w:lineRule="exact"/>
        <w:rPr>
          <w:sz w:val="20"/>
          <w:szCs w:val="20"/>
          <w:color w:val="auto"/>
        </w:rPr>
      </w:pPr>
    </w:p>
    <w:p>
      <w:pPr>
        <w:ind w:right="20" w:firstLine="312"/>
        <w:spacing w:after="0" w:line="261" w:lineRule="auto"/>
        <w:rPr>
          <w:sz w:val="20"/>
          <w:szCs w:val="20"/>
          <w:color w:val="auto"/>
        </w:rPr>
      </w:pPr>
      <w:r>
        <w:rPr>
          <w:rFonts w:ascii="Times New Roman" w:cs="Times New Roman" w:eastAsia="Times New Roman" w:hAnsi="Times New Roman"/>
          <w:sz w:val="18"/>
          <w:szCs w:val="18"/>
          <w:color w:val="auto"/>
        </w:rPr>
        <w:t>If this letter of transmittal (or a copy hereof) or any unregistered notes or bond powers are signed by trustees, executors, administrators, guardians, attorneys-in-fact, or officers of corporations or others acting in a fiduciary or representative capacity, such persons should so indicate when signing, and, unless waived by Republic Services, Inc., evidence satisfactory to Republic Services, Inc., of the authority to so act must be submitted with this letter of transmittal.</w:t>
      </w:r>
    </w:p>
    <w:p>
      <w:pPr>
        <w:spacing w:after="0" w:line="86" w:lineRule="exact"/>
        <w:rPr>
          <w:sz w:val="20"/>
          <w:szCs w:val="20"/>
          <w:color w:val="auto"/>
        </w:rPr>
      </w:pPr>
    </w:p>
    <w:p>
      <w:pPr>
        <w:ind w:right="660" w:firstLine="312"/>
        <w:spacing w:after="0" w:line="282" w:lineRule="auto"/>
        <w:rPr>
          <w:sz w:val="20"/>
          <w:szCs w:val="20"/>
          <w:color w:val="auto"/>
        </w:rPr>
      </w:pPr>
      <w:r>
        <w:rPr>
          <w:rFonts w:ascii="Times New Roman" w:cs="Times New Roman" w:eastAsia="Times New Roman" w:hAnsi="Times New Roman"/>
          <w:sz w:val="18"/>
          <w:szCs w:val="18"/>
          <w:color w:val="auto"/>
        </w:rPr>
        <w:t>Endorsements on unregistered notes or signatures on bond powers required by this Instruction 6 must be guaranteed by an Eligible Institution.</w:t>
      </w:r>
    </w:p>
    <w:p>
      <w:pPr>
        <w:spacing w:after="0" w:line="65" w:lineRule="exact"/>
        <w:rPr>
          <w:sz w:val="20"/>
          <w:szCs w:val="20"/>
          <w:color w:val="auto"/>
        </w:rPr>
      </w:pPr>
    </w:p>
    <w:p>
      <w:pPr>
        <w:ind w:right="140" w:firstLine="316"/>
        <w:spacing w:after="0" w:line="259" w:lineRule="auto"/>
        <w:tabs>
          <w:tab w:leader="none" w:pos="4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Registration and Delivery Instructions. </w:t>
      </w:r>
      <w:r>
        <w:rPr>
          <w:rFonts w:ascii="Times New Roman" w:cs="Times New Roman" w:eastAsia="Times New Roman" w:hAnsi="Times New Roman"/>
          <w:sz w:val="18"/>
          <w:szCs w:val="18"/>
          <w:color w:val="auto"/>
        </w:rPr>
        <w:t>Tendering Holders should indicate, in the applicable spaces, the name and address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exchange notes, or unregistered notes for principal amounts not tendered or not accepted for exchange, are to be issued or sent, if different from the name and address of the person signing this letter of transmittal (or in the case of tender of the unregistered notes through DTC, if different from the account maintained at DTC indicated above). In the case of issuance in a different name, the taxpayer identification or social security number of the person named must also be indicated.</w:t>
      </w:r>
    </w:p>
    <w:p>
      <w:pPr>
        <w:spacing w:after="0" w:line="85" w:lineRule="exact"/>
        <w:rPr>
          <w:rFonts w:ascii="Times New Roman" w:cs="Times New Roman" w:eastAsia="Times New Roman" w:hAnsi="Times New Roman"/>
          <w:sz w:val="18"/>
          <w:szCs w:val="18"/>
          <w:color w:val="auto"/>
        </w:rPr>
      </w:pPr>
    </w:p>
    <w:p>
      <w:pPr>
        <w:ind w:right="40" w:firstLine="316"/>
        <w:spacing w:after="0" w:line="255" w:lineRule="auto"/>
        <w:tabs>
          <w:tab w:leader="none" w:pos="4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Taxes. </w:t>
      </w:r>
      <w:r>
        <w:rPr>
          <w:rFonts w:ascii="Times New Roman" w:cs="Times New Roman" w:eastAsia="Times New Roman" w:hAnsi="Times New Roman"/>
          <w:sz w:val="18"/>
          <w:szCs w:val="18"/>
          <w:color w:val="auto"/>
        </w:rPr>
        <w:t>Republic Services, Inc., will pay all transfer taxes, if any, applicable to the exchange of unregistered notes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offers. If, however, certificates representing exchange notes or unregistered notes for principal amounts not tendered or accepted for exchange are to be delivered to, or are to be registered or issued in the name of, any person other than the registered Holder of the notes tendered hereby, or if tendered notes are registered in the name of any person other than the person signing this letter of transmittal, or if a transfer tax is imposed for any reason other than the exchange of unregistered notes pursuant to the exchange offers, then the amount of any such transfer taxes (whether imposed on the registered Holder or any other person) will be payable by the tendering Holder. If satisfactory evidence of payment of such taxes or exemption therefrom is not submitted with this letter of transmittal, the amount of such transfer taxes will be billed directly to such tendering Holder.</w:t>
      </w:r>
    </w:p>
    <w:p>
      <w:pPr>
        <w:spacing w:after="0" w:line="90" w:lineRule="exact"/>
        <w:rPr>
          <w:rFonts w:ascii="Times New Roman" w:cs="Times New Roman" w:eastAsia="Times New Roman" w:hAnsi="Times New Roman"/>
          <w:sz w:val="18"/>
          <w:szCs w:val="18"/>
          <w:color w:val="auto"/>
        </w:rPr>
      </w:pPr>
    </w:p>
    <w:p>
      <w:pPr>
        <w:ind w:right="160" w:firstLine="316"/>
        <w:spacing w:after="0" w:line="267" w:lineRule="auto"/>
        <w:tabs>
          <w:tab w:leader="none" w:pos="4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Conditions. </w:t>
      </w:r>
      <w:r>
        <w:rPr>
          <w:rFonts w:ascii="Times New Roman" w:cs="Times New Roman" w:eastAsia="Times New Roman" w:hAnsi="Times New Roman"/>
          <w:sz w:val="18"/>
          <w:szCs w:val="18"/>
          <w:color w:val="auto"/>
        </w:rPr>
        <w:t>Republic Services, Inc., reserves the right, in its sole discretion, to amend, waive or modify specified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exchange offers in the case of any unregistered notes tendered; provided that any waiver of a condition of tender will apply to all unregistered notes and not only to particular unregistered notes.</w:t>
      </w:r>
    </w:p>
    <w:p>
      <w:pPr>
        <w:spacing w:after="0" w:line="78" w:lineRule="exact"/>
        <w:rPr>
          <w:rFonts w:ascii="Times New Roman" w:cs="Times New Roman" w:eastAsia="Times New Roman" w:hAnsi="Times New Roman"/>
          <w:sz w:val="18"/>
          <w:szCs w:val="18"/>
          <w:color w:val="auto"/>
        </w:rPr>
      </w:pPr>
    </w:p>
    <w:p>
      <w:pPr>
        <w:ind w:right="280" w:firstLine="316"/>
        <w:spacing w:after="0" w:line="284" w:lineRule="auto"/>
        <w:tabs>
          <w:tab w:leader="none" w:pos="58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Mutilated, Lost, Stolen or Destroyed Unregistered Notes. </w:t>
      </w:r>
      <w:r>
        <w:rPr>
          <w:rFonts w:ascii="Times New Roman" w:cs="Times New Roman" w:eastAsia="Times New Roman" w:hAnsi="Times New Roman"/>
          <w:sz w:val="18"/>
          <w:szCs w:val="18"/>
          <w:color w:val="auto"/>
        </w:rPr>
        <w:t>Any tendering Holder whose unregistered notes have been mutilated, lost,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stolen or destroyed should contact the applicable exchange agent at the address indicated herein for further instruction.</w:t>
      </w:r>
    </w:p>
    <w:p>
      <w:pPr>
        <w:spacing w:after="0" w:line="63" w:lineRule="exact"/>
        <w:rPr>
          <w:rFonts w:ascii="Times New Roman" w:cs="Times New Roman" w:eastAsia="Times New Roman" w:hAnsi="Times New Roman"/>
          <w:sz w:val="18"/>
          <w:szCs w:val="18"/>
          <w:color w:val="auto"/>
        </w:rPr>
      </w:pPr>
    </w:p>
    <w:p>
      <w:pPr>
        <w:ind w:firstLine="316"/>
        <w:spacing w:after="0" w:line="284" w:lineRule="auto"/>
        <w:tabs>
          <w:tab w:leader="none" w:pos="57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Requests for Assistance or Additional Copies. </w:t>
      </w:r>
      <w:r>
        <w:rPr>
          <w:rFonts w:ascii="Times New Roman" w:cs="Times New Roman" w:eastAsia="Times New Roman" w:hAnsi="Times New Roman"/>
          <w:sz w:val="18"/>
          <w:szCs w:val="18"/>
          <w:color w:val="auto"/>
        </w:rPr>
        <w:t>Questions and requests for assistance and requests for additional copies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this letter of transmittal may be directed to the applicable exchange agent at the address specified in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2" w:right="819" w:bottom="1440" w:gutter="0" w:footer="0" w:header="0"/>
        </w:sectPr>
      </w:pPr>
    </w:p>
    <w:bookmarkStart w:id="268" w:name="page269"/>
    <w:bookmarkEnd w:id="268"/>
    <w:p>
      <w:pPr>
        <w:ind w:right="160"/>
        <w:spacing w:after="0" w:line="282" w:lineRule="auto"/>
        <w:rPr>
          <w:sz w:val="20"/>
          <w:szCs w:val="20"/>
          <w:color w:val="auto"/>
        </w:rPr>
      </w:pPr>
      <w:r>
        <w:rPr>
          <w:rFonts w:ascii="Times New Roman" w:cs="Times New Roman" w:eastAsia="Times New Roman" w:hAnsi="Times New Roman"/>
          <w:sz w:val="18"/>
          <w:szCs w:val="18"/>
          <w:color w:val="auto"/>
        </w:rPr>
        <w:t>the prospectus. Holders may also contact their broker, dealer, commercial bank, trust company or other nominee for assistance concerning the exchange offer.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TAX INFORMATION</w:t>
      </w:r>
    </w:p>
    <w:p>
      <w:pPr>
        <w:spacing w:after="0" w:line="135" w:lineRule="exact"/>
        <w:rPr>
          <w:sz w:val="20"/>
          <w:szCs w:val="20"/>
          <w:color w:val="auto"/>
        </w:rPr>
      </w:pPr>
    </w:p>
    <w:p>
      <w:pPr>
        <w:ind w:right="20" w:firstLine="312"/>
        <w:spacing w:after="0" w:line="252" w:lineRule="auto"/>
        <w:rPr>
          <w:sz w:val="20"/>
          <w:szCs w:val="20"/>
          <w:color w:val="auto"/>
        </w:rPr>
      </w:pPr>
      <w:r>
        <w:rPr>
          <w:rFonts w:ascii="Times New Roman" w:cs="Times New Roman" w:eastAsia="Times New Roman" w:hAnsi="Times New Roman"/>
          <w:sz w:val="18"/>
          <w:szCs w:val="18"/>
          <w:color w:val="auto"/>
        </w:rPr>
        <w:t>Under United States federal income tax law, a tendering Holder may be subject to backup withholding at a rate of 28% with respect to payments by the applicable exchange agent pursuant to the exchange offers unless such Holder: (i) is an exempt recipient and, if required, establishes its exemption from backup withholding, (ii) provides its correct TIN and certifies that (A) the TIN provided is correct (or that such Holder is awaiting a TIN), (B) it is not currently subject to backup withholding and (C) is a U.S. person; or (iii) certifies as to its non-United States status. If a U.S. Holder is an individual, the TIN is his or her social security number. Completion of the enclosed Substitute Form W-9, in the case of a U.S. Holder, provided in this letter of transmittal, should be used for this purpose. Failure to provide such U.S. Holder’s TIN on the Substitute Form W-9 may subject the tendering Holder (or other payee) to a $50 penalty imposed by the Internal Revenue Service and payments that are made to such tendering Holder pursuant to the exchange offers may be subject to backup withholding (see below). More serious penalties may be imposed for providing false information which, if willfully done, may result in fines and/or imprisonment. The “Applied For” box in Part I of the Substitute Form W-9 may be checked if the tendering U.S. Holder (or other payee) has not been issued a TIN and has applied for a TIN. If the “Applied For” box in Part I is so checked and the applicable exchange agent is not provided with a TIN by the time of payment, the applicable exchange agent will withhold 28% on all such payments received pursuant to the exchange offers. A U.S. Holder who checks the “Applied For” box in Part I in lieu of furnishing his or her TIN should furnish the applicable exchange agent with such U.S. Holder’s TIN as soon as it is received.</w:t>
      </w:r>
    </w:p>
    <w:p>
      <w:pPr>
        <w:spacing w:after="0" w:line="104" w:lineRule="exact"/>
        <w:rPr>
          <w:sz w:val="20"/>
          <w:szCs w:val="20"/>
          <w:color w:val="auto"/>
        </w:rPr>
      </w:pPr>
    </w:p>
    <w:p>
      <w:pPr>
        <w:ind w:firstLine="312"/>
        <w:spacing w:after="0" w:line="256" w:lineRule="auto"/>
        <w:rPr>
          <w:sz w:val="20"/>
          <w:szCs w:val="20"/>
          <w:color w:val="auto"/>
        </w:rPr>
      </w:pPr>
      <w:r>
        <w:rPr>
          <w:rFonts w:ascii="Times New Roman" w:cs="Times New Roman" w:eastAsia="Times New Roman" w:hAnsi="Times New Roman"/>
          <w:sz w:val="18"/>
          <w:szCs w:val="18"/>
          <w:color w:val="auto"/>
        </w:rPr>
        <w:t>If backup withholding applies to a tendering Holder, the applicable exchange agent will withhold 28% of any payments made to such Holder pursuant to the exchange offers. Backup withholding is not an additional tax. Rather, provided that the required information is timely furnished to the Internal Revenue Service, the U.S. federal income tax liability of persons subject to backup withholding will be reduced by the amount withheld or, if withholding results in an overpayment of taxes, a refund may be obtained by filing a tax return with the Internal Revenue Service. The applicable exchange agent cannot refund amounts withheld by reason of backup withholding. Tendering Holders are encouraged to consult their own tax advisers to determine whether they are exempt from these backup withholding requirements.</w:t>
      </w:r>
    </w:p>
    <w:p>
      <w:pPr>
        <w:spacing w:after="0" w:line="93" w:lineRule="exact"/>
        <w:rPr>
          <w:sz w:val="20"/>
          <w:szCs w:val="20"/>
          <w:color w:val="auto"/>
        </w:rPr>
      </w:pPr>
    </w:p>
    <w:p>
      <w:pPr>
        <w:ind w:firstLine="312"/>
        <w:spacing w:after="0" w:line="258" w:lineRule="auto"/>
        <w:rPr>
          <w:sz w:val="20"/>
          <w:szCs w:val="20"/>
          <w:color w:val="auto"/>
        </w:rPr>
      </w:pPr>
      <w:r>
        <w:rPr>
          <w:rFonts w:ascii="Times New Roman" w:cs="Times New Roman" w:eastAsia="Times New Roman" w:hAnsi="Times New Roman"/>
          <w:sz w:val="18"/>
          <w:szCs w:val="18"/>
          <w:color w:val="auto"/>
        </w:rPr>
        <w:t xml:space="preserve">In order for a non-U.S. Holder to qualify as an exempt recipient, that non-U.S. Holder should submit the appropriate Internal Revenue Service Form W-8 signed under penalties of perjury, attesting to that non-U.S. Holder’s foreign status. A non-U.S. Holder that does not properly certify its non-U.S. status will be subject to 28% backup withholding on the amount realized pursuant to the exchange offer (other than any payment in respect to accrued and unpaid interest to the extent such payment is subject to withholding tax at a rate of 30%). The appropriate forms may be obtained via the Internal Revenue Service website at </w:t>
      </w:r>
      <w:r>
        <w:rPr>
          <w:rFonts w:ascii="Times New Roman" w:cs="Times New Roman" w:eastAsia="Times New Roman" w:hAnsi="Times New Roman"/>
          <w:sz w:val="18"/>
          <w:szCs w:val="18"/>
          <w:u w:val="single" w:color="auto"/>
          <w:color w:val="auto"/>
        </w:rPr>
        <w:t>www.irs.gov</w:t>
      </w:r>
      <w:r>
        <w:rPr>
          <w:rFonts w:ascii="Times New Roman" w:cs="Times New Roman" w:eastAsia="Times New Roman" w:hAnsi="Times New Roman"/>
          <w:sz w:val="18"/>
          <w:szCs w:val="18"/>
          <w:color w:val="auto"/>
        </w:rPr>
        <w:t xml:space="preserve"> or by contacting the applicable exchange agent.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2" w:right="819" w:bottom="1440" w:gutter="0" w:footer="0" w:header="0"/>
        </w:sectPr>
      </w:pPr>
    </w:p>
    <w:bookmarkStart w:id="269" w:name="page270"/>
    <w:bookmarkEnd w:id="2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COMPLETED BY ALL TENDERING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6586220" cy="9607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586220" cy="960755"/>
                    </a:xfrm>
                    <a:prstGeom prst="rect">
                      <a:avLst/>
                    </a:prstGeom>
                    <a:noFill/>
                  </pic:spPr>
                </pic:pic>
              </a:graphicData>
            </a:graphic>
          </wp:anchor>
        </w:drawing>
      </w: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PAYOR’S NAME: REPUBLIC SERVICES, INC.</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Payee’s Name:</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Payee’s Business Name (if different from above):</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Payee’s Address: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Mark Appropriate Box:</w:t>
            </w: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   ] Limited Liability Company</w:t>
            </w:r>
          </w:p>
        </w:tc>
        <w:tc>
          <w:tcPr>
            <w:tcW w:w="1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 Individual/Sole</w:t>
            </w:r>
          </w:p>
        </w:tc>
        <w:tc>
          <w:tcPr>
            <w:tcW w:w="20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   ] Corporation</w:t>
            </w:r>
          </w:p>
        </w:tc>
        <w:tc>
          <w:tcPr>
            <w:tcW w:w="940" w:type="dxa"/>
            <w:vAlign w:val="bottom"/>
            <w:gridSpan w:val="3"/>
          </w:tcPr>
          <w:p>
            <w:pPr>
              <w:ind w:left="200"/>
              <w:spacing w:after="0"/>
              <w:rPr>
                <w:sz w:val="20"/>
                <w:szCs w:val="20"/>
                <w:color w:val="auto"/>
              </w:rPr>
            </w:pPr>
            <w:r>
              <w:rPr>
                <w:rFonts w:ascii="Times New Roman" w:cs="Times New Roman" w:eastAsia="Times New Roman" w:hAnsi="Times New Roman"/>
                <w:sz w:val="11"/>
                <w:szCs w:val="11"/>
                <w:color w:val="auto"/>
              </w:rPr>
              <w:t>[   ] Partnership</w:t>
            </w:r>
          </w:p>
        </w:tc>
        <w:tc>
          <w:tcPr>
            <w:tcW w:w="1740" w:type="dxa"/>
            <w:vAlign w:val="bottom"/>
            <w:gridSpan w:val="2"/>
          </w:tcPr>
          <w:p>
            <w:pPr>
              <w:ind w:left="1200"/>
              <w:spacing w:after="0"/>
              <w:rPr>
                <w:sz w:val="20"/>
                <w:szCs w:val="20"/>
                <w:color w:val="auto"/>
              </w:rPr>
            </w:pPr>
            <w:r>
              <w:rPr>
                <w:rFonts w:ascii="Times New Roman" w:cs="Times New Roman" w:eastAsia="Times New Roman" w:hAnsi="Times New Roman"/>
                <w:sz w:val="11"/>
                <w:szCs w:val="11"/>
                <w:color w:val="auto"/>
              </w:rPr>
              <w:t>[   ] Other</w:t>
            </w: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202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1"/>
                <w:szCs w:val="11"/>
                <w:color w:val="auto"/>
              </w:rPr>
              <w:t>Enter appropriate tax classification</w:t>
            </w:r>
          </w:p>
        </w:tc>
        <w:tc>
          <w:tcPr>
            <w:tcW w:w="13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Proprietor</w:t>
            </w:r>
          </w:p>
        </w:tc>
        <w:tc>
          <w:tcPr>
            <w:tcW w:w="2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202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1"/>
                <w:szCs w:val="11"/>
                <w:color w:val="auto"/>
              </w:rPr>
              <w:t>— disregarded entity</w:t>
            </w:r>
          </w:p>
        </w:tc>
        <w:tc>
          <w:tcPr>
            <w:tcW w:w="13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202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1"/>
                <w:szCs w:val="11"/>
                <w:color w:val="auto"/>
              </w:rPr>
              <w:t>— corporation</w:t>
            </w:r>
          </w:p>
        </w:tc>
        <w:tc>
          <w:tcPr>
            <w:tcW w:w="13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color w:val="auto"/>
              </w:rPr>
              <w:t>— partnership</w:t>
            </w:r>
          </w:p>
        </w:tc>
        <w:tc>
          <w:tcPr>
            <w:tcW w:w="13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SUBSTITUTE</w:t>
            </w:r>
          </w:p>
        </w:tc>
        <w:tc>
          <w:tcPr>
            <w:tcW w:w="640" w:type="dxa"/>
            <w:vAlign w:val="bottom"/>
          </w:tcPr>
          <w:p>
            <w:pPr>
              <w:spacing w:after="0"/>
              <w:rPr>
                <w:sz w:val="24"/>
                <w:szCs w:val="24"/>
                <w:color w:val="auto"/>
              </w:rPr>
            </w:pPr>
          </w:p>
        </w:tc>
        <w:tc>
          <w:tcPr>
            <w:tcW w:w="550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Part I </w:t>
            </w:r>
            <w:r>
              <w:rPr>
                <w:rFonts w:ascii="Times New Roman" w:cs="Times New Roman" w:eastAsia="Times New Roman" w:hAnsi="Times New Roman"/>
                <w:sz w:val="16"/>
                <w:szCs w:val="16"/>
                <w:color w:val="auto"/>
              </w:rPr>
              <w:t>— PLEASE PROVIDE YOUR TIN IN THE BOX AT THE RIGHT AND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TIN:</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47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CERTIFY BY SIGNING AND DATING BELOW.</w:t>
            </w:r>
          </w:p>
        </w:tc>
        <w:tc>
          <w:tcPr>
            <w:tcW w:w="7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FORM </w:t>
            </w:r>
            <w:r>
              <w:rPr>
                <w:rFonts w:ascii="Times New Roman" w:cs="Times New Roman" w:eastAsia="Times New Roman" w:hAnsi="Times New Roman"/>
                <w:sz w:val="32"/>
                <w:szCs w:val="32"/>
                <w:b w:val="1"/>
                <w:bCs w:val="1"/>
                <w:color w:val="auto"/>
              </w:rPr>
              <w:t>W-9</w:t>
            </w:r>
          </w:p>
        </w:tc>
        <w:tc>
          <w:tcPr>
            <w:tcW w:w="640" w:type="dxa"/>
            <w:vAlign w:val="bottom"/>
            <w:vMerge w:val="continue"/>
          </w:tcPr>
          <w:p>
            <w:pPr>
              <w:spacing w:after="0"/>
              <w:rPr>
                <w:sz w:val="17"/>
                <w:szCs w:val="17"/>
                <w:color w:val="auto"/>
              </w:rPr>
            </w:pPr>
          </w:p>
        </w:tc>
        <w:tc>
          <w:tcPr>
            <w:tcW w:w="4780" w:type="dxa"/>
            <w:vAlign w:val="bottom"/>
            <w:gridSpan w:val="3"/>
            <w:vMerge w:val="continue"/>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rPr>
              <w:t>Social Security Number</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22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or</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Employer Identification</w:t>
            </w:r>
          </w:p>
        </w:tc>
        <w:tc>
          <w:tcPr>
            <w:tcW w:w="0" w:type="dxa"/>
            <w:vAlign w:val="bottom"/>
          </w:tcPr>
          <w:p>
            <w:pPr>
              <w:spacing w:after="0"/>
              <w:rPr>
                <w:sz w:val="1"/>
                <w:szCs w:val="1"/>
                <w:color w:val="auto"/>
              </w:rPr>
            </w:pPr>
          </w:p>
        </w:tc>
      </w:tr>
      <w:tr>
        <w:trPr>
          <w:trHeight w:val="20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Department of the</w:t>
            </w: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Number</w:t>
            </w:r>
          </w:p>
        </w:tc>
        <w:tc>
          <w:tcPr>
            <w:tcW w:w="0" w:type="dxa"/>
            <w:vAlign w:val="bottom"/>
          </w:tcPr>
          <w:p>
            <w:pPr>
              <w:spacing w:after="0"/>
              <w:rPr>
                <w:sz w:val="1"/>
                <w:szCs w:val="1"/>
                <w:color w:val="auto"/>
              </w:rPr>
            </w:pPr>
          </w:p>
        </w:tc>
      </w:tr>
      <w:tr>
        <w:trPr>
          <w:trHeight w:val="93"/>
        </w:trPr>
        <w:tc>
          <w:tcPr>
            <w:tcW w:w="22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rPr>
              <w:t>or</w:t>
            </w:r>
          </w:p>
        </w:tc>
        <w:tc>
          <w:tcPr>
            <w:tcW w:w="0" w:type="dxa"/>
            <w:vAlign w:val="bottom"/>
          </w:tcPr>
          <w:p>
            <w:pPr>
              <w:spacing w:after="0"/>
              <w:rPr>
                <w:sz w:val="1"/>
                <w:szCs w:val="1"/>
                <w:color w:val="auto"/>
              </w:rPr>
            </w:pPr>
          </w:p>
        </w:tc>
      </w:tr>
      <w:tr>
        <w:trPr>
          <w:trHeight w:val="110"/>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6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2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rPr>
              <w:t>o Applied For</w:t>
            </w:r>
          </w:p>
        </w:tc>
        <w:tc>
          <w:tcPr>
            <w:tcW w:w="0" w:type="dxa"/>
            <w:vAlign w:val="bottom"/>
          </w:tcPr>
          <w:p>
            <w:pPr>
              <w:spacing w:after="0"/>
              <w:rPr>
                <w:sz w:val="1"/>
                <w:szCs w:val="1"/>
                <w:color w:val="auto"/>
              </w:rPr>
            </w:pPr>
          </w:p>
        </w:tc>
      </w:tr>
      <w:tr>
        <w:trPr>
          <w:trHeight w:val="118"/>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Internal Revenue Service</w:t>
            </w:r>
          </w:p>
        </w:tc>
        <w:tc>
          <w:tcPr>
            <w:tcW w:w="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2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2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60" w:type="dxa"/>
            <w:vAlign w:val="bottom"/>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Part II </w:t>
            </w:r>
            <w:r>
              <w:rPr>
                <w:rFonts w:ascii="Times New Roman" w:cs="Times New Roman" w:eastAsia="Times New Roman" w:hAnsi="Times New Roman"/>
                <w:sz w:val="16"/>
                <w:szCs w:val="16"/>
                <w:color w:val="auto"/>
              </w:rPr>
              <w:t>— For Payees exempt from backup withholding, write “Exempt” here and sign and date below (see the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6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Guidelines for Certification of Taxpayer Identification Number on Substitute Form W-9 and complete as</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instructed therein)</w:t>
            </w:r>
          </w:p>
        </w:tc>
        <w:tc>
          <w:tcPr>
            <w:tcW w:w="1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Payor’s Request for Taxpayer</w:t>
            </w:r>
          </w:p>
        </w:tc>
        <w:tc>
          <w:tcPr>
            <w:tcW w:w="640" w:type="dxa"/>
            <w:vAlign w:val="bottom"/>
          </w:tcPr>
          <w:p>
            <w:pPr>
              <w:spacing w:after="0"/>
              <w:rPr>
                <w:sz w:val="24"/>
                <w:szCs w:val="24"/>
                <w:color w:val="auto"/>
              </w:rPr>
            </w:pPr>
          </w:p>
        </w:tc>
        <w:tc>
          <w:tcPr>
            <w:tcW w:w="47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Part III </w:t>
            </w:r>
            <w:r>
              <w:rPr>
                <w:rFonts w:ascii="Times New Roman" w:cs="Times New Roman" w:eastAsia="Times New Roman" w:hAnsi="Times New Roman"/>
                <w:sz w:val="16"/>
                <w:szCs w:val="16"/>
                <w:color w:val="auto"/>
              </w:rPr>
              <w:t>— Certification — Under penalties of perjury, I certify that: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2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Taxpayer Identification</w:t>
            </w:r>
          </w:p>
        </w:tc>
        <w:tc>
          <w:tcPr>
            <w:tcW w:w="640" w:type="dxa"/>
            <w:vAlign w:val="bottom"/>
          </w:tcPr>
          <w:p>
            <w:pPr>
              <w:spacing w:after="0"/>
              <w:rPr>
                <w:sz w:val="17"/>
                <w:szCs w:val="17"/>
                <w:color w:val="auto"/>
              </w:rPr>
            </w:pPr>
          </w:p>
        </w:tc>
        <w:tc>
          <w:tcPr>
            <w:tcW w:w="746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(1)  The number shown on this form is my correct TIN (or I am waiting for a number to be issued to me); and</w:t>
            </w:r>
          </w:p>
        </w:tc>
        <w:tc>
          <w:tcPr>
            <w:tcW w:w="0" w:type="dxa"/>
            <w:vAlign w:val="bottom"/>
          </w:tcPr>
          <w:p>
            <w:pPr>
              <w:spacing w:after="0"/>
              <w:rPr>
                <w:sz w:val="1"/>
                <w:szCs w:val="1"/>
                <w:color w:val="auto"/>
              </w:rPr>
            </w:pPr>
          </w:p>
        </w:tc>
      </w:tr>
      <w:tr>
        <w:trPr>
          <w:trHeight w:val="203"/>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Number (“TIN”) and</w:t>
            </w:r>
          </w:p>
        </w:tc>
        <w:tc>
          <w:tcPr>
            <w:tcW w:w="640" w:type="dxa"/>
            <w:vAlign w:val="bottom"/>
          </w:tcPr>
          <w:p>
            <w:pPr>
              <w:spacing w:after="0"/>
              <w:rPr>
                <w:sz w:val="17"/>
                <w:szCs w:val="17"/>
                <w:color w:val="auto"/>
              </w:rPr>
            </w:pPr>
          </w:p>
        </w:tc>
        <w:tc>
          <w:tcPr>
            <w:tcW w:w="746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(2) I am not subject to backup withholding because: (a) I am exempt from backup withholding or (b) I have not</w:t>
            </w:r>
          </w:p>
        </w:tc>
        <w:tc>
          <w:tcPr>
            <w:tcW w:w="0" w:type="dxa"/>
            <w:vAlign w:val="bottom"/>
          </w:tcPr>
          <w:p>
            <w:pPr>
              <w:spacing w:after="0"/>
              <w:rPr>
                <w:sz w:val="1"/>
                <w:szCs w:val="1"/>
                <w:color w:val="auto"/>
              </w:rPr>
            </w:pPr>
          </w:p>
        </w:tc>
      </w:tr>
      <w:tr>
        <w:trPr>
          <w:trHeight w:val="205"/>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Certification</w:t>
            </w:r>
          </w:p>
        </w:tc>
        <w:tc>
          <w:tcPr>
            <w:tcW w:w="640" w:type="dxa"/>
            <w:vAlign w:val="bottom"/>
          </w:tcPr>
          <w:p>
            <w:pPr>
              <w:spacing w:after="0"/>
              <w:rPr>
                <w:sz w:val="17"/>
                <w:szCs w:val="17"/>
                <w:color w:val="auto"/>
              </w:rPr>
            </w:pPr>
          </w:p>
        </w:tc>
        <w:tc>
          <w:tcPr>
            <w:tcW w:w="746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been notified by the Internal Revenue Service (“IRS”) that I am subject to backup withholding as a result of a</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6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failure to report all interest or dividends or (c) the IRS has notified me that I am no longer subject to backup</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 and</w:t>
            </w:r>
          </w:p>
        </w:tc>
        <w:tc>
          <w:tcPr>
            <w:tcW w:w="1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(3) I am a U.S. person (including a U.S. resident alien).</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60" w:type="dxa"/>
            <w:vAlign w:val="bottom"/>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Certification Instructions </w:t>
            </w:r>
            <w:r>
              <w:rPr>
                <w:rFonts w:ascii="Times New Roman" w:cs="Times New Roman" w:eastAsia="Times New Roman" w:hAnsi="Times New Roman"/>
                <w:sz w:val="16"/>
                <w:szCs w:val="16"/>
                <w:color w:val="auto"/>
              </w:rPr>
              <w:t>— You must cross out item (2) of Part III above if you have been notified by the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6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IRS that you are currently subject to backup withholding because you have failed to report all interest or</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6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dividends on your tax return. However, if after being notified by the IRS that you were subject to backup</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6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withholding, you received another notification from the IRS that you are no longer subject to backup</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6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withholding, do not cross out item (2). (Also see the instructions in the enclosed Guidelines.)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-3417570</wp:posOffset>
            </wp:positionV>
            <wp:extent cx="6586220" cy="36963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586220" cy="3696335"/>
                    </a:xfrm>
                    <a:prstGeom prst="rect">
                      <a:avLst/>
                    </a:prstGeom>
                    <a:noFill/>
                  </pic:spPr>
                </pic:pic>
              </a:graphicData>
            </a:graphic>
          </wp:anchor>
        </w:drawing>
      </w:r>
    </w:p>
    <w:p>
      <w:pPr>
        <w:spacing w:after="0" w:line="18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6"/>
          <w:szCs w:val="16"/>
          <w:color w:val="auto"/>
        </w:rPr>
        <w:t>SIGNATURE:  DATE:</w:t>
      </w:r>
    </w:p>
    <w:p>
      <w:pPr>
        <w:spacing w:after="0" w:line="159" w:lineRule="exact"/>
        <w:rPr>
          <w:sz w:val="20"/>
          <w:szCs w:val="20"/>
          <w:color w:val="auto"/>
        </w:rPr>
      </w:pPr>
    </w:p>
    <w:p>
      <w:pPr>
        <w:ind w:left="840" w:right="200" w:hanging="839"/>
        <w:spacing w:after="0" w:line="261"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color w:val="auto"/>
        </w:rPr>
        <w:t>FAILURE TO COMPLETE AND RETURN THIS FORM MAY RESULT IN BACKUP WITHHOLDING OF 28 PERCENT OF ANY PAYMENTS MADE TO YOU UNDER THE NOTES AND A U.S.$50 PENALTY IMPOSED BY THE IRS. PLEASE REVIEW THE ENCLOSED GUIDELINES FOR CERTIFICATION OF TAXPAYER IDENTIFICATION NUMBER ON SUBSTITUTE FORM W-9 FOR ADDITIONAL DETAILS.</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YOU MUST COMPLETE THE FOLLOWING CERTIFICATE IF YOU ARE AWAITING YOUR TIN.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28" w:right="819" w:bottom="1440" w:gutter="0" w:footer="0" w:header="0"/>
        </w:sectPr>
      </w:pPr>
    </w:p>
    <w:bookmarkStart w:id="270" w:name="page271"/>
    <w:bookmarkEnd w:id="2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AWAITING TAXPAYER IDENTIFICATION NUMBER</w:t>
      </w:r>
    </w:p>
    <w:p>
      <w:pPr>
        <w:spacing w:after="0" w:line="135" w:lineRule="exact"/>
        <w:rPr>
          <w:sz w:val="20"/>
          <w:szCs w:val="20"/>
          <w:color w:val="auto"/>
        </w:rPr>
      </w:pPr>
    </w:p>
    <w:p>
      <w:pPr>
        <w:ind w:firstLine="312"/>
        <w:spacing w:after="0" w:line="258" w:lineRule="auto"/>
        <w:rPr>
          <w:sz w:val="20"/>
          <w:szCs w:val="20"/>
          <w:color w:val="auto"/>
        </w:rPr>
      </w:pPr>
      <w:r>
        <w:rPr>
          <w:rFonts w:ascii="Times New Roman" w:cs="Times New Roman" w:eastAsia="Times New Roman" w:hAnsi="Times New Roman"/>
          <w:sz w:val="18"/>
          <w:szCs w:val="18"/>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to the exchange agent by the time of payment, the applicable amount of all reportable payments made to me will be withheld and such retained amounts shall be remitted to the IRS as backup withholding.</w:t>
      </w:r>
    </w:p>
    <w:p>
      <w:pPr>
        <w:spacing w:after="0" w:line="103" w:lineRule="exact"/>
        <w:rPr>
          <w:sz w:val="20"/>
          <w:szCs w:val="20"/>
          <w:color w:val="auto"/>
        </w:rPr>
      </w:pPr>
    </w:p>
    <w:p>
      <w:pPr>
        <w:ind w:left="20"/>
        <w:spacing w:after="0"/>
        <w:tabs>
          <w:tab w:leader="none" w:pos="528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-7620</wp:posOffset>
            </wp:positionV>
            <wp:extent cx="4763"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-7620</wp:posOffset>
            </wp:positionV>
            <wp:extent cx="4763"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17145</wp:posOffset>
            </wp:positionV>
            <wp:extent cx="539432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700" w:top="968" w:right="839" w:bottom="1440" w:gutter="0" w:footer="0" w:header="0"/>
        </w:sectPr>
      </w:pPr>
    </w:p>
    <w:bookmarkStart w:id="271" w:name="page272"/>
    <w:bookmarkEnd w:id="27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GUIDELINES FOR CERTIFICATION OF TAXPAYER IDENTIFICATION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NUMBER ON SUBSTITUTE FORM W-9</w:t>
      </w:r>
    </w:p>
    <w:p>
      <w:pPr>
        <w:spacing w:after="0" w:line="108" w:lineRule="exact"/>
        <w:rPr>
          <w:sz w:val="20"/>
          <w:szCs w:val="20"/>
          <w:color w:val="auto"/>
        </w:rPr>
      </w:pPr>
    </w:p>
    <w:p>
      <w:pPr>
        <w:ind w:right="40" w:firstLine="31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GUIDELINES FOR DETERMINING THE PROPER IDENTIFICATION NUMBER TO GIVE THE PAYOR. </w:t>
      </w:r>
      <w:r>
        <w:rPr>
          <w:rFonts w:ascii="Times New Roman" w:cs="Times New Roman" w:eastAsia="Times New Roman" w:hAnsi="Times New Roman"/>
          <w:sz w:val="18"/>
          <w:szCs w:val="18"/>
          <w:color w:val="auto"/>
        </w:rPr>
        <w:t>Social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numbers have nine digits separated by two hyphens; i.e., 000-00-0000. Employer identification numbers have nine digits separated by only one hyphen; i.e., 00-0000000. The table below will help determine the number to give the payor.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20" w:type="dxa"/>
            <w:vAlign w:val="bottom"/>
            <w:tcBorders>
              <w:top w:val="single" w:sz="8" w:color="auto"/>
            </w:tcBorders>
          </w:tcPr>
          <w:p>
            <w:pPr>
              <w:spacing w:after="0"/>
              <w:rPr>
                <w:sz w:val="11"/>
                <w:szCs w:val="11"/>
                <w:color w:val="auto"/>
              </w:rPr>
            </w:pPr>
          </w:p>
        </w:tc>
        <w:tc>
          <w:tcPr>
            <w:tcW w:w="2340" w:type="dxa"/>
            <w:vAlign w:val="bottom"/>
            <w:tcBorders>
              <w:top w:val="single" w:sz="8" w:color="auto"/>
            </w:tcBorders>
          </w:tcPr>
          <w:p>
            <w:pPr>
              <w:spacing w:after="0"/>
              <w:rPr>
                <w:sz w:val="11"/>
                <w:szCs w:val="11"/>
                <w:color w:val="auto"/>
              </w:rPr>
            </w:pPr>
          </w:p>
        </w:tc>
        <w:tc>
          <w:tcPr>
            <w:tcW w:w="2320" w:type="dxa"/>
            <w:vAlign w:val="bottom"/>
            <w:tcBorders>
              <w:top w:val="single" w:sz="8" w:color="auto"/>
            </w:tcBorders>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Give the NAME and</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300" w:type="dxa"/>
            <w:vAlign w:val="bottom"/>
            <w:tcBorders>
              <w:top w:val="single" w:sz="8" w:color="auto"/>
            </w:tcBorders>
          </w:tcPr>
          <w:p>
            <w:pPr>
              <w:spacing w:after="0"/>
              <w:rPr>
                <w:sz w:val="11"/>
                <w:szCs w:val="11"/>
                <w:color w:val="auto"/>
              </w:rPr>
            </w:pPr>
          </w:p>
        </w:tc>
        <w:tc>
          <w:tcPr>
            <w:tcW w:w="2300" w:type="dxa"/>
            <w:vAlign w:val="bottom"/>
            <w:tcBorders>
              <w:top w:val="single" w:sz="8" w:color="auto"/>
            </w:tcBorders>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auto"/>
              </w:rPr>
              <w:t>Give the NAME and EMPLOYER</w:t>
            </w:r>
          </w:p>
        </w:tc>
        <w:tc>
          <w:tcPr>
            <w:tcW w:w="0" w:type="dxa"/>
            <w:vAlign w:val="bottom"/>
          </w:tcPr>
          <w:p>
            <w:pPr>
              <w:spacing w:after="0"/>
              <w:rPr>
                <w:sz w:val="1"/>
                <w:szCs w:val="1"/>
                <w:color w:val="auto"/>
              </w:rPr>
            </w:pPr>
          </w:p>
        </w:tc>
      </w:tr>
      <w:tr>
        <w:trPr>
          <w:trHeight w:val="149"/>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this type of account:</w:t>
            </w:r>
          </w:p>
        </w:tc>
        <w:tc>
          <w:tcPr>
            <w:tcW w:w="2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SOCIAL SECURITY number</w:t>
            </w:r>
          </w:p>
        </w:tc>
        <w:tc>
          <w:tcPr>
            <w:tcW w:w="28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 this type of account:</w:t>
            </w:r>
          </w:p>
        </w:tc>
        <w:tc>
          <w:tcPr>
            <w:tcW w:w="2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173"/>
        </w:trPr>
        <w:tc>
          <w:tcPr>
            <w:tcW w:w="2560" w:type="dxa"/>
            <w:vAlign w:val="bottom"/>
            <w:gridSpan w:val="2"/>
            <w:vMerge w:val="continue"/>
          </w:tcPr>
          <w:p>
            <w:pPr>
              <w:spacing w:after="0"/>
              <w:rPr>
                <w:sz w:val="15"/>
                <w:szCs w:val="15"/>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of:</w:t>
            </w:r>
          </w:p>
        </w:tc>
        <w:tc>
          <w:tcPr>
            <w:tcW w:w="2800" w:type="dxa"/>
            <w:vAlign w:val="bottom"/>
            <w:gridSpan w:val="3"/>
            <w:vMerge w:val="continue"/>
          </w:tcPr>
          <w:p>
            <w:pPr>
              <w:spacing w:after="0"/>
              <w:rPr>
                <w:sz w:val="15"/>
                <w:szCs w:val="15"/>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19"/>
        </w:trPr>
        <w:tc>
          <w:tcPr>
            <w:tcW w:w="2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1.</w:t>
            </w:r>
          </w:p>
        </w:tc>
        <w:tc>
          <w:tcPr>
            <w:tcW w:w="2340" w:type="dxa"/>
            <w:vAlign w:val="bottom"/>
            <w:tcBorders>
              <w:top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Individual</w:t>
            </w:r>
          </w:p>
        </w:tc>
        <w:tc>
          <w:tcPr>
            <w:tcW w:w="2320" w:type="dxa"/>
            <w:vAlign w:val="bottom"/>
            <w:tcBorders>
              <w:top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The individual</w:t>
            </w: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6.</w:t>
            </w:r>
          </w:p>
        </w:tc>
        <w:tc>
          <w:tcPr>
            <w:tcW w:w="2300" w:type="dxa"/>
            <w:vAlign w:val="bottom"/>
            <w:tcBorders>
              <w:top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Disregarded entity not owned by an</w:t>
            </w:r>
          </w:p>
        </w:tc>
        <w:tc>
          <w:tcPr>
            <w:tcW w:w="2300" w:type="dxa"/>
            <w:vAlign w:val="bottom"/>
            <w:tcBorders>
              <w:top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The owner(4)</w:t>
            </w:r>
          </w:p>
        </w:tc>
        <w:tc>
          <w:tcPr>
            <w:tcW w:w="0" w:type="dxa"/>
            <w:vAlign w:val="bottom"/>
          </w:tcPr>
          <w:p>
            <w:pPr>
              <w:spacing w:after="0"/>
              <w:rPr>
                <w:sz w:val="1"/>
                <w:szCs w:val="1"/>
                <w:color w:val="auto"/>
              </w:rPr>
            </w:pPr>
          </w:p>
        </w:tc>
      </w:tr>
      <w:tr>
        <w:trPr>
          <w:trHeight w:val="149"/>
        </w:trPr>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Two or more individuals (joint</w:t>
            </w:r>
          </w:p>
        </w:tc>
        <w:tc>
          <w:tcPr>
            <w:tcW w:w="2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The actual owner of the account or, if</w:t>
            </w:r>
          </w:p>
        </w:tc>
        <w:tc>
          <w:tcPr>
            <w:tcW w:w="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7.</w:t>
            </w:r>
          </w:p>
        </w:tc>
        <w:tc>
          <w:tcPr>
            <w:tcW w:w="2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2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The legal entity(5)</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2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w:t>
            </w:r>
          </w:p>
        </w:tc>
        <w:tc>
          <w:tcPr>
            <w:tcW w:w="2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combined funds, the first individual on</w:t>
            </w:r>
          </w:p>
        </w:tc>
        <w:tc>
          <w:tcPr>
            <w:tcW w:w="500" w:type="dxa"/>
            <w:vAlign w:val="bottom"/>
            <w:gridSpan w:val="2"/>
            <w:vMerge w:val="continue"/>
          </w:tcPr>
          <w:p>
            <w:pPr>
              <w:spacing w:after="0"/>
              <w:rPr>
                <w:sz w:val="12"/>
                <w:szCs w:val="12"/>
                <w:color w:val="auto"/>
              </w:rPr>
            </w:pPr>
          </w:p>
        </w:tc>
        <w:tc>
          <w:tcPr>
            <w:tcW w:w="2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 valid trust, estate, or pension trust</w:t>
            </w: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w:t>
            </w:r>
          </w:p>
        </w:tc>
        <w:tc>
          <w:tcPr>
            <w:tcW w:w="23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Custodial account of a minor</w:t>
            </w:r>
          </w:p>
        </w:tc>
        <w:tc>
          <w:tcPr>
            <w:tcW w:w="2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the account(1)</w:t>
            </w:r>
          </w:p>
        </w:tc>
        <w:tc>
          <w:tcPr>
            <w:tcW w:w="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Corporation (or LLC electing</w:t>
            </w:r>
          </w:p>
        </w:tc>
        <w:tc>
          <w:tcPr>
            <w:tcW w:w="2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corporation</w:t>
            </w:r>
          </w:p>
        </w:tc>
        <w:tc>
          <w:tcPr>
            <w:tcW w:w="0" w:type="dxa"/>
            <w:vAlign w:val="bottom"/>
          </w:tcPr>
          <w:p>
            <w:pPr>
              <w:spacing w:after="0"/>
              <w:rPr>
                <w:sz w:val="1"/>
                <w:szCs w:val="1"/>
                <w:color w:val="auto"/>
              </w:rPr>
            </w:pPr>
          </w:p>
        </w:tc>
      </w:tr>
      <w:tr>
        <w:trPr>
          <w:trHeight w:val="149"/>
        </w:trPr>
        <w:tc>
          <w:tcPr>
            <w:tcW w:w="220" w:type="dxa"/>
            <w:vAlign w:val="bottom"/>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2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The minor(2)</w:t>
            </w:r>
          </w:p>
        </w:tc>
        <w:tc>
          <w:tcPr>
            <w:tcW w:w="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9.</w:t>
            </w:r>
          </w:p>
        </w:tc>
        <w:tc>
          <w:tcPr>
            <w:tcW w:w="2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status on Form 8832)</w:t>
            </w:r>
          </w:p>
        </w:tc>
        <w:tc>
          <w:tcPr>
            <w:tcW w:w="2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The organization</w:t>
            </w: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w:t>
            </w:r>
          </w:p>
        </w:tc>
        <w:tc>
          <w:tcPr>
            <w:tcW w:w="2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(Uniform Gift to Minors Act)</w:t>
            </w:r>
          </w:p>
        </w:tc>
        <w:tc>
          <w:tcPr>
            <w:tcW w:w="2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The grantor-trustee(1)</w:t>
            </w:r>
          </w:p>
        </w:tc>
        <w:tc>
          <w:tcPr>
            <w:tcW w:w="500" w:type="dxa"/>
            <w:vAlign w:val="bottom"/>
            <w:gridSpan w:val="2"/>
            <w:vMerge w:val="continue"/>
          </w:tcPr>
          <w:p>
            <w:pPr>
              <w:spacing w:after="0"/>
              <w:rPr>
                <w:sz w:val="12"/>
                <w:szCs w:val="12"/>
                <w:color w:val="auto"/>
              </w:rPr>
            </w:pPr>
          </w:p>
        </w:tc>
        <w:tc>
          <w:tcPr>
            <w:tcW w:w="2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Association, club, religious,</w:t>
            </w: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vMerge w:val="continue"/>
          </w:tcPr>
          <w:p>
            <w:pPr>
              <w:spacing w:after="0"/>
              <w:rPr>
                <w:sz w:val="12"/>
                <w:szCs w:val="12"/>
                <w:color w:val="auto"/>
              </w:rPr>
            </w:pPr>
          </w:p>
        </w:tc>
        <w:tc>
          <w:tcPr>
            <w:tcW w:w="2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 The usual revocable savings trust</w:t>
            </w:r>
          </w:p>
        </w:tc>
        <w:tc>
          <w:tcPr>
            <w:tcW w:w="2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charitable, educational or other tax-</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23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(grantor is also trustee)</w:t>
            </w:r>
          </w:p>
        </w:tc>
        <w:tc>
          <w:tcPr>
            <w:tcW w:w="2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The actual owner(1)</w:t>
            </w:r>
          </w:p>
        </w:tc>
        <w:tc>
          <w:tcPr>
            <w:tcW w:w="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10.</w:t>
            </w:r>
          </w:p>
        </w:tc>
        <w:tc>
          <w:tcPr>
            <w:tcW w:w="2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exempt organization</w:t>
            </w:r>
          </w:p>
        </w:tc>
        <w:tc>
          <w:tcPr>
            <w:tcW w:w="2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The partnership</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2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 So-called trust account that is not a</w:t>
            </w:r>
          </w:p>
        </w:tc>
        <w:tc>
          <w:tcPr>
            <w:tcW w:w="232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Partnership or multi-member LLC</w:t>
            </w: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w:t>
            </w:r>
          </w:p>
        </w:tc>
        <w:tc>
          <w:tcPr>
            <w:tcW w:w="23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legal or valid trust under state law</w:t>
            </w:r>
          </w:p>
        </w:tc>
        <w:tc>
          <w:tcPr>
            <w:tcW w:w="2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The owner(3)</w:t>
            </w:r>
          </w:p>
        </w:tc>
        <w:tc>
          <w:tcPr>
            <w:tcW w:w="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 broker or registered nominee</w:t>
            </w:r>
          </w:p>
        </w:tc>
        <w:tc>
          <w:tcPr>
            <w:tcW w:w="2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broker or nominee</w:t>
            </w:r>
          </w:p>
        </w:tc>
        <w:tc>
          <w:tcPr>
            <w:tcW w:w="0" w:type="dxa"/>
            <w:vAlign w:val="bottom"/>
          </w:tcPr>
          <w:p>
            <w:pPr>
              <w:spacing w:after="0"/>
              <w:rPr>
                <w:sz w:val="1"/>
                <w:szCs w:val="1"/>
                <w:color w:val="auto"/>
              </w:rPr>
            </w:pPr>
          </w:p>
        </w:tc>
      </w:tr>
      <w:tr>
        <w:trPr>
          <w:trHeight w:val="149"/>
        </w:trPr>
        <w:tc>
          <w:tcPr>
            <w:tcW w:w="220" w:type="dxa"/>
            <w:vAlign w:val="bottom"/>
            <w:vMerge w:val="continue"/>
          </w:tcPr>
          <w:p>
            <w:pPr>
              <w:spacing w:after="0"/>
              <w:rPr>
                <w:sz w:val="12"/>
                <w:szCs w:val="12"/>
                <w:color w:val="auto"/>
              </w:rPr>
            </w:pPr>
          </w:p>
        </w:tc>
        <w:tc>
          <w:tcPr>
            <w:tcW w:w="2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Sole proprietorship or disregarded</w:t>
            </w:r>
          </w:p>
        </w:tc>
        <w:tc>
          <w:tcPr>
            <w:tcW w:w="2320" w:type="dxa"/>
            <w:vAlign w:val="bottom"/>
            <w:vMerge w:val="continue"/>
          </w:tcPr>
          <w:p>
            <w:pPr>
              <w:spacing w:after="0"/>
              <w:rPr>
                <w:sz w:val="12"/>
                <w:szCs w:val="12"/>
                <w:color w:val="auto"/>
              </w:rPr>
            </w:pPr>
          </w:p>
        </w:tc>
        <w:tc>
          <w:tcPr>
            <w:tcW w:w="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 with the Department of</w:t>
            </w:r>
          </w:p>
        </w:tc>
        <w:tc>
          <w:tcPr>
            <w:tcW w:w="2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public entity</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2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entity owned by an individual</w:t>
            </w: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Agriculture in the name of a public</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entity (such as a state or local</w:t>
            </w: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500"/>
        <w:spacing w:after="0" w:line="221" w:lineRule="auto"/>
        <w:rPr>
          <w:sz w:val="20"/>
          <w:szCs w:val="20"/>
          <w:color w:val="auto"/>
        </w:rPr>
      </w:pPr>
      <w:r>
        <w:rPr>
          <w:rFonts w:ascii="Times New Roman" w:cs="Times New Roman" w:eastAsia="Times New Roman" w:hAnsi="Times New Roman"/>
          <w:sz w:val="14"/>
          <w:szCs w:val="14"/>
          <w:color w:val="auto"/>
        </w:rPr>
        <w:t>government, school district, or</w:t>
      </w:r>
    </w:p>
    <w:p>
      <w:pPr>
        <w:ind w:left="5500"/>
        <w:spacing w:after="0" w:line="221" w:lineRule="auto"/>
        <w:rPr>
          <w:sz w:val="20"/>
          <w:szCs w:val="20"/>
          <w:color w:val="auto"/>
        </w:rPr>
      </w:pPr>
      <w:r>
        <w:rPr>
          <w:rFonts w:ascii="Times New Roman" w:cs="Times New Roman" w:eastAsia="Times New Roman" w:hAnsi="Times New Roman"/>
          <w:sz w:val="14"/>
          <w:szCs w:val="14"/>
          <w:color w:val="auto"/>
        </w:rPr>
        <w:t>prison) that receives agricultural</w:t>
      </w:r>
    </w:p>
    <w:p>
      <w:pPr>
        <w:spacing w:after="0" w:line="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program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-3175</wp:posOffset>
            </wp:positionV>
            <wp:extent cx="309562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ind w:left="260" w:hanging="248"/>
        <w:spacing w:after="0" w:line="223" w:lineRule="auto"/>
        <w:tabs>
          <w:tab w:leader="none" w:pos="260"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first and circle the name of the person whose number you furnish. If only one person on a joint account has a social security number, that person’s number must be furnished.</w:t>
      </w:r>
    </w:p>
    <w:p>
      <w:pPr>
        <w:spacing w:after="0" w:line="1" w:lineRule="exact"/>
        <w:rPr>
          <w:rFonts w:ascii="Times New Roman" w:cs="Times New Roman" w:eastAsia="Times New Roman" w:hAnsi="Times New Roman"/>
          <w:sz w:val="14"/>
          <w:szCs w:val="14"/>
          <w:b w:val="1"/>
          <w:bCs w:val="1"/>
          <w:color w:val="auto"/>
        </w:rPr>
      </w:pPr>
    </w:p>
    <w:p>
      <w:pPr>
        <w:ind w:left="260" w:hanging="248"/>
        <w:spacing w:after="0"/>
        <w:tabs>
          <w:tab w:leader="none" w:pos="260"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Circle the minor’s name and furnish the minor’s social security number.</w:t>
      </w:r>
    </w:p>
    <w:p>
      <w:pPr>
        <w:spacing w:after="0" w:line="37" w:lineRule="exact"/>
        <w:rPr>
          <w:rFonts w:ascii="Times New Roman" w:cs="Times New Roman" w:eastAsia="Times New Roman" w:hAnsi="Times New Roman"/>
          <w:sz w:val="14"/>
          <w:szCs w:val="14"/>
          <w:b w:val="1"/>
          <w:bCs w:val="1"/>
          <w:color w:val="auto"/>
        </w:rPr>
      </w:pPr>
    </w:p>
    <w:p>
      <w:pPr>
        <w:ind w:left="260" w:right="40" w:hanging="248"/>
        <w:spacing w:after="0" w:line="234" w:lineRule="auto"/>
        <w:tabs>
          <w:tab w:leader="none" w:pos="260"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You must show your individual name, but you may also enter your business name or “doing business as” name. Use either the individual’s social security number or the business’ employer identification number (if it has one).</w:t>
      </w:r>
    </w:p>
    <w:p>
      <w:pPr>
        <w:spacing w:after="0" w:line="1" w:lineRule="exact"/>
        <w:rPr>
          <w:rFonts w:ascii="Times New Roman" w:cs="Times New Roman" w:eastAsia="Times New Roman" w:hAnsi="Times New Roman"/>
          <w:sz w:val="14"/>
          <w:szCs w:val="14"/>
          <w:b w:val="1"/>
          <w:bCs w:val="1"/>
          <w:color w:val="auto"/>
        </w:rPr>
      </w:pPr>
    </w:p>
    <w:p>
      <w:pPr>
        <w:ind w:left="260" w:right="100" w:hanging="248"/>
        <w:spacing w:after="0" w:line="221" w:lineRule="auto"/>
        <w:tabs>
          <w:tab w:leader="none" w:pos="260"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You must show the owner’s name on the “Payee’s Name” line and use the owner’s taxpayer identification number. You must show the disregarded entity’s name on the “Payee’s Business Name” line. Do not enter the disregarded entity’s taxpayer identification number.</w:t>
      </w:r>
    </w:p>
    <w:p>
      <w:pPr>
        <w:ind w:left="260" w:right="180" w:hanging="248"/>
        <w:spacing w:after="0" w:line="239" w:lineRule="auto"/>
        <w:tabs>
          <w:tab w:leader="none" w:pos="260"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w:t>
      </w:r>
      <w:r>
        <w:rPr>
          <w:sz w:val="20"/>
          <w:szCs w:val="20"/>
          <w:color w:val="auto"/>
        </w:rPr>
        <w:tab/>
      </w:r>
      <w:r>
        <w:rPr>
          <w:rFonts w:ascii="Times New Roman" w:cs="Times New Roman" w:eastAsia="Times New Roman" w:hAnsi="Times New Roman"/>
          <w:sz w:val="14"/>
          <w:szCs w:val="14"/>
          <w:color w:val="auto"/>
        </w:rPr>
        <w:t>If no name is circled when there is more than one name listed, the number will be considered to be that of the first name listed.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700" w:top="927" w:right="839" w:bottom="1440" w:gutter="0" w:footer="0" w:header="0"/>
        </w:sectPr>
      </w:pPr>
    </w:p>
    <w:bookmarkStart w:id="272" w:name="page273"/>
    <w:bookmarkEnd w:id="27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GUIDELINES FOR CERTIFICATION OF TAXPAYER IDENTIFICATION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NUMBER ON SUBSTITUTE FORM W-9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Obtaining a Number</w:t>
      </w:r>
    </w:p>
    <w:p>
      <w:pPr>
        <w:spacing w:after="0" w:line="102" w:lineRule="exact"/>
        <w:rPr>
          <w:sz w:val="20"/>
          <w:szCs w:val="20"/>
          <w:color w:val="auto"/>
        </w:rPr>
      </w:pPr>
    </w:p>
    <w:p>
      <w:pPr>
        <w:ind w:firstLine="312"/>
        <w:spacing w:after="0" w:line="275" w:lineRule="auto"/>
        <w:rPr>
          <w:sz w:val="20"/>
          <w:szCs w:val="20"/>
          <w:color w:val="auto"/>
        </w:rPr>
      </w:pPr>
      <w:r>
        <w:rPr>
          <w:rFonts w:ascii="Times New Roman" w:cs="Times New Roman" w:eastAsia="Times New Roman" w:hAnsi="Times New Roman"/>
          <w:sz w:val="16"/>
          <w:szCs w:val="16"/>
          <w:color w:val="auto"/>
        </w:rPr>
        <w:t>If you do not have a taxpayer identification number or you do not know your number, obtain Form SS-5, Application for a Social Security Card (for resident individuals), Form SS-4, Application for Employer Identification Number (for businesses and all other entities), or Form W-7, Application for IRS Individual Taxpayer Identification Number (for alien individuals required to file U.S. tax returns) at the local office of the Social Security Administration or the IRS and apply for a number.</w:t>
      </w:r>
    </w:p>
    <w:p>
      <w:pPr>
        <w:spacing w:after="0" w:line="62" w:lineRule="exact"/>
        <w:rPr>
          <w:sz w:val="20"/>
          <w:szCs w:val="20"/>
          <w:color w:val="auto"/>
        </w:rPr>
      </w:pPr>
    </w:p>
    <w:p>
      <w:pPr>
        <w:ind w:right="120" w:firstLine="312"/>
        <w:spacing w:after="0" w:line="298" w:lineRule="auto"/>
        <w:rPr>
          <w:sz w:val="20"/>
          <w:szCs w:val="20"/>
          <w:color w:val="auto"/>
        </w:rPr>
      </w:pPr>
      <w:r>
        <w:rPr>
          <w:rFonts w:ascii="Times New Roman" w:cs="Times New Roman" w:eastAsia="Times New Roman" w:hAnsi="Times New Roman"/>
          <w:sz w:val="16"/>
          <w:szCs w:val="16"/>
          <w:color w:val="auto"/>
        </w:rPr>
        <w:t>To complete Substitute Form W-9 if you do not have a taxpayer identification number, check the “Applied For” box in Part I, sign and date the form, and give it to the requester.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Payees Exempt from Backup Withholding</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Payees generally exempted from backup withholding include the following:</w:t>
      </w:r>
    </w:p>
    <w:p>
      <w:pPr>
        <w:spacing w:after="0" w:line="100" w:lineRule="exact"/>
        <w:rPr>
          <w:sz w:val="20"/>
          <w:szCs w:val="20"/>
          <w:color w:val="auto"/>
        </w:rPr>
      </w:pPr>
    </w:p>
    <w:p>
      <w:pPr>
        <w:ind w:left="540" w:hanging="211"/>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financial institution.</w:t>
      </w:r>
    </w:p>
    <w:p>
      <w:pPr>
        <w:spacing w:after="0" w:line="86" w:lineRule="exact"/>
        <w:rPr>
          <w:rFonts w:ascii="Times New Roman" w:cs="Times New Roman" w:eastAsia="Times New Roman" w:hAnsi="Times New Roman"/>
          <w:sz w:val="16"/>
          <w:szCs w:val="16"/>
          <w:color w:val="auto"/>
        </w:rPr>
      </w:pPr>
    </w:p>
    <w:p>
      <w:pPr>
        <w:ind w:left="540" w:right="280" w:hanging="211"/>
        <w:spacing w:after="0" w:line="298" w:lineRule="auto"/>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organization exempt from tax under section 501(a) of the Internal Revenue Code of 1986, as amended (the “Code”), or an individual retirement plan, or a custodial account under section 403(b)(7) of the Code if the account satisfies the requirements of section 401(f)(2) of the Code.</w:t>
      </w:r>
    </w:p>
    <w:p>
      <w:pPr>
        <w:spacing w:after="0" w:line="15"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United States or any agency or instrumentality thereof.</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 the District of Columbia, a possession of the United States, or any subdivision or instrumentality thereof.</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foreign government, a political subdivision of a foreign government, or any agency or instrumentality thereof.</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international organization or any agency or instrumentality thereof.</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dealer in securities or commodities registered in the United States or a possession of the United States.</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real estate investment trust.</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common trust fund operated by a bank under section 584(a) of the Code.</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 charitable remainder trust, or a non-exempt trust described in section 4947 of the Code.</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entity registered at all times under the Investment Company Act of 1940.</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foreign central bank of issue.</w:t>
      </w:r>
    </w:p>
    <w:p>
      <w:pPr>
        <w:spacing w:after="0" w:line="86" w:lineRule="exact"/>
        <w:rPr>
          <w:rFonts w:ascii="Times New Roman" w:cs="Times New Roman" w:eastAsia="Times New Roman" w:hAnsi="Times New Roman"/>
          <w:sz w:val="16"/>
          <w:szCs w:val="16"/>
          <w:color w:val="auto"/>
        </w:rPr>
      </w:pPr>
    </w:p>
    <w:p>
      <w:pPr>
        <w:ind w:left="540" w:right="480" w:hanging="211"/>
        <w:spacing w:after="0" w:line="298" w:lineRule="auto"/>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middleman known in the investment community as a nominee or custodian or listed in the most recent publication of the American Society of Corporate Secretaries, Inc., Nominee List.</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Payments of dividends and patronage dividends not generally subject to backup withholding include the following:</w:t>
      </w:r>
    </w:p>
    <w:p>
      <w:pPr>
        <w:spacing w:after="0" w:line="113" w:lineRule="exact"/>
        <w:rPr>
          <w:sz w:val="20"/>
          <w:szCs w:val="20"/>
          <w:color w:val="auto"/>
        </w:rPr>
      </w:pPr>
    </w:p>
    <w:p>
      <w:pPr>
        <w:ind w:left="540" w:hanging="211"/>
        <w:spacing w:after="0"/>
        <w:tabs>
          <w:tab w:leader="none" w:pos="54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to nonresident aliens subject to withholding under section 1441 of the Code.</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to partnerships not engaged in a trade or business in the U.S. and which have at least one nonresident alien partner.</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of patronage dividends where the amount received is not paid in money.</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made by certain foreign organizations.</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404(k) of the Code distributions made by an ESOP.</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Payments of interest not generally subject to backup withholding include the following:</w:t>
      </w:r>
    </w:p>
    <w:p>
      <w:pPr>
        <w:spacing w:after="0" w:line="100" w:lineRule="exact"/>
        <w:rPr>
          <w:sz w:val="20"/>
          <w:szCs w:val="20"/>
          <w:color w:val="auto"/>
        </w:rPr>
      </w:pPr>
    </w:p>
    <w:p>
      <w:pPr>
        <w:ind w:left="540" w:right="140" w:hanging="211"/>
        <w:spacing w:after="0" w:line="298" w:lineRule="auto"/>
        <w:tabs>
          <w:tab w:leader="none" w:pos="54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of interest on obligations issued by individuals. Note: You may be subject to backup withholding if this interest is $600 or more and is paid in the course of the payor’s trade or business and you have not provided your correct taxpayer identification number to the payor.</w:t>
      </w:r>
    </w:p>
    <w:p>
      <w:pPr>
        <w:spacing w:after="0" w:line="15"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of tax-exempt interest (including exempt interest dividends under section 852 of the Code).</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described in section 6049(b)(5) of the Code to nonresident aliens.</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on tax-free covenant bonds under section 1451 of the Code.</w:t>
      </w:r>
    </w:p>
    <w:p>
      <w:pPr>
        <w:spacing w:after="0" w:line="86" w:lineRule="exact"/>
        <w:rPr>
          <w:rFonts w:ascii="Times New Roman" w:cs="Times New Roman" w:eastAsia="Times New Roman" w:hAnsi="Times New Roman"/>
          <w:sz w:val="16"/>
          <w:szCs w:val="16"/>
          <w:color w:val="auto"/>
        </w:rPr>
      </w:pPr>
    </w:p>
    <w:p>
      <w:pPr>
        <w:ind w:left="540" w:hanging="211"/>
        <w:spacing w:after="0"/>
        <w:tabs>
          <w:tab w:leader="none" w:pos="54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made by certain foreign organizations.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Exempt payees described above should file Substitute Form W-9 as follows to avoid possible erroneous backup withholding:</w:t>
      </w:r>
    </w:p>
    <w:p>
      <w:pPr>
        <w:spacing w:after="0" w:line="100" w:lineRule="exact"/>
        <w:rPr>
          <w:sz w:val="20"/>
          <w:szCs w:val="20"/>
          <w:color w:val="auto"/>
        </w:rPr>
      </w:pPr>
    </w:p>
    <w:p>
      <w:pPr>
        <w:ind w:right="80" w:firstLine="312"/>
        <w:spacing w:after="0" w:line="298" w:lineRule="auto"/>
        <w:rPr>
          <w:sz w:val="20"/>
          <w:szCs w:val="20"/>
          <w:color w:val="auto"/>
        </w:rPr>
      </w:pPr>
      <w:r>
        <w:rPr>
          <w:rFonts w:ascii="Times New Roman" w:cs="Times New Roman" w:eastAsia="Times New Roman" w:hAnsi="Times New Roman"/>
          <w:sz w:val="16"/>
          <w:szCs w:val="16"/>
          <w:color w:val="auto"/>
        </w:rPr>
        <w:t>FILE SUBSTITUTE FORM W-9 WITH THE PAYOR BY FURNISHING YOUR TAXPAYER IDENTIFICATION NUMBER, WRITE “EXEMPT” ON THE face OF THE FORM (IN PART II OF THE FORM), SIGN AND DATE THE FORM AND RETURN TO THE PAYOR.</w:t>
      </w:r>
    </w:p>
    <w:p>
      <w:pPr>
        <w:spacing w:after="0" w:line="29" w:lineRule="exact"/>
        <w:rPr>
          <w:sz w:val="20"/>
          <w:szCs w:val="20"/>
          <w:color w:val="auto"/>
        </w:rPr>
      </w:pPr>
    </w:p>
    <w:p>
      <w:pPr>
        <w:ind w:right="480" w:firstLine="312"/>
        <w:spacing w:after="0" w:line="298" w:lineRule="auto"/>
        <w:rPr>
          <w:sz w:val="20"/>
          <w:szCs w:val="20"/>
          <w:color w:val="auto"/>
        </w:rPr>
      </w:pPr>
      <w:r>
        <w:rPr>
          <w:rFonts w:ascii="Times New Roman" w:cs="Times New Roman" w:eastAsia="Times New Roman" w:hAnsi="Times New Roman"/>
          <w:sz w:val="16"/>
          <w:szCs w:val="16"/>
          <w:color w:val="auto"/>
        </w:rPr>
        <w:t>Certain payments other than interest, dividends, and patronage dividends that are not subject to information reporting are also not subject to backup withholding. For details, see sections 6041, 6041A, 6042, 6044, 6045, 6049, 6050A and 6050N of the Code, and the regulations under such sections.</w:t>
      </w:r>
    </w:p>
    <w:p>
      <w:pPr>
        <w:spacing w:after="0" w:line="41" w:lineRule="exact"/>
        <w:rPr>
          <w:sz w:val="20"/>
          <w:szCs w:val="20"/>
          <w:color w:val="auto"/>
        </w:rPr>
      </w:pPr>
    </w:p>
    <w:p>
      <w:pPr>
        <w:ind w:right="180" w:firstLine="312"/>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Privacy Act Notice. </w:t>
      </w:r>
      <w:r>
        <w:rPr>
          <w:rFonts w:ascii="Times New Roman" w:cs="Times New Roman" w:eastAsia="Times New Roman" w:hAnsi="Times New Roman"/>
          <w:sz w:val="16"/>
          <w:szCs w:val="16"/>
          <w:color w:val="auto"/>
        </w:rPr>
        <w:t>— Section 6109 of the Code requires you to give your correct taxpayer identification number to Payors who must report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payments to the IRS. The IRS uses the numbers for identification purposes and to help verify the accuracy of your tax return. The IRS may also provide this information to the Department of Justice for civil and criminal litigation, and to cities, states, and the District of Columbia to carry out their tax laws. Payors must be given the numbers whether or not you are required to file tax returns. Payors must generally withhold 28% of taxable interest, dividends, and certain other payments to a payee who does not furnish a taxpayer identification number to a payor. Certain penalties may also apply.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Penalties</w:t>
      </w:r>
    </w:p>
    <w:p>
      <w:pPr>
        <w:spacing w:after="0" w:line="113" w:lineRule="exact"/>
        <w:rPr>
          <w:sz w:val="20"/>
          <w:szCs w:val="20"/>
          <w:color w:val="auto"/>
        </w:rPr>
      </w:pPr>
    </w:p>
    <w:p>
      <w:pPr>
        <w:ind w:right="240" w:firstLine="316"/>
        <w:spacing w:after="0" w:line="301" w:lineRule="auto"/>
        <w:tabs>
          <w:tab w:leader="none" w:pos="541"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Penalty for Failure to Furnish Taxpayer Identification Number. </w:t>
      </w:r>
      <w:r>
        <w:rPr>
          <w:rFonts w:ascii="Times New Roman" w:cs="Times New Roman" w:eastAsia="Times New Roman" w:hAnsi="Times New Roman"/>
          <w:sz w:val="16"/>
          <w:szCs w:val="16"/>
          <w:color w:val="auto"/>
        </w:rPr>
        <w:t>— If you fail to furnish your taxpayer identification number to a payor, you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a penalty of $50 for each such failure unless your failure is due to reasonable cause and not to willful neglect.</w:t>
      </w:r>
    </w:p>
    <w:p>
      <w:pPr>
        <w:spacing w:after="0" w:line="24" w:lineRule="exact"/>
        <w:rPr>
          <w:rFonts w:ascii="Times New Roman" w:cs="Times New Roman" w:eastAsia="Times New Roman" w:hAnsi="Times New Roman"/>
          <w:sz w:val="16"/>
          <w:szCs w:val="16"/>
          <w:b w:val="1"/>
          <w:bCs w:val="1"/>
          <w:color w:val="auto"/>
        </w:rPr>
      </w:pPr>
    </w:p>
    <w:p>
      <w:pPr>
        <w:ind w:right="240" w:firstLine="316"/>
        <w:spacing w:after="0" w:line="301" w:lineRule="auto"/>
        <w:tabs>
          <w:tab w:leader="none" w:pos="541"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Civil Penalty for False Information With Respect to Withholding. </w:t>
      </w:r>
      <w:r>
        <w:rPr>
          <w:rFonts w:ascii="Times New Roman" w:cs="Times New Roman" w:eastAsia="Times New Roman" w:hAnsi="Times New Roman"/>
          <w:sz w:val="16"/>
          <w:szCs w:val="16"/>
          <w:color w:val="auto"/>
        </w:rPr>
        <w:t>— If you make a false statement with no reasonable basis which results in no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imposition of backup withholding, you are subject to a penalty of $500.</w:t>
      </w:r>
    </w:p>
    <w:p>
      <w:pPr>
        <w:spacing w:after="0" w:line="24" w:lineRule="exact"/>
        <w:rPr>
          <w:rFonts w:ascii="Times New Roman" w:cs="Times New Roman" w:eastAsia="Times New Roman" w:hAnsi="Times New Roman"/>
          <w:sz w:val="16"/>
          <w:szCs w:val="16"/>
          <w:b w:val="1"/>
          <w:bCs w:val="1"/>
          <w:color w:val="auto"/>
        </w:rPr>
      </w:pPr>
    </w:p>
    <w:p>
      <w:pPr>
        <w:ind w:right="260" w:firstLine="316"/>
        <w:spacing w:after="0" w:line="301" w:lineRule="auto"/>
        <w:tabs>
          <w:tab w:leader="none" w:pos="541"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Criminal Penalty for Falsifying Information </w:t>
      </w:r>
      <w:r>
        <w:rPr>
          <w:rFonts w:ascii="Times New Roman" w:cs="Times New Roman" w:eastAsia="Times New Roman" w:hAnsi="Times New Roman"/>
          <w:sz w:val="16"/>
          <w:szCs w:val="16"/>
          <w:color w:val="auto"/>
        </w:rPr>
        <w:t>— Willfully falsifying certifications or affirmations may subject you to criminal penalties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fines and/or imprisonment.</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700" w:top="928" w:right="839" w:bottom="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color w:val="auto"/>
        </w:rPr>
        <w:t>FOR ADDITIONAL INFORMATION CONTACT YOUR ADVISOR OR THE INTERNAL REVENUE SERVICE.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 NOT WRITE IN SPACE BELOW)</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60" w:type="dxa"/>
            <w:vAlign w:val="bottom"/>
            <w:tcBorders>
              <w:top w:val="single" w:sz="8" w:color="auto"/>
              <w:left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Certificate Surrendered</w:t>
            </w:r>
          </w:p>
        </w:tc>
        <w:tc>
          <w:tcPr>
            <w:tcW w:w="3320" w:type="dxa"/>
            <w:vAlign w:val="bottom"/>
            <w:tcBorders>
              <w:top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Unregistered Notes Tendered</w:t>
            </w:r>
          </w:p>
        </w:tc>
        <w:tc>
          <w:tcPr>
            <w:tcW w:w="330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Unregistered Notes Accepted</w:t>
            </w:r>
          </w:p>
        </w:tc>
      </w:tr>
      <w:tr>
        <w:trPr>
          <w:trHeight w:val="210"/>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spacing w:after="0"/>
              <w:rPr>
                <w:sz w:val="18"/>
                <w:szCs w:val="18"/>
                <w:color w:val="auto"/>
              </w:rPr>
            </w:pPr>
          </w:p>
        </w:tc>
      </w:tr>
      <w:tr>
        <w:trPr>
          <w:trHeight w:val="223"/>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32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223"/>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32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223"/>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32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223"/>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32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bl>
    <w:p>
      <w:pPr>
        <w:ind w:left="60"/>
        <w:spacing w:after="0"/>
        <w:tabs>
          <w:tab w:leader="none" w:pos="3920" w:val="left"/>
          <w:tab w:leader="none" w:pos="7460" w:val="left"/>
        </w:tabs>
        <w:rPr>
          <w:sz w:val="20"/>
          <w:szCs w:val="20"/>
          <w:color w:val="auto"/>
        </w:rPr>
      </w:pPr>
      <w:r>
        <w:rPr>
          <w:rFonts w:ascii="Times New Roman" w:cs="Times New Roman" w:eastAsia="Times New Roman" w:hAnsi="Times New Roman"/>
          <w:sz w:val="18"/>
          <w:szCs w:val="18"/>
          <w:color w:val="auto"/>
        </w:rPr>
        <w:t>Delivery Prepared by</w:t>
      </w:r>
      <w:r>
        <w:rPr>
          <w:sz w:val="20"/>
          <w:szCs w:val="20"/>
          <w:color w:val="auto"/>
        </w:rPr>
        <w:tab/>
      </w:r>
      <w:r>
        <w:rPr>
          <w:rFonts w:ascii="Times New Roman" w:cs="Times New Roman" w:eastAsia="Times New Roman" w:hAnsi="Times New Roman"/>
          <w:sz w:val="18"/>
          <w:szCs w:val="18"/>
          <w:color w:val="auto"/>
        </w:rPr>
        <w:t>Checked by</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5862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-10795</wp:posOffset>
            </wp:positionV>
            <wp:extent cx="4763"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-10795</wp:posOffset>
            </wp:positionV>
            <wp:extent cx="4763"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sectPr>
      <w:pgSz w:w="11900" w:h="16838" w:orient="portrait"/>
      <w:cols w:equalWidth="0" w:num="1">
        <w:col w:w="10380"/>
      </w:cols>
      <w:pgMar w:left="700" w:top="932"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1)"/>
      <w:numFmt w:val="decimal"/>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1)"/>
      <w:numFmt w:val="decimal"/>
      <w:start w:val="1"/>
    </w:lvl>
  </w:abstractNum>
  <w:abstractNum w:abstractNumId="32">
    <w:nsid w:val="1EBA5D23"/>
    <w:multiLevelType w:val="hybridMultilevel"/>
    <w:lvl w:ilvl="0">
      <w:lvlJc w:val="left"/>
      <w:lvlText w:val="(%1)"/>
      <w:numFmt w:val="decimal"/>
      <w:start w:val="1"/>
    </w:lvl>
  </w:abstractNum>
  <w:abstractNum w:abstractNumId="33">
    <w:nsid w:val="661E3F1E"/>
    <w:multiLevelType w:val="hybridMultilevel"/>
    <w:lvl w:ilvl="0">
      <w:lvlJc w:val="left"/>
      <w:lvlText w:val="(%1)"/>
      <w:numFmt w:val="decimal"/>
      <w:start w:val="3"/>
    </w:lvl>
  </w:abstractNum>
  <w:abstractNum w:abstractNumId="34">
    <w:nsid w:val="5DC79EA8"/>
    <w:multiLevelType w:val="hybridMultilevel"/>
    <w:lvl w:ilvl="0">
      <w:lvlJc w:val="left"/>
      <w:lvlText w:val="(%1)"/>
      <w:numFmt w:val="decimal"/>
      <w:start w:val="1"/>
    </w:lvl>
  </w:abstractNum>
  <w:abstractNum w:abstractNumId="35">
    <w:nsid w:val="540A471C"/>
    <w:multiLevelType w:val="hybridMultilevel"/>
    <w:lvl w:ilvl="0">
      <w:lvlJc w:val="left"/>
      <w:lvlText w:val="(%1)"/>
      <w:numFmt w:val="decimal"/>
      <w:start w:val="6"/>
    </w:lvl>
  </w:abstractNum>
  <w:abstractNum w:abstractNumId="36">
    <w:nsid w:val="7BD3EE7B"/>
    <w:multiLevelType w:val="hybridMultilevel"/>
    <w:lvl w:ilvl="0">
      <w:lvlJc w:val="left"/>
      <w:lvlText w:val="(%1)"/>
      <w:numFmt w:val="decimal"/>
      <w:start w:val="1"/>
    </w:lvl>
  </w:abstractNum>
  <w:abstractNum w:abstractNumId="37">
    <w:nsid w:val="51D9C564"/>
    <w:multiLevelType w:val="hybridMultilevel"/>
    <w:lvl w:ilvl="0">
      <w:lvlJc w:val="left"/>
      <w:lvlText w:val="(%1)"/>
      <w:numFmt w:val="decimal"/>
      <w:start w:val="3"/>
    </w:lvl>
  </w:abstractNum>
  <w:abstractNum w:abstractNumId="38">
    <w:nsid w:val="613EFDC5"/>
    <w:multiLevelType w:val="hybridMultilevel"/>
    <w:lvl w:ilvl="0">
      <w:lvlJc w:val="left"/>
      <w:lvlText w:val="(%1)"/>
      <w:numFmt w:val="decimal"/>
      <w:start w:val="2"/>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1)"/>
      <w:numFmt w:val="decimal"/>
      <w:start w:val="2"/>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1)"/>
      <w:numFmt w:val="lowerLetter"/>
      <w:start w:val="1"/>
    </w:lvl>
  </w:abstractNum>
  <w:abstractNum w:abstractNumId="50">
    <w:nsid w:val="14330624"/>
    <w:multiLevelType w:val="hybridMultilevel"/>
    <w:lvl w:ilvl="0">
      <w:lvlJc w:val="left"/>
      <w:lvlText w:val="(%1)"/>
      <w:numFmt w:val="lowerLetter"/>
      <w:start w:val="2"/>
    </w:lvl>
  </w:abstractNum>
  <w:abstractNum w:abstractNumId="51">
    <w:nsid w:val="7FFFCA11"/>
    <w:multiLevelType w:val="hybridMultilevel"/>
    <w:lvl w:ilvl="0">
      <w:lvlJc w:val="left"/>
      <w:lvlText w:val="(%1)"/>
      <w:numFmt w:val="lowerLetter"/>
      <w:start w:val="1"/>
    </w:lvl>
  </w:abstractNum>
  <w:abstractNum w:abstractNumId="52">
    <w:nsid w:val="1A27709E"/>
    <w:multiLevelType w:val="hybridMultilevel"/>
    <w:lvl w:ilvl="0">
      <w:lvlJc w:val="left"/>
      <w:lvlText w:val="(%1)"/>
      <w:numFmt w:val="lowerLetter"/>
      <w:start w:val="2"/>
    </w:lvl>
  </w:abstractNum>
  <w:abstractNum w:abstractNumId="53">
    <w:nsid w:val="71EA1109"/>
    <w:multiLevelType w:val="hybridMultilevel"/>
    <w:lvl w:ilvl="0">
      <w:lvlJc w:val="left"/>
      <w:lvlText w:val="(%1)"/>
      <w:numFmt w:val="lowerLetter"/>
      <w:start w:val="2"/>
    </w:lvl>
  </w:abstractNum>
  <w:abstractNum w:abstractNumId="54">
    <w:nsid w:val="100F59DC"/>
    <w:multiLevelType w:val="hybridMultilevel"/>
    <w:lvl w:ilvl="0">
      <w:lvlJc w:val="left"/>
      <w:lvlText w:val="(%1)"/>
      <w:numFmt w:val="lowerLetter"/>
      <w:start w:val="1"/>
    </w:lvl>
  </w:abstractNum>
  <w:abstractNum w:abstractNumId="55">
    <w:nsid w:val="7FB7E0AA"/>
    <w:multiLevelType w:val="hybridMultilevel"/>
    <w:lvl w:ilvl="0">
      <w:lvlJc w:val="left"/>
      <w:lvlText w:val="(%1)"/>
      <w:numFmt w:val="lowerLetter"/>
      <w:start w:val="2"/>
    </w:lvl>
  </w:abstractNum>
  <w:abstractNum w:abstractNumId="56">
    <w:nsid w:val="6EB5BD4"/>
    <w:multiLevelType w:val="hybridMultilevel"/>
    <w:lvl w:ilvl="0">
      <w:lvlJc w:val="left"/>
      <w:lvlText w:val="(%1)"/>
      <w:numFmt w:val="lowerLetter"/>
      <w:start w:val="3"/>
    </w:lvl>
  </w:abstractNum>
  <w:abstractNum w:abstractNumId="57">
    <w:nsid w:val="6F6DD9AC"/>
    <w:multiLevelType w:val="hybridMultilevel"/>
    <w:lvl w:ilvl="0">
      <w:lvlJc w:val="left"/>
      <w:lvlText w:val="(%1)"/>
      <w:numFmt w:val="lowerLetter"/>
      <w:start w:val="1"/>
    </w:lvl>
  </w:abstractNum>
  <w:abstractNum w:abstractNumId="58">
    <w:nsid w:val="94211F2"/>
    <w:multiLevelType w:val="hybridMultilevel"/>
    <w:lvl w:ilvl="0">
      <w:lvlJc w:val="left"/>
      <w:lvlText w:val="(%1)"/>
      <w:numFmt w:val="lowerLetter"/>
      <w:start w:val="1"/>
    </w:lvl>
  </w:abstractNum>
  <w:abstractNum w:abstractNumId="59">
    <w:nsid w:val="885E1B"/>
    <w:multiLevelType w:val="hybridMultilevel"/>
    <w:lvl w:ilvl="0">
      <w:lvlJc w:val="left"/>
      <w:lvlText w:val="(%1)"/>
      <w:numFmt w:val="lowerLetter"/>
      <w:start w:val="2"/>
    </w:lvl>
  </w:abstractNum>
  <w:abstractNum w:abstractNumId="60">
    <w:nsid w:val="76272110"/>
    <w:multiLevelType w:val="hybridMultilevel"/>
    <w:lvl w:ilvl="0">
      <w:lvlJc w:val="left"/>
      <w:lvlText w:val="(%1)"/>
      <w:numFmt w:val="lowerLetter"/>
      <w:start w:val="1"/>
    </w:lvl>
  </w:abstractNum>
  <w:abstractNum w:abstractNumId="61">
    <w:nsid w:val="4C04A8AF"/>
    <w:multiLevelType w:val="hybridMultilevel"/>
    <w:lvl w:ilvl="0">
      <w:lvlJc w:val="left"/>
      <w:lvlText w:val="(%1)"/>
      <w:numFmt w:val="lowerRoman"/>
      <w:start w:val="2"/>
    </w:lvl>
  </w:abstractNum>
  <w:abstractNum w:abstractNumId="62">
    <w:nsid w:val="1716703B"/>
    <w:multiLevelType w:val="hybridMultilevel"/>
    <w:lvl w:ilvl="0">
      <w:lvlJc w:val="left"/>
      <w:lvlText w:val="(%1)"/>
      <w:numFmt w:val="lowerRoman"/>
      <w:start w:val="2"/>
    </w:lvl>
  </w:abstractNum>
  <w:abstractNum w:abstractNumId="63">
    <w:nsid w:val="14E17E33"/>
    <w:multiLevelType w:val="hybridMultilevel"/>
    <w:lvl w:ilvl="0">
      <w:lvlJc w:val="left"/>
      <w:lvlText w:val="(%1)"/>
      <w:numFmt w:val="lowerLetter"/>
      <w:start w:val="1"/>
    </w:lvl>
  </w:abstractNum>
  <w:abstractNum w:abstractNumId="64">
    <w:nsid w:val="3222E7CD"/>
    <w:multiLevelType w:val="hybridMultilevel"/>
    <w:lvl w:ilvl="0">
      <w:lvlJc w:val="left"/>
      <w:lvlText w:val="(%1)"/>
      <w:numFmt w:val="lowerLetter"/>
      <w:start w:val="3"/>
    </w:lvl>
  </w:abstractNum>
  <w:abstractNum w:abstractNumId="65">
    <w:nsid w:val="74DE0EE3"/>
    <w:multiLevelType w:val="hybridMultilevel"/>
    <w:lvl w:ilvl="0">
      <w:lvlJc w:val="left"/>
      <w:lvlText w:val="(%1)"/>
      <w:numFmt w:val="lowerLetter"/>
      <w:start w:val="2"/>
    </w:lvl>
  </w:abstractNum>
  <w:abstractNum w:abstractNumId="66">
    <w:nsid w:val="68EBC550"/>
    <w:multiLevelType w:val="hybridMultilevel"/>
    <w:lvl w:ilvl="0">
      <w:lvlJc w:val="left"/>
      <w:lvlText w:val="(%1)"/>
      <w:numFmt w:val="lowerLetter"/>
      <w:start w:val="1"/>
    </w:lvl>
  </w:abstractNum>
  <w:abstractNum w:abstractNumId="67">
    <w:nsid w:val="2DF6D648"/>
    <w:multiLevelType w:val="hybridMultilevel"/>
    <w:lvl w:ilvl="0">
      <w:lvlJc w:val="left"/>
      <w:lvlText w:val="(%1)"/>
      <w:numFmt w:val="lowerLetter"/>
      <w:start w:val="2"/>
    </w:lvl>
  </w:abstractNum>
  <w:abstractNum w:abstractNumId="68">
    <w:nsid w:val="46B7D447"/>
    <w:multiLevelType w:val="hybridMultilevel"/>
    <w:lvl w:ilvl="0">
      <w:lvlJc w:val="left"/>
      <w:lvlText w:val="(%1)"/>
      <w:numFmt w:val="lowerLetter"/>
      <w:start w:val="1"/>
    </w:lvl>
  </w:abstractNum>
  <w:abstractNum w:abstractNumId="69">
    <w:nsid w:val="4A2AC315"/>
    <w:multiLevelType w:val="hybridMultilevel"/>
    <w:lvl w:ilvl="0">
      <w:lvlJc w:val="left"/>
      <w:lvlText w:val="(%1)"/>
      <w:numFmt w:val="lowerLetter"/>
      <w:start w:val="2"/>
    </w:lvl>
  </w:abstractNum>
  <w:abstractNum w:abstractNumId="70">
    <w:nsid w:val="39EE015C"/>
    <w:multiLevelType w:val="hybridMultilevel"/>
    <w:lvl w:ilvl="0">
      <w:lvlJc w:val="left"/>
      <w:lvlText w:val="(%1)"/>
      <w:numFmt w:val="lowerLetter"/>
      <w:start w:val="1"/>
    </w:lvl>
  </w:abstractNum>
  <w:abstractNum w:abstractNumId="71">
    <w:nsid w:val="57FC4FBB"/>
    <w:multiLevelType w:val="hybridMultilevel"/>
    <w:lvl w:ilvl="0">
      <w:lvlJc w:val="left"/>
      <w:lvlText w:val="(%1)"/>
      <w:numFmt w:val="lowerLetter"/>
      <w:start w:val="2"/>
    </w:lvl>
  </w:abstractNum>
  <w:abstractNum w:abstractNumId="72">
    <w:nsid w:val="CC1016F"/>
    <w:multiLevelType w:val="hybridMultilevel"/>
    <w:lvl w:ilvl="0">
      <w:lvlJc w:val="left"/>
      <w:lvlText w:val="(%1)"/>
      <w:numFmt w:val="lowerLetter"/>
      <w:start w:val="2"/>
    </w:lvl>
  </w:abstractNum>
  <w:abstractNum w:abstractNumId="73">
    <w:nsid w:val="43F18422"/>
    <w:multiLevelType w:val="hybridMultilevel"/>
    <w:lvl w:ilvl="0">
      <w:lvlJc w:val="left"/>
      <w:lvlText w:val="(%1)"/>
      <w:numFmt w:val="lowerLetter"/>
      <w:start w:val="1"/>
    </w:lvl>
  </w:abstractNum>
  <w:abstractNum w:abstractNumId="74">
    <w:nsid w:val="60EF0119"/>
    <w:multiLevelType w:val="hybridMultilevel"/>
    <w:lvl w:ilvl="0">
      <w:lvlJc w:val="left"/>
      <w:lvlText w:val="(%1)"/>
      <w:numFmt w:val="lowerLetter"/>
      <w:start w:val="2"/>
    </w:lvl>
  </w:abstractNum>
  <w:abstractNum w:abstractNumId="75">
    <w:nsid w:val="26F324BA"/>
    <w:multiLevelType w:val="hybridMultilevel"/>
    <w:lvl w:ilvl="0">
      <w:lvlJc w:val="left"/>
      <w:lvlText w:val="(%1)"/>
      <w:numFmt w:val="lowerLetter"/>
      <w:start w:val="1"/>
    </w:lvl>
  </w:abstractNum>
  <w:abstractNum w:abstractNumId="76">
    <w:nsid w:val="7F01579B"/>
    <w:multiLevelType w:val="hybridMultilevel"/>
    <w:lvl w:ilvl="0">
      <w:lvlJc w:val="left"/>
      <w:lvlText w:val="(%1)"/>
      <w:numFmt w:val="lowerLetter"/>
      <w:start w:val="2"/>
    </w:lvl>
  </w:abstractNum>
  <w:abstractNum w:abstractNumId="77">
    <w:nsid w:val="49DA307D"/>
    <w:multiLevelType w:val="hybridMultilevel"/>
    <w:lvl w:ilvl="0">
      <w:lvlJc w:val="left"/>
      <w:lvlText w:val="(%1)"/>
      <w:numFmt w:val="lowerLetter"/>
      <w:start w:val="1"/>
    </w:lvl>
  </w:abstractNum>
  <w:abstractNum w:abstractNumId="78">
    <w:nsid w:val="7055A5F5"/>
    <w:multiLevelType w:val="hybridMultilevel"/>
    <w:lvl w:ilvl="0">
      <w:lvlJc w:val="left"/>
      <w:lvlText w:val="(%1)"/>
      <w:numFmt w:val="lowerRoman"/>
      <w:start w:val="3"/>
    </w:lvl>
  </w:abstractNum>
  <w:abstractNum w:abstractNumId="79">
    <w:nsid w:val="5FB8370B"/>
    <w:multiLevelType w:val="hybridMultilevel"/>
    <w:lvl w:ilvl="0">
      <w:lvlJc w:val="left"/>
      <w:lvlText w:val="(%1)"/>
      <w:numFmt w:val="lowerLetter"/>
      <w:start w:val="2"/>
    </w:lvl>
  </w:abstractNum>
  <w:abstractNum w:abstractNumId="80">
    <w:nsid w:val="50801EE1"/>
    <w:multiLevelType w:val="hybridMultilevel"/>
    <w:lvl w:ilvl="0">
      <w:lvlJc w:val="left"/>
      <w:lvlText w:val="(%1)"/>
      <w:numFmt w:val="lowerLetter"/>
      <w:start w:val="1"/>
    </w:lvl>
  </w:abstractNum>
  <w:abstractNum w:abstractNumId="81">
    <w:nsid w:val="488AC1A"/>
    <w:multiLevelType w:val="hybridMultilevel"/>
    <w:lvl w:ilvl="0">
      <w:lvlJc w:val="left"/>
      <w:lvlText w:val="(%1)"/>
      <w:numFmt w:val="lowerLetter"/>
      <w:start w:val="9"/>
    </w:lvl>
    <w:lvl w:ilvl="1">
      <w:lvlJc w:val="left"/>
      <w:lvlText w:val="(%2)"/>
      <w:numFmt w:val="lowerLetter"/>
      <w:start w:val="2"/>
    </w:lvl>
  </w:abstractNum>
  <w:abstractNum w:abstractNumId="82">
    <w:nsid w:val="5FB8011C"/>
    <w:multiLevelType w:val="hybridMultilevel"/>
    <w:lvl w:ilvl="0">
      <w:lvlJc w:val="left"/>
      <w:lvlText w:val="(%1)"/>
      <w:numFmt w:val="lowerRoman"/>
      <w:start w:val="2"/>
    </w:lvl>
  </w:abstractNum>
  <w:abstractNum w:abstractNumId="83">
    <w:nsid w:val="6AA78F7F"/>
    <w:multiLevelType w:val="hybridMultilevel"/>
    <w:lvl w:ilvl="0">
      <w:lvlJc w:val="left"/>
      <w:lvlText w:val="(%1)"/>
      <w:numFmt w:val="lowerLetter"/>
      <w:start w:val="1"/>
    </w:lvl>
  </w:abstractNum>
  <w:abstractNum w:abstractNumId="84">
    <w:nsid w:val="7672BD23"/>
    <w:multiLevelType w:val="hybridMultilevel"/>
    <w:lvl w:ilvl="0">
      <w:lvlJc w:val="left"/>
      <w:lvlText w:val="(%1)"/>
      <w:numFmt w:val="lowerLetter"/>
      <w:start w:val="2"/>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1)"/>
      <w:numFmt w:val="lowerLetter"/>
      <w:start w:val="2"/>
    </w:lvl>
  </w:abstractNum>
  <w:abstractNum w:abstractNumId="87">
    <w:nsid w:val="7D5E18F8"/>
    <w:multiLevelType w:val="hybridMultilevel"/>
    <w:lvl w:ilvl="0">
      <w:lvlJc w:val="left"/>
      <w:lvlText w:val="(%1)"/>
      <w:numFmt w:val="lowerLetter"/>
      <w:start w:val="1"/>
    </w:lvl>
  </w:abstractNum>
  <w:abstractNum w:abstractNumId="88">
    <w:nsid w:val="5F3534A4"/>
    <w:multiLevelType w:val="hybridMultilevel"/>
    <w:lvl w:ilvl="0">
      <w:lvlJc w:val="left"/>
      <w:lvlText w:val="(%1)"/>
      <w:numFmt w:val="lowerLetter"/>
      <w:start w:val="1"/>
    </w:lvl>
  </w:abstractNum>
  <w:abstractNum w:abstractNumId="89">
    <w:nsid w:val="73A1821B"/>
    <w:multiLevelType w:val="hybridMultilevel"/>
    <w:lvl w:ilvl="0">
      <w:lvlJc w:val="left"/>
      <w:lvlText w:val="(%1)"/>
      <w:numFmt w:val="lowerLetter"/>
      <w:start w:val="2"/>
    </w:lvl>
  </w:abstractNum>
  <w:abstractNum w:abstractNumId="90">
    <w:nsid w:val="7DE67713"/>
    <w:multiLevelType w:val="hybridMultilevel"/>
    <w:lvl w:ilvl="0">
      <w:lvlJc w:val="left"/>
      <w:lvlText w:val="(%1)"/>
      <w:numFmt w:val="lowerLetter"/>
      <w:start w:val="1"/>
    </w:lvl>
  </w:abstractNum>
  <w:abstractNum w:abstractNumId="91">
    <w:nsid w:val="555C55B5"/>
    <w:multiLevelType w:val="hybridMultilevel"/>
    <w:lvl w:ilvl="0">
      <w:lvlJc w:val="left"/>
      <w:lvlText w:val="(%1)"/>
      <w:numFmt w:val="lowerLetter"/>
      <w:start w:val="3"/>
    </w:lvl>
  </w:abstractNum>
  <w:abstractNum w:abstractNumId="92">
    <w:nsid w:val="3FA62ACA"/>
    <w:multiLevelType w:val="hybridMultilevel"/>
    <w:lvl w:ilvl="0">
      <w:lvlJc w:val="left"/>
      <w:lvlText w:val="(%1)"/>
      <w:numFmt w:val="lowerLetter"/>
      <w:start w:val="1"/>
    </w:lvl>
  </w:abstractNum>
  <w:abstractNum w:abstractNumId="93">
    <w:nsid w:val="14FCE74E"/>
    <w:multiLevelType w:val="hybridMultilevel"/>
    <w:lvl w:ilvl="0">
      <w:lvlJc w:val="left"/>
      <w:lvlText w:val="(%1)"/>
      <w:numFmt w:val="lowerLetter"/>
      <w:start w:val="2"/>
    </w:lvl>
  </w:abstractNum>
  <w:abstractNum w:abstractNumId="94">
    <w:nsid w:val="6A3DD3E8"/>
    <w:multiLevelType w:val="hybridMultilevel"/>
    <w:lvl w:ilvl="0">
      <w:lvlJc w:val="left"/>
      <w:lvlText w:val="(%1)"/>
      <w:numFmt w:val="lowerLetter"/>
      <w:start w:val="2"/>
    </w:lvl>
  </w:abstractNum>
  <w:abstractNum w:abstractNumId="95">
    <w:nsid w:val="71C91298"/>
    <w:multiLevelType w:val="hybridMultilevel"/>
    <w:lvl w:ilvl="0">
      <w:lvlJc w:val="left"/>
      <w:lvlText w:val="(%1)"/>
      <w:numFmt w:val="decimal"/>
      <w:start w:val="1"/>
    </w:lvl>
    <w:lvl w:ilvl="1">
      <w:lvlJc w:val="left"/>
      <w:lvlText w:val="(%2)"/>
      <w:numFmt w:val="lowerRoman"/>
      <w:start w:val="1"/>
    </w:lvl>
  </w:abstractNum>
  <w:abstractNum w:abstractNumId="96">
    <w:nsid w:val="9DAF632"/>
    <w:multiLevelType w:val="hybridMultilevel"/>
    <w:lvl w:ilvl="0">
      <w:lvlJc w:val="left"/>
      <w:lvlText w:val="(%1)"/>
      <w:numFmt w:val="decimal"/>
      <w:start w:val="5"/>
    </w:lvl>
  </w:abstractNum>
  <w:abstractNum w:abstractNumId="97">
    <w:nsid w:val="53299938"/>
    <w:multiLevelType w:val="hybridMultilevel"/>
    <w:lvl w:ilvl="0">
      <w:lvlJc w:val="left"/>
      <w:lvlText w:val="%1)"/>
      <w:numFmt w:val="upperLetter"/>
      <w:start w:val="11"/>
    </w:lvl>
  </w:abstractNum>
  <w:abstractNum w:abstractNumId="98">
    <w:nsid w:val="1FBFE8E0"/>
    <w:multiLevelType w:val="hybridMultilevel"/>
    <w:lvl w:ilvl="0">
      <w:lvlJc w:val="left"/>
      <w:lvlText w:val="•"/>
      <w:numFmt w:val="bullet"/>
      <w:start w:val="1"/>
    </w:lvl>
  </w:abstractNum>
  <w:abstractNum w:abstractNumId="99">
    <w:nsid w:val="5092CA79"/>
    <w:multiLevelType w:val="hybridMultilevel"/>
    <w:lvl w:ilvl="0">
      <w:lvlJc w:val="left"/>
      <w:lvlText w:val="o"/>
      <w:numFmt w:val="bullet"/>
      <w:start w:val="1"/>
    </w:lvl>
  </w:abstractNum>
  <w:abstractNum w:abstractNumId="100">
    <w:nsid w:val="1D545C4D"/>
    <w:multiLevelType w:val="hybridMultilevel"/>
    <w:lvl w:ilvl="0">
      <w:lvlJc w:val="left"/>
      <w:lvlText w:val="o"/>
      <w:numFmt w:val="bullet"/>
      <w:start w:val="1"/>
    </w:lvl>
  </w:abstractNum>
  <w:abstractNum w:abstractNumId="101">
    <w:nsid w:val="59ADEA3D"/>
    <w:multiLevelType w:val="hybridMultilevel"/>
    <w:lvl w:ilvl="0">
      <w:lvlJc w:val="left"/>
      <w:lvlText w:val="o"/>
      <w:numFmt w:val="bullet"/>
      <w:start w:val="1"/>
    </w:lvl>
  </w:abstractNum>
  <w:abstractNum w:abstractNumId="102">
    <w:nsid w:val="288F1A34"/>
    <w:multiLevelType w:val="hybridMultilevel"/>
    <w:lvl w:ilvl="0">
      <w:lvlJc w:val="left"/>
      <w:lvlText w:val="o"/>
      <w:numFmt w:val="bullet"/>
      <w:start w:val="1"/>
    </w:lvl>
  </w:abstractNum>
  <w:abstractNum w:abstractNumId="103">
    <w:nsid w:val="2A155DBC"/>
    <w:multiLevelType w:val="hybridMultilevel"/>
    <w:lvl w:ilvl="0">
      <w:lvlJc w:val="left"/>
      <w:lvlText w:val="(%1)"/>
      <w:numFmt w:val="lowerLetter"/>
      <w:start w:val="1"/>
    </w:lvl>
  </w:abstractNum>
  <w:abstractNum w:abstractNumId="104">
    <w:nsid w:val="1D9F6E5F"/>
    <w:multiLevelType w:val="hybridMultilevel"/>
    <w:lvl w:ilvl="0">
      <w:lvlJc w:val="left"/>
      <w:lvlText w:val="%1."/>
      <w:numFmt w:val="decimal"/>
      <w:start w:val="1"/>
    </w:lvl>
  </w:abstractNum>
  <w:abstractNum w:abstractNumId="105">
    <w:nsid w:val="97E1B4E"/>
    <w:multiLevelType w:val="hybridMultilevel"/>
    <w:lvl w:ilvl="0">
      <w:lvlJc w:val="left"/>
      <w:lvlText w:val="%1."/>
      <w:numFmt w:val="decimal"/>
      <w:start w:val="3"/>
    </w:lvl>
  </w:abstractNum>
  <w:abstractNum w:abstractNumId="106">
    <w:nsid w:val="51088277"/>
    <w:multiLevelType w:val="hybridMultilevel"/>
    <w:lvl w:ilvl="0">
      <w:lvlJc w:val="left"/>
      <w:lvlText w:val="%1."/>
      <w:numFmt w:val="decimal"/>
      <w:start w:val="6"/>
    </w:lvl>
  </w:abstractNum>
  <w:abstractNum w:abstractNumId="107">
    <w:nsid w:val="1CA0C5FA"/>
    <w:multiLevelType w:val="hybridMultilevel"/>
    <w:lvl w:ilvl="0">
      <w:lvlJc w:val="left"/>
      <w:lvlText w:val="%1."/>
      <w:numFmt w:val="decimal"/>
      <w:start w:val="7"/>
    </w:lvl>
  </w:abstractNum>
  <w:abstractNum w:abstractNumId="108">
    <w:nsid w:val="53584BCB"/>
    <w:multiLevelType w:val="hybridMultilevel"/>
    <w:lvl w:ilvl="0">
      <w:lvlJc w:val="left"/>
      <w:lvlText w:val="(%1)"/>
      <w:numFmt w:val="decimal"/>
      <w:start w:val="1"/>
    </w:lvl>
  </w:abstractNum>
  <w:abstractNum w:abstractNumId="109">
    <w:nsid w:val="415E286C"/>
    <w:multiLevelType w:val="hybridMultilevel"/>
    <w:lvl w:ilvl="0">
      <w:lvlJc w:val="left"/>
      <w:lvlText w:val="•"/>
      <w:numFmt w:val="bullet"/>
      <w:start w:val="1"/>
    </w:lvl>
  </w:abstractNum>
  <w:abstractNum w:abstractNumId="110">
    <w:nsid w:val="7C58FD05"/>
    <w:multiLevelType w:val="hybridMultilevel"/>
    <w:lvl w:ilvl="0">
      <w:lvlJc w:val="left"/>
      <w:lvlText w:val="•"/>
      <w:numFmt w:val="bullet"/>
      <w:start w:val="1"/>
    </w:lvl>
  </w:abstractNum>
  <w:abstractNum w:abstractNumId="111">
    <w:nsid w:val="23D86AAC"/>
    <w:multiLevelType w:val="hybridMultilevel"/>
    <w:lvl w:ilvl="0">
      <w:lvlJc w:val="left"/>
      <w:lvlText w:val="•"/>
      <w:numFmt w:val="bullet"/>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2019-12-16T14:34:15Z</dcterms:created>
  <dcterms:modified xsi:type="dcterms:W3CDTF">2019-12-16T14:34:15Z</dcterms:modified>
</cp:coreProperties>
</file>