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1"/>
        <w:spacing w:after="0"/>
        <w:rPr>
          <w:sz w:val="20"/>
          <w:szCs w:val="20"/>
          <w:color w:val="auto"/>
        </w:rPr>
      </w:pPr>
      <w:r>
        <w:rPr>
          <w:rFonts w:ascii="Courier New" w:cs="Courier New" w:eastAsia="Courier New" w:hAnsi="Courier New"/>
          <w:sz w:val="16"/>
          <w:szCs w:val="16"/>
          <w:color w:val="auto"/>
        </w:rPr>
        <w:t>1</w:t>
      </w:r>
    </w:p>
    <w:p>
      <w:pPr>
        <w:spacing w:after="0" w:line="188"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WASHINGTON, D.C. 20549</w:t>
      </w:r>
    </w:p>
    <w:p>
      <w:pPr>
        <w:spacing w:after="0" w:line="188"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FORM 8-K</w:t>
      </w:r>
    </w:p>
    <w:p>
      <w:pPr>
        <w:spacing w:after="0" w:line="188" w:lineRule="exact"/>
        <w:rPr>
          <w:sz w:val="24"/>
          <w:szCs w:val="24"/>
          <w:color w:val="auto"/>
        </w:rPr>
      </w:pPr>
    </w:p>
    <w:p>
      <w:pPr>
        <w:ind w:left="3161"/>
        <w:spacing w:after="0"/>
        <w:rPr>
          <w:sz w:val="20"/>
          <w:szCs w:val="20"/>
          <w:color w:val="auto"/>
        </w:rPr>
      </w:pPr>
      <w:r>
        <w:rPr>
          <w:rFonts w:ascii="Courier New" w:cs="Courier New" w:eastAsia="Courier New" w:hAnsi="Courier New"/>
          <w:sz w:val="16"/>
          <w:szCs w:val="16"/>
          <w:color w:val="auto"/>
        </w:rPr>
        <w:t>CURRENT REPORT</w:t>
      </w:r>
    </w:p>
    <w:p>
      <w:pPr>
        <w:spacing w:after="0" w:line="4" w:lineRule="exact"/>
        <w:rPr>
          <w:sz w:val="24"/>
          <w:szCs w:val="24"/>
          <w:color w:val="auto"/>
        </w:rPr>
      </w:pPr>
    </w:p>
    <w:p>
      <w:pPr>
        <w:ind w:left="2201"/>
        <w:spacing w:after="0"/>
        <w:rPr>
          <w:sz w:val="20"/>
          <w:szCs w:val="20"/>
          <w:color w:val="auto"/>
        </w:rPr>
      </w:pPr>
      <w:r>
        <w:rPr>
          <w:rFonts w:ascii="Courier New" w:cs="Courier New" w:eastAsia="Courier New" w:hAnsi="Courier New"/>
          <w:sz w:val="16"/>
          <w:szCs w:val="16"/>
          <w:color w:val="auto"/>
        </w:rPr>
        <w:t>PURSUANT TO SECTION 13 OR 15(d) OF</w:t>
      </w:r>
    </w:p>
    <w:p>
      <w:pPr>
        <w:spacing w:after="0" w:line="4" w:lineRule="exact"/>
        <w:rPr>
          <w:sz w:val="24"/>
          <w:szCs w:val="24"/>
          <w:color w:val="auto"/>
        </w:rPr>
      </w:pPr>
    </w:p>
    <w:p>
      <w:pPr>
        <w:ind w:left="2201"/>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188"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DATE OF REPORT (DATE OF EARLIEST EVENT REPORTED) JULY 26, 2000</w:t>
      </w:r>
    </w:p>
    <w:p>
      <w:pPr>
        <w:spacing w:after="0" w:line="188" w:lineRule="exact"/>
        <w:rPr>
          <w:sz w:val="24"/>
          <w:szCs w:val="24"/>
          <w:color w:val="auto"/>
        </w:rPr>
      </w:pPr>
    </w:p>
    <w:p>
      <w:pPr>
        <w:ind w:left="2401"/>
        <w:spacing w:after="0"/>
        <w:rPr>
          <w:sz w:val="20"/>
          <w:szCs w:val="20"/>
          <w:color w:val="auto"/>
        </w:rPr>
      </w:pPr>
      <w:r>
        <w:rPr>
          <w:rFonts w:ascii="Courier New" w:cs="Courier New" w:eastAsia="Courier New" w:hAnsi="Courier New"/>
          <w:sz w:val="16"/>
          <w:szCs w:val="16"/>
          <w:color w:val="auto"/>
        </w:rPr>
        <w:t>Commission file number: 1-14267</w:t>
      </w:r>
    </w:p>
    <w:p>
      <w:pPr>
        <w:spacing w:after="0" w:line="373" w:lineRule="exact"/>
        <w:rPr>
          <w:sz w:val="24"/>
          <w:szCs w:val="24"/>
          <w:color w:val="auto"/>
        </w:rPr>
      </w:pPr>
    </w:p>
    <w:p>
      <w:pPr>
        <w:ind w:left="2781"/>
        <w:spacing w:after="0"/>
        <w:rPr>
          <w:sz w:val="20"/>
          <w:szCs w:val="20"/>
          <w:color w:val="auto"/>
        </w:rPr>
      </w:pPr>
      <w:r>
        <w:rPr>
          <w:rFonts w:ascii="Courier New" w:cs="Courier New" w:eastAsia="Courier New" w:hAnsi="Courier New"/>
          <w:sz w:val="16"/>
          <w:szCs w:val="16"/>
          <w:color w:val="auto"/>
        </w:rPr>
        <w:t>REPUBLIC SERVICES, INC.</w:t>
      </w:r>
    </w:p>
    <w:p>
      <w:pPr>
        <w:spacing w:after="0" w:line="5" w:lineRule="exact"/>
        <w:rPr>
          <w:sz w:val="24"/>
          <w:szCs w:val="24"/>
          <w:color w:val="auto"/>
        </w:rPr>
      </w:pPr>
    </w:p>
    <w:p>
      <w:pPr>
        <w:ind w:left="201" w:hanging="201"/>
        <w:spacing w:after="0"/>
        <w:tabs>
          <w:tab w:leader="none" w:pos="20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24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1"/>
          </w:cols>
          <w:pgMar w:left="239" w:top="238" w:right="1440" w:bottom="1440" w:gutter="0" w:footer="0" w:header="0"/>
        </w:sectPr>
      </w:pPr>
    </w:p>
    <w:p>
      <w:pPr>
        <w:spacing w:after="0" w:line="188" w:lineRule="exact"/>
        <w:rPr>
          <w:sz w:val="24"/>
          <w:szCs w:val="24"/>
          <w:color w:val="auto"/>
        </w:rPr>
      </w:pPr>
    </w:p>
    <w:p>
      <w:pPr>
        <w:jc w:val="center"/>
        <w:ind w:left="721"/>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4"/>
          <w:szCs w:val="24"/>
          <w:color w:val="auto"/>
        </w:rPr>
      </w:pPr>
    </w:p>
    <w:p>
      <w:pPr>
        <w:jc w:val="center"/>
        <w:ind w:left="721"/>
        <w:spacing w:after="0"/>
        <w:rPr>
          <w:sz w:val="20"/>
          <w:szCs w:val="20"/>
          <w:color w:val="auto"/>
        </w:rPr>
      </w:pPr>
      <w:r>
        <w:rPr>
          <w:rFonts w:ascii="Courier New" w:cs="Courier New" w:eastAsia="Courier New" w:hAnsi="Courier New"/>
          <w:sz w:val="15"/>
          <w:szCs w:val="15"/>
          <w:color w:val="auto"/>
        </w:rPr>
        <w:t>------------------------</w:t>
      </w:r>
    </w:p>
    <w:p>
      <w:pPr>
        <w:spacing w:after="0" w:line="15" w:lineRule="exact"/>
        <w:rPr>
          <w:sz w:val="24"/>
          <w:szCs w:val="24"/>
          <w:color w:val="auto"/>
        </w:rPr>
      </w:pPr>
    </w:p>
    <w:p>
      <w:pPr>
        <w:jc w:val="center"/>
        <w:ind w:left="721"/>
        <w:spacing w:after="0"/>
        <w:rPr>
          <w:sz w:val="20"/>
          <w:szCs w:val="20"/>
          <w:color w:val="auto"/>
        </w:rPr>
      </w:pPr>
      <w:r>
        <w:rPr>
          <w:rFonts w:ascii="Courier New" w:cs="Courier New" w:eastAsia="Courier New" w:hAnsi="Courier New"/>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65-0716904</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3501" w:space="720"/>
            <w:col w:w="5999"/>
          </w:cols>
          <w:pgMar w:left="239" w:top="238" w:right="1440" w:bottom="1440" w:gutter="0" w:footer="0" w:header="0"/>
          <w:type w:val="continuous"/>
        </w:sectPr>
      </w:pPr>
    </w:p>
    <w:p>
      <w:pPr>
        <w:spacing w:after="0" w:line="173" w:lineRule="exact"/>
        <w:rPr>
          <w:sz w:val="24"/>
          <w:szCs w:val="24"/>
          <w:color w:val="auto"/>
        </w:rPr>
      </w:pPr>
    </w:p>
    <w:p>
      <w:pPr>
        <w:ind w:left="1061"/>
        <w:spacing w:after="0"/>
        <w:rPr>
          <w:sz w:val="20"/>
          <w:szCs w:val="20"/>
          <w:color w:val="auto"/>
        </w:rPr>
      </w:pPr>
      <w:r>
        <w:rPr>
          <w:rFonts w:ascii="Courier New" w:cs="Courier New" w:eastAsia="Courier New" w:hAnsi="Courier New"/>
          <w:sz w:val="16"/>
          <w:szCs w:val="16"/>
          <w:color w:val="auto"/>
        </w:rPr>
        <w:t>REPUBLIC SERVICES, INC.</w:t>
      </w:r>
    </w:p>
    <w:p>
      <w:pPr>
        <w:spacing w:after="0" w:line="4" w:lineRule="exact"/>
        <w:rPr>
          <w:sz w:val="24"/>
          <w:szCs w:val="24"/>
          <w:color w:val="auto"/>
        </w:rPr>
      </w:pPr>
    </w:p>
    <w:p>
      <w:pPr>
        <w:ind w:left="681"/>
        <w:spacing w:after="0"/>
        <w:rPr>
          <w:sz w:val="20"/>
          <w:szCs w:val="20"/>
          <w:color w:val="auto"/>
        </w:rPr>
      </w:pPr>
      <w:r>
        <w:rPr>
          <w:rFonts w:ascii="Courier New" w:cs="Courier New" w:eastAsia="Courier New" w:hAnsi="Courier New"/>
          <w:sz w:val="16"/>
          <w:szCs w:val="16"/>
          <w:color w:val="auto"/>
        </w:rPr>
        <w:t>110 S.E. 6TH STREET, 28TH FLOOR</w:t>
      </w:r>
    </w:p>
    <w:p>
      <w:pPr>
        <w:spacing w:after="0" w:line="4" w:lineRule="exact"/>
        <w:rPr>
          <w:sz w:val="24"/>
          <w:szCs w:val="24"/>
          <w:color w:val="auto"/>
        </w:rPr>
      </w:pPr>
    </w:p>
    <w:p>
      <w:pPr>
        <w:ind w:left="961"/>
        <w:spacing w:after="0"/>
        <w:rPr>
          <w:sz w:val="20"/>
          <w:szCs w:val="20"/>
          <w:color w:val="auto"/>
        </w:rPr>
      </w:pPr>
      <w:r>
        <w:rPr>
          <w:rFonts w:ascii="Courier New" w:cs="Courier New" w:eastAsia="Courier New" w:hAnsi="Courier New"/>
          <w:sz w:val="16"/>
          <w:szCs w:val="16"/>
          <w:color w:val="auto"/>
        </w:rPr>
        <w:t>FORT LAUDERDALE, FLORIDA</w:t>
      </w:r>
    </w:p>
    <w:p>
      <w:pPr>
        <w:spacing w:after="0" w:line="5" w:lineRule="exact"/>
        <w:rPr>
          <w:sz w:val="24"/>
          <w:szCs w:val="24"/>
          <w:color w:val="auto"/>
        </w:rPr>
      </w:pPr>
    </w:p>
    <w:p>
      <w:pPr>
        <w:ind w:left="201"/>
        <w:spacing w:after="0"/>
        <w:rPr>
          <w:sz w:val="20"/>
          <w:szCs w:val="20"/>
          <w:color w:val="auto"/>
        </w:rPr>
      </w:pPr>
      <w:r>
        <w:rPr>
          <w:rFonts w:ascii="Courier New" w:cs="Courier New" w:eastAsia="Courier New" w:hAnsi="Courier New"/>
          <w:sz w:val="15"/>
          <w:szCs w:val="15"/>
          <w:color w:val="auto"/>
        </w:rPr>
        <w:t>----------------------------------------</w:t>
      </w:r>
    </w:p>
    <w:p>
      <w:pPr>
        <w:spacing w:after="0" w:line="15" w:lineRule="exact"/>
        <w:rPr>
          <w:sz w:val="24"/>
          <w:szCs w:val="24"/>
          <w:color w:val="auto"/>
        </w:rPr>
      </w:pPr>
    </w:p>
    <w:p>
      <w:pPr>
        <w:ind w:left="201"/>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ind w:left="180"/>
        <w:spacing w:after="0"/>
        <w:rPr>
          <w:sz w:val="20"/>
          <w:szCs w:val="20"/>
          <w:color w:val="auto"/>
        </w:rPr>
      </w:pPr>
      <w:r>
        <w:rPr>
          <w:rFonts w:ascii="Courier New" w:cs="Courier New" w:eastAsia="Courier New" w:hAnsi="Courier New"/>
          <w:sz w:val="16"/>
          <w:szCs w:val="16"/>
          <w:color w:val="auto"/>
        </w:rPr>
        <w:t>33301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200" w:lineRule="exact"/>
        <w:rPr>
          <w:sz w:val="24"/>
          <w:szCs w:val="24"/>
          <w:color w:val="auto"/>
        </w:rPr>
      </w:pPr>
    </w:p>
    <w:p>
      <w:pPr>
        <w:sectPr>
          <w:pgSz w:w="11900" w:h="16838" w:orient="portrait"/>
          <w:cols w:equalWidth="0" w:num="2">
            <w:col w:w="4761" w:space="720"/>
            <w:col w:w="4739"/>
          </w:cols>
          <w:pgMar w:left="239" w:top="238" w:right="1440" w:bottom="1440" w:gutter="0" w:footer="0" w:header="0"/>
          <w:type w:val="continuous"/>
        </w:sectPr>
      </w:pPr>
    </w:p>
    <w:p>
      <w:pPr>
        <w:spacing w:after="0" w:line="183" w:lineRule="exact"/>
        <w:rPr>
          <w:sz w:val="24"/>
          <w:szCs w:val="24"/>
          <w:color w:val="auto"/>
        </w:rPr>
      </w:pPr>
    </w:p>
    <w:p>
      <w:pPr>
        <w:ind w:left="681"/>
        <w:spacing w:after="0"/>
        <w:rPr>
          <w:sz w:val="20"/>
          <w:szCs w:val="20"/>
          <w:color w:val="auto"/>
        </w:rPr>
      </w:pPr>
      <w:r>
        <w:rPr>
          <w:rFonts w:ascii="Courier New" w:cs="Courier New" w:eastAsia="Courier New" w:hAnsi="Courier New"/>
          <w:sz w:val="16"/>
          <w:szCs w:val="16"/>
          <w:color w:val="auto"/>
        </w:rPr>
        <w:t>Registrant's telephone number, including area code: (954) 769-2400</w:t>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2981"/>
        <w:spacing w:after="0"/>
        <w:rPr>
          <w:sz w:val="20"/>
          <w:szCs w:val="20"/>
          <w:color w:val="auto"/>
        </w:rPr>
      </w:pPr>
      <w:r>
        <w:rPr>
          <w:rFonts w:ascii="Courier New" w:cs="Courier New" w:eastAsia="Courier New" w:hAnsi="Courier New"/>
          <w:sz w:val="16"/>
          <w:szCs w:val="16"/>
          <w:color w:val="auto"/>
        </w:rPr>
        <w:t>Page 1 of 3 pages.</w:t>
      </w:r>
    </w:p>
    <w:p>
      <w:pPr>
        <w:sectPr>
          <w:pgSz w:w="11900" w:h="16838" w:orient="portrait"/>
          <w:cols w:equalWidth="0" w:num="1">
            <w:col w:w="10221"/>
          </w:cols>
          <w:pgMar w:left="239" w:top="238"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5.</w:t>
        <w:tab/>
        <w:t>OTHER EVENTS</w:t>
      </w:r>
    </w:p>
    <w:p>
      <w:pPr>
        <w:spacing w:after="0" w:line="190" w:lineRule="exact"/>
        <w:rPr>
          <w:sz w:val="20"/>
          <w:szCs w:val="20"/>
          <w:color w:val="auto"/>
        </w:rPr>
      </w:pPr>
    </w:p>
    <w:p>
      <w:pPr>
        <w:jc w:val="both"/>
        <w:ind w:right="2819"/>
        <w:spacing w:after="0" w:line="243" w:lineRule="auto"/>
        <w:rPr>
          <w:sz w:val="20"/>
          <w:szCs w:val="20"/>
          <w:color w:val="auto"/>
        </w:rPr>
      </w:pPr>
      <w:r>
        <w:rPr>
          <w:rFonts w:ascii="Courier New" w:cs="Courier New" w:eastAsia="Courier New" w:hAnsi="Courier New"/>
          <w:sz w:val="16"/>
          <w:szCs w:val="16"/>
          <w:color w:val="auto"/>
        </w:rPr>
        <w:t>On July 26, 2000, Republic Services, Inc. issued a press release to announce operating results for the three and six months ended June 30, 2000, a copy of which is included herein by reference and attached hereto as Exhibit 99.1.</w:t>
      </w:r>
    </w:p>
    <w:p>
      <w:pPr>
        <w:spacing w:after="0" w:line="189" w:lineRule="exact"/>
        <w:rPr>
          <w:sz w:val="20"/>
          <w:szCs w:val="20"/>
          <w:color w:val="auto"/>
        </w:rPr>
      </w:pPr>
    </w:p>
    <w:p>
      <w:pPr>
        <w:jc w:val="both"/>
        <w:ind w:right="2819"/>
        <w:spacing w:after="0" w:line="243" w:lineRule="auto"/>
        <w:rPr>
          <w:sz w:val="20"/>
          <w:szCs w:val="20"/>
          <w:color w:val="auto"/>
        </w:rPr>
      </w:pPr>
      <w:r>
        <w:rPr>
          <w:rFonts w:ascii="Courier New" w:cs="Courier New" w:eastAsia="Courier New" w:hAnsi="Courier New"/>
          <w:sz w:val="16"/>
          <w:szCs w:val="16"/>
          <w:color w:val="auto"/>
        </w:rPr>
        <w:t>On July 26, 2000, Republic Services, Inc. issued a press release to announce that its Board of Directors has approved a common stock repurchase program, a copy of which is included herein by reference and attached hereto as Exhibit 99.2.</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7.</w:t>
        <w:tab/>
        <w:t>FINANCIAL STATEMENTS AND EXHIBITS</w:t>
      </w:r>
    </w:p>
    <w:p>
      <w:pPr>
        <w:spacing w:after="0" w:line="188" w:lineRule="exact"/>
        <w:rPr>
          <w:sz w:val="20"/>
          <w:szCs w:val="20"/>
          <w:color w:val="auto"/>
        </w:rPr>
      </w:pPr>
    </w:p>
    <w:tbl>
      <w:tblPr>
        <w:tblLayout w:type="fixed"/>
        <w:tblInd w:w="860" w:type="dxa"/>
        <w:tblCellMar>
          <w:top w:w="0" w:type="dxa"/>
          <w:left w:w="0" w:type="dxa"/>
          <w:bottom w:w="0" w:type="dxa"/>
          <w:right w:w="0" w:type="dxa"/>
        </w:tblCellMar>
      </w:tblPr>
      <w:tr>
        <w:trPr>
          <w:trHeight w:val="181"/>
        </w:trPr>
        <w:tc>
          <w:tcPr>
            <w:tcW w:w="1580" w:type="dxa"/>
            <w:vAlign w:val="bottom"/>
          </w:tcPr>
          <w:p>
            <w:pPr>
              <w:spacing w:after="0"/>
              <w:rPr>
                <w:sz w:val="20"/>
                <w:szCs w:val="20"/>
                <w:color w:val="auto"/>
              </w:rPr>
            </w:pPr>
            <w:r>
              <w:rPr>
                <w:rFonts w:ascii="Courier New" w:cs="Courier New" w:eastAsia="Courier New" w:hAnsi="Courier New"/>
                <w:sz w:val="16"/>
                <w:szCs w:val="16"/>
                <w:color w:val="auto"/>
              </w:rPr>
              <w:t>(C) Exhibits</w:t>
            </w:r>
          </w:p>
        </w:tc>
        <w:tc>
          <w:tcPr>
            <w:tcW w:w="242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370"/>
        </w:trPr>
        <w:tc>
          <w:tcPr>
            <w:tcW w:w="1580" w:type="dxa"/>
            <w:vAlign w:val="bottom"/>
          </w:tcPr>
          <w:p>
            <w:pPr>
              <w:spacing w:after="0"/>
              <w:rPr>
                <w:sz w:val="20"/>
                <w:szCs w:val="20"/>
                <w:color w:val="auto"/>
              </w:rPr>
            </w:pPr>
            <w:r>
              <w:rPr>
                <w:rFonts w:ascii="Courier New" w:cs="Courier New" w:eastAsia="Courier New" w:hAnsi="Courier New"/>
                <w:sz w:val="16"/>
                <w:szCs w:val="16"/>
                <w:color w:val="auto"/>
              </w:rPr>
              <w:t>Exhibit No.</w:t>
            </w:r>
          </w:p>
        </w:tc>
        <w:tc>
          <w:tcPr>
            <w:tcW w:w="2420" w:type="dxa"/>
            <w:vAlign w:val="bottom"/>
          </w:tcPr>
          <w:p>
            <w:pPr>
              <w:ind w:left="440"/>
              <w:spacing w:after="0"/>
              <w:rPr>
                <w:sz w:val="20"/>
                <w:szCs w:val="20"/>
                <w:color w:val="auto"/>
              </w:rPr>
            </w:pPr>
            <w:r>
              <w:rPr>
                <w:rFonts w:ascii="Courier New" w:cs="Courier New" w:eastAsia="Courier New" w:hAnsi="Courier New"/>
                <w:sz w:val="16"/>
                <w:szCs w:val="16"/>
                <w:color w:val="auto"/>
              </w:rPr>
              <w:t>Description</w:t>
            </w:r>
          </w:p>
        </w:tc>
        <w:tc>
          <w:tcPr>
            <w:tcW w:w="2160" w:type="dxa"/>
            <w:vAlign w:val="bottom"/>
          </w:tcPr>
          <w:p>
            <w:pPr>
              <w:spacing w:after="0"/>
              <w:rPr>
                <w:sz w:val="24"/>
                <w:szCs w:val="24"/>
                <w:color w:val="auto"/>
              </w:rPr>
            </w:pPr>
          </w:p>
        </w:tc>
      </w:tr>
      <w:tr>
        <w:trPr>
          <w:trHeight w:val="185"/>
        </w:trPr>
        <w:tc>
          <w:tcPr>
            <w:tcW w:w="15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42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spacing w:after="0"/>
              <w:rPr>
                <w:sz w:val="16"/>
                <w:szCs w:val="16"/>
                <w:color w:val="auto"/>
              </w:rPr>
            </w:pPr>
          </w:p>
        </w:tc>
      </w:tr>
      <w:tr>
        <w:trPr>
          <w:trHeight w:val="370"/>
        </w:trPr>
        <w:tc>
          <w:tcPr>
            <w:tcW w:w="1580" w:type="dxa"/>
            <w:vAlign w:val="bottom"/>
          </w:tcPr>
          <w:p>
            <w:pPr>
              <w:jc w:val="right"/>
              <w:ind w:right="820"/>
              <w:spacing w:after="0"/>
              <w:rPr>
                <w:sz w:val="20"/>
                <w:szCs w:val="20"/>
                <w:color w:val="auto"/>
              </w:rPr>
            </w:pPr>
            <w:r>
              <w:rPr>
                <w:rFonts w:ascii="Courier New" w:cs="Courier New" w:eastAsia="Courier New" w:hAnsi="Courier New"/>
                <w:sz w:val="16"/>
                <w:szCs w:val="16"/>
                <w:color w:val="auto"/>
              </w:rPr>
              <w:t>99.1</w:t>
            </w:r>
          </w:p>
        </w:tc>
        <w:tc>
          <w:tcPr>
            <w:tcW w:w="2420" w:type="dxa"/>
            <w:vAlign w:val="bottom"/>
          </w:tcPr>
          <w:p>
            <w:pPr>
              <w:ind w:left="440"/>
              <w:spacing w:after="0"/>
              <w:rPr>
                <w:sz w:val="20"/>
                <w:szCs w:val="20"/>
                <w:color w:val="auto"/>
              </w:rPr>
            </w:pPr>
            <w:r>
              <w:rPr>
                <w:rFonts w:ascii="Courier New" w:cs="Courier New" w:eastAsia="Courier New" w:hAnsi="Courier New"/>
                <w:sz w:val="16"/>
                <w:szCs w:val="16"/>
                <w:color w:val="auto"/>
              </w:rPr>
              <w:t>Press Release of the</w:t>
            </w:r>
          </w:p>
        </w:tc>
        <w:tc>
          <w:tcPr>
            <w:tcW w:w="2160" w:type="dxa"/>
            <w:vAlign w:val="bottom"/>
          </w:tcPr>
          <w:p>
            <w:pPr>
              <w:ind w:left="40"/>
              <w:spacing w:after="0"/>
              <w:rPr>
                <w:sz w:val="20"/>
                <w:szCs w:val="20"/>
                <w:color w:val="auto"/>
              </w:rPr>
            </w:pPr>
            <w:r>
              <w:rPr>
                <w:rFonts w:ascii="Courier New" w:cs="Courier New" w:eastAsia="Courier New" w:hAnsi="Courier New"/>
                <w:sz w:val="16"/>
                <w:szCs w:val="16"/>
                <w:color w:val="auto"/>
                <w:w w:val="99"/>
              </w:rPr>
              <w:t>Company dated July 26,</w:t>
            </w:r>
          </w:p>
        </w:tc>
      </w:tr>
      <w:tr>
        <w:trPr>
          <w:trHeight w:val="185"/>
        </w:trPr>
        <w:tc>
          <w:tcPr>
            <w:tcW w:w="1580" w:type="dxa"/>
            <w:vAlign w:val="bottom"/>
          </w:tcPr>
          <w:p>
            <w:pPr>
              <w:spacing w:after="0"/>
              <w:rPr>
                <w:sz w:val="16"/>
                <w:szCs w:val="16"/>
                <w:color w:val="auto"/>
              </w:rPr>
            </w:pPr>
          </w:p>
        </w:tc>
        <w:tc>
          <w:tcPr>
            <w:tcW w:w="45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2000 to announce operating results for the</w:t>
            </w:r>
          </w:p>
        </w:tc>
      </w:tr>
      <w:tr>
        <w:trPr>
          <w:trHeight w:val="185"/>
        </w:trPr>
        <w:tc>
          <w:tcPr>
            <w:tcW w:w="1580" w:type="dxa"/>
            <w:vAlign w:val="bottom"/>
          </w:tcPr>
          <w:p>
            <w:pPr>
              <w:spacing w:after="0"/>
              <w:rPr>
                <w:sz w:val="16"/>
                <w:szCs w:val="16"/>
                <w:color w:val="auto"/>
              </w:rPr>
            </w:pPr>
          </w:p>
        </w:tc>
        <w:tc>
          <w:tcPr>
            <w:tcW w:w="2420" w:type="dxa"/>
            <w:vAlign w:val="bottom"/>
          </w:tcPr>
          <w:p>
            <w:pPr>
              <w:ind w:left="440"/>
              <w:spacing w:after="0"/>
              <w:rPr>
                <w:sz w:val="20"/>
                <w:szCs w:val="20"/>
                <w:color w:val="auto"/>
              </w:rPr>
            </w:pPr>
            <w:r>
              <w:rPr>
                <w:rFonts w:ascii="Courier New" w:cs="Courier New" w:eastAsia="Courier New" w:hAnsi="Courier New"/>
                <w:sz w:val="16"/>
                <w:szCs w:val="16"/>
                <w:color w:val="auto"/>
              </w:rPr>
              <w:t>three and six months</w:t>
            </w:r>
          </w:p>
        </w:tc>
        <w:tc>
          <w:tcPr>
            <w:tcW w:w="2160" w:type="dxa"/>
            <w:vAlign w:val="bottom"/>
          </w:tcPr>
          <w:p>
            <w:pPr>
              <w:ind w:left="40"/>
              <w:spacing w:after="0"/>
              <w:rPr>
                <w:sz w:val="20"/>
                <w:szCs w:val="20"/>
                <w:color w:val="auto"/>
              </w:rPr>
            </w:pPr>
            <w:r>
              <w:rPr>
                <w:rFonts w:ascii="Courier New" w:cs="Courier New" w:eastAsia="Courier New" w:hAnsi="Courier New"/>
                <w:sz w:val="16"/>
                <w:szCs w:val="16"/>
                <w:color w:val="auto"/>
              </w:rPr>
              <w:t>ended June 30, 2000.</w:t>
            </w:r>
          </w:p>
        </w:tc>
      </w:tr>
      <w:tr>
        <w:trPr>
          <w:trHeight w:val="370"/>
        </w:trPr>
        <w:tc>
          <w:tcPr>
            <w:tcW w:w="1580" w:type="dxa"/>
            <w:vAlign w:val="bottom"/>
          </w:tcPr>
          <w:p>
            <w:pPr>
              <w:jc w:val="right"/>
              <w:ind w:right="820"/>
              <w:spacing w:after="0"/>
              <w:rPr>
                <w:sz w:val="20"/>
                <w:szCs w:val="20"/>
                <w:color w:val="auto"/>
              </w:rPr>
            </w:pPr>
            <w:r>
              <w:rPr>
                <w:rFonts w:ascii="Courier New" w:cs="Courier New" w:eastAsia="Courier New" w:hAnsi="Courier New"/>
                <w:sz w:val="16"/>
                <w:szCs w:val="16"/>
                <w:color w:val="auto"/>
              </w:rPr>
              <w:t>99.2</w:t>
            </w:r>
          </w:p>
        </w:tc>
        <w:tc>
          <w:tcPr>
            <w:tcW w:w="2420" w:type="dxa"/>
            <w:vAlign w:val="bottom"/>
          </w:tcPr>
          <w:p>
            <w:pPr>
              <w:ind w:left="440"/>
              <w:spacing w:after="0"/>
              <w:rPr>
                <w:sz w:val="20"/>
                <w:szCs w:val="20"/>
                <w:color w:val="auto"/>
              </w:rPr>
            </w:pPr>
            <w:r>
              <w:rPr>
                <w:rFonts w:ascii="Courier New" w:cs="Courier New" w:eastAsia="Courier New" w:hAnsi="Courier New"/>
                <w:sz w:val="16"/>
                <w:szCs w:val="16"/>
                <w:color w:val="auto"/>
              </w:rPr>
              <w:t>Press Release of the</w:t>
            </w:r>
          </w:p>
        </w:tc>
        <w:tc>
          <w:tcPr>
            <w:tcW w:w="2160" w:type="dxa"/>
            <w:vAlign w:val="bottom"/>
          </w:tcPr>
          <w:p>
            <w:pPr>
              <w:ind w:left="40"/>
              <w:spacing w:after="0"/>
              <w:rPr>
                <w:sz w:val="20"/>
                <w:szCs w:val="20"/>
                <w:color w:val="auto"/>
              </w:rPr>
            </w:pPr>
            <w:r>
              <w:rPr>
                <w:rFonts w:ascii="Courier New" w:cs="Courier New" w:eastAsia="Courier New" w:hAnsi="Courier New"/>
                <w:sz w:val="16"/>
                <w:szCs w:val="16"/>
                <w:color w:val="auto"/>
                <w:w w:val="99"/>
              </w:rPr>
              <w:t>Company dated July 26,</w:t>
            </w:r>
          </w:p>
        </w:tc>
      </w:tr>
      <w:tr>
        <w:trPr>
          <w:trHeight w:val="185"/>
        </w:trPr>
        <w:tc>
          <w:tcPr>
            <w:tcW w:w="1580" w:type="dxa"/>
            <w:vAlign w:val="bottom"/>
          </w:tcPr>
          <w:p>
            <w:pPr>
              <w:spacing w:after="0"/>
              <w:rPr>
                <w:sz w:val="16"/>
                <w:szCs w:val="16"/>
                <w:color w:val="auto"/>
              </w:rPr>
            </w:pPr>
          </w:p>
        </w:tc>
        <w:tc>
          <w:tcPr>
            <w:tcW w:w="2420" w:type="dxa"/>
            <w:vAlign w:val="bottom"/>
          </w:tcPr>
          <w:p>
            <w:pPr>
              <w:ind w:left="440"/>
              <w:spacing w:after="0"/>
              <w:rPr>
                <w:sz w:val="20"/>
                <w:szCs w:val="20"/>
                <w:color w:val="auto"/>
              </w:rPr>
            </w:pPr>
            <w:r>
              <w:rPr>
                <w:rFonts w:ascii="Courier New" w:cs="Courier New" w:eastAsia="Courier New" w:hAnsi="Courier New"/>
                <w:sz w:val="16"/>
                <w:szCs w:val="16"/>
                <w:color w:val="auto"/>
              </w:rPr>
              <w:t>2000 to announce the</w:t>
            </w:r>
          </w:p>
        </w:tc>
        <w:tc>
          <w:tcPr>
            <w:tcW w:w="2160" w:type="dxa"/>
            <w:vAlign w:val="bottom"/>
          </w:tcPr>
          <w:p>
            <w:pPr>
              <w:ind w:left="40"/>
              <w:spacing w:after="0"/>
              <w:rPr>
                <w:sz w:val="20"/>
                <w:szCs w:val="20"/>
                <w:color w:val="auto"/>
              </w:rPr>
            </w:pPr>
            <w:r>
              <w:rPr>
                <w:rFonts w:ascii="Courier New" w:cs="Courier New" w:eastAsia="Courier New" w:hAnsi="Courier New"/>
                <w:sz w:val="16"/>
                <w:szCs w:val="16"/>
                <w:color w:val="auto"/>
                <w:w w:val="99"/>
              </w:rPr>
              <w:t>Company's common stock</w:t>
            </w:r>
          </w:p>
        </w:tc>
      </w:tr>
      <w:tr>
        <w:trPr>
          <w:trHeight w:val="185"/>
        </w:trPr>
        <w:tc>
          <w:tcPr>
            <w:tcW w:w="1580" w:type="dxa"/>
            <w:vAlign w:val="bottom"/>
          </w:tcPr>
          <w:p>
            <w:pPr>
              <w:spacing w:after="0"/>
              <w:rPr>
                <w:sz w:val="16"/>
                <w:szCs w:val="16"/>
                <w:color w:val="auto"/>
              </w:rPr>
            </w:pPr>
          </w:p>
        </w:tc>
        <w:tc>
          <w:tcPr>
            <w:tcW w:w="2420" w:type="dxa"/>
            <w:vAlign w:val="bottom"/>
          </w:tcPr>
          <w:p>
            <w:pPr>
              <w:ind w:left="440"/>
              <w:spacing w:after="0"/>
              <w:rPr>
                <w:sz w:val="20"/>
                <w:szCs w:val="20"/>
                <w:color w:val="auto"/>
              </w:rPr>
            </w:pPr>
            <w:r>
              <w:rPr>
                <w:rFonts w:ascii="Courier New" w:cs="Courier New" w:eastAsia="Courier New" w:hAnsi="Courier New"/>
                <w:sz w:val="16"/>
                <w:szCs w:val="16"/>
                <w:color w:val="auto"/>
              </w:rPr>
              <w:t>repurchase program.</w:t>
            </w:r>
          </w:p>
        </w:tc>
        <w:tc>
          <w:tcPr>
            <w:tcW w:w="2160" w:type="dxa"/>
            <w:vAlign w:val="bottom"/>
          </w:tcPr>
          <w:p>
            <w:pPr>
              <w:spacing w:after="0"/>
              <w:rPr>
                <w:sz w:val="16"/>
                <w:szCs w:val="16"/>
                <w:color w:val="auto"/>
              </w:rPr>
            </w:pPr>
          </w:p>
        </w:tc>
      </w:tr>
      <w:tr>
        <w:trPr>
          <w:trHeight w:val="924"/>
        </w:trPr>
        <w:tc>
          <w:tcPr>
            <w:tcW w:w="1580" w:type="dxa"/>
            <w:vAlign w:val="bottom"/>
          </w:tcPr>
          <w:p>
            <w:pPr>
              <w:spacing w:after="0"/>
              <w:rPr>
                <w:sz w:val="24"/>
                <w:szCs w:val="24"/>
                <w:color w:val="auto"/>
              </w:rPr>
            </w:pPr>
          </w:p>
        </w:tc>
        <w:tc>
          <w:tcPr>
            <w:tcW w:w="2420" w:type="dxa"/>
            <w:vAlign w:val="bottom"/>
          </w:tcPr>
          <w:p>
            <w:pPr>
              <w:ind w:left="1300"/>
              <w:spacing w:after="0"/>
              <w:rPr>
                <w:sz w:val="20"/>
                <w:szCs w:val="20"/>
                <w:color w:val="auto"/>
              </w:rPr>
            </w:pPr>
            <w:r>
              <w:rPr>
                <w:rFonts w:ascii="Courier New" w:cs="Courier New" w:eastAsia="Courier New" w:hAnsi="Courier New"/>
                <w:sz w:val="16"/>
                <w:szCs w:val="16"/>
                <w:color w:val="auto"/>
              </w:rPr>
              <w:t>2</w:t>
            </w:r>
          </w:p>
        </w:tc>
        <w:tc>
          <w:tcPr>
            <w:tcW w:w="2160" w:type="dxa"/>
            <w:vAlign w:val="bottom"/>
          </w:tcPr>
          <w:p>
            <w:pPr>
              <w:spacing w:after="0"/>
              <w:rPr>
                <w:sz w:val="24"/>
                <w:szCs w:val="24"/>
                <w:color w:val="auto"/>
              </w:rPr>
            </w:pPr>
          </w:p>
        </w:tc>
      </w:tr>
    </w:tbl>
    <w:p>
      <w:pPr>
        <w:sectPr>
          <w:pgSz w:w="11900" w:h="16838" w:orient="portrait"/>
          <w:cols w:equalWidth="0" w:num="1">
            <w:col w:w="10219"/>
          </w:cols>
          <w:pgMar w:left="240" w:top="300"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SIGNATURES</w:t>
      </w:r>
    </w:p>
    <w:p>
      <w:pPr>
        <w:spacing w:after="0" w:line="190" w:lineRule="exact"/>
        <w:rPr>
          <w:sz w:val="20"/>
          <w:szCs w:val="20"/>
          <w:color w:val="auto"/>
        </w:rPr>
      </w:pPr>
    </w:p>
    <w:p>
      <w:pPr>
        <w:jc w:val="both"/>
        <w:ind w:right="3299"/>
        <w:spacing w:after="0" w:line="24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219"/>
          </w:cols>
          <w:pgMar w:left="240" w:top="300" w:right="1440" w:bottom="1440" w:gutter="0" w:footer="0" w:header="0"/>
        </w:sectPr>
      </w:pP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26, 2000</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REPUBLIC SERVICES, INC.</w:t>
      </w:r>
    </w:p>
    <w:p>
      <w:pPr>
        <w:spacing w:after="0" w:line="188" w:lineRule="exact"/>
        <w:rPr>
          <w:sz w:val="20"/>
          <w:szCs w:val="20"/>
          <w:color w:val="auto"/>
        </w:rPr>
      </w:pPr>
    </w:p>
    <w:p>
      <w:pPr>
        <w:sectPr>
          <w:pgSz w:w="11900" w:h="16838" w:orient="portrait"/>
          <w:cols w:equalWidth="0" w:num="2">
            <w:col w:w="3500" w:space="720"/>
            <w:col w:w="5999"/>
          </w:cols>
          <w:pgMar w:left="240" w:top="300" w:right="1440" w:bottom="1440" w:gutter="0" w:footer="0" w:header="0"/>
          <w:type w:val="continuous"/>
        </w:sectPr>
      </w:pPr>
    </w:p>
    <w:p>
      <w:pPr>
        <w:ind w:left="4320"/>
        <w:spacing w:after="0"/>
        <w:tabs>
          <w:tab w:leader="none" w:pos="5160" w:val="left"/>
        </w:tabs>
        <w:rPr>
          <w:sz w:val="20"/>
          <w:szCs w:val="20"/>
          <w:color w:val="auto"/>
        </w:rPr>
      </w:pPr>
      <w:r>
        <w:rPr>
          <w:rFonts w:ascii="Courier New" w:cs="Courier New" w:eastAsia="Courier New" w:hAnsi="Courier New"/>
          <w:sz w:val="16"/>
          <w:szCs w:val="16"/>
          <w:color w:val="auto"/>
        </w:rPr>
        <w:t>By: /s/</w:t>
        <w:tab/>
        <w:t>Tod C. Holmes</w:t>
      </w:r>
    </w:p>
    <w:p>
      <w:pPr>
        <w:spacing w:after="0" w:line="5"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Tod C. Holmes</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Senior Vice President and</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Chief Financial Officer</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(Principal Financial Officer)</w:t>
      </w:r>
    </w:p>
    <w:p>
      <w:pPr>
        <w:spacing w:after="0" w:line="200" w:lineRule="exact"/>
        <w:rPr>
          <w:sz w:val="20"/>
          <w:szCs w:val="20"/>
          <w:color w:val="auto"/>
        </w:rPr>
      </w:pPr>
    </w:p>
    <w:p>
      <w:pPr>
        <w:spacing w:after="0" w:line="358" w:lineRule="exact"/>
        <w:rPr>
          <w:sz w:val="20"/>
          <w:szCs w:val="20"/>
          <w:color w:val="auto"/>
        </w:rPr>
      </w:pPr>
    </w:p>
    <w:p>
      <w:pPr>
        <w:ind w:left="4320"/>
        <w:spacing w:after="0"/>
        <w:tabs>
          <w:tab w:leader="none" w:pos="5160" w:val="left"/>
        </w:tabs>
        <w:rPr>
          <w:sz w:val="20"/>
          <w:szCs w:val="20"/>
          <w:color w:val="auto"/>
        </w:rPr>
      </w:pPr>
      <w:r>
        <w:rPr>
          <w:rFonts w:ascii="Courier New" w:cs="Courier New" w:eastAsia="Courier New" w:hAnsi="Courier New"/>
          <w:sz w:val="16"/>
          <w:szCs w:val="16"/>
          <w:color w:val="auto"/>
        </w:rPr>
        <w:t>By: /s/</w:t>
        <w:tab/>
        <w:t>Charles F. Serianni</w:t>
      </w:r>
    </w:p>
    <w:p>
      <w:pPr>
        <w:sectPr>
          <w:pgSz w:w="11900" w:h="16838" w:orient="portrait"/>
          <w:cols w:equalWidth="0" w:num="1">
            <w:col w:w="10219"/>
          </w:cols>
          <w:pgMar w:left="240" w:top="300" w:right="1440" w:bottom="1440" w:gutter="0" w:footer="0" w:header="0"/>
          <w:type w:val="continuous"/>
        </w:sectPr>
      </w:pPr>
    </w:p>
    <w:p>
      <w:pPr>
        <w:spacing w:after="0" w:line="5"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Charles F. Serianni</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Chief Accounting Officer</w:t>
      </w:r>
    </w:p>
    <w:p>
      <w:pPr>
        <w:spacing w:after="0" w:line="5"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0" w:right="1440" w:bottom="1440"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tbl>
      <w:tblPr>
        <w:tblLayout w:type="fixed"/>
        <w:tblInd w:w="3080" w:type="dxa"/>
        <w:tblCellMar>
          <w:top w:w="0" w:type="dxa"/>
          <w:left w:w="0" w:type="dxa"/>
          <w:bottom w:w="0" w:type="dxa"/>
          <w:right w:w="0" w:type="dxa"/>
        </w:tblCellMar>
      </w:tblPr>
      <w:tr>
        <w:trPr>
          <w:trHeight w:val="181"/>
        </w:trPr>
        <w:tc>
          <w:tcPr>
            <w:tcW w:w="1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Exhibit 99.1</w:t>
            </w:r>
          </w:p>
        </w:tc>
      </w:tr>
      <w:tr>
        <w:trPr>
          <w:trHeight w:val="554"/>
        </w:trPr>
        <w:tc>
          <w:tcPr>
            <w:tcW w:w="1920" w:type="dxa"/>
            <w:vAlign w:val="bottom"/>
          </w:tcPr>
          <w:p>
            <w:pPr>
              <w:spacing w:after="0"/>
              <w:rPr>
                <w:sz w:val="24"/>
                <w:szCs w:val="24"/>
                <w:color w:val="auto"/>
              </w:rPr>
            </w:pPr>
          </w:p>
        </w:tc>
        <w:tc>
          <w:tcPr>
            <w:tcW w:w="17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REPUBLIC CONTACTS</w:t>
            </w:r>
          </w:p>
        </w:tc>
        <w:tc>
          <w:tcPr>
            <w:tcW w:w="900" w:type="dxa"/>
            <w:vAlign w:val="bottom"/>
          </w:tcPr>
          <w:p>
            <w:pPr>
              <w:spacing w:after="0"/>
              <w:rPr>
                <w:sz w:val="24"/>
                <w:szCs w:val="24"/>
                <w:color w:val="auto"/>
              </w:rPr>
            </w:pP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Media Inquiries:</w:t>
            </w:r>
          </w:p>
        </w:tc>
        <w:tc>
          <w:tcPr>
            <w:tcW w:w="17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Will Flower (954)</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769-6392</w:t>
            </w: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Investor Inquiries:</w:t>
            </w: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Tod Holmes</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(954)</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769-2387</w:t>
            </w:r>
          </w:p>
        </w:tc>
      </w:tr>
      <w:tr>
        <w:trPr>
          <w:trHeight w:val="185"/>
        </w:trPr>
        <w:tc>
          <w:tcPr>
            <w:tcW w:w="1920" w:type="dxa"/>
            <w:vAlign w:val="bottom"/>
          </w:tcPr>
          <w:p>
            <w:pPr>
              <w:spacing w:after="0"/>
              <w:rPr>
                <w:sz w:val="16"/>
                <w:szCs w:val="16"/>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Ed Lang</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(954)</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769-3591</w:t>
            </w:r>
          </w:p>
        </w:tc>
      </w:tr>
    </w:tbl>
    <w:p>
      <w:pPr>
        <w:spacing w:after="0" w:line="200" w:lineRule="exact"/>
        <w:rPr>
          <w:sz w:val="20"/>
          <w:szCs w:val="20"/>
          <w:color w:val="auto"/>
        </w:rPr>
      </w:pPr>
    </w:p>
    <w:p>
      <w:pPr>
        <w:spacing w:after="0" w:line="35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REPUBLIC SERVICES, INC. REPORTS</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SECOND QUARTER EARNINGS OF $0.34 PER SHARE</w:t>
      </w:r>
    </w:p>
    <w:p>
      <w:pPr>
        <w:spacing w:after="0" w:line="5" w:lineRule="exact"/>
        <w:rPr>
          <w:sz w:val="20"/>
          <w:szCs w:val="20"/>
          <w:color w:val="auto"/>
        </w:rPr>
      </w:pPr>
    </w:p>
    <w:p>
      <w:pPr>
        <w:ind w:left="1640" w:right="3979" w:hanging="200"/>
        <w:spacing w:after="0" w:line="274" w:lineRule="auto"/>
        <w:tabs>
          <w:tab w:leader="none" w:pos="16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ARE CONSISTENT WITH CONCENSUS ESTIMATES - COMPANY ON TRACK TO MEET CASH FLOW OBJECTIVES</w:t>
      </w:r>
    </w:p>
    <w:p>
      <w:pPr>
        <w:spacing w:after="0" w:line="166"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FORT LAUDERDALE, FLA., JULY 26, 2000...Republic Services, Inc. (NYSE: RSG) today reported that for the three months ended June 30, 2000, net income rose to $59.2 million, or $0.34 per share, from $54.5 million, or $0.31 per share, for the comparable period last year. Revenue increased 15% to $533.5 million from $463.8 million for the same period in 1999. Operating income for the three months ended June 30, 2000, increased 13% to $115.9 million, compared to $102.6 million for the same quarter last year.</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For the six months ended June 30, 2000, net income increased to $109.4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or $0.62 per share, from $100.4 million, or $0.57 per share, for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comparable period last year. Revenue increased 19% to $1,035.0 million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$871.4 million for the same period in 1999. Operating income for the six months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ended June 30, 2000, increased 17% to $217.6 million compared to $186.0 million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same period last year.</w:t>
      </w:r>
    </w:p>
    <w:p>
      <w:pPr>
        <w:spacing w:after="0" w:line="190" w:lineRule="exact"/>
        <w:rPr>
          <w:sz w:val="20"/>
          <w:szCs w:val="20"/>
          <w:color w:val="auto"/>
        </w:rPr>
      </w:pPr>
    </w:p>
    <w:p>
      <w:pPr>
        <w:ind w:right="2639" w:firstLine="865"/>
        <w:spacing w:after="0" w:line="263" w:lineRule="auto"/>
        <w:rPr>
          <w:sz w:val="20"/>
          <w:szCs w:val="20"/>
          <w:color w:val="auto"/>
        </w:rPr>
      </w:pPr>
      <w:r>
        <w:rPr>
          <w:rFonts w:ascii="Courier New" w:cs="Courier New" w:eastAsia="Courier New" w:hAnsi="Courier New"/>
          <w:sz w:val="15"/>
          <w:szCs w:val="15"/>
          <w:color w:val="auto"/>
        </w:rPr>
        <w:t>"We are pleased with the Company's performance in the second quarter," said James E. O'Connor, Chief Executive Officer of Republic Services, Inc. "Based on these results, we believe that we will achieve the upper end of our projected free cash flow range of $100 - $120 million for the year. Capital spending to date is in-line with our expectations and our focus on accounts receivable has helped us further reduce receivable days sales outstanding from 45 days at the start of the year to 43 days at the end of the second quarter."</w:t>
      </w:r>
    </w:p>
    <w:p>
      <w:pPr>
        <w:sectPr>
          <w:pgSz w:w="11900" w:h="16838" w:orient="portrait"/>
          <w:cols w:equalWidth="0" w:num="1">
            <w:col w:w="10219"/>
          </w:cols>
          <w:pgMar w:left="240" w:top="140"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2</w:t>
      </w:r>
    </w:p>
    <w:p>
      <w:pPr>
        <w:spacing w:after="0" w:line="190"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Republic Services, Inc. is a leading provider of solid waste collection, transfer and disposal services in the United States. The Company's operating units are focused on providing solid waste services for commercial, industrial, municipal and residential customers.</w:t>
      </w:r>
    </w:p>
    <w:p>
      <w:pPr>
        <w:spacing w:after="0" w:line="190" w:lineRule="exact"/>
        <w:rPr>
          <w:sz w:val="20"/>
          <w:szCs w:val="20"/>
          <w:color w:val="auto"/>
        </w:rPr>
      </w:pPr>
    </w:p>
    <w:p>
      <w:pPr>
        <w:ind w:right="2539" w:firstLine="865"/>
        <w:spacing w:after="0" w:line="261" w:lineRule="auto"/>
        <w:rPr>
          <w:sz w:val="20"/>
          <w:szCs w:val="20"/>
          <w:color w:val="auto"/>
        </w:rPr>
      </w:pPr>
      <w:r>
        <w:rPr>
          <w:rFonts w:ascii="Courier New" w:cs="Courier New" w:eastAsia="Courier New" w:hAnsi="Courier New"/>
          <w:sz w:val="15"/>
          <w:szCs w:val="15"/>
          <w:color w:val="auto"/>
        </w:rPr>
        <w:t>Certain statements and information included herein constitute "forward-looking statements" within the meaning of the Federal Private Securities Litigation Reform Act of 1995. Such forward-looking statements involve known and unknown risks, uncertainties and other factors which may cause the actual results, performance, or achievements of the Company to be materially different from any future results, performance, or achievements expressed or implied, in or by such forward-looking statements. Such factors include, among other things, whether the Company's estimates and assumptions concerning its selected balance sheet accounts, closure and post-closure costs, available airspace, and projected costs and expenses related to the Company's landfills and property, plant and equipment turn out to be correct or appropriate, and various factors that will impact the actual business and financial performance of the Company such as competition in the solid waste industry; dependence on acquisitions for growth; the Company's ability to manage growth; compliance with and future changes in environmental regulations; the Company's ability to obtain approval from regulatory agencies in connection with expansions at the Company's landfills; the ability to obtain financing on acceptable terms to finance the Company's operations and growth strategy and for the Company to operate within the limitations imposed by financing arrangements; the Company's dependence on key personnel; general economic conditions; dependence on large, long-term collection contracts; risks associated with undisclosed liabilities of acquired businesses; risks associated with pending legal proceedings; and other factors contained in the Company's filings with the Securities and Exchange Commission.</w:t>
      </w:r>
    </w:p>
    <w:p>
      <w:pPr>
        <w:spacing w:after="0" w:line="200" w:lineRule="exact"/>
        <w:rPr>
          <w:sz w:val="20"/>
          <w:szCs w:val="20"/>
          <w:color w:val="auto"/>
        </w:rPr>
      </w:pPr>
    </w:p>
    <w:p>
      <w:pPr>
        <w:spacing w:after="0" w:line="35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00"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3</w:t>
      </w:r>
    </w:p>
    <w:p>
      <w:pPr>
        <w:spacing w:after="0" w:line="4"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6"/>
          <w:szCs w:val="16"/>
          <w:color w:val="auto"/>
        </w:rPr>
        <w:t>REPUBLIC SERVICES, INC.</w:t>
      </w:r>
    </w:p>
    <w:p>
      <w:pPr>
        <w:spacing w:after="0" w:line="4"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6"/>
          <w:szCs w:val="16"/>
          <w:color w:val="auto"/>
        </w:rPr>
        <w:t>UNAUDITED CONDENSED CONSOLIDATED STATEMENTS OF OPERATIONS</w:t>
      </w:r>
    </w:p>
    <w:p>
      <w:pPr>
        <w:spacing w:after="0" w:line="4"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6"/>
          <w:szCs w:val="16"/>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20" w:type="dxa"/>
            <w:vAlign w:val="bottom"/>
          </w:tcPr>
          <w:p>
            <w:pPr>
              <w:spacing w:after="0"/>
              <w:rPr>
                <w:sz w:val="15"/>
                <w:szCs w:val="15"/>
                <w:color w:val="auto"/>
              </w:rPr>
            </w:pPr>
          </w:p>
        </w:tc>
        <w:tc>
          <w:tcPr>
            <w:tcW w:w="2920" w:type="dxa"/>
            <w:vAlign w:val="bottom"/>
            <w:gridSpan w:val="4"/>
          </w:tcPr>
          <w:p>
            <w:pPr>
              <w:jc w:val="right"/>
              <w:ind w:right="60"/>
              <w:spacing w:after="0"/>
              <w:rPr>
                <w:sz w:val="20"/>
                <w:szCs w:val="20"/>
                <w:color w:val="auto"/>
              </w:rPr>
            </w:pPr>
            <w:r>
              <w:rPr>
                <w:rFonts w:ascii="Courier New" w:cs="Courier New" w:eastAsia="Courier New" w:hAnsi="Courier New"/>
                <w:sz w:val="16"/>
                <w:szCs w:val="16"/>
                <w:color w:val="auto"/>
              </w:rPr>
              <w:t>Three Months Ended June 30,</w:t>
            </w:r>
          </w:p>
        </w:tc>
        <w:tc>
          <w:tcPr>
            <w:tcW w:w="340" w:type="dxa"/>
            <w:vAlign w:val="bottom"/>
          </w:tcPr>
          <w:p>
            <w:pPr>
              <w:spacing w:after="0"/>
              <w:rPr>
                <w:sz w:val="15"/>
                <w:szCs w:val="15"/>
                <w:color w:val="auto"/>
              </w:rPr>
            </w:pPr>
          </w:p>
        </w:tc>
        <w:tc>
          <w:tcPr>
            <w:tcW w:w="2920" w:type="dxa"/>
            <w:vAlign w:val="bottom"/>
            <w:gridSpan w:val="4"/>
          </w:tcPr>
          <w:p>
            <w:pPr>
              <w:ind w:left="480"/>
              <w:spacing w:after="0"/>
              <w:rPr>
                <w:sz w:val="20"/>
                <w:szCs w:val="20"/>
                <w:color w:val="auto"/>
              </w:rPr>
            </w:pPr>
            <w:r>
              <w:rPr>
                <w:rFonts w:ascii="Courier New" w:cs="Courier New" w:eastAsia="Courier New" w:hAnsi="Courier New"/>
                <w:sz w:val="16"/>
                <w:szCs w:val="16"/>
                <w:color w:val="auto"/>
              </w:rPr>
              <w:t>Six Months Ended June 30,</w:t>
            </w:r>
          </w:p>
        </w:tc>
        <w:tc>
          <w:tcPr>
            <w:tcW w:w="720" w:type="dxa"/>
            <w:vAlign w:val="bottom"/>
          </w:tcPr>
          <w:p>
            <w:pPr>
              <w:spacing w:after="0"/>
              <w:rPr>
                <w:sz w:val="15"/>
                <w:szCs w:val="15"/>
                <w:color w:val="auto"/>
              </w:rPr>
            </w:pPr>
          </w:p>
        </w:tc>
      </w:tr>
      <w:tr>
        <w:trPr>
          <w:trHeight w:val="185"/>
        </w:trPr>
        <w:tc>
          <w:tcPr>
            <w:tcW w:w="4620" w:type="dxa"/>
            <w:vAlign w:val="bottom"/>
          </w:tcPr>
          <w:p>
            <w:pPr>
              <w:spacing w:after="0"/>
              <w:rPr>
                <w:sz w:val="16"/>
                <w:szCs w:val="16"/>
                <w:color w:val="auto"/>
              </w:rPr>
            </w:pPr>
          </w:p>
        </w:tc>
        <w:tc>
          <w:tcPr>
            <w:tcW w:w="2920" w:type="dxa"/>
            <w:vAlign w:val="bottom"/>
            <w:gridSpan w:val="4"/>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398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Pro Forma</w:t>
            </w:r>
          </w:p>
        </w:tc>
      </w:tr>
      <w:tr>
        <w:trPr>
          <w:trHeight w:val="185"/>
        </w:trPr>
        <w:tc>
          <w:tcPr>
            <w:tcW w:w="4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2000</w:t>
            </w:r>
          </w:p>
        </w:tc>
        <w:tc>
          <w:tcPr>
            <w:tcW w:w="400" w:type="dxa"/>
            <w:vAlign w:val="bottom"/>
          </w:tcPr>
          <w:p>
            <w:pPr>
              <w:spacing w:after="0"/>
              <w:rPr>
                <w:sz w:val="16"/>
                <w:szCs w:val="16"/>
                <w:color w:val="auto"/>
              </w:rPr>
            </w:pPr>
          </w:p>
        </w:tc>
        <w:tc>
          <w:tcPr>
            <w:tcW w:w="10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1999</w:t>
            </w:r>
          </w:p>
        </w:tc>
        <w:tc>
          <w:tcPr>
            <w:tcW w:w="340" w:type="dxa"/>
            <w:vAlign w:val="bottom"/>
          </w:tcPr>
          <w:p>
            <w:pPr>
              <w:spacing w:after="0"/>
              <w:rPr>
                <w:sz w:val="16"/>
                <w:szCs w:val="16"/>
                <w:color w:val="auto"/>
              </w:rPr>
            </w:pPr>
          </w:p>
        </w:tc>
        <w:tc>
          <w:tcPr>
            <w:tcW w:w="10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2000</w:t>
            </w:r>
          </w:p>
        </w:tc>
        <w:tc>
          <w:tcPr>
            <w:tcW w:w="480" w:type="dxa"/>
            <w:vAlign w:val="bottom"/>
          </w:tcPr>
          <w:p>
            <w:pPr>
              <w:spacing w:after="0"/>
              <w:rPr>
                <w:sz w:val="16"/>
                <w:szCs w:val="16"/>
                <w:color w:val="auto"/>
              </w:rPr>
            </w:pPr>
          </w:p>
        </w:tc>
        <w:tc>
          <w:tcPr>
            <w:tcW w:w="9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1999</w:t>
            </w:r>
          </w:p>
        </w:tc>
        <w:tc>
          <w:tcPr>
            <w:tcW w:w="420" w:type="dxa"/>
            <w:vAlign w:val="bottom"/>
          </w:tcPr>
          <w:p>
            <w:pPr>
              <w:spacing w:after="0"/>
              <w:rPr>
                <w:sz w:val="16"/>
                <w:szCs w:val="16"/>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1999</w:t>
            </w:r>
          </w:p>
        </w:tc>
      </w:tr>
      <w:tr>
        <w:trPr>
          <w:trHeight w:val="185"/>
        </w:trPr>
        <w:tc>
          <w:tcPr>
            <w:tcW w:w="462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62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533.5</w:t>
            </w:r>
          </w:p>
        </w:tc>
        <w:tc>
          <w:tcPr>
            <w:tcW w:w="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463.8</w:t>
            </w:r>
          </w:p>
        </w:tc>
        <w:tc>
          <w:tcPr>
            <w:tcW w:w="1400" w:type="dxa"/>
            <w:vAlign w:val="bottom"/>
            <w:gridSpan w:val="2"/>
          </w:tcPr>
          <w:p>
            <w:pPr>
              <w:jc w:val="right"/>
              <w:ind w:right="320"/>
              <w:spacing w:after="0"/>
              <w:rPr>
                <w:sz w:val="20"/>
                <w:szCs w:val="20"/>
                <w:color w:val="auto"/>
              </w:rPr>
            </w:pPr>
            <w:r>
              <w:rPr>
                <w:rFonts w:ascii="Courier New" w:cs="Courier New" w:eastAsia="Courier New" w:hAnsi="Courier New"/>
                <w:sz w:val="16"/>
                <w:szCs w:val="16"/>
                <w:color w:val="auto"/>
              </w:rPr>
              <w:t>$ 1,035.0</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871.4</w:t>
            </w:r>
          </w:p>
        </w:tc>
        <w:tc>
          <w:tcPr>
            <w:tcW w:w="4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871.4</w:t>
            </w:r>
          </w:p>
        </w:tc>
      </w:tr>
      <w:tr>
        <w:trPr>
          <w:trHeight w:val="370"/>
        </w:trPr>
        <w:tc>
          <w:tcPr>
            <w:tcW w:w="462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5"/>
        </w:trPr>
        <w:tc>
          <w:tcPr>
            <w:tcW w:w="4620" w:type="dxa"/>
            <w:vAlign w:val="bottom"/>
          </w:tcPr>
          <w:p>
            <w:pPr>
              <w:ind w:left="200"/>
              <w:spacing w:after="0"/>
              <w:rPr>
                <w:sz w:val="20"/>
                <w:szCs w:val="20"/>
                <w:color w:val="auto"/>
              </w:rPr>
            </w:pPr>
            <w:r>
              <w:rPr>
                <w:rFonts w:ascii="Courier New" w:cs="Courier New" w:eastAsia="Courier New" w:hAnsi="Courier New"/>
                <w:sz w:val="16"/>
                <w:szCs w:val="16"/>
                <w:color w:val="auto"/>
              </w:rPr>
              <w:t>Cost of operations</w:t>
            </w:r>
          </w:p>
        </w:tc>
        <w:tc>
          <w:tcPr>
            <w:tcW w:w="52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320.5</w:t>
            </w:r>
          </w:p>
        </w:tc>
        <w:tc>
          <w:tcPr>
            <w:tcW w:w="40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278.3</w:t>
            </w:r>
          </w:p>
        </w:tc>
        <w:tc>
          <w:tcPr>
            <w:tcW w:w="340" w:type="dxa"/>
            <w:vAlign w:val="bottom"/>
          </w:tcPr>
          <w:p>
            <w:pPr>
              <w:spacing w:after="0"/>
              <w:rPr>
                <w:sz w:val="16"/>
                <w:szCs w:val="16"/>
                <w:color w:val="auto"/>
              </w:rPr>
            </w:pP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626.6</w:t>
            </w:r>
          </w:p>
        </w:tc>
        <w:tc>
          <w:tcPr>
            <w:tcW w:w="48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527.1</w:t>
            </w: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527.1</w:t>
            </w:r>
          </w:p>
        </w:tc>
      </w:tr>
      <w:tr>
        <w:trPr>
          <w:trHeight w:val="185"/>
        </w:trPr>
        <w:tc>
          <w:tcPr>
            <w:tcW w:w="4620" w:type="dxa"/>
            <w:vAlign w:val="bottom"/>
          </w:tcPr>
          <w:p>
            <w:pPr>
              <w:ind w:left="200"/>
              <w:spacing w:after="0"/>
              <w:rPr>
                <w:sz w:val="20"/>
                <w:szCs w:val="20"/>
                <w:color w:val="auto"/>
              </w:rPr>
            </w:pPr>
            <w:r>
              <w:rPr>
                <w:rFonts w:ascii="Courier New" w:cs="Courier New" w:eastAsia="Courier New" w:hAnsi="Courier New"/>
                <w:sz w:val="16"/>
                <w:szCs w:val="16"/>
                <w:color w:val="auto"/>
              </w:rPr>
              <w:t>Depreciation, amortization and depletion</w:t>
            </w:r>
          </w:p>
        </w:tc>
        <w:tc>
          <w:tcPr>
            <w:tcW w:w="52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49.2</w:t>
            </w:r>
          </w:p>
        </w:tc>
        <w:tc>
          <w:tcPr>
            <w:tcW w:w="40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39.6</w:t>
            </w:r>
          </w:p>
        </w:tc>
        <w:tc>
          <w:tcPr>
            <w:tcW w:w="340" w:type="dxa"/>
            <w:vAlign w:val="bottom"/>
          </w:tcPr>
          <w:p>
            <w:pPr>
              <w:spacing w:after="0"/>
              <w:rPr>
                <w:sz w:val="16"/>
                <w:szCs w:val="16"/>
                <w:color w:val="auto"/>
              </w:rPr>
            </w:pP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95.5</w:t>
            </w:r>
          </w:p>
        </w:tc>
        <w:tc>
          <w:tcPr>
            <w:tcW w:w="48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73.0</w:t>
            </w: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73.0</w:t>
            </w:r>
          </w:p>
        </w:tc>
      </w:tr>
      <w:tr>
        <w:trPr>
          <w:trHeight w:val="185"/>
        </w:trPr>
        <w:tc>
          <w:tcPr>
            <w:tcW w:w="4620" w:type="dxa"/>
            <w:vAlign w:val="bottom"/>
          </w:tcPr>
          <w:p>
            <w:pPr>
              <w:ind w:left="200"/>
              <w:spacing w:after="0"/>
              <w:rPr>
                <w:sz w:val="20"/>
                <w:szCs w:val="20"/>
                <w:color w:val="auto"/>
              </w:rPr>
            </w:pPr>
            <w:r>
              <w:rPr>
                <w:rFonts w:ascii="Courier New" w:cs="Courier New" w:eastAsia="Courier New" w:hAnsi="Courier New"/>
                <w:sz w:val="16"/>
                <w:szCs w:val="16"/>
                <w:color w:val="auto"/>
              </w:rPr>
              <w:t>Selling, general and administrative</w:t>
            </w:r>
          </w:p>
        </w:tc>
        <w:tc>
          <w:tcPr>
            <w:tcW w:w="52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47.9</w:t>
            </w:r>
          </w:p>
        </w:tc>
        <w:tc>
          <w:tcPr>
            <w:tcW w:w="40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40.7</w:t>
            </w:r>
          </w:p>
        </w:tc>
        <w:tc>
          <w:tcPr>
            <w:tcW w:w="340" w:type="dxa"/>
            <w:vAlign w:val="bottom"/>
          </w:tcPr>
          <w:p>
            <w:pPr>
              <w:spacing w:after="0"/>
              <w:rPr>
                <w:sz w:val="16"/>
                <w:szCs w:val="16"/>
                <w:color w:val="auto"/>
              </w:rPr>
            </w:pP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95.3</w:t>
            </w:r>
          </w:p>
        </w:tc>
        <w:tc>
          <w:tcPr>
            <w:tcW w:w="48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80.0</w:t>
            </w: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80.0</w:t>
            </w:r>
          </w:p>
        </w:tc>
      </w:tr>
      <w:tr>
        <w:trPr>
          <w:trHeight w:val="185"/>
        </w:trPr>
        <w:tc>
          <w:tcPr>
            <w:tcW w:w="4620" w:type="dxa"/>
            <w:vAlign w:val="bottom"/>
          </w:tcPr>
          <w:p>
            <w:pPr>
              <w:ind w:left="200"/>
              <w:spacing w:after="0"/>
              <w:rPr>
                <w:sz w:val="20"/>
                <w:szCs w:val="20"/>
                <w:color w:val="auto"/>
              </w:rPr>
            </w:pPr>
            <w:r>
              <w:rPr>
                <w:rFonts w:ascii="Courier New" w:cs="Courier New" w:eastAsia="Courier New" w:hAnsi="Courier New"/>
                <w:sz w:val="16"/>
                <w:szCs w:val="16"/>
                <w:color w:val="auto"/>
              </w:rPr>
              <w:t>AutoNation overhead charges</w:t>
            </w:r>
          </w:p>
        </w:tc>
        <w:tc>
          <w:tcPr>
            <w:tcW w:w="52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2.6</w:t>
            </w:r>
          </w:p>
        </w:tc>
        <w:tc>
          <w:tcPr>
            <w:tcW w:w="340" w:type="dxa"/>
            <w:vAlign w:val="bottom"/>
          </w:tcPr>
          <w:p>
            <w:pPr>
              <w:spacing w:after="0"/>
              <w:rPr>
                <w:sz w:val="16"/>
                <w:szCs w:val="16"/>
                <w:color w:val="auto"/>
              </w:rPr>
            </w:pP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5.3</w:t>
            </w: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r>
      <w:tr>
        <w:trPr>
          <w:trHeight w:val="185"/>
        </w:trPr>
        <w:tc>
          <w:tcPr>
            <w:tcW w:w="4620" w:type="dxa"/>
            <w:vAlign w:val="bottom"/>
          </w:tcPr>
          <w:p>
            <w:pPr>
              <w:ind w:left="200"/>
              <w:spacing w:after="0"/>
              <w:rPr>
                <w:sz w:val="20"/>
                <w:szCs w:val="20"/>
                <w:color w:val="auto"/>
              </w:rPr>
            </w:pPr>
            <w:r>
              <w:rPr>
                <w:rFonts w:ascii="Courier New" w:cs="Courier New" w:eastAsia="Courier New" w:hAnsi="Courier New"/>
                <w:sz w:val="16"/>
                <w:szCs w:val="16"/>
                <w:color w:val="auto"/>
              </w:rPr>
              <w:t>Other charges</w:t>
            </w:r>
          </w:p>
        </w:tc>
        <w:tc>
          <w:tcPr>
            <w:tcW w:w="52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4.0</w:t>
            </w: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62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62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52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115.9</w:t>
            </w:r>
          </w:p>
        </w:tc>
        <w:tc>
          <w:tcPr>
            <w:tcW w:w="40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102.6</w:t>
            </w:r>
          </w:p>
        </w:tc>
        <w:tc>
          <w:tcPr>
            <w:tcW w:w="340" w:type="dxa"/>
            <w:vAlign w:val="bottom"/>
          </w:tcPr>
          <w:p>
            <w:pPr>
              <w:spacing w:after="0"/>
              <w:rPr>
                <w:sz w:val="16"/>
                <w:szCs w:val="16"/>
                <w:color w:val="auto"/>
              </w:rPr>
            </w:pP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217.6</w:t>
            </w:r>
          </w:p>
        </w:tc>
        <w:tc>
          <w:tcPr>
            <w:tcW w:w="48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182.0</w:t>
            </w: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186.0</w:t>
            </w:r>
          </w:p>
        </w:tc>
      </w:tr>
      <w:tr>
        <w:trPr>
          <w:trHeight w:val="370"/>
        </w:trPr>
        <w:tc>
          <w:tcPr>
            <w:tcW w:w="4620" w:type="dxa"/>
            <w:vAlign w:val="bottom"/>
          </w:tcPr>
          <w:p>
            <w:pPr>
              <w:spacing w:after="0"/>
              <w:rPr>
                <w:sz w:val="20"/>
                <w:szCs w:val="20"/>
                <w:color w:val="auto"/>
              </w:rPr>
            </w:pPr>
            <w:r>
              <w:rPr>
                <w:rFonts w:ascii="Courier New" w:cs="Courier New" w:eastAsia="Courier New" w:hAnsi="Courier New"/>
                <w:sz w:val="16"/>
                <w:szCs w:val="16"/>
                <w:color w:val="auto"/>
              </w:rPr>
              <w:t>Interest expense, net</w:t>
            </w:r>
          </w:p>
        </w:tc>
        <w:tc>
          <w:tcPr>
            <w:tcW w:w="520" w:type="dxa"/>
            <w:vAlign w:val="bottom"/>
          </w:tcPr>
          <w:p>
            <w:pPr>
              <w:spacing w:after="0"/>
              <w:rPr>
                <w:sz w:val="24"/>
                <w:szCs w:val="24"/>
                <w:color w:val="auto"/>
              </w:rPr>
            </w:pPr>
          </w:p>
        </w:tc>
        <w:tc>
          <w:tcPr>
            <w:tcW w:w="10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(19.9)</w:t>
            </w:r>
          </w:p>
        </w:tc>
        <w:tc>
          <w:tcPr>
            <w:tcW w:w="400" w:type="dxa"/>
            <w:vAlign w:val="bottom"/>
          </w:tcPr>
          <w:p>
            <w:pPr>
              <w:spacing w:after="0"/>
              <w:rPr>
                <w:sz w:val="24"/>
                <w:szCs w:val="24"/>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(14.0)</w:t>
            </w:r>
          </w:p>
        </w:tc>
        <w:tc>
          <w:tcPr>
            <w:tcW w:w="340" w:type="dxa"/>
            <w:vAlign w:val="bottom"/>
          </w:tcPr>
          <w:p>
            <w:pPr>
              <w:spacing w:after="0"/>
              <w:rPr>
                <w:sz w:val="24"/>
                <w:szCs w:val="24"/>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(40.2)</w:t>
            </w:r>
          </w:p>
        </w:tc>
        <w:tc>
          <w:tcPr>
            <w:tcW w:w="480" w:type="dxa"/>
            <w:vAlign w:val="bottom"/>
          </w:tcPr>
          <w:p>
            <w:pPr>
              <w:spacing w:after="0"/>
              <w:rPr>
                <w:sz w:val="24"/>
                <w:szCs w:val="24"/>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(22.7)</w:t>
            </w: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(22.7)</w:t>
            </w:r>
          </w:p>
        </w:tc>
      </w:tr>
      <w:tr>
        <w:trPr>
          <w:trHeight w:val="185"/>
        </w:trPr>
        <w:tc>
          <w:tcPr>
            <w:tcW w:w="4620" w:type="dxa"/>
            <w:vAlign w:val="bottom"/>
          </w:tcPr>
          <w:p>
            <w:pPr>
              <w:spacing w:after="0"/>
              <w:rPr>
                <w:sz w:val="20"/>
                <w:szCs w:val="20"/>
                <w:color w:val="auto"/>
              </w:rPr>
            </w:pPr>
            <w:r>
              <w:rPr>
                <w:rFonts w:ascii="Courier New" w:cs="Courier New" w:eastAsia="Courier New" w:hAnsi="Courier New"/>
                <w:sz w:val="16"/>
                <w:szCs w:val="16"/>
                <w:color w:val="auto"/>
              </w:rPr>
              <w:t>Other income (expense), net</w:t>
            </w:r>
          </w:p>
        </w:tc>
        <w:tc>
          <w:tcPr>
            <w:tcW w:w="52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0.2</w:t>
            </w:r>
          </w:p>
        </w:tc>
        <w:tc>
          <w:tcPr>
            <w:tcW w:w="40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0.4</w:t>
            </w:r>
          </w:p>
        </w:tc>
        <w:tc>
          <w:tcPr>
            <w:tcW w:w="48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(0.1)</w:t>
            </w: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r>
      <w:tr>
        <w:trPr>
          <w:trHeight w:val="185"/>
        </w:trPr>
        <w:tc>
          <w:tcPr>
            <w:tcW w:w="462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62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520" w:type="dxa"/>
            <w:vAlign w:val="bottom"/>
          </w:tcPr>
          <w:p>
            <w:pPr>
              <w:spacing w:after="0"/>
              <w:rPr>
                <w:sz w:val="24"/>
                <w:szCs w:val="24"/>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96.2</w:t>
            </w:r>
          </w:p>
        </w:tc>
        <w:tc>
          <w:tcPr>
            <w:tcW w:w="400" w:type="dxa"/>
            <w:vAlign w:val="bottom"/>
          </w:tcPr>
          <w:p>
            <w:pPr>
              <w:spacing w:after="0"/>
              <w:rPr>
                <w:sz w:val="24"/>
                <w:szCs w:val="24"/>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88.6</w:t>
            </w:r>
          </w:p>
        </w:tc>
        <w:tc>
          <w:tcPr>
            <w:tcW w:w="340" w:type="dxa"/>
            <w:vAlign w:val="bottom"/>
          </w:tcPr>
          <w:p>
            <w:pPr>
              <w:spacing w:after="0"/>
              <w:rPr>
                <w:sz w:val="24"/>
                <w:szCs w:val="24"/>
                <w:color w:val="auto"/>
              </w:rPr>
            </w:pP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177.8</w:t>
            </w:r>
          </w:p>
        </w:tc>
        <w:tc>
          <w:tcPr>
            <w:tcW w:w="480" w:type="dxa"/>
            <w:vAlign w:val="bottom"/>
          </w:tcPr>
          <w:p>
            <w:pPr>
              <w:spacing w:after="0"/>
              <w:rPr>
                <w:sz w:val="24"/>
                <w:szCs w:val="24"/>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159.2</w:t>
            </w: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163.2</w:t>
            </w:r>
          </w:p>
        </w:tc>
      </w:tr>
      <w:tr>
        <w:trPr>
          <w:trHeight w:val="370"/>
        </w:trPr>
        <w:tc>
          <w:tcPr>
            <w:tcW w:w="462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520" w:type="dxa"/>
            <w:vAlign w:val="bottom"/>
          </w:tcPr>
          <w:p>
            <w:pPr>
              <w:spacing w:after="0"/>
              <w:rPr>
                <w:sz w:val="24"/>
                <w:szCs w:val="24"/>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37.0</w:t>
            </w:r>
          </w:p>
        </w:tc>
        <w:tc>
          <w:tcPr>
            <w:tcW w:w="400" w:type="dxa"/>
            <w:vAlign w:val="bottom"/>
          </w:tcPr>
          <w:p>
            <w:pPr>
              <w:spacing w:after="0"/>
              <w:rPr>
                <w:sz w:val="24"/>
                <w:szCs w:val="24"/>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34.1</w:t>
            </w:r>
          </w:p>
        </w:tc>
        <w:tc>
          <w:tcPr>
            <w:tcW w:w="340" w:type="dxa"/>
            <w:vAlign w:val="bottom"/>
          </w:tcPr>
          <w:p>
            <w:pPr>
              <w:spacing w:after="0"/>
              <w:rPr>
                <w:sz w:val="24"/>
                <w:szCs w:val="24"/>
                <w:color w:val="auto"/>
              </w:rPr>
            </w:pP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68.4</w:t>
            </w:r>
          </w:p>
        </w:tc>
        <w:tc>
          <w:tcPr>
            <w:tcW w:w="480" w:type="dxa"/>
            <w:vAlign w:val="bottom"/>
          </w:tcPr>
          <w:p>
            <w:pPr>
              <w:spacing w:after="0"/>
              <w:rPr>
                <w:sz w:val="24"/>
                <w:szCs w:val="24"/>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61.3</w:t>
            </w: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62.8</w:t>
            </w:r>
          </w:p>
        </w:tc>
      </w:tr>
      <w:tr>
        <w:trPr>
          <w:trHeight w:val="185"/>
        </w:trPr>
        <w:tc>
          <w:tcPr>
            <w:tcW w:w="462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6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59.2</w:t>
            </w:r>
          </w:p>
        </w:tc>
        <w:tc>
          <w:tcPr>
            <w:tcW w:w="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54.5</w:t>
            </w:r>
          </w:p>
        </w:tc>
        <w:tc>
          <w:tcPr>
            <w:tcW w:w="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109.4</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97.9</w:t>
            </w:r>
          </w:p>
        </w:tc>
        <w:tc>
          <w:tcPr>
            <w:tcW w:w="4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100.4</w:t>
            </w:r>
          </w:p>
        </w:tc>
      </w:tr>
      <w:tr>
        <w:trPr>
          <w:trHeight w:val="185"/>
        </w:trPr>
        <w:tc>
          <w:tcPr>
            <w:tcW w:w="462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620" w:type="dxa"/>
            <w:vAlign w:val="bottom"/>
          </w:tcPr>
          <w:p>
            <w:pPr>
              <w:spacing w:after="0"/>
              <w:rPr>
                <w:sz w:val="20"/>
                <w:szCs w:val="20"/>
                <w:color w:val="auto"/>
              </w:rPr>
            </w:pPr>
            <w:r>
              <w:rPr>
                <w:rFonts w:ascii="Courier New" w:cs="Courier New" w:eastAsia="Courier New" w:hAnsi="Courier New"/>
                <w:sz w:val="16"/>
                <w:szCs w:val="16"/>
                <w:color w:val="auto"/>
              </w:rPr>
              <w:t>Basic and diluted earnings per share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0.34</w:t>
            </w:r>
          </w:p>
        </w:tc>
        <w:tc>
          <w:tcPr>
            <w:tcW w:w="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0.31</w:t>
            </w:r>
          </w:p>
        </w:tc>
        <w:tc>
          <w:tcPr>
            <w:tcW w:w="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0.62</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0.56</w:t>
            </w:r>
          </w:p>
        </w:tc>
        <w:tc>
          <w:tcPr>
            <w:tcW w:w="4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0.57</w:t>
            </w:r>
          </w:p>
        </w:tc>
      </w:tr>
      <w:tr>
        <w:trPr>
          <w:trHeight w:val="185"/>
        </w:trPr>
        <w:tc>
          <w:tcPr>
            <w:tcW w:w="462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620" w:type="dxa"/>
            <w:vAlign w:val="bottom"/>
          </w:tcPr>
          <w:p>
            <w:pPr>
              <w:spacing w:after="0"/>
              <w:rPr>
                <w:sz w:val="20"/>
                <w:szCs w:val="20"/>
                <w:color w:val="auto"/>
              </w:rPr>
            </w:pPr>
            <w:r>
              <w:rPr>
                <w:rFonts w:ascii="Courier New" w:cs="Courier New" w:eastAsia="Courier New" w:hAnsi="Courier New"/>
                <w:sz w:val="16"/>
                <w:szCs w:val="16"/>
                <w:color w:val="auto"/>
              </w:rPr>
              <w:t>Weighted average common shares</w:t>
            </w:r>
          </w:p>
        </w:tc>
        <w:tc>
          <w:tcPr>
            <w:tcW w:w="520" w:type="dxa"/>
            <w:vAlign w:val="bottom"/>
          </w:tcPr>
          <w:p>
            <w:pPr>
              <w:spacing w:after="0"/>
              <w:rPr>
                <w:sz w:val="24"/>
                <w:szCs w:val="24"/>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175.9</w:t>
            </w:r>
          </w:p>
        </w:tc>
        <w:tc>
          <w:tcPr>
            <w:tcW w:w="400" w:type="dxa"/>
            <w:vAlign w:val="bottom"/>
          </w:tcPr>
          <w:p>
            <w:pPr>
              <w:spacing w:after="0"/>
              <w:rPr>
                <w:sz w:val="24"/>
                <w:szCs w:val="24"/>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176.5</w:t>
            </w:r>
          </w:p>
        </w:tc>
        <w:tc>
          <w:tcPr>
            <w:tcW w:w="340" w:type="dxa"/>
            <w:vAlign w:val="bottom"/>
          </w:tcPr>
          <w:p>
            <w:pPr>
              <w:spacing w:after="0"/>
              <w:rPr>
                <w:sz w:val="24"/>
                <w:szCs w:val="24"/>
                <w:color w:val="auto"/>
              </w:rPr>
            </w:pP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175.7</w:t>
            </w:r>
          </w:p>
        </w:tc>
        <w:tc>
          <w:tcPr>
            <w:tcW w:w="480" w:type="dxa"/>
            <w:vAlign w:val="bottom"/>
          </w:tcPr>
          <w:p>
            <w:pPr>
              <w:spacing w:after="0"/>
              <w:rPr>
                <w:sz w:val="24"/>
                <w:szCs w:val="24"/>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176.0</w:t>
            </w: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176.0</w:t>
            </w:r>
          </w:p>
        </w:tc>
      </w:tr>
      <w:tr>
        <w:trPr>
          <w:trHeight w:val="185"/>
        </w:trPr>
        <w:tc>
          <w:tcPr>
            <w:tcW w:w="462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620" w:type="dxa"/>
            <w:vAlign w:val="bottom"/>
          </w:tcPr>
          <w:p>
            <w:pPr>
              <w:spacing w:after="0"/>
              <w:rPr>
                <w:sz w:val="20"/>
                <w:szCs w:val="20"/>
                <w:color w:val="auto"/>
              </w:rPr>
            </w:pPr>
            <w:r>
              <w:rPr>
                <w:rFonts w:ascii="Courier New" w:cs="Courier New" w:eastAsia="Courier New" w:hAnsi="Courier New"/>
                <w:sz w:val="16"/>
                <w:szCs w:val="16"/>
                <w:color w:val="auto"/>
              </w:rPr>
              <w:t>Amortization of Goodwill and Other Intangibles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10.0</w:t>
            </w:r>
          </w:p>
        </w:tc>
        <w:tc>
          <w:tcPr>
            <w:tcW w:w="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7.6</w:t>
            </w:r>
          </w:p>
        </w:tc>
        <w:tc>
          <w:tcPr>
            <w:tcW w:w="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19.4</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14.7</w:t>
            </w:r>
          </w:p>
        </w:tc>
        <w:tc>
          <w:tcPr>
            <w:tcW w:w="4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14.7</w:t>
            </w:r>
          </w:p>
        </w:tc>
      </w:tr>
      <w:tr>
        <w:trPr>
          <w:trHeight w:val="185"/>
        </w:trPr>
        <w:tc>
          <w:tcPr>
            <w:tcW w:w="4620" w:type="dxa"/>
            <w:vAlign w:val="bottom"/>
          </w:tcPr>
          <w:p>
            <w:pPr>
              <w:spacing w:after="0"/>
              <w:rPr>
                <w:sz w:val="20"/>
                <w:szCs w:val="20"/>
                <w:color w:val="auto"/>
              </w:rPr>
            </w:pPr>
            <w:r>
              <w:rPr>
                <w:rFonts w:ascii="Courier New" w:cs="Courier New" w:eastAsia="Courier New" w:hAnsi="Courier New"/>
                <w:sz w:val="16"/>
                <w:szCs w:val="16"/>
                <w:color w:val="auto"/>
              </w:rPr>
              <w:t>EBITDA</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165.1</w:t>
            </w:r>
          </w:p>
        </w:tc>
        <w:tc>
          <w:tcPr>
            <w:tcW w:w="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142.2</w:t>
            </w:r>
          </w:p>
        </w:tc>
        <w:tc>
          <w:tcPr>
            <w:tcW w:w="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313.1</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255.0</w:t>
            </w:r>
          </w:p>
        </w:tc>
        <w:tc>
          <w:tcPr>
            <w:tcW w:w="4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259.0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60" w:right="3940" w:hanging="859"/>
        <w:spacing w:after="0" w:line="244" w:lineRule="auto"/>
        <w:tabs>
          <w:tab w:leader="none" w:pos="8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The Pro Forma Unaudited Consolidated Statement of Operations for the six months ended June 30, 1999, excludes $4.0 million in Other Charges recorded in the first quarter of fiscal 1999 for costs related to the Company's separation from its former parent company, AutoNation, Inc. Certain amounts in the fiscal 1999 financial statements, as previously reported, have been reclassified to conform to the fiscal 2000 presentation.</w:t>
      </w:r>
    </w:p>
    <w:p>
      <w:pPr>
        <w:sectPr>
          <w:pgSz w:w="11900" w:h="16838" w:orient="portrait"/>
          <w:cols w:equalWidth="0" w:num="1">
            <w:col w:w="11520"/>
          </w:cols>
          <w:pgMar w:left="240" w:top="300" w:right="139"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4</w:t>
      </w:r>
    </w:p>
    <w:p>
      <w:pPr>
        <w:spacing w:after="0" w:line="373"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REPUBLIC SERVICES, INC.</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SUPPLEMENTAL UNAUDITED FINANCIAL INFORMATION</w:t>
      </w:r>
    </w:p>
    <w:p>
      <w:pPr>
        <w:spacing w:after="0" w:line="190" w:lineRule="exact"/>
        <w:rPr>
          <w:sz w:val="20"/>
          <w:szCs w:val="20"/>
          <w:color w:val="auto"/>
        </w:rPr>
      </w:pPr>
    </w:p>
    <w:p>
      <w:pPr>
        <w:ind w:right="300" w:firstLine="865"/>
        <w:spacing w:after="0" w:line="244" w:lineRule="auto"/>
        <w:rPr>
          <w:sz w:val="20"/>
          <w:szCs w:val="20"/>
          <w:color w:val="auto"/>
        </w:rPr>
      </w:pPr>
      <w:r>
        <w:rPr>
          <w:rFonts w:ascii="Courier New" w:cs="Courier New" w:eastAsia="Courier New" w:hAnsi="Courier New"/>
          <w:sz w:val="16"/>
          <w:szCs w:val="16"/>
          <w:color w:val="auto"/>
        </w:rPr>
        <w:t>The following information should be read in conjunction with the Company's audited Consolidated Financial Statements and notes thereto appearing in the Company's Form 10-K as of and for the year ended December 31, 1999. It should also be read in conjunction with the Company's Unaudited Condensed Consolidated Financial Statements and notes thereto appearing in the Company's Form 10-Q as of and for the three months ended March 31, 2000.</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FLOW</w:t>
      </w:r>
    </w:p>
    <w:p>
      <w:pPr>
        <w:spacing w:after="0" w:line="190" w:lineRule="exact"/>
        <w:rPr>
          <w:sz w:val="20"/>
          <w:szCs w:val="20"/>
          <w:color w:val="auto"/>
        </w:rPr>
      </w:pPr>
    </w:p>
    <w:p>
      <w:pPr>
        <w:ind w:right="300" w:firstLine="865"/>
        <w:spacing w:after="0" w:line="243" w:lineRule="auto"/>
        <w:rPr>
          <w:sz w:val="20"/>
          <w:szCs w:val="20"/>
          <w:color w:val="auto"/>
        </w:rPr>
      </w:pPr>
      <w:r>
        <w:rPr>
          <w:rFonts w:ascii="Courier New" w:cs="Courier New" w:eastAsia="Courier New" w:hAnsi="Courier New"/>
          <w:sz w:val="16"/>
          <w:szCs w:val="16"/>
          <w:color w:val="auto"/>
        </w:rPr>
        <w:t>The following table reflects certain components of the Company's consolidated statements of cash flows for the three months ended in each of the periods presented (in millions):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20" w:type="dxa"/>
            <w:vAlign w:val="bottom"/>
          </w:tcPr>
          <w:p>
            <w:pPr>
              <w:spacing w:after="0"/>
              <w:rPr>
                <w:sz w:val="15"/>
                <w:szCs w:val="15"/>
                <w:color w:val="auto"/>
              </w:rPr>
            </w:pPr>
          </w:p>
        </w:tc>
        <w:tc>
          <w:tcPr>
            <w:tcW w:w="13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June 30,</w:t>
            </w:r>
          </w:p>
        </w:tc>
        <w:tc>
          <w:tcPr>
            <w:tcW w:w="13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March 31,</w:t>
            </w:r>
          </w:p>
        </w:tc>
        <w:tc>
          <w:tcPr>
            <w:tcW w:w="102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8"/>
              </w:rPr>
              <w:t>June 30,</w:t>
            </w:r>
          </w:p>
        </w:tc>
      </w:tr>
      <w:tr>
        <w:trPr>
          <w:trHeight w:val="185"/>
        </w:trPr>
        <w:tc>
          <w:tcPr>
            <w:tcW w:w="4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3"/>
              </w:rPr>
              <w:t>2000</w:t>
            </w:r>
          </w:p>
        </w:tc>
        <w:tc>
          <w:tcPr>
            <w:tcW w:w="380" w:type="dxa"/>
            <w:vAlign w:val="bottom"/>
          </w:tcPr>
          <w:p>
            <w:pPr>
              <w:spacing w:after="0"/>
              <w:rPr>
                <w:sz w:val="16"/>
                <w:szCs w:val="16"/>
                <w:color w:val="auto"/>
              </w:rPr>
            </w:pPr>
          </w:p>
        </w:tc>
        <w:tc>
          <w:tcPr>
            <w:tcW w:w="1000" w:type="dxa"/>
            <w:vAlign w:val="bottom"/>
          </w:tcPr>
          <w:p>
            <w:pPr>
              <w:jc w:val="right"/>
              <w:ind w:right="540"/>
              <w:spacing w:after="0"/>
              <w:rPr>
                <w:sz w:val="20"/>
                <w:szCs w:val="20"/>
                <w:color w:val="auto"/>
              </w:rPr>
            </w:pPr>
            <w:r>
              <w:rPr>
                <w:rFonts w:ascii="Courier New" w:cs="Courier New" w:eastAsia="Courier New" w:hAnsi="Courier New"/>
                <w:sz w:val="16"/>
                <w:szCs w:val="16"/>
                <w:color w:val="auto"/>
                <w:w w:val="93"/>
              </w:rPr>
              <w:t>2000</w:t>
            </w:r>
          </w:p>
        </w:tc>
        <w:tc>
          <w:tcPr>
            <w:tcW w:w="400" w:type="dxa"/>
            <w:vAlign w:val="bottom"/>
          </w:tcPr>
          <w:p>
            <w:pPr>
              <w:spacing w:after="0"/>
              <w:rPr>
                <w:sz w:val="16"/>
                <w:szCs w:val="16"/>
                <w:color w:val="auto"/>
              </w:rPr>
            </w:pPr>
          </w:p>
        </w:tc>
        <w:tc>
          <w:tcPr>
            <w:tcW w:w="6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1999</w:t>
            </w:r>
          </w:p>
        </w:tc>
      </w:tr>
      <w:tr>
        <w:trPr>
          <w:trHeight w:val="185"/>
        </w:trPr>
        <w:tc>
          <w:tcPr>
            <w:tcW w:w="412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8"/>
              </w:rPr>
              <w:t>--------</w:t>
            </w:r>
          </w:p>
        </w:tc>
      </w:tr>
      <w:tr>
        <w:trPr>
          <w:trHeight w:val="554"/>
        </w:trPr>
        <w:tc>
          <w:tcPr>
            <w:tcW w:w="4120" w:type="dxa"/>
            <w:vAlign w:val="bottom"/>
          </w:tcPr>
          <w:p>
            <w:pPr>
              <w:spacing w:after="0"/>
              <w:rPr>
                <w:sz w:val="20"/>
                <w:szCs w:val="20"/>
                <w:color w:val="auto"/>
              </w:rPr>
            </w:pPr>
            <w:r>
              <w:rPr>
                <w:rFonts w:ascii="Courier New" w:cs="Courier New" w:eastAsia="Courier New" w:hAnsi="Courier New"/>
                <w:sz w:val="16"/>
                <w:szCs w:val="16"/>
                <w:color w:val="auto"/>
              </w:rPr>
              <w:t>Depreciation, amortization and depletion</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5"/>
        </w:trPr>
        <w:tc>
          <w:tcPr>
            <w:tcW w:w="4120" w:type="dxa"/>
            <w:vAlign w:val="bottom"/>
          </w:tcPr>
          <w:p>
            <w:pPr>
              <w:ind w:left="280"/>
              <w:spacing w:after="0"/>
              <w:rPr>
                <w:sz w:val="20"/>
                <w:szCs w:val="20"/>
                <w:color w:val="auto"/>
              </w:rPr>
            </w:pPr>
            <w:r>
              <w:rPr>
                <w:rFonts w:ascii="Courier New" w:cs="Courier New" w:eastAsia="Courier New" w:hAnsi="Courier New"/>
                <w:sz w:val="16"/>
                <w:szCs w:val="16"/>
                <w:color w:val="auto"/>
              </w:rPr>
              <w:t>of property and equipment</w:t>
            </w:r>
          </w:p>
        </w:tc>
        <w:tc>
          <w:tcPr>
            <w:tcW w:w="400" w:type="dxa"/>
            <w:vAlign w:val="bottom"/>
          </w:tcPr>
          <w:p>
            <w:pPr>
              <w:ind w:left="30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39.2</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36.9</w:t>
            </w: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32.0</w:t>
            </w:r>
          </w:p>
        </w:tc>
      </w:tr>
      <w:tr>
        <w:trPr>
          <w:trHeight w:val="370"/>
        </w:trPr>
        <w:tc>
          <w:tcPr>
            <w:tcW w:w="4120" w:type="dxa"/>
            <w:vAlign w:val="bottom"/>
          </w:tcPr>
          <w:p>
            <w:pPr>
              <w:spacing w:after="0"/>
              <w:rPr>
                <w:sz w:val="20"/>
                <w:szCs w:val="20"/>
                <w:color w:val="auto"/>
              </w:rPr>
            </w:pPr>
            <w:r>
              <w:rPr>
                <w:rFonts w:ascii="Courier New" w:cs="Courier New" w:eastAsia="Courier New" w:hAnsi="Courier New"/>
                <w:sz w:val="16"/>
                <w:szCs w:val="16"/>
                <w:color w:val="auto"/>
              </w:rPr>
              <w:t>Amortization of intangible assets</w:t>
            </w:r>
          </w:p>
        </w:tc>
        <w:tc>
          <w:tcPr>
            <w:tcW w:w="400" w:type="dxa"/>
            <w:vAlign w:val="bottom"/>
          </w:tcPr>
          <w:p>
            <w:pPr>
              <w:ind w:left="30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10.0</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9.4</w:t>
            </w: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7.6</w:t>
            </w:r>
          </w:p>
        </w:tc>
      </w:tr>
      <w:tr>
        <w:trPr>
          <w:trHeight w:val="370"/>
        </w:trPr>
        <w:tc>
          <w:tcPr>
            <w:tcW w:w="412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400" w:type="dxa"/>
            <w:vAlign w:val="bottom"/>
          </w:tcPr>
          <w:p>
            <w:pPr>
              <w:ind w:left="30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(48.6)</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(49.2)</w:t>
            </w: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(81.4)</w:t>
            </w:r>
          </w:p>
        </w:tc>
      </w:tr>
    </w:tbl>
    <w:p>
      <w:pPr>
        <w:spacing w:after="0" w:line="200" w:lineRule="exact"/>
        <w:rPr>
          <w:sz w:val="20"/>
          <w:szCs w:val="20"/>
          <w:color w:val="auto"/>
        </w:rPr>
      </w:pPr>
    </w:p>
    <w:p>
      <w:pPr>
        <w:spacing w:after="0" w:line="360" w:lineRule="exact"/>
        <w:rPr>
          <w:sz w:val="20"/>
          <w:szCs w:val="20"/>
          <w:color w:val="auto"/>
        </w:rPr>
      </w:pPr>
    </w:p>
    <w:p>
      <w:pPr>
        <w:ind w:right="580" w:firstLine="865"/>
        <w:spacing w:after="0" w:line="244" w:lineRule="auto"/>
        <w:rPr>
          <w:sz w:val="20"/>
          <w:szCs w:val="20"/>
          <w:color w:val="auto"/>
        </w:rPr>
      </w:pPr>
      <w:r>
        <w:rPr>
          <w:rFonts w:ascii="Courier New" w:cs="Courier New" w:eastAsia="Courier New" w:hAnsi="Courier New"/>
          <w:sz w:val="16"/>
          <w:szCs w:val="16"/>
          <w:color w:val="auto"/>
        </w:rPr>
        <w:t>During December 1999, the Company entered into a $100.0 million operating lease facility established to finance the acquisition of operating equipment (primarily revenue-producing vehicles). At June 30, 2000, $64.2 million was outstanding under the lease facility, of which $20.3 and $7.7 million was added during the three months ended June 30, and March 31, 2000, respectively.</w:t>
      </w:r>
    </w:p>
    <w:p>
      <w:pPr>
        <w:spacing w:after="0" w:line="188" w:lineRule="exact"/>
        <w:rPr>
          <w:sz w:val="20"/>
          <w:szCs w:val="20"/>
          <w:color w:val="auto"/>
        </w:rPr>
      </w:pPr>
    </w:p>
    <w:p>
      <w:pPr>
        <w:ind w:right="380" w:firstLine="865"/>
        <w:spacing w:after="0" w:line="243" w:lineRule="auto"/>
        <w:rPr>
          <w:sz w:val="20"/>
          <w:szCs w:val="20"/>
          <w:color w:val="auto"/>
        </w:rPr>
      </w:pPr>
      <w:r>
        <w:rPr>
          <w:rFonts w:ascii="Courier New" w:cs="Courier New" w:eastAsia="Courier New" w:hAnsi="Courier New"/>
          <w:sz w:val="16"/>
          <w:szCs w:val="16"/>
          <w:color w:val="auto"/>
        </w:rPr>
        <w:t>Capital expenditures include $.8 million and $1.3 million of capitalized interest for the three months ended June 30, 2000 and 1999, respectively, and $.7 million and $1.7 million of capitalized interest for the three months ended March 31, 2000 and 1999, respectively.</w:t>
      </w:r>
    </w:p>
    <w:p>
      <w:pPr>
        <w:spacing w:after="0" w:line="190" w:lineRule="exact"/>
        <w:rPr>
          <w:sz w:val="20"/>
          <w:szCs w:val="20"/>
          <w:color w:val="auto"/>
        </w:rPr>
      </w:pPr>
    </w:p>
    <w:p>
      <w:pPr>
        <w:ind w:right="480" w:firstLine="865"/>
        <w:spacing w:after="0" w:line="243" w:lineRule="auto"/>
        <w:rPr>
          <w:sz w:val="20"/>
          <w:szCs w:val="20"/>
          <w:color w:val="auto"/>
        </w:rPr>
      </w:pPr>
      <w:r>
        <w:rPr>
          <w:rFonts w:ascii="Courier New" w:cs="Courier New" w:eastAsia="Courier New" w:hAnsi="Courier New"/>
          <w:sz w:val="16"/>
          <w:szCs w:val="16"/>
          <w:color w:val="auto"/>
        </w:rPr>
        <w:t>As of June 30, 2000, accounts receivable were $246.8 million, net of allowance for doubtful accounts of $13.8 million, resulting in days sales outstanding of approximately 43 (or 32 days net of deferred revenue).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w:t>
      </w:r>
    </w:p>
    <w:p>
      <w:pPr>
        <w:spacing w:after="0" w:line="190" w:lineRule="exact"/>
        <w:rPr>
          <w:sz w:val="20"/>
          <w:szCs w:val="20"/>
          <w:color w:val="auto"/>
        </w:rPr>
      </w:pPr>
    </w:p>
    <w:p>
      <w:pPr>
        <w:ind w:right="480" w:firstLine="865"/>
        <w:spacing w:after="0" w:line="243" w:lineRule="auto"/>
        <w:rPr>
          <w:sz w:val="20"/>
          <w:szCs w:val="20"/>
          <w:color w:val="auto"/>
        </w:rPr>
      </w:pPr>
      <w:r>
        <w:rPr>
          <w:rFonts w:ascii="Courier New" w:cs="Courier New" w:eastAsia="Courier New" w:hAnsi="Courier New"/>
          <w:sz w:val="16"/>
          <w:szCs w:val="16"/>
          <w:color w:val="auto"/>
        </w:rPr>
        <w:t>The following table reflects total revenue of the Company by revenue source for the three months ended in each of the periods presented (in millions):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00" w:type="dxa"/>
            <w:vAlign w:val="bottom"/>
          </w:tcPr>
          <w:p>
            <w:pPr>
              <w:spacing w:after="0"/>
              <w:rPr>
                <w:sz w:val="15"/>
                <w:szCs w:val="15"/>
                <w:color w:val="auto"/>
              </w:rPr>
            </w:pP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June 30,</w:t>
            </w: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March 31,</w:t>
            </w:r>
          </w:p>
        </w:tc>
        <w:tc>
          <w:tcPr>
            <w:tcW w:w="14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June 30,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March 31,</w:t>
            </w:r>
          </w:p>
        </w:tc>
      </w:tr>
      <w:tr>
        <w:trPr>
          <w:trHeight w:val="185"/>
        </w:trPr>
        <w:tc>
          <w:tcPr>
            <w:tcW w:w="2300" w:type="dxa"/>
            <w:vAlign w:val="bottom"/>
          </w:tcPr>
          <w:p>
            <w:pPr>
              <w:spacing w:after="0"/>
              <w:rPr>
                <w:sz w:val="16"/>
                <w:szCs w:val="16"/>
                <w:color w:val="auto"/>
              </w:rPr>
            </w:pP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2000</w:t>
            </w:r>
          </w:p>
        </w:tc>
        <w:tc>
          <w:tcPr>
            <w:tcW w:w="13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2000</w:t>
            </w:r>
          </w:p>
        </w:tc>
        <w:tc>
          <w:tcPr>
            <w:tcW w:w="14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1999</w:t>
            </w: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1999</w:t>
            </w:r>
          </w:p>
        </w:tc>
      </w:tr>
      <w:tr>
        <w:trPr>
          <w:trHeight w:val="185"/>
        </w:trPr>
        <w:tc>
          <w:tcPr>
            <w:tcW w:w="2300" w:type="dxa"/>
            <w:vAlign w:val="bottom"/>
          </w:tcPr>
          <w:p>
            <w:pPr>
              <w:spacing w:after="0"/>
              <w:rPr>
                <w:sz w:val="16"/>
                <w:szCs w:val="16"/>
                <w:color w:val="auto"/>
              </w:rPr>
            </w:pP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2300" w:type="dxa"/>
            <w:vAlign w:val="bottom"/>
          </w:tcPr>
          <w:p>
            <w:pPr>
              <w:spacing w:after="0"/>
              <w:rPr>
                <w:sz w:val="20"/>
                <w:szCs w:val="20"/>
                <w:color w:val="auto"/>
              </w:rPr>
            </w:pPr>
            <w:r>
              <w:rPr>
                <w:rFonts w:ascii="Courier New" w:cs="Courier New" w:eastAsia="Courier New" w:hAnsi="Courier New"/>
                <w:sz w:val="16"/>
                <w:szCs w:val="16"/>
                <w:color w:val="auto"/>
              </w:rPr>
              <w:t>Collection:</w:t>
            </w: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70"/>
        </w:trPr>
        <w:tc>
          <w:tcPr>
            <w:tcW w:w="2300" w:type="dxa"/>
            <w:vAlign w:val="bottom"/>
          </w:tcPr>
          <w:p>
            <w:pPr>
              <w:ind w:left="280"/>
              <w:spacing w:after="0"/>
              <w:rPr>
                <w:sz w:val="20"/>
                <w:szCs w:val="20"/>
                <w:color w:val="auto"/>
              </w:rPr>
            </w:pPr>
            <w:r>
              <w:rPr>
                <w:rFonts w:ascii="Courier New" w:cs="Courier New" w:eastAsia="Courier New" w:hAnsi="Courier New"/>
                <w:sz w:val="16"/>
                <w:szCs w:val="16"/>
                <w:color w:val="auto"/>
              </w:rPr>
              <w:t>Residential</w:t>
            </w:r>
          </w:p>
        </w:tc>
        <w:tc>
          <w:tcPr>
            <w:tcW w:w="13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$ 105.5</w:t>
            </w:r>
          </w:p>
        </w:tc>
        <w:tc>
          <w:tcPr>
            <w:tcW w:w="13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$ 100.7</w:t>
            </w:r>
          </w:p>
        </w:tc>
        <w:tc>
          <w:tcPr>
            <w:tcW w:w="14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93.5</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  83.4</w:t>
            </w:r>
          </w:p>
        </w:tc>
      </w:tr>
      <w:tr>
        <w:trPr>
          <w:trHeight w:val="185"/>
        </w:trPr>
        <w:tc>
          <w:tcPr>
            <w:tcW w:w="2300" w:type="dxa"/>
            <w:vAlign w:val="bottom"/>
          </w:tcPr>
          <w:p>
            <w:pPr>
              <w:ind w:left="280"/>
              <w:spacing w:after="0"/>
              <w:rPr>
                <w:sz w:val="20"/>
                <w:szCs w:val="20"/>
                <w:color w:val="auto"/>
              </w:rPr>
            </w:pPr>
            <w:r>
              <w:rPr>
                <w:rFonts w:ascii="Courier New" w:cs="Courier New" w:eastAsia="Courier New" w:hAnsi="Courier New"/>
                <w:sz w:val="16"/>
                <w:szCs w:val="16"/>
                <w:color w:val="auto"/>
              </w:rPr>
              <w:t>Commercial</w:t>
            </w:r>
          </w:p>
        </w:tc>
        <w:tc>
          <w:tcPr>
            <w:tcW w:w="13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154.4</w:t>
            </w:r>
          </w:p>
        </w:tc>
        <w:tc>
          <w:tcPr>
            <w:tcW w:w="13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150.1</w:t>
            </w:r>
          </w:p>
        </w:tc>
        <w:tc>
          <w:tcPr>
            <w:tcW w:w="14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132.5</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125.3</w:t>
            </w:r>
          </w:p>
        </w:tc>
      </w:tr>
      <w:tr>
        <w:trPr>
          <w:trHeight w:val="185"/>
        </w:trPr>
        <w:tc>
          <w:tcPr>
            <w:tcW w:w="2300" w:type="dxa"/>
            <w:vAlign w:val="bottom"/>
          </w:tcPr>
          <w:p>
            <w:pPr>
              <w:ind w:left="280"/>
              <w:spacing w:after="0"/>
              <w:rPr>
                <w:sz w:val="20"/>
                <w:szCs w:val="20"/>
                <w:color w:val="auto"/>
              </w:rPr>
            </w:pPr>
            <w:r>
              <w:rPr>
                <w:rFonts w:ascii="Courier New" w:cs="Courier New" w:eastAsia="Courier New" w:hAnsi="Courier New"/>
                <w:sz w:val="16"/>
                <w:szCs w:val="16"/>
                <w:color w:val="auto"/>
              </w:rPr>
              <w:t>Industrial</w:t>
            </w:r>
          </w:p>
        </w:tc>
        <w:tc>
          <w:tcPr>
            <w:tcW w:w="13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123.5</w:t>
            </w:r>
          </w:p>
        </w:tc>
        <w:tc>
          <w:tcPr>
            <w:tcW w:w="13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114.8</w:t>
            </w:r>
          </w:p>
        </w:tc>
        <w:tc>
          <w:tcPr>
            <w:tcW w:w="14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107.5</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89.6</w:t>
            </w:r>
          </w:p>
        </w:tc>
      </w:tr>
      <w:tr>
        <w:trPr>
          <w:trHeight w:val="185"/>
        </w:trPr>
        <w:tc>
          <w:tcPr>
            <w:tcW w:w="230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13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15.6</w:t>
            </w:r>
          </w:p>
        </w:tc>
        <w:tc>
          <w:tcPr>
            <w:tcW w:w="13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15.4</w:t>
            </w:r>
          </w:p>
        </w:tc>
        <w:tc>
          <w:tcPr>
            <w:tcW w:w="14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11.9</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11.0</w:t>
            </w:r>
          </w:p>
        </w:tc>
      </w:tr>
      <w:tr>
        <w:trPr>
          <w:trHeight w:val="185"/>
        </w:trPr>
        <w:tc>
          <w:tcPr>
            <w:tcW w:w="2300" w:type="dxa"/>
            <w:vAlign w:val="bottom"/>
          </w:tcPr>
          <w:p>
            <w:pPr>
              <w:spacing w:after="0"/>
              <w:rPr>
                <w:sz w:val="16"/>
                <w:szCs w:val="16"/>
                <w:color w:val="auto"/>
              </w:rPr>
            </w:pPr>
          </w:p>
        </w:tc>
        <w:tc>
          <w:tcPr>
            <w:tcW w:w="13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370"/>
        </w:trPr>
        <w:tc>
          <w:tcPr>
            <w:tcW w:w="2300" w:type="dxa"/>
            <w:vAlign w:val="bottom"/>
          </w:tcPr>
          <w:p>
            <w:pPr>
              <w:ind w:left="480"/>
              <w:spacing w:after="0"/>
              <w:rPr>
                <w:sz w:val="20"/>
                <w:szCs w:val="20"/>
                <w:color w:val="auto"/>
              </w:rPr>
            </w:pPr>
            <w:r>
              <w:rPr>
                <w:rFonts w:ascii="Courier New" w:cs="Courier New" w:eastAsia="Courier New" w:hAnsi="Courier New"/>
                <w:sz w:val="16"/>
                <w:szCs w:val="16"/>
                <w:color w:val="auto"/>
              </w:rPr>
              <w:t>Total collection</w:t>
            </w:r>
          </w:p>
        </w:tc>
        <w:tc>
          <w:tcPr>
            <w:tcW w:w="13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399.0</w:t>
            </w:r>
          </w:p>
        </w:tc>
        <w:tc>
          <w:tcPr>
            <w:tcW w:w="13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381.0</w:t>
            </w:r>
          </w:p>
        </w:tc>
        <w:tc>
          <w:tcPr>
            <w:tcW w:w="14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345.4</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309.3</w:t>
            </w:r>
          </w:p>
        </w:tc>
      </w:tr>
      <w:tr>
        <w:trPr>
          <w:trHeight w:val="370"/>
        </w:trPr>
        <w:tc>
          <w:tcPr>
            <w:tcW w:w="2300" w:type="dxa"/>
            <w:vAlign w:val="bottom"/>
          </w:tcPr>
          <w:p>
            <w:pPr>
              <w:spacing w:after="0"/>
              <w:rPr>
                <w:sz w:val="20"/>
                <w:szCs w:val="20"/>
                <w:color w:val="auto"/>
              </w:rPr>
            </w:pPr>
            <w:r>
              <w:rPr>
                <w:rFonts w:ascii="Courier New" w:cs="Courier New" w:eastAsia="Courier New" w:hAnsi="Courier New"/>
                <w:sz w:val="16"/>
                <w:szCs w:val="16"/>
                <w:color w:val="auto"/>
              </w:rPr>
              <w:t>Transfer and disposal</w:t>
            </w:r>
          </w:p>
        </w:tc>
        <w:tc>
          <w:tcPr>
            <w:tcW w:w="13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155.4</w:t>
            </w:r>
          </w:p>
        </w:tc>
        <w:tc>
          <w:tcPr>
            <w:tcW w:w="13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133.7</w:t>
            </w:r>
          </w:p>
        </w:tc>
        <w:tc>
          <w:tcPr>
            <w:tcW w:w="14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118.4</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90.3</w:t>
            </w:r>
          </w:p>
        </w:tc>
      </w:tr>
      <w:tr>
        <w:trPr>
          <w:trHeight w:val="185"/>
        </w:trPr>
        <w:tc>
          <w:tcPr>
            <w:tcW w:w="2300" w:type="dxa"/>
            <w:vAlign w:val="bottom"/>
          </w:tcPr>
          <w:p>
            <w:pPr>
              <w:spacing w:after="0"/>
              <w:rPr>
                <w:sz w:val="20"/>
                <w:szCs w:val="20"/>
                <w:color w:val="auto"/>
              </w:rPr>
            </w:pPr>
            <w:r>
              <w:rPr>
                <w:rFonts w:ascii="Courier New" w:cs="Courier New" w:eastAsia="Courier New" w:hAnsi="Courier New"/>
                <w:sz w:val="16"/>
                <w:szCs w:val="16"/>
                <w:color w:val="auto"/>
              </w:rPr>
              <w:t>Less: Intercompany</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(63.6)</w:t>
            </w: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(49.6)</w:t>
            </w:r>
          </w:p>
        </w:tc>
        <w:tc>
          <w:tcPr>
            <w:tcW w:w="14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(39.8)</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(27.5)</w:t>
            </w:r>
          </w:p>
        </w:tc>
      </w:tr>
      <w:tr>
        <w:trPr>
          <w:trHeight w:val="185"/>
        </w:trPr>
        <w:tc>
          <w:tcPr>
            <w:tcW w:w="2300" w:type="dxa"/>
            <w:vAlign w:val="bottom"/>
          </w:tcPr>
          <w:p>
            <w:pPr>
              <w:spacing w:after="0"/>
              <w:rPr>
                <w:sz w:val="16"/>
                <w:szCs w:val="16"/>
                <w:color w:val="auto"/>
              </w:rPr>
            </w:pPr>
          </w:p>
        </w:tc>
        <w:tc>
          <w:tcPr>
            <w:tcW w:w="13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2300" w:type="dxa"/>
            <w:vAlign w:val="bottom"/>
          </w:tcPr>
          <w:p>
            <w:pPr>
              <w:ind w:left="280"/>
              <w:spacing w:after="0"/>
              <w:rPr>
                <w:sz w:val="20"/>
                <w:szCs w:val="20"/>
                <w:color w:val="auto"/>
              </w:rPr>
            </w:pPr>
            <w:r>
              <w:rPr>
                <w:rFonts w:ascii="Courier New" w:cs="Courier New" w:eastAsia="Courier New" w:hAnsi="Courier New"/>
                <w:sz w:val="16"/>
                <w:szCs w:val="16"/>
                <w:color w:val="auto"/>
              </w:rPr>
              <w:t>Transfer and</w:t>
            </w: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2300" w:type="dxa"/>
            <w:vAlign w:val="bottom"/>
          </w:tcPr>
          <w:p>
            <w:pPr>
              <w:ind w:left="480"/>
              <w:spacing w:after="0"/>
              <w:rPr>
                <w:sz w:val="20"/>
                <w:szCs w:val="20"/>
                <w:color w:val="auto"/>
              </w:rPr>
            </w:pPr>
            <w:r>
              <w:rPr>
                <w:rFonts w:ascii="Courier New" w:cs="Courier New" w:eastAsia="Courier New" w:hAnsi="Courier New"/>
                <w:sz w:val="16"/>
                <w:szCs w:val="16"/>
                <w:color w:val="auto"/>
              </w:rPr>
              <w:t>disposal, net</w:t>
            </w:r>
          </w:p>
        </w:tc>
        <w:tc>
          <w:tcPr>
            <w:tcW w:w="13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91.8</w:t>
            </w:r>
          </w:p>
        </w:tc>
        <w:tc>
          <w:tcPr>
            <w:tcW w:w="13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84.1</w:t>
            </w:r>
          </w:p>
        </w:tc>
        <w:tc>
          <w:tcPr>
            <w:tcW w:w="14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78.6</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62.8</w:t>
            </w:r>
          </w:p>
        </w:tc>
      </w:tr>
      <w:tr>
        <w:trPr>
          <w:trHeight w:val="370"/>
        </w:trPr>
        <w:tc>
          <w:tcPr>
            <w:tcW w:w="230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3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42.7</w:t>
            </w:r>
          </w:p>
        </w:tc>
        <w:tc>
          <w:tcPr>
            <w:tcW w:w="13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36.4</w:t>
            </w:r>
          </w:p>
        </w:tc>
        <w:tc>
          <w:tcPr>
            <w:tcW w:w="14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39.8</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35.5</w:t>
            </w:r>
          </w:p>
        </w:tc>
      </w:tr>
      <w:tr>
        <w:trPr>
          <w:trHeight w:val="185"/>
        </w:trPr>
        <w:tc>
          <w:tcPr>
            <w:tcW w:w="2300" w:type="dxa"/>
            <w:vAlign w:val="bottom"/>
          </w:tcPr>
          <w:p>
            <w:pPr>
              <w:spacing w:after="0"/>
              <w:rPr>
                <w:sz w:val="16"/>
                <w:szCs w:val="16"/>
                <w:color w:val="auto"/>
              </w:rPr>
            </w:pPr>
          </w:p>
        </w:tc>
        <w:tc>
          <w:tcPr>
            <w:tcW w:w="13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2300" w:type="dxa"/>
            <w:vAlign w:val="bottom"/>
          </w:tcPr>
          <w:p>
            <w:pPr>
              <w:ind w:left="280"/>
              <w:spacing w:after="0"/>
              <w:rPr>
                <w:sz w:val="20"/>
                <w:szCs w:val="20"/>
                <w:color w:val="auto"/>
              </w:rPr>
            </w:pPr>
            <w:r>
              <w:rPr>
                <w:rFonts w:ascii="Courier New" w:cs="Courier New" w:eastAsia="Courier New" w:hAnsi="Courier New"/>
                <w:sz w:val="16"/>
                <w:szCs w:val="16"/>
                <w:color w:val="auto"/>
              </w:rPr>
              <w:t>Total revenue</w:t>
            </w:r>
          </w:p>
        </w:tc>
        <w:tc>
          <w:tcPr>
            <w:tcW w:w="13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$ 533.5</w:t>
            </w:r>
          </w:p>
        </w:tc>
        <w:tc>
          <w:tcPr>
            <w:tcW w:w="13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$ 501.5</w:t>
            </w:r>
          </w:p>
        </w:tc>
        <w:tc>
          <w:tcPr>
            <w:tcW w:w="14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$ 463.8</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$ 407.6</w:t>
            </w:r>
          </w:p>
        </w:tc>
      </w:tr>
      <w:tr>
        <w:trPr>
          <w:trHeight w:val="185"/>
        </w:trPr>
        <w:tc>
          <w:tcPr>
            <w:tcW w:w="2300" w:type="dxa"/>
            <w:vAlign w:val="bottom"/>
          </w:tcPr>
          <w:p>
            <w:pPr>
              <w:spacing w:after="0"/>
              <w:rPr>
                <w:sz w:val="16"/>
                <w:szCs w:val="16"/>
                <w:color w:val="auto"/>
              </w:rPr>
            </w:pPr>
          </w:p>
        </w:tc>
        <w:tc>
          <w:tcPr>
            <w:tcW w:w="13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March 31,</w:t>
      </w:r>
    </w:p>
    <w:p>
      <w:pPr>
        <w:spacing w:after="0" w:line="13" w:lineRule="exact"/>
        <w:rPr>
          <w:sz w:val="20"/>
          <w:szCs w:val="20"/>
          <w:color w:val="auto"/>
        </w:rPr>
      </w:pPr>
    </w:p>
    <w:p>
      <w:pPr>
        <w:ind w:left="187"/>
        <w:spacing w:after="0"/>
        <w:rPr>
          <w:sz w:val="20"/>
          <w:szCs w:val="20"/>
          <w:color w:val="auto"/>
        </w:rPr>
      </w:pPr>
      <w:r>
        <w:rPr>
          <w:rFonts w:ascii="Courier New" w:cs="Courier New" w:eastAsia="Courier New" w:hAnsi="Courier New"/>
          <w:sz w:val="16"/>
          <w:szCs w:val="16"/>
          <w:color w:val="auto"/>
        </w:rPr>
        <w:t>1999</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67" w:lineRule="exact"/>
        <w:rPr>
          <w:sz w:val="20"/>
          <w:szCs w:val="20"/>
          <w:color w:val="auto"/>
        </w:rPr>
      </w:pPr>
    </w:p>
    <w:p>
      <w:pPr>
        <w:ind w:left="287" w:hanging="287"/>
        <w:spacing w:after="0"/>
        <w:tabs>
          <w:tab w:leader="none" w:pos="28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26.3</w:t>
      </w:r>
    </w:p>
    <w:p>
      <w:pPr>
        <w:spacing w:after="0" w:line="188" w:lineRule="exact"/>
        <w:rPr>
          <w:rFonts w:ascii="Courier New" w:cs="Courier New" w:eastAsia="Courier New" w:hAnsi="Courier New"/>
          <w:sz w:val="16"/>
          <w:szCs w:val="16"/>
          <w:color w:val="auto"/>
        </w:rPr>
      </w:pPr>
    </w:p>
    <w:p>
      <w:pPr>
        <w:ind w:left="387" w:hanging="387"/>
        <w:spacing w:after="0"/>
        <w:tabs>
          <w:tab w:leader="none" w:pos="38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7.1</w:t>
      </w:r>
    </w:p>
    <w:p>
      <w:pPr>
        <w:spacing w:after="0" w:line="188" w:lineRule="exact"/>
        <w:rPr>
          <w:rFonts w:ascii="Courier New" w:cs="Courier New" w:eastAsia="Courier New" w:hAnsi="Courier New"/>
          <w:sz w:val="16"/>
          <w:szCs w:val="16"/>
          <w:color w:val="auto"/>
        </w:rPr>
      </w:pPr>
    </w:p>
    <w:p>
      <w:pPr>
        <w:ind w:left="187" w:hanging="187"/>
        <w:spacing w:after="0"/>
        <w:tabs>
          <w:tab w:leader="none" w:pos="18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(57.1)</w:t>
      </w:r>
    </w:p>
    <w:p>
      <w:pPr>
        <w:sectPr>
          <w:pgSz w:w="11900" w:h="16838" w:orient="portrait"/>
          <w:cols w:equalWidth="0" w:num="2">
            <w:col w:w="7880" w:space="573"/>
            <w:col w:w="1766"/>
          </w:cols>
          <w:pgMar w:left="240" w:top="300" w:right="1440" w:bottom="641"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5</w:t>
      </w:r>
    </w:p>
    <w:p>
      <w:pPr>
        <w:spacing w:after="0" w:line="190"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The following table reflects the Company's revenue growth for the three months ended in each of the periods presented from the comparable period in the previous year:</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00" w:type="dxa"/>
            <w:vAlign w:val="bottom"/>
          </w:tcPr>
          <w:p>
            <w:pPr>
              <w:spacing w:after="0"/>
              <w:rPr>
                <w:sz w:val="15"/>
                <w:szCs w:val="15"/>
                <w:color w:val="auto"/>
              </w:rPr>
            </w:pP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June 30,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March 31,</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June 30,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March 31,</w:t>
            </w:r>
          </w:p>
        </w:tc>
      </w:tr>
      <w:tr>
        <w:trPr>
          <w:trHeight w:val="185"/>
        </w:trPr>
        <w:tc>
          <w:tcPr>
            <w:tcW w:w="2500" w:type="dxa"/>
            <w:vAlign w:val="bottom"/>
          </w:tcPr>
          <w:p>
            <w:pPr>
              <w:spacing w:after="0"/>
              <w:rPr>
                <w:sz w:val="16"/>
                <w:szCs w:val="16"/>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2000</w:t>
            </w:r>
          </w:p>
        </w:tc>
        <w:tc>
          <w:tcPr>
            <w:tcW w:w="11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2000</w:t>
            </w:r>
          </w:p>
        </w:tc>
        <w:tc>
          <w:tcPr>
            <w:tcW w:w="10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1999</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1999</w:t>
            </w:r>
          </w:p>
        </w:tc>
      </w:tr>
      <w:tr>
        <w:trPr>
          <w:trHeight w:val="185"/>
        </w:trPr>
        <w:tc>
          <w:tcPr>
            <w:tcW w:w="250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Price</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w:t>
            </w:r>
          </w:p>
        </w:tc>
        <w:tc>
          <w:tcPr>
            <w:tcW w:w="11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2.6%</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Volume</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5.3</w:t>
            </w:r>
          </w:p>
        </w:tc>
        <w:tc>
          <w:tcPr>
            <w:tcW w:w="11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5.8</w:t>
            </w: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6.1</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5.9</w:t>
            </w:r>
          </w:p>
        </w:tc>
      </w:tr>
      <w:tr>
        <w:trPr>
          <w:trHeight w:val="185"/>
        </w:trPr>
        <w:tc>
          <w:tcPr>
            <w:tcW w:w="250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2500" w:type="dxa"/>
            <w:vAlign w:val="bottom"/>
          </w:tcPr>
          <w:p>
            <w:pPr>
              <w:ind w:left="200"/>
              <w:spacing w:after="0"/>
              <w:rPr>
                <w:sz w:val="20"/>
                <w:szCs w:val="20"/>
                <w:color w:val="auto"/>
              </w:rPr>
            </w:pPr>
            <w:r>
              <w:rPr>
                <w:rFonts w:ascii="Courier New" w:cs="Courier New" w:eastAsia="Courier New" w:hAnsi="Courier New"/>
                <w:sz w:val="16"/>
                <w:szCs w:val="16"/>
                <w:color w:val="auto"/>
              </w:rPr>
              <w:t>Total internal growth</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7.8</w:t>
            </w:r>
          </w:p>
        </w:tc>
        <w:tc>
          <w:tcPr>
            <w:tcW w:w="11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8.4</w:t>
            </w: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8.3</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8.1</w:t>
            </w: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Acquisitions</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7.2</w:t>
            </w:r>
          </w:p>
        </w:tc>
        <w:tc>
          <w:tcPr>
            <w:tcW w:w="11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14.7</w:t>
            </w: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28.6</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26.8</w:t>
            </w:r>
          </w:p>
        </w:tc>
      </w:tr>
      <w:tr>
        <w:trPr>
          <w:trHeight w:val="185"/>
        </w:trPr>
        <w:tc>
          <w:tcPr>
            <w:tcW w:w="250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2500" w:type="dxa"/>
            <w:vAlign w:val="bottom"/>
          </w:tcPr>
          <w:p>
            <w:pPr>
              <w:ind w:left="200"/>
              <w:spacing w:after="0"/>
              <w:rPr>
                <w:sz w:val="20"/>
                <w:szCs w:val="20"/>
                <w:color w:val="auto"/>
              </w:rPr>
            </w:pPr>
            <w:r>
              <w:rPr>
                <w:rFonts w:ascii="Courier New" w:cs="Courier New" w:eastAsia="Courier New" w:hAnsi="Courier New"/>
                <w:sz w:val="16"/>
                <w:szCs w:val="16"/>
                <w:color w:val="auto"/>
              </w:rPr>
              <w:t>Total revenue growth</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15.0%</w:t>
            </w:r>
          </w:p>
        </w:tc>
        <w:tc>
          <w:tcPr>
            <w:tcW w:w="11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23.1%</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34.9%</w:t>
            </w:r>
          </w:p>
        </w:tc>
      </w:tr>
      <w:tr>
        <w:trPr>
          <w:trHeight w:val="185"/>
        </w:trPr>
        <w:tc>
          <w:tcPr>
            <w:tcW w:w="250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300"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tbl>
      <w:tblPr>
        <w:tblLayout w:type="fixed"/>
        <w:tblInd w:w="3080" w:type="dxa"/>
        <w:tblCellMar>
          <w:top w:w="0" w:type="dxa"/>
          <w:left w:w="0" w:type="dxa"/>
          <w:bottom w:w="0" w:type="dxa"/>
          <w:right w:w="0" w:type="dxa"/>
        </w:tblCellMar>
      </w:tblPr>
      <w:tr>
        <w:trPr>
          <w:trHeight w:val="181"/>
        </w:trPr>
        <w:tc>
          <w:tcPr>
            <w:tcW w:w="1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Exhibit 99.2</w:t>
            </w:r>
          </w:p>
        </w:tc>
      </w:tr>
      <w:tr>
        <w:trPr>
          <w:trHeight w:val="370"/>
        </w:trPr>
        <w:tc>
          <w:tcPr>
            <w:tcW w:w="1920" w:type="dxa"/>
            <w:vAlign w:val="bottom"/>
          </w:tcPr>
          <w:p>
            <w:pPr>
              <w:spacing w:after="0"/>
              <w:rPr>
                <w:sz w:val="24"/>
                <w:szCs w:val="24"/>
                <w:color w:val="auto"/>
              </w:rPr>
            </w:pPr>
          </w:p>
        </w:tc>
        <w:tc>
          <w:tcPr>
            <w:tcW w:w="17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REPUBLIC CONTACTS</w:t>
            </w:r>
          </w:p>
        </w:tc>
        <w:tc>
          <w:tcPr>
            <w:tcW w:w="900" w:type="dxa"/>
            <w:vAlign w:val="bottom"/>
          </w:tcPr>
          <w:p>
            <w:pPr>
              <w:spacing w:after="0"/>
              <w:rPr>
                <w:sz w:val="24"/>
                <w:szCs w:val="24"/>
                <w:color w:val="auto"/>
              </w:rPr>
            </w:pP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Media Inquiries:</w:t>
            </w:r>
          </w:p>
        </w:tc>
        <w:tc>
          <w:tcPr>
            <w:tcW w:w="17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Will Flower (954)</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769-6392</w:t>
            </w: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Investor Inquiries:</w:t>
            </w: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Tod Holmes</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(954)</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769-2387</w:t>
            </w:r>
          </w:p>
        </w:tc>
      </w:tr>
      <w:tr>
        <w:trPr>
          <w:trHeight w:val="185"/>
        </w:trPr>
        <w:tc>
          <w:tcPr>
            <w:tcW w:w="1920" w:type="dxa"/>
            <w:vAlign w:val="bottom"/>
          </w:tcPr>
          <w:p>
            <w:pPr>
              <w:spacing w:after="0"/>
              <w:rPr>
                <w:sz w:val="16"/>
                <w:szCs w:val="16"/>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Ed Lang</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(954)</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769-3591</w:t>
            </w:r>
          </w:p>
        </w:tc>
      </w:tr>
    </w:tbl>
    <w:p>
      <w:pPr>
        <w:spacing w:after="0" w:line="200" w:lineRule="exact"/>
        <w:rPr>
          <w:sz w:val="20"/>
          <w:szCs w:val="20"/>
          <w:color w:val="auto"/>
        </w:rPr>
      </w:pPr>
    </w:p>
    <w:p>
      <w:pPr>
        <w:spacing w:after="0" w:line="35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REPUBLIC SERVICES, INC. ANNOUNCES $50 MILLION</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STOCK REPURCHASE PROGRAM</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FORT LAUDERDALE, FLA., JULY 26, 2000...Republic Services, Inc. (NYSE: RSG) announced today that the Company will begin a common stock repurchase program. Under this program, the Company will repurchase up to $50 million of its common stock. The stock repurchases may be made in the open market, in privately negotiated transactions or a combination of both. The timing and amounts of any repurchases will be at the discretion of management and will depend on many factors, including the market price of the common stock and overall market conditions. The common stock that is repurchased will be held in treasury.</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Republic Services, Inc. is a leading provider of solid waste collection, transfer and disposal services in the United States. The Company's operating units are focused on providing solid waste services for commercial, industrial, municipal and residential customers.</w:t>
      </w:r>
    </w:p>
    <w:p>
      <w:pPr>
        <w:spacing w:after="0" w:line="190" w:lineRule="exact"/>
        <w:rPr>
          <w:sz w:val="20"/>
          <w:szCs w:val="20"/>
          <w:color w:val="auto"/>
        </w:rPr>
      </w:pPr>
    </w:p>
    <w:p>
      <w:pPr>
        <w:ind w:right="2539" w:firstLine="865"/>
        <w:spacing w:after="0" w:line="261" w:lineRule="auto"/>
        <w:rPr>
          <w:sz w:val="20"/>
          <w:szCs w:val="20"/>
          <w:color w:val="auto"/>
        </w:rPr>
      </w:pPr>
      <w:r>
        <w:rPr>
          <w:rFonts w:ascii="Courier New" w:cs="Courier New" w:eastAsia="Courier New" w:hAnsi="Courier New"/>
          <w:sz w:val="15"/>
          <w:szCs w:val="15"/>
          <w:color w:val="auto"/>
        </w:rPr>
        <w:t>Certain statements and information included herein constitute "forward-looking statements" within the meaning of the Federal Private Securities Litigation Reform Act of 1995. Such forward-looking statements involve known and unknown risks, uncertainties and other factors which may cause the actual results, performance, or achievements of the Company to be materially different from any future results, performance, or achievements expressed or implied, in or by such forward-looking statements. Such factors include, among other things, whether the Company's estimates and assumptions concerning its selected balance sheet accounts, closure and post-closure costs, available airspace, and projected costs and expenses related to the Company's landfills and property, plant and equipment turn out to be correct or appropriate, and various factors that will impact the actual business and financial performance of the Company such as competition in the solid waste industry; dependence on acquisitions for growth; the Company's ability to manage growth; compliance with and future changes in environmental regulations; the Company's ability to obtain approval from regulatory agencies in connection with expansions at the Company's landfills; the ability to obtain financing on acceptable terms to finance the Company's operations and growth strategy and for the Company to operate within the limitations imposed by financing arrangements; the Company's dependence on key personnel; general economic conditions; dependence on large, long-term collection contracts; risks associated with undisclosed liabilities of acquired businesses; risks associated with pending legal proceedings; and other factors contained in the Company's filings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2019-12-14T19:46:45Z</dcterms:created>
  <dcterms:modified xsi:type="dcterms:W3CDTF">2019-12-14T19:46:45Z</dcterms:modified>
</cp:coreProperties>
</file>